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Petroleum and Geothermal Energy Resources Act 1967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_Toc33609039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_Toc33609040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w:t>
      </w:r>
      <w:r>
        <w:tab/>
      </w:r>
      <w:r>
        <w:fldChar w:fldCharType="begin"/>
      </w:r>
      <w:r>
        <w:instrText xml:space="preserve"> PAGEREF _Toc33609041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_Toc33609042 \h </w:instrText>
      </w:r>
      <w:r>
        <w:fldChar w:fldCharType="separate"/>
      </w:r>
      <w:r>
        <w:t>2</w:t>
      </w:r>
      <w:r>
        <w:fldChar w:fldCharType="end"/>
      </w:r>
    </w:p>
    <w:p>
      <w:pPr>
        <w:pStyle w:val="TOC8"/>
        <w:rPr>
          <w:rFonts w:asciiTheme="minorHAnsi" w:eastAsiaTheme="minorEastAsia" w:hAnsiTheme="minorHAnsi" w:cstheme="minorBidi"/>
          <w:szCs w:val="22"/>
        </w:rPr>
      </w:pPr>
      <w:r>
        <w:t>6A.</w:t>
      </w:r>
      <w:r>
        <w:tab/>
        <w:t>Effect of alteration of inshore area</w:t>
      </w:r>
      <w:r>
        <w:tab/>
      </w:r>
      <w:r>
        <w:fldChar w:fldCharType="begin"/>
      </w:r>
      <w:r>
        <w:instrText xml:space="preserve"> PAGEREF _Toc33609043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 — General</w:t>
      </w:r>
    </w:p>
    <w:p>
      <w:pPr>
        <w:pStyle w:val="TOC8"/>
        <w:rPr>
          <w:rFonts w:asciiTheme="minorHAnsi" w:eastAsiaTheme="minorEastAsia" w:hAnsiTheme="minorHAnsi" w:cstheme="minorBidi"/>
          <w:szCs w:val="22"/>
        </w:rPr>
      </w:pPr>
      <w:r>
        <w:t>6</w:t>
      </w:r>
      <w:r>
        <w:rPr>
          <w:snapToGrid w:val="0"/>
        </w:rPr>
        <w:t>.</w:t>
      </w:r>
      <w:r>
        <w:rPr>
          <w:snapToGrid w:val="0"/>
        </w:rPr>
        <w:tab/>
        <w:t>Act to be construed subject to State’s legislative powers</w:t>
      </w:r>
      <w:r>
        <w:tab/>
      </w:r>
      <w:r>
        <w:fldChar w:fldCharType="begin"/>
      </w:r>
      <w:r>
        <w:instrText xml:space="preserve"> PAGEREF _Toc33609045 \h </w:instrText>
      </w:r>
      <w:r>
        <w:fldChar w:fldCharType="separate"/>
      </w:r>
      <w:r>
        <w:t>18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Act</w:t>
      </w:r>
      <w:r>
        <w:tab/>
      </w:r>
      <w:r>
        <w:fldChar w:fldCharType="begin"/>
      </w:r>
      <w:r>
        <w:instrText xml:space="preserve"> PAGEREF _Toc33609046 \h </w:instrText>
      </w:r>
      <w:r>
        <w:fldChar w:fldCharType="separate"/>
      </w:r>
      <w:r>
        <w:t>18</w:t>
      </w:r>
      <w:r>
        <w:fldChar w:fldCharType="end"/>
      </w:r>
    </w:p>
    <w:p>
      <w:pPr>
        <w:pStyle w:val="TOC8"/>
        <w:rPr>
          <w:rFonts w:asciiTheme="minorHAnsi" w:eastAsiaTheme="minorEastAsia" w:hAnsiTheme="minorHAnsi" w:cstheme="minorBidi"/>
          <w:szCs w:val="22"/>
        </w:rPr>
      </w:pPr>
      <w:r>
        <w:t>7AA.</w:t>
      </w:r>
      <w:r>
        <w:tab/>
        <w:t>Disapplication of State occupational safety and health laws</w:t>
      </w:r>
      <w:r>
        <w:tab/>
      </w:r>
      <w:r>
        <w:fldChar w:fldCharType="begin"/>
      </w:r>
      <w:r>
        <w:instrText xml:space="preserve"> PAGEREF _Toc33609047 \h </w:instrText>
      </w:r>
      <w:r>
        <w:fldChar w:fldCharType="separate"/>
      </w:r>
      <w:r>
        <w:t>19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Geothermal resources area in, or extending into, other areas</w:t>
      </w:r>
      <w:r>
        <w:tab/>
      </w:r>
      <w:r>
        <w:fldChar w:fldCharType="begin"/>
      </w:r>
      <w:r>
        <w:instrText xml:space="preserve"> PAGEREF _Toc33609048 \h </w:instrText>
      </w:r>
      <w:r>
        <w:fldChar w:fldCharType="separate"/>
      </w:r>
      <w:r>
        <w:t>19</w:t>
      </w:r>
      <w:r>
        <w:fldChar w:fldCharType="end"/>
      </w:r>
    </w:p>
    <w:p>
      <w:pPr>
        <w:pStyle w:val="TOC8"/>
        <w:rPr>
          <w:rFonts w:asciiTheme="minorHAnsi" w:eastAsiaTheme="minorEastAsia" w:hAnsiTheme="minorHAnsi" w:cstheme="minorBidi"/>
          <w:szCs w:val="22"/>
        </w:rPr>
      </w:pPr>
      <w:r>
        <w:t>7B.</w:t>
      </w:r>
      <w:r>
        <w:tab/>
        <w:t>Petroleum pool in, or extending into, other areas</w:t>
      </w:r>
      <w:r>
        <w:tab/>
      </w:r>
      <w:r>
        <w:fldChar w:fldCharType="begin"/>
      </w:r>
      <w:r>
        <w:instrText xml:space="preserve"> PAGEREF _Toc33609049 \h </w:instrText>
      </w:r>
      <w:r>
        <w:fldChar w:fldCharType="separate"/>
      </w:r>
      <w:r>
        <w:t>22</w:t>
      </w:r>
      <w:r>
        <w:fldChar w:fldCharType="end"/>
      </w:r>
    </w:p>
    <w:p>
      <w:pPr>
        <w:pStyle w:val="TOC8"/>
        <w:rPr>
          <w:rFonts w:asciiTheme="minorHAnsi" w:eastAsiaTheme="minorEastAsia" w:hAnsiTheme="minorHAnsi" w:cstheme="minorBidi"/>
          <w:szCs w:val="22"/>
        </w:rPr>
      </w:pPr>
      <w:r>
        <w:t>8.</w:t>
      </w:r>
      <w:r>
        <w:tab/>
        <w:t>Position on Earth’s surface</w:t>
      </w:r>
      <w:r>
        <w:tab/>
      </w:r>
      <w:r>
        <w:fldChar w:fldCharType="begin"/>
      </w:r>
      <w:r>
        <w:instrText xml:space="preserve"> PAGEREF _Toc33609050 \h </w:instrText>
      </w:r>
      <w:r>
        <w:fldChar w:fldCharType="separate"/>
      </w:r>
      <w:r>
        <w:t>30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Petroleum, geothermal energy resources and geothermal energy declared to be property of Crown</w:t>
      </w:r>
      <w:r>
        <w:tab/>
      </w:r>
      <w:r>
        <w:fldChar w:fldCharType="begin"/>
      </w:r>
      <w:r>
        <w:instrText xml:space="preserve"> PAGEREF _Toc33609051 \h </w:instrText>
      </w:r>
      <w:r>
        <w:fldChar w:fldCharType="separate"/>
      </w:r>
      <w:r>
        <w:t>31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Reservations in Crown grants and leases</w:t>
      </w:r>
      <w:r>
        <w:tab/>
      </w:r>
      <w:r>
        <w:fldChar w:fldCharType="begin"/>
      </w:r>
      <w:r>
        <w:instrText xml:space="preserve"> PAGEREF _Toc33609052 \h </w:instrText>
      </w:r>
      <w:r>
        <w:fldChar w:fldCharType="separate"/>
      </w:r>
      <w:r>
        <w:t>31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may search for petroleum</w:t>
      </w:r>
      <w:r>
        <w:t xml:space="preserve"> or geothermal energy resources</w:t>
      </w:r>
      <w:r>
        <w:tab/>
      </w:r>
      <w:r>
        <w:fldChar w:fldCharType="begin"/>
      </w:r>
      <w:r>
        <w:instrText xml:space="preserve"> PAGEREF _Toc33609053 \h </w:instrText>
      </w:r>
      <w:r>
        <w:fldChar w:fldCharType="separate"/>
      </w:r>
      <w:r>
        <w:t>32</w:t>
      </w:r>
      <w:r>
        <w:fldChar w:fldCharType="end"/>
      </w:r>
    </w:p>
    <w:p>
      <w:pPr>
        <w:pStyle w:val="TOC8"/>
        <w:rPr>
          <w:rFonts w:asciiTheme="minorHAnsi" w:eastAsiaTheme="minorEastAsia" w:hAnsiTheme="minorHAnsi" w:cstheme="minorBidi"/>
          <w:szCs w:val="22"/>
        </w:rPr>
      </w:pPr>
      <w:r>
        <w:t>11A.</w:t>
      </w:r>
      <w:r>
        <w:tab/>
        <w:t>Property rights in recovered petroleum and geothermal energy</w:t>
      </w:r>
      <w:r>
        <w:tab/>
      </w:r>
      <w:r>
        <w:fldChar w:fldCharType="begin"/>
      </w:r>
      <w:r>
        <w:instrText xml:space="preserve"> PAGEREF _Toc33609054 \h </w:instrText>
      </w:r>
      <w:r>
        <w:fldChar w:fldCharType="separate"/>
      </w:r>
      <w:r>
        <w:t>32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 may be resumed</w:t>
      </w:r>
      <w:r>
        <w:tab/>
      </w:r>
      <w:r>
        <w:fldChar w:fldCharType="begin"/>
      </w:r>
      <w:r>
        <w:instrText xml:space="preserve"> PAGEREF _Toc33609055 \h </w:instrText>
      </w:r>
      <w:r>
        <w:fldChar w:fldCharType="separate"/>
      </w:r>
      <w:r>
        <w:t>33</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Governor to have right of pre</w:t>
      </w:r>
      <w:r>
        <w:rPr>
          <w:snapToGrid w:val="0"/>
        </w:rPr>
        <w:noBreakHyphen/>
        <w:t>emption of petroleum in emergency</w:t>
      </w:r>
      <w:r>
        <w:tab/>
      </w:r>
      <w:r>
        <w:fldChar w:fldCharType="begin"/>
      </w:r>
      <w:r>
        <w:instrText xml:space="preserve"> PAGEREF _Toc33609056 \h </w:instrText>
      </w:r>
      <w:r>
        <w:fldChar w:fldCharType="separate"/>
      </w:r>
      <w:r>
        <w:t>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Land comprised in permit, drilling reservation, lease or licence may be entered for certain purposes</w:t>
      </w:r>
      <w:r>
        <w:tab/>
      </w:r>
      <w:r>
        <w:fldChar w:fldCharType="begin"/>
      </w:r>
      <w:r>
        <w:instrText xml:space="preserve"> PAGEREF _Toc33609057 \h </w:instrText>
      </w:r>
      <w:r>
        <w:fldChar w:fldCharType="separate"/>
      </w:r>
      <w:r>
        <w:t>35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Authority conferred by permit, drilling reservation, lease or licence</w:t>
      </w:r>
      <w:r>
        <w:tab/>
      </w:r>
      <w:r>
        <w:fldChar w:fldCharType="begin"/>
      </w:r>
      <w:r>
        <w:instrText xml:space="preserve"> PAGEREF _Toc33609058 \h </w:instrText>
      </w:r>
      <w:r>
        <w:fldChar w:fldCharType="separate"/>
      </w:r>
      <w:r>
        <w:t>36</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Consent of Minister required for entry on reserves for purposes of exploration etc.</w:t>
      </w:r>
      <w:r>
        <w:tab/>
      </w:r>
      <w:r>
        <w:fldChar w:fldCharType="begin"/>
      </w:r>
      <w:r>
        <w:instrText xml:space="preserve"> PAGEREF _Toc33609059 \h </w:instrText>
      </w:r>
      <w:r>
        <w:fldChar w:fldCharType="separate"/>
      </w:r>
      <w:r>
        <w:t>36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of owner or trustees required in certain cases for exploration etc.</w:t>
      </w:r>
      <w:r>
        <w:tab/>
      </w:r>
      <w:r>
        <w:fldChar w:fldCharType="begin"/>
      </w:r>
      <w:r>
        <w:instrText xml:space="preserve"> PAGEREF _Toc33609060 \h </w:instrText>
      </w:r>
      <w:r>
        <w:fldChar w:fldCharType="separate"/>
      </w:r>
      <w:r>
        <w:t>37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Compensation to owners and occupiers of private land</w:t>
      </w:r>
      <w:r>
        <w:tab/>
      </w:r>
      <w:r>
        <w:fldChar w:fldCharType="begin"/>
      </w:r>
      <w:r>
        <w:instrText xml:space="preserve"> PAGEREF _Toc33609061 \h </w:instrText>
      </w:r>
      <w:r>
        <w:fldChar w:fldCharType="separate"/>
      </w:r>
      <w:r>
        <w:t>38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Owner of private land in vicinity of permit area, drilling reservation, lease area or licence area may be entitled to compensation</w:t>
      </w:r>
      <w:r>
        <w:tab/>
      </w:r>
      <w:r>
        <w:fldChar w:fldCharType="begin"/>
      </w:r>
      <w:r>
        <w:instrText xml:space="preserve"> PAGEREF _Toc33609062 \h </w:instrText>
      </w:r>
      <w:r>
        <w:fldChar w:fldCharType="separate"/>
      </w:r>
      <w:r>
        <w:t>39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Compensation for further damage</w:t>
      </w:r>
      <w:r>
        <w:tab/>
      </w:r>
      <w:r>
        <w:fldChar w:fldCharType="begin"/>
      </w:r>
      <w:r>
        <w:instrText xml:space="preserve"> PAGEREF _Toc33609063 \h </w:instrText>
      </w:r>
      <w:r>
        <w:fldChar w:fldCharType="separate"/>
      </w:r>
      <w:r>
        <w:t>40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Holder of permit, drilling reservation, lease or licence not to commence operations on private land until compensation tendered or agreed upon</w:t>
      </w:r>
      <w:r>
        <w:tab/>
      </w:r>
      <w:r>
        <w:fldChar w:fldCharType="begin"/>
      </w:r>
      <w:r>
        <w:instrText xml:space="preserve"> PAGEREF _Toc33609064 \h </w:instrText>
      </w:r>
      <w:r>
        <w:fldChar w:fldCharType="separate"/>
      </w:r>
      <w:r>
        <w:t>40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Compensation payable to lessee of pastoral lease, lease for timber purposes or lease for use and benefit of Aboriginal inhabitants for damage to improvements and consequential damage</w:t>
      </w:r>
      <w:r>
        <w:tab/>
      </w:r>
      <w:r>
        <w:fldChar w:fldCharType="begin"/>
      </w:r>
      <w:r>
        <w:instrText xml:space="preserve"> PAGEREF _Toc33609065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Determination of partial compensation</w:t>
      </w:r>
      <w:r>
        <w:tab/>
      </w:r>
      <w:r>
        <w:fldChar w:fldCharType="begin"/>
      </w:r>
      <w:r>
        <w:instrText xml:space="preserve"> PAGEREF _Toc33609066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Security for compensation</w:t>
      </w:r>
      <w:r>
        <w:tab/>
      </w:r>
      <w:r>
        <w:fldChar w:fldCharType="begin"/>
      </w:r>
      <w:r>
        <w:instrText xml:space="preserve"> PAGEREF _Toc33609067 \h </w:instrText>
      </w:r>
      <w:r>
        <w:fldChar w:fldCharType="separate"/>
      </w:r>
      <w:r>
        <w:t>42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Matters for which compensation not payable</w:t>
      </w:r>
      <w:r>
        <w:tab/>
      </w:r>
      <w:r>
        <w:fldChar w:fldCharType="begin"/>
      </w:r>
      <w:r>
        <w:instrText xml:space="preserve"> PAGEREF _Toc33609068 \h </w:instrText>
      </w:r>
      <w:r>
        <w:fldChar w:fldCharType="separate"/>
      </w:r>
      <w:r>
        <w:t>42</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Liability for payment of compensation to native title holders</w:t>
      </w:r>
      <w:r>
        <w:tab/>
      </w:r>
      <w:r>
        <w:fldChar w:fldCharType="begin"/>
      </w:r>
      <w:r>
        <w:instrText xml:space="preserve"> PAGEREF _Toc33609069 \h </w:instrText>
      </w:r>
      <w:r>
        <w:fldChar w:fldCharType="separate"/>
      </w:r>
      <w:r>
        <w:t>43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Delegation</w:t>
      </w:r>
      <w:r>
        <w:tab/>
      </w:r>
      <w:r>
        <w:fldChar w:fldCharType="begin"/>
      </w:r>
      <w:r>
        <w:instrText xml:space="preserve"> PAGEREF _Toc33609070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w:t>
      </w:r>
      <w:r>
        <w:rPr>
          <w:b w:val="0"/>
        </w:rPr>
        <w:t> </w:t>
      </w:r>
      <w:r>
        <w:t>—</w:t>
      </w:r>
      <w:r>
        <w:rPr>
          <w:b w:val="0"/>
        </w:rPr>
        <w:t> </w:t>
      </w:r>
      <w:r>
        <w:t>Mining for petroleum, geothermal energy resources and geothermal energy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26</w:t>
      </w:r>
      <w:r>
        <w:rPr>
          <w:snapToGrid w:val="0"/>
        </w:rPr>
        <w:t>.</w:t>
      </w:r>
      <w:r>
        <w:rPr>
          <w:snapToGrid w:val="0"/>
        </w:rPr>
        <w:tab/>
        <w:t>Term used: State</w:t>
      </w:r>
      <w:r>
        <w:tab/>
      </w:r>
      <w:r>
        <w:fldChar w:fldCharType="begin"/>
      </w:r>
      <w:r>
        <w:instrText xml:space="preserve"> PAGEREF _Toc33609073 \h </w:instrText>
      </w:r>
      <w:r>
        <w:fldChar w:fldCharType="separate"/>
      </w:r>
      <w:r>
        <w:t>45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Graticulation of Earth’s surface and constitution of blocks</w:t>
      </w:r>
      <w:r>
        <w:tab/>
      </w:r>
      <w:r>
        <w:fldChar w:fldCharType="begin"/>
      </w:r>
      <w:r>
        <w:instrText xml:space="preserve"> PAGEREF _Toc33609074 \h </w:instrText>
      </w:r>
      <w:r>
        <w:fldChar w:fldCharType="separate"/>
      </w:r>
      <w:r>
        <w:t>45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Reservation of blocks</w:t>
      </w:r>
      <w:r>
        <w:tab/>
      </w:r>
      <w:r>
        <w:fldChar w:fldCharType="begin"/>
      </w:r>
      <w:r>
        <w:instrText xml:space="preserve"> PAGEREF _Toc33609075 \h </w:instrText>
      </w:r>
      <w:r>
        <w:fldChar w:fldCharType="separate"/>
      </w:r>
      <w:r>
        <w:t>46</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Issue of permits etc. in marine reserves</w:t>
      </w:r>
      <w:r>
        <w:tab/>
      </w:r>
      <w:r>
        <w:fldChar w:fldCharType="begin"/>
      </w:r>
      <w:r>
        <w:instrText xml:space="preserve"> PAGEREF _Toc33609076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Permits and drilling reservations</w:t>
      </w:r>
    </w:p>
    <w:p>
      <w:pPr>
        <w:pStyle w:val="TOC8"/>
        <w:rPr>
          <w:rFonts w:asciiTheme="minorHAnsi" w:eastAsiaTheme="minorEastAsia" w:hAnsiTheme="minorHAnsi" w:cstheme="minorBidi"/>
          <w:szCs w:val="22"/>
        </w:rPr>
      </w:pPr>
      <w:r>
        <w:t>29</w:t>
      </w:r>
      <w:r>
        <w:rPr>
          <w:snapToGrid w:val="0"/>
        </w:rPr>
        <w:t>.</w:t>
      </w:r>
      <w:r>
        <w:rPr>
          <w:snapToGrid w:val="0"/>
        </w:rPr>
        <w:tab/>
        <w:t>Exploration for petroleum and</w:t>
      </w:r>
      <w:r>
        <w:t xml:space="preserve"> geothermal energy resources restricted</w:t>
      </w:r>
      <w:r>
        <w:tab/>
      </w:r>
      <w:r>
        <w:fldChar w:fldCharType="begin"/>
      </w:r>
      <w:r>
        <w:instrText xml:space="preserve"> PAGEREF _Toc33609078 \h </w:instrText>
      </w:r>
      <w:r>
        <w:fldChar w:fldCharType="separate"/>
      </w:r>
      <w:r>
        <w:t>48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Advertisement of blocks</w:t>
      </w:r>
      <w:r>
        <w:tab/>
      </w:r>
      <w:r>
        <w:fldChar w:fldCharType="begin"/>
      </w:r>
      <w:r>
        <w:instrText xml:space="preserve"> PAGEREF _Toc33609079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Application for permit</w:t>
      </w:r>
      <w:r>
        <w:tab/>
      </w:r>
      <w:r>
        <w:fldChar w:fldCharType="begin"/>
      </w:r>
      <w:r>
        <w:instrText xml:space="preserve"> PAGEREF _Toc33609080 \h </w:instrText>
      </w:r>
      <w:r>
        <w:fldChar w:fldCharType="separate"/>
      </w:r>
      <w:r>
        <w:t>49</w:t>
      </w:r>
      <w:r>
        <w:fldChar w:fldCharType="end"/>
      </w:r>
    </w:p>
    <w:p>
      <w:pPr>
        <w:pStyle w:val="TOC8"/>
        <w:rPr>
          <w:rFonts w:asciiTheme="minorHAnsi" w:eastAsiaTheme="minorEastAsia" w:hAnsiTheme="minorHAnsi" w:cstheme="minorBidi"/>
          <w:szCs w:val="22"/>
        </w:rPr>
      </w:pPr>
      <w:r>
        <w:t>32A.</w:t>
      </w:r>
      <w:r>
        <w:tab/>
        <w:t>More than one permit application for same block or blocks</w:t>
      </w:r>
      <w:r>
        <w:tab/>
      </w:r>
      <w:r>
        <w:fldChar w:fldCharType="begin"/>
      </w:r>
      <w:r>
        <w:instrText xml:space="preserve"> PAGEREF _Toc33609081 \h </w:instrText>
      </w:r>
      <w:r>
        <w:fldChar w:fldCharType="separate"/>
      </w:r>
      <w:r>
        <w:t>50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Grant or refusal of permit in relation to application</w:t>
      </w:r>
      <w:r>
        <w:tab/>
      </w:r>
      <w:r>
        <w:fldChar w:fldCharType="begin"/>
      </w:r>
      <w:r>
        <w:instrText xml:space="preserve"> PAGEREF _Toc33609082 \h </w:instrText>
      </w:r>
      <w:r>
        <w:fldChar w:fldCharType="separate"/>
      </w:r>
      <w:r>
        <w:t>51</w:t>
      </w:r>
      <w:r>
        <w:fldChar w:fldCharType="end"/>
      </w:r>
    </w:p>
    <w:p>
      <w:pPr>
        <w:pStyle w:val="TOC8"/>
        <w:rPr>
          <w:rFonts w:asciiTheme="minorHAnsi" w:eastAsiaTheme="minorEastAsia" w:hAnsiTheme="minorHAnsi" w:cstheme="minorBidi"/>
          <w:szCs w:val="22"/>
        </w:rPr>
      </w:pPr>
      <w:r>
        <w:t>33A.</w:t>
      </w:r>
      <w:r>
        <w:tab/>
        <w:t>Withdrawal of application</w:t>
      </w:r>
      <w:r>
        <w:tab/>
      </w:r>
      <w:r>
        <w:fldChar w:fldCharType="begin"/>
      </w:r>
      <w:r>
        <w:instrText xml:space="preserve"> PAGEREF _Toc33609083 \h </w:instrText>
      </w:r>
      <w:r>
        <w:fldChar w:fldCharType="separate"/>
      </w:r>
      <w:r>
        <w:t>52</w:t>
      </w:r>
      <w:r>
        <w:fldChar w:fldCharType="end"/>
      </w:r>
    </w:p>
    <w:p>
      <w:pPr>
        <w:pStyle w:val="TOC8"/>
        <w:rPr>
          <w:rFonts w:asciiTheme="minorHAnsi" w:eastAsiaTheme="minorEastAsia" w:hAnsiTheme="minorHAnsi" w:cstheme="minorBidi"/>
          <w:szCs w:val="22"/>
        </w:rPr>
      </w:pPr>
      <w:r>
        <w:t>33B.</w:t>
      </w:r>
      <w:r>
        <w:tab/>
        <w:t>Application continued after withdrawal of joint applicant</w:t>
      </w:r>
      <w:r>
        <w:tab/>
      </w:r>
      <w:r>
        <w:fldChar w:fldCharType="begin"/>
      </w:r>
      <w:r>
        <w:instrText xml:space="preserve"> PAGEREF _Toc33609084 \h </w:instrText>
      </w:r>
      <w:r>
        <w:fldChar w:fldCharType="separate"/>
      </w:r>
      <w:r>
        <w:t>52</w:t>
      </w:r>
      <w:r>
        <w:fldChar w:fldCharType="end"/>
      </w:r>
    </w:p>
    <w:p>
      <w:pPr>
        <w:pStyle w:val="TOC8"/>
        <w:rPr>
          <w:rFonts w:asciiTheme="minorHAnsi" w:eastAsiaTheme="minorEastAsia" w:hAnsiTheme="minorHAnsi" w:cstheme="minorBidi"/>
          <w:szCs w:val="22"/>
        </w:rPr>
      </w:pPr>
      <w:r>
        <w:t>33C.</w:t>
      </w:r>
      <w:r>
        <w:tab/>
        <w:t>Effect of withdrawal or lapse of s. 30 application</w:t>
      </w:r>
      <w:r>
        <w:tab/>
      </w:r>
      <w:r>
        <w:fldChar w:fldCharType="begin"/>
      </w:r>
      <w:r>
        <w:instrText xml:space="preserve"> PAGEREF _Toc33609085 \h </w:instrText>
      </w:r>
      <w:r>
        <w:fldChar w:fldCharType="separate"/>
      </w:r>
      <w:r>
        <w:t>53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Application for permit in respect of surrendered etc. blocks</w:t>
      </w:r>
      <w:r>
        <w:tab/>
      </w:r>
      <w:r>
        <w:fldChar w:fldCharType="begin"/>
      </w:r>
      <w:r>
        <w:instrText xml:space="preserve"> PAGEREF _Toc33609086 \h </w:instrText>
      </w:r>
      <w:r>
        <w:fldChar w:fldCharType="separate"/>
      </w:r>
      <w:r>
        <w:t>54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Application fee etc.</w:t>
      </w:r>
      <w:r>
        <w:tab/>
      </w:r>
      <w:r>
        <w:fldChar w:fldCharType="begin"/>
      </w:r>
      <w:r>
        <w:instrText xml:space="preserve"> PAGEREF _Toc33609087 \h </w:instrText>
      </w:r>
      <w:r>
        <w:fldChar w:fldCharType="separate"/>
      </w:r>
      <w:r>
        <w:t>56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Consideration of application</w:t>
      </w:r>
      <w:r>
        <w:tab/>
      </w:r>
      <w:r>
        <w:fldChar w:fldCharType="begin"/>
      </w:r>
      <w:r>
        <w:instrText xml:space="preserve"> PAGEREF _Toc33609088 \h </w:instrText>
      </w:r>
      <w:r>
        <w:fldChar w:fldCharType="separate"/>
      </w:r>
      <w:r>
        <w:t>56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Request by applicant for grant of permit in respect of advertised block</w:t>
      </w:r>
      <w:r>
        <w:tab/>
      </w:r>
      <w:r>
        <w:fldChar w:fldCharType="begin"/>
      </w:r>
      <w:r>
        <w:instrText xml:space="preserve"> PAGEREF _Toc33609089 \h </w:instrText>
      </w:r>
      <w:r>
        <w:fldChar w:fldCharType="separate"/>
      </w:r>
      <w:r>
        <w:t>57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Grant of permit on request</w:t>
      </w:r>
      <w:r>
        <w:tab/>
      </w:r>
      <w:r>
        <w:fldChar w:fldCharType="begin"/>
      </w:r>
      <w:r>
        <w:instrText xml:space="preserve"> PAGEREF _Toc33609090 \h </w:instrText>
      </w:r>
      <w:r>
        <w:fldChar w:fldCharType="separate"/>
      </w:r>
      <w:r>
        <w:t>58</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Permit for 2 or more blocks may be divided into 2 or more permits</w:t>
      </w:r>
      <w:r>
        <w:tab/>
      </w:r>
      <w:r>
        <w:fldChar w:fldCharType="begin"/>
      </w:r>
      <w:r>
        <w:instrText xml:space="preserve"> PAGEREF _Toc33609091 \h </w:instrText>
      </w:r>
      <w:r>
        <w:fldChar w:fldCharType="separate"/>
      </w:r>
      <w:r>
        <w:t>59</w:t>
      </w:r>
      <w:r>
        <w:fldChar w:fldCharType="end"/>
      </w:r>
    </w:p>
    <w:p>
      <w:pPr>
        <w:pStyle w:val="TOC8"/>
        <w:rPr>
          <w:rFonts w:asciiTheme="minorHAnsi" w:eastAsiaTheme="minorEastAsia" w:hAnsiTheme="minorHAnsi" w:cstheme="minorBidi"/>
          <w:szCs w:val="22"/>
        </w:rPr>
      </w:pPr>
      <w:r>
        <w:t>37B.</w:t>
      </w:r>
      <w:r>
        <w:tab/>
        <w:t>Grant of boundary-change permit</w:t>
      </w:r>
      <w:r>
        <w:tab/>
      </w:r>
      <w:r>
        <w:fldChar w:fldCharType="begin"/>
      </w:r>
      <w:r>
        <w:instrText xml:space="preserve"> PAGEREF _Toc33609092 \h </w:instrText>
      </w:r>
      <w:r>
        <w:fldChar w:fldCharType="separate"/>
      </w:r>
      <w:r>
        <w:t>60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Rights conferred by permit</w:t>
      </w:r>
      <w:r>
        <w:tab/>
      </w:r>
      <w:r>
        <w:fldChar w:fldCharType="begin"/>
      </w:r>
      <w:r>
        <w:instrText xml:space="preserve"> PAGEREF _Toc33609093 \h </w:instrText>
      </w:r>
      <w:r>
        <w:fldChar w:fldCharType="separate"/>
      </w:r>
      <w:r>
        <w:t>65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Term of permit</w:t>
      </w:r>
      <w:r>
        <w:tab/>
      </w:r>
      <w:r>
        <w:fldChar w:fldCharType="begin"/>
      </w:r>
      <w:r>
        <w:instrText xml:space="preserve"> PAGEREF _Toc33609094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Application for renewal of permit</w:t>
      </w:r>
      <w:r>
        <w:tab/>
      </w:r>
      <w:r>
        <w:fldChar w:fldCharType="begin"/>
      </w:r>
      <w:r>
        <w:instrText xml:space="preserve"> PAGEREF _Toc33609095 \h </w:instrText>
      </w:r>
      <w:r>
        <w:fldChar w:fldCharType="separate"/>
      </w:r>
      <w:r>
        <w:t>67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Application for renewal of permit to be in respect of reduced area</w:t>
      </w:r>
      <w:r>
        <w:tab/>
      </w:r>
      <w:r>
        <w:fldChar w:fldCharType="begin"/>
      </w:r>
      <w:r>
        <w:instrText xml:space="preserve"> PAGEREF _Toc33609096 \h </w:instrText>
      </w:r>
      <w:r>
        <w:fldChar w:fldCharType="separate"/>
      </w:r>
      <w:r>
        <w:t>67</w:t>
      </w:r>
      <w:r>
        <w:fldChar w:fldCharType="end"/>
      </w:r>
    </w:p>
    <w:p>
      <w:pPr>
        <w:pStyle w:val="TOC8"/>
        <w:rPr>
          <w:rFonts w:asciiTheme="minorHAnsi" w:eastAsiaTheme="minorEastAsia" w:hAnsiTheme="minorHAnsi" w:cstheme="minorBidi"/>
          <w:szCs w:val="22"/>
        </w:rPr>
      </w:pPr>
      <w:r>
        <w:t>42A.</w:t>
      </w:r>
      <w:r>
        <w:tab/>
        <w:t>Certain permits cannot be renewed more than twice</w:t>
      </w:r>
      <w:r>
        <w:tab/>
      </w:r>
      <w:r>
        <w:fldChar w:fldCharType="begin"/>
      </w:r>
      <w:r>
        <w:instrText xml:space="preserve"> PAGEREF _Toc33609097 \h </w:instrText>
      </w:r>
      <w:r>
        <w:fldChar w:fldCharType="separate"/>
      </w:r>
      <w:r>
        <w:t>69</w:t>
      </w:r>
      <w:r>
        <w:fldChar w:fldCharType="end"/>
      </w:r>
    </w:p>
    <w:p>
      <w:pPr>
        <w:pStyle w:val="TOC8"/>
        <w:rPr>
          <w:rFonts w:asciiTheme="minorHAnsi" w:eastAsiaTheme="minorEastAsia" w:hAnsiTheme="minorHAnsi" w:cstheme="minorBidi"/>
          <w:szCs w:val="22"/>
        </w:rPr>
      </w:pPr>
      <w:r>
        <w:t>42B.</w:t>
      </w:r>
      <w:r>
        <w:tab/>
        <w:t>Limits on renewal of boundary-change permits</w:t>
      </w:r>
      <w:r>
        <w:tab/>
      </w:r>
      <w:r>
        <w:fldChar w:fldCharType="begin"/>
      </w:r>
      <w:r>
        <w:instrText xml:space="preserve"> PAGEREF _Toc33609098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Grant or refusal of renewal of permit</w:t>
      </w:r>
      <w:r>
        <w:tab/>
      </w:r>
      <w:r>
        <w:fldChar w:fldCharType="begin"/>
      </w:r>
      <w:r>
        <w:instrText xml:space="preserve"> PAGEREF _Toc33609099 \h </w:instrText>
      </w:r>
      <w:r>
        <w:fldChar w:fldCharType="separate"/>
      </w:r>
      <w:r>
        <w:t>71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Conditions of permit</w:t>
      </w:r>
      <w:r>
        <w:tab/>
      </w:r>
      <w:r>
        <w:fldChar w:fldCharType="begin"/>
      </w:r>
      <w:r>
        <w:instrText xml:space="preserve"> PAGEREF _Toc33609100 \h </w:instrText>
      </w:r>
      <w:r>
        <w:fldChar w:fldCharType="separate"/>
      </w:r>
      <w:r>
        <w:t>73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Advertisement of blocks for drilling reservations</w:t>
      </w:r>
      <w:r>
        <w:tab/>
      </w:r>
      <w:r>
        <w:fldChar w:fldCharType="begin"/>
      </w:r>
      <w:r>
        <w:instrText xml:space="preserve"> PAGEREF _Toc33609101 \h </w:instrText>
      </w:r>
      <w:r>
        <w:fldChar w:fldCharType="separate"/>
      </w:r>
      <w:r>
        <w:t>75</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Application for drilling reservation</w:t>
      </w:r>
      <w:r>
        <w:tab/>
      </w:r>
      <w:r>
        <w:fldChar w:fldCharType="begin"/>
      </w:r>
      <w:r>
        <w:instrText xml:space="preserve"> PAGEREF _Toc33609102 \h </w:instrText>
      </w:r>
      <w:r>
        <w:fldChar w:fldCharType="separate"/>
      </w:r>
      <w:r>
        <w:t>76</w:t>
      </w:r>
      <w:r>
        <w:fldChar w:fldCharType="end"/>
      </w:r>
    </w:p>
    <w:p>
      <w:pPr>
        <w:pStyle w:val="TOC8"/>
        <w:rPr>
          <w:rFonts w:asciiTheme="minorHAnsi" w:eastAsiaTheme="minorEastAsia" w:hAnsiTheme="minorHAnsi" w:cstheme="minorBidi"/>
          <w:szCs w:val="22"/>
        </w:rPr>
      </w:pPr>
      <w:r>
        <w:t>43CA.</w:t>
      </w:r>
      <w:r>
        <w:tab/>
        <w:t>More than one drilling reservation application for same block or blocks</w:t>
      </w:r>
      <w:r>
        <w:tab/>
      </w:r>
      <w:r>
        <w:fldChar w:fldCharType="begin"/>
      </w:r>
      <w:r>
        <w:instrText xml:space="preserve"> PAGEREF _Toc33609103 \h </w:instrText>
      </w:r>
      <w:r>
        <w:fldChar w:fldCharType="separate"/>
      </w:r>
      <w:r>
        <w:t>77</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Grant or refusal in relation to applications for drilling reservations</w:t>
      </w:r>
      <w:r>
        <w:tab/>
      </w:r>
      <w:r>
        <w:fldChar w:fldCharType="begin"/>
      </w:r>
      <w:r>
        <w:instrText xml:space="preserve"> PAGEREF _Toc33609104 \h </w:instrText>
      </w:r>
      <w:r>
        <w:fldChar w:fldCharType="separate"/>
      </w:r>
      <w:r>
        <w:t>78</w:t>
      </w:r>
      <w:r>
        <w:fldChar w:fldCharType="end"/>
      </w:r>
    </w:p>
    <w:p>
      <w:pPr>
        <w:pStyle w:val="TOC8"/>
        <w:rPr>
          <w:rFonts w:asciiTheme="minorHAnsi" w:eastAsiaTheme="minorEastAsia" w:hAnsiTheme="minorHAnsi" w:cstheme="minorBidi"/>
          <w:szCs w:val="22"/>
        </w:rPr>
      </w:pPr>
      <w:r>
        <w:t>43DA.</w:t>
      </w:r>
      <w:r>
        <w:tab/>
        <w:t>Withdrawal of application</w:t>
      </w:r>
      <w:r>
        <w:tab/>
      </w:r>
      <w:r>
        <w:fldChar w:fldCharType="begin"/>
      </w:r>
      <w:r>
        <w:instrText xml:space="preserve"> PAGEREF _Toc33609105 \h </w:instrText>
      </w:r>
      <w:r>
        <w:fldChar w:fldCharType="separate"/>
      </w:r>
      <w:r>
        <w:t>80</w:t>
      </w:r>
      <w:r>
        <w:fldChar w:fldCharType="end"/>
      </w:r>
    </w:p>
    <w:p>
      <w:pPr>
        <w:pStyle w:val="TOC8"/>
        <w:rPr>
          <w:rFonts w:asciiTheme="minorHAnsi" w:eastAsiaTheme="minorEastAsia" w:hAnsiTheme="minorHAnsi" w:cstheme="minorBidi"/>
          <w:szCs w:val="22"/>
        </w:rPr>
      </w:pPr>
      <w:r>
        <w:t>43DB.</w:t>
      </w:r>
      <w:r>
        <w:tab/>
        <w:t>Application continued after withdrawal of joint applicant</w:t>
      </w:r>
      <w:r>
        <w:tab/>
      </w:r>
      <w:r>
        <w:fldChar w:fldCharType="begin"/>
      </w:r>
      <w:r>
        <w:instrText xml:space="preserve"> PAGEREF _Toc33609106 \h </w:instrText>
      </w:r>
      <w:r>
        <w:fldChar w:fldCharType="separate"/>
      </w:r>
      <w:r>
        <w:t>80</w:t>
      </w:r>
      <w:r>
        <w:fldChar w:fldCharType="end"/>
      </w:r>
    </w:p>
    <w:p>
      <w:pPr>
        <w:pStyle w:val="TOC8"/>
        <w:rPr>
          <w:rFonts w:asciiTheme="minorHAnsi" w:eastAsiaTheme="minorEastAsia" w:hAnsiTheme="minorHAnsi" w:cstheme="minorBidi"/>
          <w:szCs w:val="22"/>
        </w:rPr>
      </w:pPr>
      <w:r>
        <w:t>43DC.</w:t>
      </w:r>
      <w:r>
        <w:tab/>
        <w:t>Effect of withdrawal or lapse of s. 43A application</w:t>
      </w:r>
      <w:r>
        <w:tab/>
      </w:r>
      <w:r>
        <w:fldChar w:fldCharType="begin"/>
      </w:r>
      <w:r>
        <w:instrText xml:space="preserve"> PAGEREF _Toc33609107 \h </w:instrText>
      </w:r>
      <w:r>
        <w:fldChar w:fldCharType="separate"/>
      </w:r>
      <w:r>
        <w:t>81</w:t>
      </w:r>
      <w:r>
        <w:fldChar w:fldCharType="end"/>
      </w:r>
    </w:p>
    <w:p>
      <w:pPr>
        <w:pStyle w:val="TOC8"/>
        <w:rPr>
          <w:rFonts w:asciiTheme="minorHAnsi" w:eastAsiaTheme="minorEastAsia" w:hAnsiTheme="minorHAnsi" w:cstheme="minorBidi"/>
          <w:szCs w:val="22"/>
        </w:rPr>
      </w:pPr>
      <w:r>
        <w:t>43D</w:t>
      </w:r>
      <w:r>
        <w:rPr>
          <w:snapToGrid w:val="0"/>
        </w:rPr>
        <w:t>.</w:t>
      </w:r>
      <w:r>
        <w:rPr>
          <w:snapToGrid w:val="0"/>
        </w:rPr>
        <w:tab/>
        <w:t>Rights conferred by drilling reservation</w:t>
      </w:r>
      <w:r>
        <w:tab/>
      </w:r>
      <w:r>
        <w:fldChar w:fldCharType="begin"/>
      </w:r>
      <w:r>
        <w:instrText xml:space="preserve"> PAGEREF _Toc33609108 \h </w:instrText>
      </w:r>
      <w:r>
        <w:fldChar w:fldCharType="separate"/>
      </w:r>
      <w:r>
        <w:t>81</w:t>
      </w:r>
      <w:r>
        <w:fldChar w:fldCharType="end"/>
      </w:r>
    </w:p>
    <w:p>
      <w:pPr>
        <w:pStyle w:val="TOC8"/>
        <w:rPr>
          <w:rFonts w:asciiTheme="minorHAnsi" w:eastAsiaTheme="minorEastAsia" w:hAnsiTheme="minorHAnsi" w:cstheme="minorBidi"/>
          <w:szCs w:val="22"/>
        </w:rPr>
      </w:pPr>
      <w:r>
        <w:t>43E</w:t>
      </w:r>
      <w:r>
        <w:rPr>
          <w:snapToGrid w:val="0"/>
        </w:rPr>
        <w:t>.</w:t>
      </w:r>
      <w:r>
        <w:rPr>
          <w:snapToGrid w:val="0"/>
        </w:rPr>
        <w:tab/>
        <w:t>Term of drilling reservation</w:t>
      </w:r>
      <w:r>
        <w:tab/>
      </w:r>
      <w:r>
        <w:fldChar w:fldCharType="begin"/>
      </w:r>
      <w:r>
        <w:instrText xml:space="preserve"> PAGEREF _Toc33609109 \h </w:instrText>
      </w:r>
      <w:r>
        <w:fldChar w:fldCharType="separate"/>
      </w:r>
      <w:r>
        <w:t>82</w:t>
      </w:r>
      <w:r>
        <w:fldChar w:fldCharType="end"/>
      </w:r>
    </w:p>
    <w:p>
      <w:pPr>
        <w:pStyle w:val="TOC8"/>
        <w:rPr>
          <w:rFonts w:asciiTheme="minorHAnsi" w:eastAsiaTheme="minorEastAsia" w:hAnsiTheme="minorHAnsi" w:cstheme="minorBidi"/>
          <w:szCs w:val="22"/>
        </w:rPr>
      </w:pPr>
      <w:r>
        <w:t>43F</w:t>
      </w:r>
      <w:r>
        <w:rPr>
          <w:snapToGrid w:val="0"/>
        </w:rPr>
        <w:t>.</w:t>
      </w:r>
      <w:r>
        <w:rPr>
          <w:snapToGrid w:val="0"/>
        </w:rPr>
        <w:tab/>
        <w:t>Extension of term of drilling reservation</w:t>
      </w:r>
      <w:r>
        <w:tab/>
      </w:r>
      <w:r>
        <w:fldChar w:fldCharType="begin"/>
      </w:r>
      <w:r>
        <w:instrText xml:space="preserve"> PAGEREF _Toc33609110 \h </w:instrText>
      </w:r>
      <w:r>
        <w:fldChar w:fldCharType="separate"/>
      </w:r>
      <w:r>
        <w:t>82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Discovery of petroleum or</w:t>
      </w:r>
      <w:r>
        <w:t xml:space="preserve"> geothermal energy resources</w:t>
      </w:r>
      <w:r>
        <w:rPr>
          <w:snapToGrid w:val="0"/>
        </w:rPr>
        <w:t xml:space="preserve"> to be notified etc.</w:t>
      </w:r>
      <w:r>
        <w:tab/>
      </w:r>
      <w:r>
        <w:fldChar w:fldCharType="begin"/>
      </w:r>
      <w:r>
        <w:instrText xml:space="preserve"> PAGEREF _Toc33609111 \h </w:instrText>
      </w:r>
      <w:r>
        <w:fldChar w:fldCharType="separate"/>
      </w:r>
      <w:r>
        <w:t>84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Nomination of blocks as location</w:t>
      </w:r>
      <w:r>
        <w:tab/>
      </w:r>
      <w:r>
        <w:fldChar w:fldCharType="begin"/>
      </w:r>
      <w:r>
        <w:instrText xml:space="preserve"> PAGEREF _Toc33609112 \h </w:instrText>
      </w:r>
      <w:r>
        <w:fldChar w:fldCharType="separate"/>
      </w:r>
      <w:r>
        <w:t>85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Declaration of location</w:t>
      </w:r>
      <w:r>
        <w:tab/>
      </w:r>
      <w:r>
        <w:fldChar w:fldCharType="begin"/>
      </w:r>
      <w:r>
        <w:instrText xml:space="preserve"> PAGEREF _Toc33609113 \h </w:instrText>
      </w:r>
      <w:r>
        <w:fldChar w:fldCharType="separate"/>
      </w:r>
      <w:r>
        <w:t>87</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Immediately adjoining blocks</w:t>
      </w:r>
      <w:r>
        <w:tab/>
      </w:r>
      <w:r>
        <w:fldChar w:fldCharType="begin"/>
      </w:r>
      <w:r>
        <w:instrText xml:space="preserve"> PAGEREF _Toc33609114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Retention leases</w:t>
      </w:r>
    </w:p>
    <w:p>
      <w:pPr>
        <w:pStyle w:val="TOC8"/>
        <w:rPr>
          <w:rFonts w:asciiTheme="minorHAnsi" w:eastAsiaTheme="minorEastAsia" w:hAnsiTheme="minorHAnsi" w:cstheme="minorBidi"/>
          <w:szCs w:val="22"/>
        </w:rPr>
      </w:pPr>
      <w:r>
        <w:t>48A</w:t>
      </w:r>
      <w:r>
        <w:rPr>
          <w:snapToGrid w:val="0"/>
        </w:rPr>
        <w:t>.</w:t>
      </w:r>
      <w:r>
        <w:rPr>
          <w:snapToGrid w:val="0"/>
        </w:rPr>
        <w:tab/>
        <w:t>Application by permittee or holder of drilling reservation for lease</w:t>
      </w:r>
      <w:r>
        <w:tab/>
      </w:r>
      <w:r>
        <w:fldChar w:fldCharType="begin"/>
      </w:r>
      <w:r>
        <w:instrText xml:space="preserve"> PAGEREF _Toc33609116 \h </w:instrText>
      </w:r>
      <w:r>
        <w:fldChar w:fldCharType="separate"/>
      </w:r>
      <w:r>
        <w:t>91</w:t>
      </w:r>
      <w:r>
        <w:fldChar w:fldCharType="end"/>
      </w:r>
    </w:p>
    <w:p>
      <w:pPr>
        <w:pStyle w:val="TOC8"/>
        <w:rPr>
          <w:rFonts w:asciiTheme="minorHAnsi" w:eastAsiaTheme="minorEastAsia" w:hAnsiTheme="minorHAnsi" w:cstheme="minorBidi"/>
          <w:szCs w:val="22"/>
        </w:rPr>
      </w:pPr>
      <w:r>
        <w:t>48B</w:t>
      </w:r>
      <w:r>
        <w:rPr>
          <w:snapToGrid w:val="0"/>
        </w:rPr>
        <w:t>.</w:t>
      </w:r>
      <w:r>
        <w:rPr>
          <w:snapToGrid w:val="0"/>
        </w:rPr>
        <w:tab/>
        <w:t>Grant or refusal of lease in relation to application</w:t>
      </w:r>
      <w:r>
        <w:tab/>
      </w:r>
      <w:r>
        <w:fldChar w:fldCharType="begin"/>
      </w:r>
      <w:r>
        <w:instrText xml:space="preserve"> PAGEREF _Toc33609117 \h </w:instrText>
      </w:r>
      <w:r>
        <w:fldChar w:fldCharType="separate"/>
      </w:r>
      <w:r>
        <w:t>92</w:t>
      </w:r>
      <w:r>
        <w:fldChar w:fldCharType="end"/>
      </w:r>
    </w:p>
    <w:p>
      <w:pPr>
        <w:pStyle w:val="TOC8"/>
        <w:rPr>
          <w:rFonts w:asciiTheme="minorHAnsi" w:eastAsiaTheme="minorEastAsia" w:hAnsiTheme="minorHAnsi" w:cstheme="minorBidi"/>
          <w:szCs w:val="22"/>
        </w:rPr>
      </w:pPr>
      <w:r>
        <w:t>48BA</w:t>
      </w:r>
      <w:r>
        <w:rPr>
          <w:snapToGrid w:val="0"/>
        </w:rPr>
        <w:t>.</w:t>
      </w:r>
      <w:r>
        <w:rPr>
          <w:snapToGrid w:val="0"/>
        </w:rPr>
        <w:tab/>
        <w:t>Application of s. 48A and 48B where permit is transferred</w:t>
      </w:r>
      <w:r>
        <w:tab/>
      </w:r>
      <w:r>
        <w:fldChar w:fldCharType="begin"/>
      </w:r>
      <w:r>
        <w:instrText xml:space="preserve"> PAGEREF _Toc33609118 \h </w:instrText>
      </w:r>
      <w:r>
        <w:fldChar w:fldCharType="separate"/>
      </w:r>
      <w:r>
        <w:t>95</w:t>
      </w:r>
      <w:r>
        <w:fldChar w:fldCharType="end"/>
      </w:r>
    </w:p>
    <w:p>
      <w:pPr>
        <w:pStyle w:val="TOC8"/>
        <w:rPr>
          <w:rFonts w:asciiTheme="minorHAnsi" w:eastAsiaTheme="minorEastAsia" w:hAnsiTheme="minorHAnsi" w:cstheme="minorBidi"/>
          <w:szCs w:val="22"/>
        </w:rPr>
      </w:pPr>
      <w:r>
        <w:t>48CA.</w:t>
      </w:r>
      <w:r>
        <w:tab/>
        <w:t>Application by licensee for lease</w:t>
      </w:r>
      <w:r>
        <w:tab/>
      </w:r>
      <w:r>
        <w:fldChar w:fldCharType="begin"/>
      </w:r>
      <w:r>
        <w:instrText xml:space="preserve"> PAGEREF _Toc33609119 \h </w:instrText>
      </w:r>
      <w:r>
        <w:fldChar w:fldCharType="separate"/>
      </w:r>
      <w:r>
        <w:t>96</w:t>
      </w:r>
      <w:r>
        <w:fldChar w:fldCharType="end"/>
      </w:r>
    </w:p>
    <w:p>
      <w:pPr>
        <w:pStyle w:val="TOC8"/>
        <w:rPr>
          <w:rFonts w:asciiTheme="minorHAnsi" w:eastAsiaTheme="minorEastAsia" w:hAnsiTheme="minorHAnsi" w:cstheme="minorBidi"/>
          <w:szCs w:val="22"/>
        </w:rPr>
      </w:pPr>
      <w:r>
        <w:t>48CB.</w:t>
      </w:r>
      <w:r>
        <w:tab/>
        <w:t>Grant or refusal of lease in relation to application by licensee</w:t>
      </w:r>
      <w:r>
        <w:tab/>
      </w:r>
      <w:r>
        <w:fldChar w:fldCharType="begin"/>
      </w:r>
      <w:r>
        <w:instrText xml:space="preserve"> PAGEREF _Toc33609120 \h </w:instrText>
      </w:r>
      <w:r>
        <w:fldChar w:fldCharType="separate"/>
      </w:r>
      <w:r>
        <w:t>98</w:t>
      </w:r>
      <w:r>
        <w:fldChar w:fldCharType="end"/>
      </w:r>
    </w:p>
    <w:p>
      <w:pPr>
        <w:pStyle w:val="TOC8"/>
        <w:rPr>
          <w:rFonts w:asciiTheme="minorHAnsi" w:eastAsiaTheme="minorEastAsia" w:hAnsiTheme="minorHAnsi" w:cstheme="minorBidi"/>
          <w:szCs w:val="22"/>
        </w:rPr>
      </w:pPr>
      <w:r>
        <w:t>48CC.</w:t>
      </w:r>
      <w:r>
        <w:tab/>
        <w:t>Application of s. 48CA and 48CB if licence is transferred</w:t>
      </w:r>
      <w:r>
        <w:tab/>
      </w:r>
      <w:r>
        <w:fldChar w:fldCharType="begin"/>
      </w:r>
      <w:r>
        <w:instrText xml:space="preserve"> PAGEREF _Toc33609121 \h </w:instrText>
      </w:r>
      <w:r>
        <w:fldChar w:fldCharType="separate"/>
      </w:r>
      <w:r>
        <w:t>100</w:t>
      </w:r>
      <w:r>
        <w:fldChar w:fldCharType="end"/>
      </w:r>
    </w:p>
    <w:p>
      <w:pPr>
        <w:pStyle w:val="TOC8"/>
        <w:rPr>
          <w:rFonts w:asciiTheme="minorHAnsi" w:eastAsiaTheme="minorEastAsia" w:hAnsiTheme="minorHAnsi" w:cstheme="minorBidi"/>
          <w:szCs w:val="22"/>
        </w:rPr>
      </w:pPr>
      <w:r>
        <w:t>48CD.</w:t>
      </w:r>
      <w:r>
        <w:tab/>
        <w:t>Grant of petroleum retention lease as result of change to boundary of offshore area</w:t>
      </w:r>
      <w:r>
        <w:tab/>
      </w:r>
      <w:r>
        <w:fldChar w:fldCharType="begin"/>
      </w:r>
      <w:r>
        <w:instrText xml:space="preserve"> PAGEREF _Toc33609122 \h </w:instrText>
      </w:r>
      <w:r>
        <w:fldChar w:fldCharType="separate"/>
      </w:r>
      <w:r>
        <w:t>100</w:t>
      </w:r>
      <w:r>
        <w:fldChar w:fldCharType="end"/>
      </w:r>
    </w:p>
    <w:p>
      <w:pPr>
        <w:pStyle w:val="TOC8"/>
        <w:rPr>
          <w:rFonts w:asciiTheme="minorHAnsi" w:eastAsiaTheme="minorEastAsia" w:hAnsiTheme="minorHAnsi" w:cstheme="minorBidi"/>
          <w:szCs w:val="22"/>
        </w:rPr>
      </w:pPr>
      <w:r>
        <w:t>48C</w:t>
      </w:r>
      <w:r>
        <w:rPr>
          <w:snapToGrid w:val="0"/>
        </w:rPr>
        <w:t>.</w:t>
      </w:r>
      <w:r>
        <w:rPr>
          <w:snapToGrid w:val="0"/>
        </w:rPr>
        <w:tab/>
        <w:t>Rights conferred by lease</w:t>
      </w:r>
      <w:r>
        <w:tab/>
      </w:r>
      <w:r>
        <w:fldChar w:fldCharType="begin"/>
      </w:r>
      <w:r>
        <w:instrText xml:space="preserve"> PAGEREF _Toc33609123 \h </w:instrText>
      </w:r>
      <w:r>
        <w:fldChar w:fldCharType="separate"/>
      </w:r>
      <w:r>
        <w:t>103</w:t>
      </w:r>
      <w:r>
        <w:fldChar w:fldCharType="end"/>
      </w:r>
    </w:p>
    <w:p>
      <w:pPr>
        <w:pStyle w:val="TOC8"/>
        <w:rPr>
          <w:rFonts w:asciiTheme="minorHAnsi" w:eastAsiaTheme="minorEastAsia" w:hAnsiTheme="minorHAnsi" w:cstheme="minorBidi"/>
          <w:szCs w:val="22"/>
        </w:rPr>
      </w:pPr>
      <w:r>
        <w:t>48D</w:t>
      </w:r>
      <w:r>
        <w:rPr>
          <w:snapToGrid w:val="0"/>
        </w:rPr>
        <w:t>.</w:t>
      </w:r>
      <w:r>
        <w:rPr>
          <w:snapToGrid w:val="0"/>
        </w:rPr>
        <w:tab/>
        <w:t>Term of lease</w:t>
      </w:r>
      <w:r>
        <w:tab/>
      </w:r>
      <w:r>
        <w:fldChar w:fldCharType="begin"/>
      </w:r>
      <w:r>
        <w:instrText xml:space="preserve"> PAGEREF _Toc33609124 \h </w:instrText>
      </w:r>
      <w:r>
        <w:fldChar w:fldCharType="separate"/>
      </w:r>
      <w:r>
        <w:t>103</w:t>
      </w:r>
      <w:r>
        <w:fldChar w:fldCharType="end"/>
      </w:r>
    </w:p>
    <w:p>
      <w:pPr>
        <w:pStyle w:val="TOC8"/>
        <w:rPr>
          <w:rFonts w:asciiTheme="minorHAnsi" w:eastAsiaTheme="minorEastAsia" w:hAnsiTheme="minorHAnsi" w:cstheme="minorBidi"/>
          <w:szCs w:val="22"/>
        </w:rPr>
      </w:pPr>
      <w:r>
        <w:t>48E</w:t>
      </w:r>
      <w:r>
        <w:rPr>
          <w:snapToGrid w:val="0"/>
        </w:rPr>
        <w:t>.</w:t>
      </w:r>
      <w:r>
        <w:rPr>
          <w:snapToGrid w:val="0"/>
        </w:rPr>
        <w:tab/>
        <w:t>Notice of intention to cancel lease</w:t>
      </w:r>
      <w:r>
        <w:tab/>
      </w:r>
      <w:r>
        <w:fldChar w:fldCharType="begin"/>
      </w:r>
      <w:r>
        <w:instrText xml:space="preserve"> PAGEREF _Toc33609125 \h </w:instrText>
      </w:r>
      <w:r>
        <w:fldChar w:fldCharType="separate"/>
      </w:r>
      <w:r>
        <w:t>104</w:t>
      </w:r>
      <w:r>
        <w:fldChar w:fldCharType="end"/>
      </w:r>
    </w:p>
    <w:p>
      <w:pPr>
        <w:pStyle w:val="TOC8"/>
        <w:rPr>
          <w:rFonts w:asciiTheme="minorHAnsi" w:eastAsiaTheme="minorEastAsia" w:hAnsiTheme="minorHAnsi" w:cstheme="minorBidi"/>
          <w:szCs w:val="22"/>
        </w:rPr>
      </w:pPr>
      <w:r>
        <w:t>48F</w:t>
      </w:r>
      <w:r>
        <w:rPr>
          <w:snapToGrid w:val="0"/>
        </w:rPr>
        <w:t>.</w:t>
      </w:r>
      <w:r>
        <w:rPr>
          <w:snapToGrid w:val="0"/>
        </w:rPr>
        <w:tab/>
        <w:t>Application for renewal of lease</w:t>
      </w:r>
      <w:r>
        <w:tab/>
      </w:r>
      <w:r>
        <w:fldChar w:fldCharType="begin"/>
      </w:r>
      <w:r>
        <w:instrText xml:space="preserve"> PAGEREF _Toc33609126 \h </w:instrText>
      </w:r>
      <w:r>
        <w:fldChar w:fldCharType="separate"/>
      </w:r>
      <w:r>
        <w:t>105</w:t>
      </w:r>
      <w:r>
        <w:fldChar w:fldCharType="end"/>
      </w:r>
    </w:p>
    <w:p>
      <w:pPr>
        <w:pStyle w:val="TOC8"/>
        <w:rPr>
          <w:rFonts w:asciiTheme="minorHAnsi" w:eastAsiaTheme="minorEastAsia" w:hAnsiTheme="minorHAnsi" w:cstheme="minorBidi"/>
          <w:szCs w:val="22"/>
        </w:rPr>
      </w:pPr>
      <w:r>
        <w:t>48G</w:t>
      </w:r>
      <w:r>
        <w:rPr>
          <w:snapToGrid w:val="0"/>
        </w:rPr>
        <w:t>.</w:t>
      </w:r>
      <w:r>
        <w:rPr>
          <w:snapToGrid w:val="0"/>
        </w:rPr>
        <w:tab/>
        <w:t>Grant or refusal of renewal of lease</w:t>
      </w:r>
      <w:r>
        <w:tab/>
      </w:r>
      <w:r>
        <w:fldChar w:fldCharType="begin"/>
      </w:r>
      <w:r>
        <w:instrText xml:space="preserve"> PAGEREF _Toc33609127 \h </w:instrText>
      </w:r>
      <w:r>
        <w:fldChar w:fldCharType="separate"/>
      </w:r>
      <w:r>
        <w:t>106</w:t>
      </w:r>
      <w:r>
        <w:fldChar w:fldCharType="end"/>
      </w:r>
    </w:p>
    <w:p>
      <w:pPr>
        <w:pStyle w:val="TOC8"/>
        <w:rPr>
          <w:rFonts w:asciiTheme="minorHAnsi" w:eastAsiaTheme="minorEastAsia" w:hAnsiTheme="minorHAnsi" w:cstheme="minorBidi"/>
          <w:szCs w:val="22"/>
        </w:rPr>
      </w:pPr>
      <w:r>
        <w:t>48H</w:t>
      </w:r>
      <w:r>
        <w:rPr>
          <w:snapToGrid w:val="0"/>
        </w:rPr>
        <w:t>.</w:t>
      </w:r>
      <w:r>
        <w:rPr>
          <w:snapToGrid w:val="0"/>
        </w:rPr>
        <w:tab/>
        <w:t>Conditions of lease</w:t>
      </w:r>
      <w:r>
        <w:tab/>
      </w:r>
      <w:r>
        <w:fldChar w:fldCharType="begin"/>
      </w:r>
      <w:r>
        <w:instrText xml:space="preserve"> PAGEREF _Toc33609128 \h </w:instrText>
      </w:r>
      <w:r>
        <w:fldChar w:fldCharType="separate"/>
      </w:r>
      <w:r>
        <w:t>110</w:t>
      </w:r>
      <w:r>
        <w:fldChar w:fldCharType="end"/>
      </w:r>
    </w:p>
    <w:p>
      <w:pPr>
        <w:pStyle w:val="TOC8"/>
        <w:rPr>
          <w:rFonts w:asciiTheme="minorHAnsi" w:eastAsiaTheme="minorEastAsia" w:hAnsiTheme="minorHAnsi" w:cstheme="minorBidi"/>
          <w:szCs w:val="22"/>
        </w:rPr>
      </w:pPr>
      <w:r>
        <w:t>48J</w:t>
      </w:r>
      <w:r>
        <w:rPr>
          <w:snapToGrid w:val="0"/>
        </w:rPr>
        <w:t>.</w:t>
      </w:r>
      <w:r>
        <w:rPr>
          <w:snapToGrid w:val="0"/>
        </w:rPr>
        <w:tab/>
        <w:t xml:space="preserve">Discovery of </w:t>
      </w:r>
      <w:r>
        <w:t>petroleum or geothermal energy resources</w:t>
      </w:r>
      <w:r>
        <w:rPr>
          <w:snapToGrid w:val="0"/>
        </w:rPr>
        <w:t xml:space="preserve"> to be notified</w:t>
      </w:r>
      <w:r>
        <w:tab/>
      </w:r>
      <w:r>
        <w:fldChar w:fldCharType="begin"/>
      </w:r>
      <w:r>
        <w:instrText xml:space="preserve"> PAGEREF _Toc33609129 \h </w:instrText>
      </w:r>
      <w:r>
        <w:fldChar w:fldCharType="separate"/>
      </w:r>
      <w:r>
        <w:t>111</w:t>
      </w:r>
      <w:r>
        <w:fldChar w:fldCharType="end"/>
      </w:r>
    </w:p>
    <w:p>
      <w:pPr>
        <w:pStyle w:val="TOC8"/>
        <w:rPr>
          <w:rFonts w:asciiTheme="minorHAnsi" w:eastAsiaTheme="minorEastAsia" w:hAnsiTheme="minorHAnsi" w:cstheme="minorBidi"/>
          <w:szCs w:val="22"/>
        </w:rPr>
      </w:pPr>
      <w:r>
        <w:t>48K</w:t>
      </w:r>
      <w:r>
        <w:rPr>
          <w:snapToGrid w:val="0"/>
        </w:rPr>
        <w:t>.</w:t>
      </w:r>
      <w:r>
        <w:rPr>
          <w:snapToGrid w:val="0"/>
        </w:rPr>
        <w:tab/>
        <w:t>Directions by Minister on discovery of petroleum or</w:t>
      </w:r>
      <w:r>
        <w:t xml:space="preserve"> geothermal energy resources</w:t>
      </w:r>
      <w:r>
        <w:tab/>
      </w:r>
      <w:r>
        <w:fldChar w:fldCharType="begin"/>
      </w:r>
      <w:r>
        <w:instrText xml:space="preserve"> PAGEREF _Toc33609130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Production licences</w:t>
      </w:r>
    </w:p>
    <w:p>
      <w:pPr>
        <w:pStyle w:val="TOC8"/>
        <w:rPr>
          <w:rFonts w:asciiTheme="minorHAnsi" w:eastAsiaTheme="minorEastAsia" w:hAnsiTheme="minorHAnsi" w:cstheme="minorBidi"/>
          <w:szCs w:val="22"/>
        </w:rPr>
      </w:pPr>
      <w:r>
        <w:t>49</w:t>
      </w:r>
      <w:r>
        <w:rPr>
          <w:snapToGrid w:val="0"/>
        </w:rPr>
        <w:t>.</w:t>
      </w:r>
      <w:r>
        <w:rPr>
          <w:snapToGrid w:val="0"/>
        </w:rPr>
        <w:tab/>
        <w:t>Recovery of petroleum or</w:t>
      </w:r>
      <w:r>
        <w:t xml:space="preserve"> geothermal energy resources</w:t>
      </w:r>
      <w:r>
        <w:rPr>
          <w:snapToGrid w:val="0"/>
        </w:rPr>
        <w:t xml:space="preserve"> in State</w:t>
      </w:r>
      <w:r>
        <w:tab/>
      </w:r>
      <w:r>
        <w:fldChar w:fldCharType="begin"/>
      </w:r>
      <w:r>
        <w:instrText xml:space="preserve"> PAGEREF _Toc33609132 \h </w:instrText>
      </w:r>
      <w:r>
        <w:fldChar w:fldCharType="separate"/>
      </w:r>
      <w:r>
        <w:t>113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Application by permittee for licence</w:t>
      </w:r>
      <w:r>
        <w:tab/>
      </w:r>
      <w:r>
        <w:fldChar w:fldCharType="begin"/>
      </w:r>
      <w:r>
        <w:instrText xml:space="preserve"> PAGEREF _Toc33609133 \h </w:instrText>
      </w:r>
      <w:r>
        <w:fldChar w:fldCharType="separate"/>
      </w:r>
      <w:r>
        <w:t>113</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Application by lessee for licence</w:t>
      </w:r>
      <w:r>
        <w:tab/>
      </w:r>
      <w:r>
        <w:fldChar w:fldCharType="begin"/>
      </w:r>
      <w:r>
        <w:instrText xml:space="preserve"> PAGEREF _Toc33609134 \h </w:instrText>
      </w:r>
      <w:r>
        <w:fldChar w:fldCharType="separate"/>
      </w:r>
      <w:r>
        <w:t>116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Application for licence under s. 50 or 50A, requirements for</w:t>
      </w:r>
      <w:r>
        <w:tab/>
      </w:r>
      <w:r>
        <w:fldChar w:fldCharType="begin"/>
      </w:r>
      <w:r>
        <w:instrText xml:space="preserve"> PAGEREF _Toc33609135 \h </w:instrText>
      </w:r>
      <w:r>
        <w:fldChar w:fldCharType="separate"/>
      </w:r>
      <w:r>
        <w:t>117</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Determination of rate of royalty</w:t>
      </w:r>
      <w:r>
        <w:tab/>
      </w:r>
      <w:r>
        <w:fldChar w:fldCharType="begin"/>
      </w:r>
      <w:r>
        <w:instrText xml:space="preserve"> PAGEREF _Toc33609136 \h </w:instrText>
      </w:r>
      <w:r>
        <w:fldChar w:fldCharType="separate"/>
      </w:r>
      <w:r>
        <w:t>118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Notification as to grant of licence</w:t>
      </w:r>
      <w:r>
        <w:tab/>
      </w:r>
      <w:r>
        <w:fldChar w:fldCharType="begin"/>
      </w:r>
      <w:r>
        <w:instrText xml:space="preserve"> PAGEREF _Toc33609137 \h </w:instrText>
      </w:r>
      <w:r>
        <w:fldChar w:fldCharType="separate"/>
      </w:r>
      <w:r>
        <w:t>119</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Grant of licence</w:t>
      </w:r>
      <w:r>
        <w:tab/>
      </w:r>
      <w:r>
        <w:fldChar w:fldCharType="begin"/>
      </w:r>
      <w:r>
        <w:instrText xml:space="preserve"> PAGEREF _Toc33609138 \h </w:instrText>
      </w:r>
      <w:r>
        <w:fldChar w:fldCharType="separate"/>
      </w:r>
      <w:r>
        <w:t>120</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Application of s. 51 to 54 where permit etc. transferred</w:t>
      </w:r>
      <w:r>
        <w:tab/>
      </w:r>
      <w:r>
        <w:fldChar w:fldCharType="begin"/>
      </w:r>
      <w:r>
        <w:instrText xml:space="preserve"> PAGEREF _Toc33609139 \h </w:instrText>
      </w:r>
      <w:r>
        <w:fldChar w:fldCharType="separate"/>
      </w:r>
      <w:r>
        <w:t>121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Variation of licence area</w:t>
      </w:r>
      <w:r>
        <w:tab/>
      </w:r>
      <w:r>
        <w:fldChar w:fldCharType="begin"/>
      </w:r>
      <w:r>
        <w:instrText xml:space="preserve"> PAGEREF _Toc33609140 \h </w:instrText>
      </w:r>
      <w:r>
        <w:fldChar w:fldCharType="separate"/>
      </w:r>
      <w:r>
        <w:t>122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r>
      <w:r>
        <w:rPr>
          <w:snapToGrid w:val="0"/>
          <w:spacing w:val="-2"/>
        </w:rPr>
        <w:t>Determination of permit as to blocks not taken up by licensee</w:t>
      </w:r>
      <w:r>
        <w:tab/>
      </w:r>
      <w:r>
        <w:fldChar w:fldCharType="begin"/>
      </w:r>
      <w:r>
        <w:instrText xml:space="preserve"> PAGEREF _Toc33609141 \h </w:instrText>
      </w:r>
      <w:r>
        <w:fldChar w:fldCharType="separate"/>
      </w:r>
      <w:r>
        <w:t>122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Application for licence in respect of surrendered etc. blocks</w:t>
      </w:r>
      <w:r>
        <w:tab/>
      </w:r>
      <w:r>
        <w:fldChar w:fldCharType="begin"/>
      </w:r>
      <w:r>
        <w:instrText xml:space="preserve"> PAGEREF _Toc33609142 \h </w:instrText>
      </w:r>
      <w:r>
        <w:fldChar w:fldCharType="separate"/>
      </w:r>
      <w:r>
        <w:t>125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Application fee etc. for s. 57 applications</w:t>
      </w:r>
      <w:r>
        <w:tab/>
      </w:r>
      <w:r>
        <w:fldChar w:fldCharType="begin"/>
      </w:r>
      <w:r>
        <w:instrText xml:space="preserve"> PAGEREF _Toc33609143 \h </w:instrText>
      </w:r>
      <w:r>
        <w:fldChar w:fldCharType="separate"/>
      </w:r>
      <w:r>
        <w:t>128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Request by applicant for grant of licence</w:t>
      </w:r>
      <w:r>
        <w:tab/>
      </w:r>
      <w:r>
        <w:fldChar w:fldCharType="begin"/>
      </w:r>
      <w:r>
        <w:instrText xml:space="preserve"> PAGEREF _Toc33609144 \h </w:instrText>
      </w:r>
      <w:r>
        <w:fldChar w:fldCharType="separate"/>
      </w:r>
      <w:r>
        <w:t>129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Grant of licence on request</w:t>
      </w:r>
      <w:r>
        <w:tab/>
      </w:r>
      <w:r>
        <w:fldChar w:fldCharType="begin"/>
      </w:r>
      <w:r>
        <w:instrText xml:space="preserve"> PAGEREF _Toc33609145 \h </w:instrText>
      </w:r>
      <w:r>
        <w:fldChar w:fldCharType="separate"/>
      </w:r>
      <w:r>
        <w:t>131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for 2 or more blocks may be divided into 2 or more licences</w:t>
      </w:r>
      <w:r>
        <w:tab/>
      </w:r>
      <w:r>
        <w:fldChar w:fldCharType="begin"/>
      </w:r>
      <w:r>
        <w:instrText xml:space="preserve"> PAGEREF _Toc33609146 \h </w:instrText>
      </w:r>
      <w:r>
        <w:fldChar w:fldCharType="separate"/>
      </w:r>
      <w:r>
        <w:t>131</w:t>
      </w:r>
      <w:r>
        <w:fldChar w:fldCharType="end"/>
      </w:r>
    </w:p>
    <w:p>
      <w:pPr>
        <w:pStyle w:val="TOC8"/>
        <w:rPr>
          <w:rFonts w:asciiTheme="minorHAnsi" w:eastAsiaTheme="minorEastAsia" w:hAnsiTheme="minorHAnsi" w:cstheme="minorBidi"/>
          <w:szCs w:val="22"/>
        </w:rPr>
      </w:pPr>
      <w:r>
        <w:t>61A.</w:t>
      </w:r>
      <w:r>
        <w:tab/>
        <w:t>Grant of petroleum production licence as result of change to boundary of offshore area</w:t>
      </w:r>
      <w:r>
        <w:tab/>
      </w:r>
      <w:r>
        <w:fldChar w:fldCharType="begin"/>
      </w:r>
      <w:r>
        <w:instrText xml:space="preserve"> PAGEREF _Toc33609147 \h </w:instrText>
      </w:r>
      <w:r>
        <w:fldChar w:fldCharType="separate"/>
      </w:r>
      <w:r>
        <w:t>133</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Rights conferred by licence</w:t>
      </w:r>
      <w:r>
        <w:tab/>
      </w:r>
      <w:r>
        <w:fldChar w:fldCharType="begin"/>
      </w:r>
      <w:r>
        <w:instrText xml:space="preserve"> PAGEREF _Toc33609148 \h </w:instrText>
      </w:r>
      <w:r>
        <w:fldChar w:fldCharType="separate"/>
      </w:r>
      <w:r>
        <w:t>136</w:t>
      </w:r>
      <w:r>
        <w:fldChar w:fldCharType="end"/>
      </w:r>
    </w:p>
    <w:p>
      <w:pPr>
        <w:pStyle w:val="TOC8"/>
        <w:rPr>
          <w:rFonts w:asciiTheme="minorHAnsi" w:eastAsiaTheme="minorEastAsia" w:hAnsiTheme="minorHAnsi" w:cstheme="minorBidi"/>
          <w:szCs w:val="22"/>
        </w:rPr>
      </w:pPr>
      <w:r>
        <w:t>62A.</w:t>
      </w:r>
      <w:r>
        <w:tab/>
        <w:t>Geothermal energy recovery development plans</w:t>
      </w:r>
      <w:r>
        <w:tab/>
      </w:r>
      <w:r>
        <w:fldChar w:fldCharType="begin"/>
      </w:r>
      <w:r>
        <w:instrText xml:space="preserve"> PAGEREF _Toc33609149 \h </w:instrText>
      </w:r>
      <w:r>
        <w:fldChar w:fldCharType="separate"/>
      </w:r>
      <w:r>
        <w:t>136</w:t>
      </w:r>
      <w:r>
        <w:fldChar w:fldCharType="end"/>
      </w:r>
    </w:p>
    <w:p>
      <w:pPr>
        <w:pStyle w:val="TOC8"/>
        <w:rPr>
          <w:rFonts w:asciiTheme="minorHAnsi" w:eastAsiaTheme="minorEastAsia" w:hAnsiTheme="minorHAnsi" w:cstheme="minorBidi"/>
          <w:szCs w:val="22"/>
        </w:rPr>
      </w:pPr>
      <w:r>
        <w:t>62B.</w:t>
      </w:r>
      <w:r>
        <w:tab/>
        <w:t>Variation of approved development plans</w:t>
      </w:r>
      <w:r>
        <w:tab/>
      </w:r>
      <w:r>
        <w:fldChar w:fldCharType="begin"/>
      </w:r>
      <w:r>
        <w:instrText xml:space="preserve"> PAGEREF _Toc33609150 \h </w:instrText>
      </w:r>
      <w:r>
        <w:fldChar w:fldCharType="separate"/>
      </w:r>
      <w:r>
        <w:t>137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 of licence</w:t>
      </w:r>
      <w:r>
        <w:tab/>
      </w:r>
      <w:r>
        <w:fldChar w:fldCharType="begin"/>
      </w:r>
      <w:r>
        <w:instrText xml:space="preserve"> PAGEREF _Toc33609151 \h </w:instrText>
      </w:r>
      <w:r>
        <w:fldChar w:fldCharType="separate"/>
      </w:r>
      <w:r>
        <w:t>138</w:t>
      </w:r>
      <w:r>
        <w:fldChar w:fldCharType="end"/>
      </w:r>
    </w:p>
    <w:p>
      <w:pPr>
        <w:pStyle w:val="TOC8"/>
        <w:rPr>
          <w:rFonts w:asciiTheme="minorHAnsi" w:eastAsiaTheme="minorEastAsia" w:hAnsiTheme="minorHAnsi" w:cstheme="minorBidi"/>
          <w:szCs w:val="22"/>
        </w:rPr>
      </w:pPr>
      <w:r>
        <w:t>64A.</w:t>
      </w:r>
      <w:r>
        <w:tab/>
        <w:t>Termination of licence if no operations for 5 years</w:t>
      </w:r>
      <w:r>
        <w:tab/>
      </w:r>
      <w:r>
        <w:fldChar w:fldCharType="begin"/>
      </w:r>
      <w:r>
        <w:instrText xml:space="preserve"> PAGEREF _Toc33609152 \h </w:instrText>
      </w:r>
      <w:r>
        <w:fldChar w:fldCharType="separate"/>
      </w:r>
      <w:r>
        <w:t>138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Application for renewal of licence</w:t>
      </w:r>
      <w:r>
        <w:tab/>
      </w:r>
      <w:r>
        <w:fldChar w:fldCharType="begin"/>
      </w:r>
      <w:r>
        <w:instrText xml:space="preserve"> PAGEREF _Toc33609153 \h </w:instrText>
      </w:r>
      <w:r>
        <w:fldChar w:fldCharType="separate"/>
      </w:r>
      <w:r>
        <w:t>140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Grant or refusal of renewal of licence</w:t>
      </w:r>
      <w:r>
        <w:tab/>
      </w:r>
      <w:r>
        <w:fldChar w:fldCharType="begin"/>
      </w:r>
      <w:r>
        <w:instrText xml:space="preserve"> PAGEREF _Toc33609154 \h </w:instrText>
      </w:r>
      <w:r>
        <w:fldChar w:fldCharType="separate"/>
      </w:r>
      <w:r>
        <w:t>141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Conditions of licence</w:t>
      </w:r>
      <w:r>
        <w:tab/>
      </w:r>
      <w:r>
        <w:fldChar w:fldCharType="begin"/>
      </w:r>
      <w:r>
        <w:instrText xml:space="preserve"> PAGEREF _Toc33609155 \h </w:instrText>
      </w:r>
      <w:r>
        <w:fldChar w:fldCharType="separate"/>
      </w:r>
      <w:r>
        <w:t>144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Storage of petroleum underground</w:t>
      </w:r>
      <w:r>
        <w:tab/>
      </w:r>
      <w:r>
        <w:fldChar w:fldCharType="begin"/>
      </w:r>
      <w:r>
        <w:instrText xml:space="preserve"> PAGEREF _Toc33609156 \h </w:instrText>
      </w:r>
      <w:r>
        <w:fldChar w:fldCharType="separate"/>
      </w:r>
      <w:r>
        <w:t>145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Directions as to recovery of petroleum</w:t>
      </w:r>
      <w:r>
        <w:tab/>
      </w:r>
      <w:r>
        <w:fldChar w:fldCharType="begin"/>
      </w:r>
      <w:r>
        <w:instrText xml:space="preserve"> PAGEREF _Toc33609157 \h </w:instrText>
      </w:r>
      <w:r>
        <w:fldChar w:fldCharType="separate"/>
      </w:r>
      <w:r>
        <w:t>146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Unit development</w:t>
      </w:r>
      <w:r>
        <w:tab/>
      </w:r>
      <w:r>
        <w:fldChar w:fldCharType="begin"/>
      </w:r>
      <w:r>
        <w:instrText xml:space="preserve"> PAGEREF _Toc33609158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3A — Petroleum titles and geothermal titles may subsist in respect of same blocks</w:t>
      </w:r>
    </w:p>
    <w:p>
      <w:pPr>
        <w:pStyle w:val="TOC8"/>
        <w:rPr>
          <w:rFonts w:asciiTheme="minorHAnsi" w:eastAsiaTheme="minorEastAsia" w:hAnsiTheme="minorHAnsi" w:cstheme="minorBidi"/>
          <w:szCs w:val="22"/>
        </w:rPr>
      </w:pPr>
      <w:r>
        <w:t>69A.</w:t>
      </w:r>
      <w:r>
        <w:tab/>
        <w:t>Petroleum titles and geothermal titles may subsist in respect of same blocks</w:t>
      </w:r>
      <w:r>
        <w:tab/>
      </w:r>
      <w:r>
        <w:fldChar w:fldCharType="begin"/>
      </w:r>
      <w:r>
        <w:instrText xml:space="preserve"> PAGEREF _Toc33609160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Registration of instruments</w:t>
      </w:r>
    </w:p>
    <w:p>
      <w:pPr>
        <w:pStyle w:val="TOC8"/>
        <w:rPr>
          <w:rFonts w:asciiTheme="minorHAnsi" w:eastAsiaTheme="minorEastAsia" w:hAnsiTheme="minorHAnsi" w:cstheme="minorBidi"/>
          <w:szCs w:val="22"/>
        </w:rPr>
      </w:pPr>
      <w:r>
        <w:t>69J</w:t>
      </w:r>
      <w:r>
        <w:rPr>
          <w:snapToGrid w:val="0"/>
        </w:rPr>
        <w:t>.</w:t>
      </w:r>
      <w:r>
        <w:rPr>
          <w:snapToGrid w:val="0"/>
        </w:rPr>
        <w:tab/>
        <w:t>Term used: title</w:t>
      </w:r>
      <w:r>
        <w:tab/>
      </w:r>
      <w:r>
        <w:fldChar w:fldCharType="begin"/>
      </w:r>
      <w:r>
        <w:instrText xml:space="preserve"> PAGEREF _Toc33609162 \h </w:instrText>
      </w:r>
      <w:r>
        <w:fldChar w:fldCharType="separate"/>
      </w:r>
      <w:r>
        <w:t>154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Register of certain instruments to be kept</w:t>
      </w:r>
      <w:r>
        <w:tab/>
      </w:r>
      <w:r>
        <w:fldChar w:fldCharType="begin"/>
      </w:r>
      <w:r>
        <w:instrText xml:space="preserve"> PAGEREF _Toc33609163 \h </w:instrText>
      </w:r>
      <w:r>
        <w:fldChar w:fldCharType="separate"/>
      </w:r>
      <w:r>
        <w:t>154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Memorials to be entered of permits determined etc.</w:t>
      </w:r>
      <w:r>
        <w:tab/>
      </w:r>
      <w:r>
        <w:fldChar w:fldCharType="begin"/>
      </w:r>
      <w:r>
        <w:instrText xml:space="preserve"> PAGEREF _Toc33609164 \h </w:instrText>
      </w:r>
      <w:r>
        <w:fldChar w:fldCharType="separate"/>
      </w:r>
      <w:r>
        <w:t>155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Approval and registration of transfers</w:t>
      </w:r>
      <w:r>
        <w:tab/>
      </w:r>
      <w:r>
        <w:fldChar w:fldCharType="begin"/>
      </w:r>
      <w:r>
        <w:instrText xml:space="preserve"> PAGEREF _Toc33609165 \h </w:instrText>
      </w:r>
      <w:r>
        <w:fldChar w:fldCharType="separate"/>
      </w:r>
      <w:r>
        <w:t>156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Entries in Register on devolution of title</w:t>
      </w:r>
      <w:r>
        <w:tab/>
      </w:r>
      <w:r>
        <w:fldChar w:fldCharType="begin"/>
      </w:r>
      <w:r>
        <w:instrText xml:space="preserve"> PAGEREF _Toc33609166 \h </w:instrText>
      </w:r>
      <w:r>
        <w:fldChar w:fldCharType="separate"/>
      </w:r>
      <w:r>
        <w:t>158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Approval of dealings creating interests etc. in existing titles</w:t>
      </w:r>
      <w:r>
        <w:tab/>
      </w:r>
      <w:r>
        <w:fldChar w:fldCharType="begin"/>
      </w:r>
      <w:r>
        <w:instrText xml:space="preserve"> PAGEREF _Toc33609167 \h </w:instrText>
      </w:r>
      <w:r>
        <w:fldChar w:fldCharType="separate"/>
      </w:r>
      <w:r>
        <w:t>159</w:t>
      </w:r>
      <w:r>
        <w:fldChar w:fldCharType="end"/>
      </w:r>
    </w:p>
    <w:p>
      <w:pPr>
        <w:pStyle w:val="TOC8"/>
        <w:rPr>
          <w:rFonts w:asciiTheme="minorHAnsi" w:eastAsiaTheme="minorEastAsia" w:hAnsiTheme="minorHAnsi" w:cstheme="minorBidi"/>
          <w:szCs w:val="22"/>
        </w:rPr>
      </w:pPr>
      <w:r>
        <w:t>75A</w:t>
      </w:r>
      <w:r>
        <w:rPr>
          <w:snapToGrid w:val="0"/>
        </w:rPr>
        <w:t>.</w:t>
      </w:r>
      <w:r>
        <w:rPr>
          <w:snapToGrid w:val="0"/>
        </w:rPr>
        <w:tab/>
        <w:t>Approval of dealings in future interests etc.</w:t>
      </w:r>
      <w:r>
        <w:tab/>
      </w:r>
      <w:r>
        <w:fldChar w:fldCharType="begin"/>
      </w:r>
      <w:r>
        <w:instrText xml:space="preserve"> PAGEREF _Toc33609168 \h </w:instrText>
      </w:r>
      <w:r>
        <w:fldChar w:fldCharType="separate"/>
      </w:r>
      <w:r>
        <w:t>164</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True consideration to be shown in transfer or dealing</w:t>
      </w:r>
      <w:r>
        <w:tab/>
      </w:r>
      <w:r>
        <w:fldChar w:fldCharType="begin"/>
      </w:r>
      <w:r>
        <w:instrText xml:space="preserve"> PAGEREF _Toc33609169 \h </w:instrText>
      </w:r>
      <w:r>
        <w:fldChar w:fldCharType="separate"/>
      </w:r>
      <w:r>
        <w:t>165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Minister not concerned with certain matters</w:t>
      </w:r>
      <w:r>
        <w:tab/>
      </w:r>
      <w:r>
        <w:fldChar w:fldCharType="begin"/>
      </w:r>
      <w:r>
        <w:instrText xml:space="preserve"> PAGEREF _Toc33609170 \h </w:instrText>
      </w:r>
      <w:r>
        <w:fldChar w:fldCharType="separate"/>
      </w:r>
      <w:r>
        <w:t>166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Power of Minister to require information as to transfers or dealings</w:t>
      </w:r>
      <w:r>
        <w:tab/>
      </w:r>
      <w:r>
        <w:fldChar w:fldCharType="begin"/>
      </w:r>
      <w:r>
        <w:instrText xml:space="preserve"> PAGEREF _Toc33609171 \h </w:instrText>
      </w:r>
      <w:r>
        <w:fldChar w:fldCharType="separate"/>
      </w:r>
      <w:r>
        <w:t>166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Production and inspection of documents</w:t>
      </w:r>
      <w:r>
        <w:tab/>
      </w:r>
      <w:r>
        <w:fldChar w:fldCharType="begin"/>
      </w:r>
      <w:r>
        <w:instrText xml:space="preserve"> PAGEREF _Toc33609172 \h </w:instrText>
      </w:r>
      <w:r>
        <w:fldChar w:fldCharType="separate"/>
      </w:r>
      <w:r>
        <w:t>167</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Inspection of Register and instruments</w:t>
      </w:r>
      <w:r>
        <w:tab/>
      </w:r>
      <w:r>
        <w:fldChar w:fldCharType="begin"/>
      </w:r>
      <w:r>
        <w:instrText xml:space="preserve"> PAGEREF _Toc33609173 \h </w:instrText>
      </w:r>
      <w:r>
        <w:fldChar w:fldCharType="separate"/>
      </w:r>
      <w:r>
        <w:t>167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Evidentiary provisions</w:t>
      </w:r>
      <w:r>
        <w:tab/>
      </w:r>
      <w:r>
        <w:fldChar w:fldCharType="begin"/>
      </w:r>
      <w:r>
        <w:instrText xml:space="preserve"> PAGEREF _Toc33609174 \h </w:instrText>
      </w:r>
      <w:r>
        <w:fldChar w:fldCharType="separate"/>
      </w:r>
      <w:r>
        <w:t>168</w:t>
      </w:r>
      <w:r>
        <w:fldChar w:fldCharType="end"/>
      </w:r>
    </w:p>
    <w:p>
      <w:pPr>
        <w:pStyle w:val="TOC8"/>
        <w:rPr>
          <w:rFonts w:asciiTheme="minorHAnsi" w:eastAsiaTheme="minorEastAsia" w:hAnsiTheme="minorHAnsi" w:cstheme="minorBidi"/>
          <w:szCs w:val="22"/>
        </w:rPr>
      </w:pPr>
      <w:r>
        <w:t>81A</w:t>
      </w:r>
      <w:r>
        <w:rPr>
          <w:snapToGrid w:val="0"/>
        </w:rPr>
        <w:t>.</w:t>
      </w:r>
      <w:r>
        <w:rPr>
          <w:snapToGrid w:val="0"/>
        </w:rPr>
        <w:tab/>
        <w:t>Minister may make corrections to, and entries in, Register</w:t>
      </w:r>
      <w:r>
        <w:tab/>
      </w:r>
      <w:r>
        <w:fldChar w:fldCharType="begin"/>
      </w:r>
      <w:r>
        <w:instrText xml:space="preserve"> PAGEREF _Toc33609175 \h </w:instrText>
      </w:r>
      <w:r>
        <w:fldChar w:fldCharType="separate"/>
      </w:r>
      <w:r>
        <w:t>168</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Application to State Administrative Tribunal for orders</w:t>
      </w:r>
      <w:r>
        <w:tab/>
      </w:r>
      <w:r>
        <w:fldChar w:fldCharType="begin"/>
      </w:r>
      <w:r>
        <w:instrText xml:space="preserve"> PAGEREF _Toc33609176 \h </w:instrText>
      </w:r>
      <w:r>
        <w:fldChar w:fldCharType="separate"/>
      </w:r>
      <w:r>
        <w:t>169</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Offences connected with Register and certain documents</w:t>
      </w:r>
      <w:r>
        <w:tab/>
      </w:r>
      <w:r>
        <w:fldChar w:fldCharType="begin"/>
      </w:r>
      <w:r>
        <w:instrText xml:space="preserve"> PAGEREF _Toc33609177 \h </w:instrText>
      </w:r>
      <w:r>
        <w:fldChar w:fldCharType="separate"/>
      </w:r>
      <w:r>
        <w:t>170</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r>
        <w:tab/>
      </w:r>
      <w:r>
        <w:fldChar w:fldCharType="begin"/>
      </w:r>
      <w:r>
        <w:instrText xml:space="preserve"> PAGEREF _Toc33609178 \h </w:instrText>
      </w:r>
      <w:r>
        <w:fldChar w:fldCharType="separate"/>
      </w:r>
      <w:r>
        <w:t>170</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Exemption from duty</w:t>
      </w:r>
      <w:r>
        <w:tab/>
      </w:r>
      <w:r>
        <w:fldChar w:fldCharType="begin"/>
      </w:r>
      <w:r>
        <w:instrText xml:space="preserve"> PAGEREF _Toc33609179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General</w:t>
      </w:r>
    </w:p>
    <w:p>
      <w:pPr>
        <w:pStyle w:val="TOC8"/>
        <w:rPr>
          <w:rFonts w:asciiTheme="minorHAnsi" w:eastAsiaTheme="minorEastAsia" w:hAnsiTheme="minorHAnsi" w:cstheme="minorBidi"/>
          <w:szCs w:val="22"/>
        </w:rPr>
      </w:pPr>
      <w:r>
        <w:t>88</w:t>
      </w:r>
      <w:r>
        <w:rPr>
          <w:snapToGrid w:val="0"/>
        </w:rPr>
        <w:t>.</w:t>
      </w:r>
      <w:r>
        <w:rPr>
          <w:snapToGrid w:val="0"/>
        </w:rPr>
        <w:tab/>
        <w:t>Notice of grants of permits etc. to be published</w:t>
      </w:r>
      <w:r>
        <w:tab/>
      </w:r>
      <w:r>
        <w:fldChar w:fldCharType="begin"/>
      </w:r>
      <w:r>
        <w:instrText xml:space="preserve"> PAGEREF _Toc33609181 \h </w:instrText>
      </w:r>
      <w:r>
        <w:fldChar w:fldCharType="separate"/>
      </w:r>
      <w:r>
        <w:t>171</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Date of effect of certain surrenders, cancellations and variations</w:t>
      </w:r>
      <w:r>
        <w:tab/>
      </w:r>
      <w:r>
        <w:fldChar w:fldCharType="begin"/>
      </w:r>
      <w:r>
        <w:instrText xml:space="preserve"> PAGEREF _Toc33609182 \h </w:instrText>
      </w:r>
      <w:r>
        <w:fldChar w:fldCharType="separate"/>
      </w:r>
      <w:r>
        <w:t>172</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Commencement of works</w:t>
      </w:r>
      <w:r>
        <w:tab/>
      </w:r>
      <w:r>
        <w:fldChar w:fldCharType="begin"/>
      </w:r>
      <w:r>
        <w:instrText xml:space="preserve"> PAGEREF _Toc33609183 \h </w:instrText>
      </w:r>
      <w:r>
        <w:fldChar w:fldCharType="separate"/>
      </w:r>
      <w:r>
        <w:t>172</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Work practices</w:t>
      </w:r>
      <w:r>
        <w:tab/>
      </w:r>
      <w:r>
        <w:fldChar w:fldCharType="begin"/>
      </w:r>
      <w:r>
        <w:instrText xml:space="preserve"> PAGEREF _Toc33609184 \h </w:instrText>
      </w:r>
      <w:r>
        <w:fldChar w:fldCharType="separate"/>
      </w:r>
      <w:r>
        <w:t>173</w:t>
      </w:r>
      <w:r>
        <w:fldChar w:fldCharType="end"/>
      </w:r>
    </w:p>
    <w:p>
      <w:pPr>
        <w:pStyle w:val="TOC8"/>
        <w:rPr>
          <w:rFonts w:asciiTheme="minorHAnsi" w:eastAsiaTheme="minorEastAsia" w:hAnsiTheme="minorHAnsi" w:cstheme="minorBidi"/>
          <w:szCs w:val="22"/>
        </w:rPr>
      </w:pPr>
      <w:r>
        <w:t>91A</w:t>
      </w:r>
      <w:r>
        <w:rPr>
          <w:snapToGrid w:val="0"/>
        </w:rPr>
        <w:t>.</w:t>
      </w:r>
      <w:r>
        <w:rPr>
          <w:snapToGrid w:val="0"/>
        </w:rPr>
        <w:tab/>
        <w:t>Conditions relating to insurance</w:t>
      </w:r>
      <w:r>
        <w:tab/>
      </w:r>
      <w:r>
        <w:fldChar w:fldCharType="begin"/>
      </w:r>
      <w:r>
        <w:instrText xml:space="preserve"> PAGEREF _Toc33609185 \h </w:instrText>
      </w:r>
      <w:r>
        <w:fldChar w:fldCharType="separate"/>
      </w:r>
      <w:r>
        <w:t>176</w:t>
      </w:r>
      <w:r>
        <w:fldChar w:fldCharType="end"/>
      </w:r>
    </w:p>
    <w:p>
      <w:pPr>
        <w:pStyle w:val="TOC8"/>
        <w:rPr>
          <w:rFonts w:asciiTheme="minorHAnsi" w:eastAsiaTheme="minorEastAsia" w:hAnsiTheme="minorHAnsi" w:cstheme="minorBidi"/>
          <w:szCs w:val="22"/>
        </w:rPr>
      </w:pPr>
      <w:r>
        <w:t>91B</w:t>
      </w:r>
      <w:r>
        <w:rPr>
          <w:snapToGrid w:val="0"/>
        </w:rPr>
        <w:t>.</w:t>
      </w:r>
      <w:r>
        <w:rPr>
          <w:snapToGrid w:val="0"/>
        </w:rPr>
        <w:tab/>
        <w:t>Conditions prohibiting entry on certain land</w:t>
      </w:r>
      <w:r>
        <w:tab/>
      </w:r>
      <w:r>
        <w:fldChar w:fldCharType="begin"/>
      </w:r>
      <w:r>
        <w:instrText xml:space="preserve"> PAGEREF _Toc33609186 \h </w:instrText>
      </w:r>
      <w:r>
        <w:fldChar w:fldCharType="separate"/>
      </w:r>
      <w:r>
        <w:t>177</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Maintenance etc. of property</w:t>
      </w:r>
      <w:r>
        <w:tab/>
      </w:r>
      <w:r>
        <w:fldChar w:fldCharType="begin"/>
      </w:r>
      <w:r>
        <w:instrText xml:space="preserve"> PAGEREF _Toc33609187 \h </w:instrText>
      </w:r>
      <w:r>
        <w:fldChar w:fldCharType="separate"/>
      </w:r>
      <w:r>
        <w:t>177</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Operation of s. 91, 91A and 92 subject to this Act and other laws</w:t>
      </w:r>
      <w:r>
        <w:tab/>
      </w:r>
      <w:r>
        <w:fldChar w:fldCharType="begin"/>
      </w:r>
      <w:r>
        <w:instrText xml:space="preserve"> PAGEREF _Toc33609188 \h </w:instrText>
      </w:r>
      <w:r>
        <w:fldChar w:fldCharType="separate"/>
      </w:r>
      <w:r>
        <w:t>178</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Directions by Minister</w:t>
      </w:r>
      <w:r>
        <w:tab/>
      </w:r>
      <w:r>
        <w:fldChar w:fldCharType="begin"/>
      </w:r>
      <w:r>
        <w:instrText xml:space="preserve"> PAGEREF _Toc33609189 \h </w:instrText>
      </w:r>
      <w:r>
        <w:fldChar w:fldCharType="separate"/>
      </w:r>
      <w:r>
        <w:t>178</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Compliance with directions</w:t>
      </w:r>
      <w:r>
        <w:tab/>
      </w:r>
      <w:r>
        <w:fldChar w:fldCharType="begin"/>
      </w:r>
      <w:r>
        <w:instrText xml:space="preserve"> PAGEREF _Toc33609190 \h </w:instrText>
      </w:r>
      <w:r>
        <w:fldChar w:fldCharType="separate"/>
      </w:r>
      <w:r>
        <w:t>181</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Variation and suspension of, and exemption from compliance with, conditions</w:t>
      </w:r>
      <w:r>
        <w:tab/>
      </w:r>
      <w:r>
        <w:fldChar w:fldCharType="begin"/>
      </w:r>
      <w:r>
        <w:instrText xml:space="preserve"> PAGEREF _Toc33609191 \h </w:instrText>
      </w:r>
      <w:r>
        <w:fldChar w:fldCharType="separate"/>
      </w:r>
      <w:r>
        <w:t>182</w:t>
      </w:r>
      <w:r>
        <w:fldChar w:fldCharType="end"/>
      </w:r>
    </w:p>
    <w:p>
      <w:pPr>
        <w:pStyle w:val="TOC8"/>
        <w:rPr>
          <w:rFonts w:asciiTheme="minorHAnsi" w:eastAsiaTheme="minorEastAsia" w:hAnsiTheme="minorHAnsi" w:cstheme="minorBidi"/>
          <w:szCs w:val="22"/>
        </w:rPr>
      </w:pPr>
      <w:r>
        <w:t>97A.</w:t>
      </w:r>
      <w:r>
        <w:tab/>
        <w:t>Variation of petroleum title by including area as result of change to boundary of offshore area</w:t>
      </w:r>
      <w:r>
        <w:tab/>
      </w:r>
      <w:r>
        <w:fldChar w:fldCharType="begin"/>
      </w:r>
      <w:r>
        <w:instrText xml:space="preserve"> PAGEREF _Toc33609192 \h </w:instrText>
      </w:r>
      <w:r>
        <w:fldChar w:fldCharType="separate"/>
      </w:r>
      <w:r>
        <w:t>184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Surrender of permits etc.</w:t>
      </w:r>
      <w:r>
        <w:tab/>
      </w:r>
      <w:r>
        <w:fldChar w:fldCharType="begin"/>
      </w:r>
      <w:r>
        <w:instrText xml:space="preserve"> PAGEREF _Toc33609193 \h </w:instrText>
      </w:r>
      <w:r>
        <w:fldChar w:fldCharType="separate"/>
      </w:r>
      <w:r>
        <w:t>190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Cancellation of permits etc.</w:t>
      </w:r>
      <w:r>
        <w:tab/>
      </w:r>
      <w:r>
        <w:fldChar w:fldCharType="begin"/>
      </w:r>
      <w:r>
        <w:instrText xml:space="preserve"> PAGEREF _Toc33609194 \h </w:instrText>
      </w:r>
      <w:r>
        <w:fldChar w:fldCharType="separate"/>
      </w:r>
      <w:r>
        <w:t>191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Cancellation of permit etc. not affected by other provisions</w:t>
      </w:r>
      <w:r>
        <w:tab/>
      </w:r>
      <w:r>
        <w:fldChar w:fldCharType="begin"/>
      </w:r>
      <w:r>
        <w:instrText xml:space="preserve"> PAGEREF _Toc33609195 \h </w:instrText>
      </w:r>
      <w:r>
        <w:fldChar w:fldCharType="separate"/>
      </w:r>
      <w:r>
        <w:t>193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Removal of property etc. by permittee etc.</w:t>
      </w:r>
      <w:r>
        <w:tab/>
      </w:r>
      <w:r>
        <w:fldChar w:fldCharType="begin"/>
      </w:r>
      <w:r>
        <w:instrText xml:space="preserve"> PAGEREF _Toc33609196 \h </w:instrText>
      </w:r>
      <w:r>
        <w:fldChar w:fldCharType="separate"/>
      </w:r>
      <w:r>
        <w:t>194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Removal of property etc. by Minister</w:t>
      </w:r>
      <w:r>
        <w:tab/>
      </w:r>
      <w:r>
        <w:fldChar w:fldCharType="begin"/>
      </w:r>
      <w:r>
        <w:instrText xml:space="preserve"> PAGEREF _Toc33609197 \h </w:instrText>
      </w:r>
      <w:r>
        <w:fldChar w:fldCharType="separate"/>
      </w:r>
      <w:r>
        <w:t>196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Special prospecting authorities</w:t>
      </w:r>
      <w:r>
        <w:tab/>
      </w:r>
      <w:r>
        <w:fldChar w:fldCharType="begin"/>
      </w:r>
      <w:r>
        <w:instrText xml:space="preserve"> PAGEREF _Toc33609198 \h </w:instrText>
      </w:r>
      <w:r>
        <w:fldChar w:fldCharType="separate"/>
      </w:r>
      <w:r>
        <w:t>196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Access authorities</w:t>
      </w:r>
      <w:r>
        <w:tab/>
      </w:r>
      <w:r>
        <w:fldChar w:fldCharType="begin"/>
      </w:r>
      <w:r>
        <w:instrText xml:space="preserve"> PAGEREF _Toc33609199 \h </w:instrText>
      </w:r>
      <w:r>
        <w:fldChar w:fldCharType="separate"/>
      </w:r>
      <w:r>
        <w:t>200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Removal, disposal or sale of property</w:t>
      </w:r>
      <w:r>
        <w:tab/>
      </w:r>
      <w:r>
        <w:fldChar w:fldCharType="begin"/>
      </w:r>
      <w:r>
        <w:instrText xml:space="preserve"> PAGEREF _Toc33609200 \h </w:instrText>
      </w:r>
      <w:r>
        <w:fldChar w:fldCharType="separate"/>
      </w:r>
      <w:r>
        <w:t>205</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Minister etc. may require information to be furnished etc.</w:t>
      </w:r>
      <w:r>
        <w:tab/>
      </w:r>
      <w:r>
        <w:fldChar w:fldCharType="begin"/>
      </w:r>
      <w:r>
        <w:instrText xml:space="preserve"> PAGEREF _Toc33609201 \h </w:instrText>
      </w:r>
      <w:r>
        <w:fldChar w:fldCharType="separate"/>
      </w:r>
      <w:r>
        <w:t>207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Power to examine on oath</w:t>
      </w:r>
      <w:r>
        <w:tab/>
      </w:r>
      <w:r>
        <w:fldChar w:fldCharType="begin"/>
      </w:r>
      <w:r>
        <w:instrText xml:space="preserve"> PAGEREF _Toc33609202 \h </w:instrText>
      </w:r>
      <w:r>
        <w:fldChar w:fldCharType="separate"/>
      </w:r>
      <w:r>
        <w:t>208</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Failing to furnish information etc.</w:t>
      </w:r>
      <w:r>
        <w:tab/>
      </w:r>
      <w:r>
        <w:fldChar w:fldCharType="begin"/>
      </w:r>
      <w:r>
        <w:instrText xml:space="preserve"> PAGEREF _Toc33609203 \h </w:instrText>
      </w:r>
      <w:r>
        <w:fldChar w:fldCharType="separate"/>
      </w:r>
      <w:r>
        <w:t>208</w:t>
      </w:r>
      <w:r>
        <w:fldChar w:fldCharType="end"/>
      </w:r>
    </w:p>
    <w:p>
      <w:pPr>
        <w:pStyle w:val="TOC8"/>
        <w:rPr>
          <w:rFonts w:asciiTheme="minorHAnsi" w:eastAsiaTheme="minorEastAsia" w:hAnsiTheme="minorHAnsi" w:cstheme="minorBidi"/>
          <w:szCs w:val="22"/>
        </w:rPr>
      </w:pPr>
      <w:r>
        <w:t>112A</w:t>
      </w:r>
      <w:r>
        <w:rPr>
          <w:snapToGrid w:val="0"/>
        </w:rPr>
        <w:t>.</w:t>
      </w:r>
      <w:r>
        <w:rPr>
          <w:snapToGrid w:val="0"/>
        </w:rPr>
        <w:tab/>
        <w:t>Safety zones</w:t>
      </w:r>
      <w:r>
        <w:tab/>
      </w:r>
      <w:r>
        <w:fldChar w:fldCharType="begin"/>
      </w:r>
      <w:r>
        <w:instrText xml:space="preserve"> PAGEREF _Toc33609204 \h </w:instrText>
      </w:r>
      <w:r>
        <w:fldChar w:fldCharType="separate"/>
      </w:r>
      <w:r>
        <w:t>208</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Discovery of water to be notified</w:t>
      </w:r>
      <w:r>
        <w:tab/>
      </w:r>
      <w:r>
        <w:fldChar w:fldCharType="begin"/>
      </w:r>
      <w:r>
        <w:instrText xml:space="preserve"> PAGEREF _Toc33609205 \h </w:instrText>
      </w:r>
      <w:r>
        <w:fldChar w:fldCharType="separate"/>
      </w:r>
      <w:r>
        <w:t>209</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Records etc. to be kept</w:t>
      </w:r>
      <w:r>
        <w:tab/>
      </w:r>
      <w:r>
        <w:fldChar w:fldCharType="begin"/>
      </w:r>
      <w:r>
        <w:instrText xml:space="preserve"> PAGEREF _Toc33609206 \h </w:instrText>
      </w:r>
      <w:r>
        <w:fldChar w:fldCharType="separate"/>
      </w:r>
      <w:r>
        <w:t>210</w:t>
      </w:r>
      <w:r>
        <w:fldChar w:fldCharType="end"/>
      </w:r>
    </w:p>
    <w:p>
      <w:pPr>
        <w:pStyle w:val="TOC8"/>
        <w:rPr>
          <w:rFonts w:asciiTheme="minorHAnsi" w:eastAsiaTheme="minorEastAsia" w:hAnsiTheme="minorHAnsi" w:cstheme="minorBidi"/>
          <w:szCs w:val="22"/>
        </w:rPr>
      </w:pPr>
      <w:r>
        <w:t>116A.</w:t>
      </w:r>
      <w:r>
        <w:tab/>
        <w:t>Data management: regulations</w:t>
      </w:r>
      <w:r>
        <w:tab/>
      </w:r>
      <w:r>
        <w:fldChar w:fldCharType="begin"/>
      </w:r>
      <w:r>
        <w:instrText xml:space="preserve"> PAGEREF _Toc33609207 \h </w:instrText>
      </w:r>
      <w:r>
        <w:fldChar w:fldCharType="separate"/>
      </w:r>
      <w:r>
        <w:t>210</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Scientific investigations</w:t>
      </w:r>
      <w:r>
        <w:tab/>
      </w:r>
      <w:r>
        <w:fldChar w:fldCharType="begin"/>
      </w:r>
      <w:r>
        <w:instrText xml:space="preserve"> PAGEREF _Toc33609208 \h </w:instrText>
      </w:r>
      <w:r>
        <w:fldChar w:fldCharType="separate"/>
      </w:r>
      <w:r>
        <w:t>211</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Interference with other rights etc.</w:t>
      </w:r>
      <w:r>
        <w:tab/>
      </w:r>
      <w:r>
        <w:fldChar w:fldCharType="begin"/>
      </w:r>
      <w:r>
        <w:instrText xml:space="preserve"> PAGEREF _Toc33609209 \h </w:instrText>
      </w:r>
      <w:r>
        <w:fldChar w:fldCharType="separate"/>
      </w:r>
      <w:r>
        <w:t>211</w:t>
      </w:r>
      <w:r>
        <w:fldChar w:fldCharType="end"/>
      </w:r>
    </w:p>
    <w:p>
      <w:pPr>
        <w:pStyle w:val="TOC8"/>
        <w:rPr>
          <w:rFonts w:asciiTheme="minorHAnsi" w:eastAsiaTheme="minorEastAsia" w:hAnsiTheme="minorHAnsi" w:cstheme="minorBidi"/>
          <w:szCs w:val="22"/>
        </w:rPr>
      </w:pPr>
      <w:r>
        <w:t>117A.</w:t>
      </w:r>
      <w:r>
        <w:tab/>
        <w:t>Interfering with petroleum operation or geothermal energy operation</w:t>
      </w:r>
      <w:r>
        <w:tab/>
      </w:r>
      <w:r>
        <w:fldChar w:fldCharType="begin"/>
      </w:r>
      <w:r>
        <w:instrText xml:space="preserve"> PAGEREF _Toc33609210 \h </w:instrText>
      </w:r>
      <w:r>
        <w:fldChar w:fldCharType="separate"/>
      </w:r>
      <w:r>
        <w:t>212</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Inspectors</w:t>
      </w:r>
      <w:r>
        <w:tab/>
      </w:r>
      <w:r>
        <w:fldChar w:fldCharType="begin"/>
      </w:r>
      <w:r>
        <w:instrText xml:space="preserve"> PAGEREF _Toc33609211 \h </w:instrText>
      </w:r>
      <w:r>
        <w:fldChar w:fldCharType="separate"/>
      </w:r>
      <w:r>
        <w:t>213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Powers of inspectors</w:t>
      </w:r>
      <w:r>
        <w:tab/>
      </w:r>
      <w:r>
        <w:fldChar w:fldCharType="begin"/>
      </w:r>
      <w:r>
        <w:instrText xml:space="preserve"> PAGEREF _Toc33609212 \h </w:instrText>
      </w:r>
      <w:r>
        <w:fldChar w:fldCharType="separate"/>
      </w:r>
      <w:r>
        <w:t>213</w:t>
      </w:r>
      <w:r>
        <w:fldChar w:fldCharType="end"/>
      </w:r>
    </w:p>
    <w:p>
      <w:pPr>
        <w:pStyle w:val="TOC8"/>
        <w:rPr>
          <w:rFonts w:asciiTheme="minorHAnsi" w:eastAsiaTheme="minorEastAsia" w:hAnsiTheme="minorHAnsi" w:cstheme="minorBidi"/>
          <w:szCs w:val="22"/>
        </w:rPr>
      </w:pPr>
      <w:r>
        <w:t>119A.</w:t>
      </w:r>
      <w:r>
        <w:tab/>
        <w:t>Protection from liability for wrongdoing</w:t>
      </w:r>
      <w:r>
        <w:tab/>
      </w:r>
      <w:r>
        <w:fldChar w:fldCharType="begin"/>
      </w:r>
      <w:r>
        <w:instrText xml:space="preserve"> PAGEREF _Toc33609213 \h </w:instrText>
      </w:r>
      <w:r>
        <w:fldChar w:fldCharType="separate"/>
      </w:r>
      <w:r>
        <w:t>214</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Continuing offences</w:t>
      </w:r>
      <w:r>
        <w:tab/>
      </w:r>
      <w:r>
        <w:fldChar w:fldCharType="begin"/>
      </w:r>
      <w:r>
        <w:instrText xml:space="preserve"> PAGEREF _Toc33609214 \h </w:instrText>
      </w:r>
      <w:r>
        <w:fldChar w:fldCharType="separate"/>
      </w:r>
      <w:r>
        <w:t>215</w:t>
      </w:r>
      <w:r>
        <w:fldChar w:fldCharType="end"/>
      </w:r>
    </w:p>
    <w:p>
      <w:pPr>
        <w:pStyle w:val="TOC8"/>
        <w:rPr>
          <w:rFonts w:asciiTheme="minorHAnsi" w:eastAsiaTheme="minorEastAsia" w:hAnsiTheme="minorHAnsi" w:cstheme="minorBidi"/>
          <w:szCs w:val="22"/>
        </w:rPr>
      </w:pPr>
      <w:r>
        <w:t>122.</w:t>
      </w:r>
      <w:r>
        <w:tab/>
        <w:t>Crimes and other offences</w:t>
      </w:r>
      <w:r>
        <w:tab/>
      </w:r>
      <w:r>
        <w:fldChar w:fldCharType="begin"/>
      </w:r>
      <w:r>
        <w:instrText xml:space="preserve"> PAGEREF _Toc33609215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Orders for forfeiture etc. in respect of certain offences</w:t>
      </w:r>
      <w:r>
        <w:tab/>
      </w:r>
      <w:r>
        <w:fldChar w:fldCharType="begin"/>
      </w:r>
      <w:r>
        <w:instrText xml:space="preserve"> PAGEREF _Toc33609216 \h </w:instrText>
      </w:r>
      <w:r>
        <w:fldChar w:fldCharType="separate"/>
      </w:r>
      <w:r>
        <w:t>216</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Power of Attorney General to direct disposal of goods</w:t>
      </w:r>
      <w:r>
        <w:tab/>
      </w:r>
      <w:r>
        <w:fldChar w:fldCharType="begin"/>
      </w:r>
      <w:r>
        <w:instrText xml:space="preserve"> PAGEREF _Toc33609217 \h </w:instrText>
      </w:r>
      <w:r>
        <w:fldChar w:fldCharType="separate"/>
      </w:r>
      <w:r>
        <w:t>217</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Time for bringing proceedings for offences</w:t>
      </w:r>
      <w:r>
        <w:tab/>
      </w:r>
      <w:r>
        <w:fldChar w:fldCharType="begin"/>
      </w:r>
      <w:r>
        <w:instrText xml:space="preserve"> PAGEREF _Toc33609218 \h </w:instrText>
      </w:r>
      <w:r>
        <w:fldChar w:fldCharType="separate"/>
      </w:r>
      <w:r>
        <w:t>217</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Judicial notice</w:t>
      </w:r>
      <w:r>
        <w:tab/>
      </w:r>
      <w:r>
        <w:fldChar w:fldCharType="begin"/>
      </w:r>
      <w:r>
        <w:instrText xml:space="preserve"> PAGEREF _Toc33609219 \h </w:instrText>
      </w:r>
      <w:r>
        <w:fldChar w:fldCharType="separate"/>
      </w:r>
      <w:r>
        <w:t>217</w:t>
      </w:r>
      <w:r>
        <w:fldChar w:fldCharType="end"/>
      </w:r>
    </w:p>
    <w:p>
      <w:pPr>
        <w:pStyle w:val="TOC8"/>
        <w:rPr>
          <w:rFonts w:asciiTheme="minorHAnsi" w:eastAsiaTheme="minorEastAsia" w:hAnsiTheme="minorHAnsi" w:cstheme="minorBidi"/>
          <w:szCs w:val="22"/>
        </w:rPr>
      </w:pPr>
      <w:r>
        <w:t>126A.</w:t>
      </w:r>
      <w:r>
        <w:tab/>
        <w:t>Evidentiary matters</w:t>
      </w:r>
      <w:r>
        <w:tab/>
      </w:r>
      <w:r>
        <w:fldChar w:fldCharType="begin"/>
      </w:r>
      <w:r>
        <w:instrText xml:space="preserve"> PAGEREF _Toc33609220 \h </w:instrText>
      </w:r>
      <w:r>
        <w:fldChar w:fldCharType="separate"/>
      </w:r>
      <w:r>
        <w:t>217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Service of documents</w:t>
      </w:r>
      <w:r>
        <w:tab/>
      </w:r>
      <w:r>
        <w:fldChar w:fldCharType="begin"/>
      </w:r>
      <w:r>
        <w:instrText xml:space="preserve"> PAGEREF _Toc33609221 \h </w:instrText>
      </w:r>
      <w:r>
        <w:fldChar w:fldCharType="separate"/>
      </w:r>
      <w:r>
        <w:t>219</w:t>
      </w:r>
      <w:r>
        <w:fldChar w:fldCharType="end"/>
      </w:r>
    </w:p>
    <w:p>
      <w:pPr>
        <w:pStyle w:val="TOC8"/>
        <w:rPr>
          <w:rFonts w:asciiTheme="minorHAnsi" w:eastAsiaTheme="minorEastAsia" w:hAnsiTheme="minorHAnsi" w:cstheme="minorBidi"/>
          <w:szCs w:val="22"/>
        </w:rPr>
      </w:pPr>
      <w:r>
        <w:t>127A</w:t>
      </w:r>
      <w:r>
        <w:rPr>
          <w:snapToGrid w:val="0"/>
        </w:rPr>
        <w:t>.</w:t>
      </w:r>
      <w:r>
        <w:rPr>
          <w:snapToGrid w:val="0"/>
        </w:rPr>
        <w:tab/>
        <w:t>Service of documents on 2 or more permittees etc.</w:t>
      </w:r>
      <w:r>
        <w:tab/>
      </w:r>
      <w:r>
        <w:fldChar w:fldCharType="begin"/>
      </w:r>
      <w:r>
        <w:instrText xml:space="preserve"> PAGEREF _Toc33609222 \h </w:instrText>
      </w:r>
      <w:r>
        <w:fldChar w:fldCharType="separate"/>
      </w:r>
      <w:r>
        <w:t>220</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Transitional provisions</w:t>
      </w:r>
    </w:p>
    <w:p>
      <w:pPr>
        <w:pStyle w:val="TOC8"/>
        <w:rPr>
          <w:rFonts w:asciiTheme="minorHAnsi" w:eastAsiaTheme="minorEastAsia" w:hAnsiTheme="minorHAnsi" w:cstheme="minorBidi"/>
          <w:szCs w:val="22"/>
        </w:rPr>
      </w:pPr>
      <w:r>
        <w:t>128</w:t>
      </w:r>
      <w:r>
        <w:rPr>
          <w:snapToGrid w:val="0"/>
        </w:rPr>
        <w:t>.</w:t>
      </w:r>
      <w:r>
        <w:rPr>
          <w:snapToGrid w:val="0"/>
        </w:rPr>
        <w:tab/>
        <w:t>Terms used</w:t>
      </w:r>
      <w:r>
        <w:tab/>
      </w:r>
      <w:r>
        <w:fldChar w:fldCharType="begin"/>
      </w:r>
      <w:r>
        <w:instrText xml:space="preserve"> PAGEREF _Toc33609224 \h </w:instrText>
      </w:r>
      <w:r>
        <w:fldChar w:fldCharType="separate"/>
      </w:r>
      <w:r>
        <w:t>222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This Division prevails over other provisions</w:t>
      </w:r>
      <w:r>
        <w:tab/>
      </w:r>
      <w:r>
        <w:fldChar w:fldCharType="begin"/>
      </w:r>
      <w:r>
        <w:instrText xml:space="preserve"> PAGEREF _Toc33609225 \h </w:instrText>
      </w:r>
      <w:r>
        <w:fldChar w:fldCharType="separate"/>
      </w:r>
      <w:r>
        <w:t>222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Cessation of operation of former provisions</w:t>
      </w:r>
      <w:r>
        <w:tab/>
      </w:r>
      <w:r>
        <w:fldChar w:fldCharType="begin"/>
      </w:r>
      <w:r>
        <w:instrText xml:space="preserve"> PAGEREF _Toc33609226 \h </w:instrText>
      </w:r>
      <w:r>
        <w:fldChar w:fldCharType="separate"/>
      </w:r>
      <w:r>
        <w:t>223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Prohibition on granting of instruments under former provisions after commencing day</w:t>
      </w:r>
      <w:r>
        <w:tab/>
      </w:r>
      <w:r>
        <w:fldChar w:fldCharType="begin"/>
      </w:r>
      <w:r>
        <w:instrText xml:space="preserve"> PAGEREF _Toc33609227 \h </w:instrText>
      </w:r>
      <w:r>
        <w:fldChar w:fldCharType="separate"/>
      </w:r>
      <w:r>
        <w:t>223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Rights of holders of existing prescribed instruments</w:t>
      </w:r>
      <w:r>
        <w:tab/>
      </w:r>
      <w:r>
        <w:fldChar w:fldCharType="begin"/>
      </w:r>
      <w:r>
        <w:instrText xml:space="preserve"> PAGEREF _Toc33609228 \h </w:instrText>
      </w:r>
      <w:r>
        <w:fldChar w:fldCharType="separate"/>
      </w:r>
      <w:r>
        <w:t>223</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Holders of existing instruments may be granted permits under this Part</w:t>
      </w:r>
      <w:r>
        <w:tab/>
      </w:r>
      <w:r>
        <w:fldChar w:fldCharType="begin"/>
      </w:r>
      <w:r>
        <w:instrText xml:space="preserve"> PAGEREF _Toc33609229 \h </w:instrText>
      </w:r>
      <w:r>
        <w:fldChar w:fldCharType="separate"/>
      </w:r>
      <w:r>
        <w:t>224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Transitional provisions relating to Barrow Island lease</w:t>
      </w:r>
      <w:r>
        <w:tab/>
      </w:r>
      <w:r>
        <w:fldChar w:fldCharType="begin"/>
      </w:r>
      <w:r>
        <w:instrText xml:space="preserve"> PAGEREF _Toc33609230 \h </w:instrText>
      </w:r>
      <w:r>
        <w:fldChar w:fldCharType="separate"/>
      </w:r>
      <w:r>
        <w:t>225</w:t>
      </w:r>
      <w:r>
        <w:fldChar w:fldCharType="end"/>
      </w:r>
    </w:p>
    <w:p>
      <w:pPr>
        <w:pStyle w:val="TOC8"/>
        <w:rPr>
          <w:rFonts w:asciiTheme="minorHAnsi" w:eastAsiaTheme="minorEastAsia" w:hAnsiTheme="minorHAnsi" w:cstheme="minorBidi"/>
          <w:szCs w:val="22"/>
        </w:rPr>
      </w:pPr>
      <w:r>
        <w:t>134A</w:t>
      </w:r>
      <w:r>
        <w:rPr>
          <w:snapToGrid w:val="0"/>
        </w:rPr>
        <w:t>.</w:t>
      </w:r>
      <w:r>
        <w:rPr>
          <w:snapToGrid w:val="0"/>
        </w:rPr>
        <w:tab/>
        <w:t>Application of former provisions after coming into operation of variation agreement</w:t>
      </w:r>
      <w:r>
        <w:tab/>
      </w:r>
      <w:r>
        <w:fldChar w:fldCharType="begin"/>
      </w:r>
      <w:r>
        <w:instrText xml:space="preserve"> PAGEREF _Toc33609231 \h </w:instrText>
      </w:r>
      <w:r>
        <w:fldChar w:fldCharType="separate"/>
      </w:r>
      <w:r>
        <w:t>226</w:t>
      </w:r>
      <w:r>
        <w:fldChar w:fldCharType="end"/>
      </w:r>
    </w:p>
    <w:p>
      <w:pPr>
        <w:pStyle w:val="TOC9"/>
        <w:rPr>
          <w:rFonts w:asciiTheme="minorHAnsi" w:eastAsiaTheme="minorEastAsia" w:hAnsiTheme="minorHAnsi" w:cstheme="minorBidi"/>
          <w:noProof/>
          <w:sz w:val="22"/>
          <w:szCs w:val="22"/>
        </w:rPr>
      </w:pPr>
      <w:r>
        <w:rPr>
          <w:noProof/>
          <w:snapToGrid w:val="0"/>
        </w:rPr>
        <w:t>71.</w:t>
      </w:r>
      <w:r>
        <w:rPr>
          <w:noProof/>
          <w:snapToGrid w:val="0"/>
        </w:rPr>
        <w:tab/>
        <w:t>Interpretation</w:t>
      </w:r>
      <w:r>
        <w:rPr>
          <w:noProof/>
        </w:rPr>
        <w:tab/>
      </w:r>
      <w:r>
        <w:rPr>
          <w:noProof/>
        </w:rPr>
        <w:fldChar w:fldCharType="begin"/>
      </w:r>
      <w:r>
        <w:rPr>
          <w:noProof/>
        </w:rPr>
        <w:instrText xml:space="preserve"> PAGEREF _Toc33609232 \h </w:instrText>
      </w:r>
      <w:r>
        <w:rPr>
          <w:noProof/>
        </w:rPr>
      </w:r>
      <w:r>
        <w:rPr>
          <w:noProof/>
        </w:rPr>
        <w:fldChar w:fldCharType="separate"/>
      </w:r>
      <w:r>
        <w:rPr>
          <w:noProof/>
        </w:rPr>
        <w:t>226</w:t>
      </w:r>
      <w:r>
        <w:rPr>
          <w:noProof/>
        </w:rPr>
        <w:fldChar w:fldCharType="end"/>
      </w:r>
    </w:p>
    <w:p>
      <w:pPr>
        <w:pStyle w:val="TOC9"/>
        <w:rPr>
          <w:rFonts w:asciiTheme="minorHAnsi" w:eastAsiaTheme="minorEastAsia" w:hAnsiTheme="minorHAnsi" w:cstheme="minorBidi"/>
          <w:noProof/>
          <w:sz w:val="22"/>
          <w:szCs w:val="22"/>
        </w:rPr>
      </w:pPr>
      <w:r>
        <w:rPr>
          <w:noProof/>
          <w:snapToGrid w:val="0"/>
        </w:rPr>
        <w:t xml:space="preserve">72. </w:t>
      </w:r>
      <w:r>
        <w:rPr>
          <w:noProof/>
          <w:snapToGrid w:val="0"/>
        </w:rPr>
        <w:tab/>
        <w:t>Statements, information and records</w:t>
      </w:r>
      <w:r>
        <w:rPr>
          <w:noProof/>
        </w:rPr>
        <w:tab/>
      </w:r>
      <w:r>
        <w:rPr>
          <w:noProof/>
        </w:rPr>
        <w:fldChar w:fldCharType="begin"/>
      </w:r>
      <w:r>
        <w:rPr>
          <w:noProof/>
        </w:rPr>
        <w:instrText xml:space="preserve"> PAGEREF _Toc33609233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73.</w:t>
      </w:r>
      <w:r>
        <w:rPr>
          <w:noProof/>
          <w:snapToGrid w:val="0"/>
        </w:rPr>
        <w:tab/>
        <w:t>Powers of officers</w:t>
      </w:r>
      <w:r>
        <w:rPr>
          <w:noProof/>
        </w:rPr>
        <w:tab/>
      </w:r>
      <w:r>
        <w:rPr>
          <w:noProof/>
        </w:rPr>
        <w:fldChar w:fldCharType="begin"/>
      </w:r>
      <w:r>
        <w:rPr>
          <w:noProof/>
        </w:rPr>
        <w:instrText xml:space="preserve"> PAGEREF _Toc33609234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74.</w:t>
      </w:r>
      <w:r>
        <w:rPr>
          <w:noProof/>
          <w:snapToGrid w:val="0"/>
        </w:rPr>
        <w:tab/>
        <w:t>Royalty a debt due to the State</w:t>
      </w:r>
      <w:r>
        <w:rPr>
          <w:noProof/>
        </w:rPr>
        <w:tab/>
      </w:r>
      <w:r>
        <w:rPr>
          <w:noProof/>
        </w:rPr>
        <w:fldChar w:fldCharType="begin"/>
      </w:r>
      <w:r>
        <w:rPr>
          <w:noProof/>
        </w:rPr>
        <w:instrText xml:space="preserve"> PAGEREF _Toc33609235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75.</w:t>
      </w:r>
      <w:r>
        <w:rPr>
          <w:noProof/>
          <w:snapToGrid w:val="0"/>
        </w:rPr>
        <w:tab/>
        <w:t>Offences</w:t>
      </w:r>
      <w:r>
        <w:rPr>
          <w:noProof/>
        </w:rPr>
        <w:tab/>
      </w:r>
      <w:r>
        <w:rPr>
          <w:noProof/>
        </w:rPr>
        <w:fldChar w:fldCharType="begin"/>
      </w:r>
      <w:r>
        <w:rPr>
          <w:noProof/>
        </w:rPr>
        <w:instrText xml:space="preserve"> PAGEREF _Toc33609236 \h </w:instrText>
      </w:r>
      <w:r>
        <w:rPr>
          <w:noProof/>
        </w:rPr>
      </w:r>
      <w:r>
        <w:rPr>
          <w:noProof/>
        </w:rPr>
        <w:fldChar w:fldCharType="separate"/>
      </w:r>
      <w:r>
        <w:rPr>
          <w:noProof/>
        </w:rPr>
        <w:t>227</w:t>
      </w:r>
      <w:r>
        <w:rPr>
          <w:noProof/>
        </w:rPr>
        <w:fldChar w:fldCharType="end"/>
      </w:r>
    </w:p>
    <w:p>
      <w:pPr>
        <w:pStyle w:val="TOC9"/>
        <w:rPr>
          <w:rFonts w:asciiTheme="minorHAnsi" w:eastAsiaTheme="minorEastAsia" w:hAnsiTheme="minorHAnsi" w:cstheme="minorBidi"/>
          <w:noProof/>
          <w:sz w:val="22"/>
          <w:szCs w:val="22"/>
        </w:rPr>
      </w:pPr>
      <w:r>
        <w:rPr>
          <w:noProof/>
          <w:snapToGrid w:val="0"/>
        </w:rPr>
        <w:t>117.</w:t>
      </w:r>
      <w:r>
        <w:rPr>
          <w:noProof/>
          <w:snapToGrid w:val="0"/>
        </w:rPr>
        <w:tab/>
        <w:t>Application of regulations to Barrow Island lease</w:t>
      </w:r>
      <w:r>
        <w:rPr>
          <w:noProof/>
        </w:rPr>
        <w:tab/>
      </w:r>
      <w:r>
        <w:rPr>
          <w:noProof/>
        </w:rPr>
        <w:fldChar w:fldCharType="begin"/>
      </w:r>
      <w:r>
        <w:rPr>
          <w:noProof/>
        </w:rPr>
        <w:instrText xml:space="preserve"> PAGEREF _Toc33609237 \h </w:instrText>
      </w:r>
      <w:r>
        <w:rPr>
          <w:noProof/>
        </w:rPr>
      </w:r>
      <w:r>
        <w:rPr>
          <w:noProof/>
        </w:rPr>
        <w:fldChar w:fldCharType="separate"/>
      </w:r>
      <w:r>
        <w:rPr>
          <w:noProof/>
        </w:rPr>
        <w:t>227</w:t>
      </w:r>
      <w:r>
        <w:rPr>
          <w:noProof/>
        </w:rPr>
        <w:fldChar w:fldCharType="end"/>
      </w:r>
    </w:p>
    <w:p>
      <w:pPr>
        <w:pStyle w:val="TOC8"/>
        <w:rPr>
          <w:rFonts w:asciiTheme="minorHAnsi" w:eastAsiaTheme="minorEastAsia" w:hAnsiTheme="minorHAnsi" w:cstheme="minorBidi"/>
          <w:szCs w:val="22"/>
        </w:rPr>
      </w:pPr>
      <w:r>
        <w:t>135</w:t>
      </w:r>
      <w:r>
        <w:rPr>
          <w:snapToGrid w:val="0"/>
        </w:rPr>
        <w:t>.</w:t>
      </w:r>
      <w:r>
        <w:rPr>
          <w:snapToGrid w:val="0"/>
        </w:rPr>
        <w:tab/>
        <w:t>Certain portions of blocks to be blocks</w:t>
      </w:r>
      <w:r>
        <w:tab/>
      </w:r>
      <w:r>
        <w:fldChar w:fldCharType="begin"/>
      </w:r>
      <w:r>
        <w:instrText xml:space="preserve"> PAGEREF _Toc33609238 \h </w:instrText>
      </w:r>
      <w:r>
        <w:fldChar w:fldCharType="separate"/>
      </w:r>
      <w:r>
        <w:t>229</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Certain petroleum exploration or recovery activities not prohibited by s. 29 or 49</w:t>
      </w:r>
      <w:r>
        <w:tab/>
      </w:r>
      <w:r>
        <w:fldChar w:fldCharType="begin"/>
      </w:r>
      <w:r>
        <w:instrText xml:space="preserve"> PAGEREF _Toc33609239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Fees and royalties</w:t>
      </w:r>
    </w:p>
    <w:p>
      <w:pPr>
        <w:pStyle w:val="TOC8"/>
        <w:rPr>
          <w:rFonts w:asciiTheme="minorHAnsi" w:eastAsiaTheme="minorEastAsia" w:hAnsiTheme="minorHAnsi" w:cstheme="minorBidi"/>
          <w:szCs w:val="22"/>
        </w:rPr>
      </w:pPr>
      <w:r>
        <w:t>137</w:t>
      </w:r>
      <w:r>
        <w:rPr>
          <w:snapToGrid w:val="0"/>
        </w:rPr>
        <w:t>.</w:t>
      </w:r>
      <w:r>
        <w:rPr>
          <w:snapToGrid w:val="0"/>
        </w:rPr>
        <w:tab/>
        <w:t>Permit and drilling reservation fees</w:t>
      </w:r>
      <w:r>
        <w:tab/>
      </w:r>
      <w:r>
        <w:fldChar w:fldCharType="begin"/>
      </w:r>
      <w:r>
        <w:instrText xml:space="preserve"> PAGEREF _Toc33609241 \h </w:instrText>
      </w:r>
      <w:r>
        <w:fldChar w:fldCharType="separate"/>
      </w:r>
      <w:r>
        <w:t>230</w:t>
      </w:r>
      <w:r>
        <w:fldChar w:fldCharType="end"/>
      </w:r>
    </w:p>
    <w:p>
      <w:pPr>
        <w:pStyle w:val="TOC8"/>
        <w:rPr>
          <w:rFonts w:asciiTheme="minorHAnsi" w:eastAsiaTheme="minorEastAsia" w:hAnsiTheme="minorHAnsi" w:cstheme="minorBidi"/>
          <w:szCs w:val="22"/>
        </w:rPr>
      </w:pPr>
      <w:r>
        <w:t>137A</w:t>
      </w:r>
      <w:r>
        <w:rPr>
          <w:snapToGrid w:val="0"/>
        </w:rPr>
        <w:t>.</w:t>
      </w:r>
      <w:r>
        <w:rPr>
          <w:snapToGrid w:val="0"/>
        </w:rPr>
        <w:tab/>
        <w:t>Lease fees</w:t>
      </w:r>
      <w:r>
        <w:tab/>
      </w:r>
      <w:r>
        <w:fldChar w:fldCharType="begin"/>
      </w:r>
      <w:r>
        <w:instrText xml:space="preserve"> PAGEREF _Toc33609242 \h </w:instrText>
      </w:r>
      <w:r>
        <w:fldChar w:fldCharType="separate"/>
      </w:r>
      <w:r>
        <w:t>231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Licence fees</w:t>
      </w:r>
      <w:r>
        <w:tab/>
      </w:r>
      <w:r>
        <w:fldChar w:fldCharType="begin"/>
      </w:r>
      <w:r>
        <w:instrText xml:space="preserve"> PAGEREF _Toc33609243 \h </w:instrText>
      </w:r>
      <w:r>
        <w:fldChar w:fldCharType="separate"/>
      </w:r>
      <w:r>
        <w:t>231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Time of payment of fees</w:t>
      </w:r>
      <w:r>
        <w:tab/>
      </w:r>
      <w:r>
        <w:fldChar w:fldCharType="begin"/>
      </w:r>
      <w:r>
        <w:instrText xml:space="preserve"> PAGEREF _Toc33609244 \h </w:instrText>
      </w:r>
      <w:r>
        <w:fldChar w:fldCharType="separate"/>
      </w:r>
      <w:r>
        <w:t>231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Penalty for late payment of fees</w:t>
      </w:r>
      <w:r>
        <w:tab/>
      </w:r>
      <w:r>
        <w:fldChar w:fldCharType="begin"/>
      </w:r>
      <w:r>
        <w:instrText xml:space="preserve"> PAGEREF _Toc33609245 \h </w:instrText>
      </w:r>
      <w:r>
        <w:fldChar w:fldCharType="separate"/>
      </w:r>
      <w:r>
        <w:t>232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Fees and penalties debts due to Crown</w:t>
      </w:r>
      <w:r>
        <w:tab/>
      </w:r>
      <w:r>
        <w:fldChar w:fldCharType="begin"/>
      </w:r>
      <w:r>
        <w:instrText xml:space="preserve"> PAGEREF _Toc33609246 \h </w:instrText>
      </w:r>
      <w:r>
        <w:fldChar w:fldCharType="separate"/>
      </w:r>
      <w:r>
        <w:t>232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Royalty</w:t>
      </w:r>
      <w:r>
        <w:tab/>
      </w:r>
      <w:r>
        <w:fldChar w:fldCharType="begin"/>
      </w:r>
      <w:r>
        <w:instrText xml:space="preserve"> PAGEREF _Toc33609247 \h </w:instrText>
      </w:r>
      <w:r>
        <w:fldChar w:fldCharType="separate"/>
      </w:r>
      <w:r>
        <w:t>232</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Reduction of royalty in certain cases</w:t>
      </w:r>
      <w:r>
        <w:tab/>
      </w:r>
      <w:r>
        <w:fldChar w:fldCharType="begin"/>
      </w:r>
      <w:r>
        <w:instrText xml:space="preserve"> PAGEREF _Toc33609248 \h </w:instrText>
      </w:r>
      <w:r>
        <w:fldChar w:fldCharType="separate"/>
      </w:r>
      <w:r>
        <w:t>234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Royalty not payable in certain cases</w:t>
      </w:r>
      <w:r>
        <w:tab/>
      </w:r>
      <w:r>
        <w:fldChar w:fldCharType="begin"/>
      </w:r>
      <w:r>
        <w:instrText xml:space="preserve"> PAGEREF _Toc33609249 \h </w:instrText>
      </w:r>
      <w:r>
        <w:fldChar w:fldCharType="separate"/>
      </w:r>
      <w:r>
        <w:t>235</w:t>
      </w:r>
      <w:r>
        <w:fldChar w:fldCharType="end"/>
      </w:r>
    </w:p>
    <w:p>
      <w:pPr>
        <w:pStyle w:val="TOC8"/>
        <w:rPr>
          <w:rFonts w:asciiTheme="minorHAnsi" w:eastAsiaTheme="minorEastAsia" w:hAnsiTheme="minorHAnsi" w:cstheme="minorBidi"/>
          <w:szCs w:val="22"/>
        </w:rPr>
      </w:pPr>
      <w:r>
        <w:t>144A</w:t>
      </w:r>
      <w:r>
        <w:rPr>
          <w:snapToGrid w:val="0"/>
        </w:rPr>
        <w:t>.</w:t>
      </w:r>
      <w:r>
        <w:rPr>
          <w:snapToGrid w:val="0"/>
        </w:rPr>
        <w:tab/>
        <w:t>Royalty value</w:t>
      </w:r>
      <w:r>
        <w:tab/>
      </w:r>
      <w:r>
        <w:fldChar w:fldCharType="begin"/>
      </w:r>
      <w:r>
        <w:instrText xml:space="preserve"> PAGEREF _Toc33609250 \h </w:instrText>
      </w:r>
      <w:r>
        <w:fldChar w:fldCharType="separate"/>
      </w:r>
      <w:r>
        <w:t>237</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Ascertainment of value of petroleum or geothermal energy</w:t>
      </w:r>
      <w:r>
        <w:tab/>
      </w:r>
      <w:r>
        <w:fldChar w:fldCharType="begin"/>
      </w:r>
      <w:r>
        <w:instrText xml:space="preserve"> PAGEREF _Toc33609251 \h </w:instrText>
      </w:r>
      <w:r>
        <w:fldChar w:fldCharType="separate"/>
      </w:r>
      <w:r>
        <w:t>237</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Ascertainment of well</w:t>
      </w:r>
      <w:r>
        <w:rPr>
          <w:snapToGrid w:val="0"/>
        </w:rPr>
        <w:noBreakHyphen/>
        <w:t>head</w:t>
      </w:r>
      <w:r>
        <w:tab/>
      </w:r>
      <w:r>
        <w:fldChar w:fldCharType="begin"/>
      </w:r>
      <w:r>
        <w:instrText xml:space="preserve"> PAGEREF _Toc33609252 \h </w:instrText>
      </w:r>
      <w:r>
        <w:fldChar w:fldCharType="separate"/>
      </w:r>
      <w:r>
        <w:t>237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 xml:space="preserve">Ascertainment of quantity of petroleum </w:t>
      </w:r>
      <w:r>
        <w:t xml:space="preserve">or geothermal energy </w:t>
      </w:r>
      <w:r>
        <w:rPr>
          <w:snapToGrid w:val="0"/>
        </w:rPr>
        <w:t>recovered</w:t>
      </w:r>
      <w:r>
        <w:tab/>
      </w:r>
      <w:r>
        <w:fldChar w:fldCharType="begin"/>
      </w:r>
      <w:r>
        <w:instrText xml:space="preserve"> PAGEREF _Toc33609253 \h </w:instrText>
      </w:r>
      <w:r>
        <w:fldChar w:fldCharType="separate"/>
      </w:r>
      <w:r>
        <w:t>238</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Payment of royalty and penalty for late payment</w:t>
      </w:r>
      <w:r>
        <w:tab/>
      </w:r>
      <w:r>
        <w:fldChar w:fldCharType="begin"/>
      </w:r>
      <w:r>
        <w:instrText xml:space="preserve"> PAGEREF _Toc33609254 \h </w:instrText>
      </w:r>
      <w:r>
        <w:fldChar w:fldCharType="separate"/>
      </w:r>
      <w:r>
        <w:t>238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Royalty or late payment amount is debt due to Crown</w:t>
      </w:r>
      <w:r>
        <w:tab/>
      </w:r>
      <w:r>
        <w:fldChar w:fldCharType="begin"/>
      </w:r>
      <w:r>
        <w:instrText xml:space="preserve"> PAGEREF _Toc33609255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Part IIIA — Occupational safety and health</w:t>
      </w:r>
    </w:p>
    <w:p>
      <w:pPr>
        <w:pStyle w:val="TOC8"/>
        <w:rPr>
          <w:rFonts w:asciiTheme="minorHAnsi" w:eastAsiaTheme="minorEastAsia" w:hAnsiTheme="minorHAnsi" w:cstheme="minorBidi"/>
          <w:szCs w:val="22"/>
        </w:rPr>
      </w:pPr>
      <w:r>
        <w:t>149A.</w:t>
      </w:r>
      <w:r>
        <w:tab/>
        <w:t>Occupational safety and health (Sch. 1)</w:t>
      </w:r>
      <w:r>
        <w:tab/>
      </w:r>
      <w:r>
        <w:fldChar w:fldCharType="begin"/>
      </w:r>
      <w:r>
        <w:instrText xml:space="preserve"> PAGEREF _Toc33609257 \h </w:instrText>
      </w:r>
      <w:r>
        <w:fldChar w:fldCharType="separate"/>
      </w:r>
      <w:r>
        <w:t>240</w:t>
      </w:r>
      <w:r>
        <w:fldChar w:fldCharType="end"/>
      </w:r>
    </w:p>
    <w:p>
      <w:pPr>
        <w:pStyle w:val="TOC8"/>
        <w:rPr>
          <w:rFonts w:asciiTheme="minorHAnsi" w:eastAsiaTheme="minorEastAsia" w:hAnsiTheme="minorHAnsi" w:cstheme="minorBidi"/>
          <w:szCs w:val="22"/>
        </w:rPr>
      </w:pPr>
      <w:r>
        <w:t>149B.</w:t>
      </w:r>
      <w:r>
        <w:tab/>
        <w:t>Regulations relating to occupational safety and health</w:t>
      </w:r>
      <w:r>
        <w:tab/>
      </w:r>
      <w:r>
        <w:fldChar w:fldCharType="begin"/>
      </w:r>
      <w:r>
        <w:instrText xml:space="preserve"> PAGEREF _Toc33609258 \h </w:instrText>
      </w:r>
      <w:r>
        <w:fldChar w:fldCharType="separate"/>
      </w:r>
      <w:r>
        <w:t>240</w:t>
      </w:r>
      <w:r>
        <w:fldChar w:fldCharType="end"/>
      </w:r>
    </w:p>
    <w:p>
      <w:pPr>
        <w:pStyle w:val="TOC8"/>
        <w:rPr>
          <w:rFonts w:asciiTheme="minorHAnsi" w:eastAsiaTheme="minorEastAsia" w:hAnsiTheme="minorHAnsi" w:cstheme="minorBidi"/>
          <w:szCs w:val="22"/>
        </w:rPr>
      </w:pPr>
      <w:r>
        <w:t>149C.</w:t>
      </w:r>
      <w:r>
        <w:tab/>
        <w:t>Minister’s occupational safety and health functions</w:t>
      </w:r>
      <w:r>
        <w:tab/>
      </w:r>
      <w:r>
        <w:fldChar w:fldCharType="begin"/>
      </w:r>
      <w:r>
        <w:instrText xml:space="preserve"> PAGEREF _Toc33609259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Part IVA</w:t>
      </w:r>
      <w:r>
        <w:rPr>
          <w:b w:val="0"/>
        </w:rPr>
        <w:t> </w:t>
      </w:r>
      <w:r>
        <w:t>—</w:t>
      </w:r>
      <w:r>
        <w:rPr>
          <w:b w:val="0"/>
        </w:rPr>
        <w:t> </w:t>
      </w:r>
      <w:r>
        <w:t>Release of information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150A.</w:t>
      </w:r>
      <w:r>
        <w:tab/>
        <w:t>Terms used</w:t>
      </w:r>
      <w:r>
        <w:tab/>
      </w:r>
      <w:r>
        <w:fldChar w:fldCharType="begin"/>
      </w:r>
      <w:r>
        <w:instrText xml:space="preserve"> PAGEREF _Toc33609262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2 — Protection of confidentiality of information and samples</w:t>
      </w:r>
    </w:p>
    <w:p>
      <w:pPr>
        <w:pStyle w:val="TOC6"/>
        <w:tabs>
          <w:tab w:val="right" w:leader="dot" w:pos="7077"/>
        </w:tabs>
        <w:rPr>
          <w:rFonts w:asciiTheme="minorHAnsi" w:eastAsiaTheme="minorEastAsia" w:hAnsiTheme="minorHAnsi" w:cstheme="minorBidi"/>
          <w:b w:val="0"/>
          <w:sz w:val="22"/>
          <w:szCs w:val="22"/>
        </w:rPr>
      </w:pPr>
      <w:r>
        <w:t>Subdivision 1 — Information and samples obtained by the Minister</w:t>
      </w:r>
    </w:p>
    <w:p>
      <w:pPr>
        <w:pStyle w:val="TOC8"/>
        <w:rPr>
          <w:rFonts w:asciiTheme="minorHAnsi" w:eastAsiaTheme="minorEastAsia" w:hAnsiTheme="minorHAnsi" w:cstheme="minorBidi"/>
          <w:szCs w:val="22"/>
        </w:rPr>
      </w:pPr>
      <w:r>
        <w:t>150B.</w:t>
      </w:r>
      <w:r>
        <w:tab/>
        <w:t>Protection of confidentiality of information obtained by Minister</w:t>
      </w:r>
      <w:r>
        <w:tab/>
      </w:r>
      <w:r>
        <w:fldChar w:fldCharType="begin"/>
      </w:r>
      <w:r>
        <w:instrText xml:space="preserve"> PAGEREF _Toc33609265 \h </w:instrText>
      </w:r>
      <w:r>
        <w:fldChar w:fldCharType="separate"/>
      </w:r>
      <w:r>
        <w:t>243</w:t>
      </w:r>
      <w:r>
        <w:fldChar w:fldCharType="end"/>
      </w:r>
    </w:p>
    <w:p>
      <w:pPr>
        <w:pStyle w:val="TOC8"/>
        <w:rPr>
          <w:rFonts w:asciiTheme="minorHAnsi" w:eastAsiaTheme="minorEastAsia" w:hAnsiTheme="minorHAnsi" w:cstheme="minorBidi"/>
          <w:szCs w:val="22"/>
        </w:rPr>
      </w:pPr>
      <w:r>
        <w:t>150C.</w:t>
      </w:r>
      <w:r>
        <w:tab/>
        <w:t>Protection of confidentiality of samples obtained by Minister</w:t>
      </w:r>
      <w:r>
        <w:tab/>
      </w:r>
      <w:r>
        <w:fldChar w:fldCharType="begin"/>
      </w:r>
      <w:r>
        <w:instrText xml:space="preserve"> PAGEREF _Toc33609266 \h </w:instrText>
      </w:r>
      <w:r>
        <w:fldChar w:fldCharType="separate"/>
      </w:r>
      <w:r>
        <w:t>243</w:t>
      </w:r>
      <w:r>
        <w:fldChar w:fldCharType="end"/>
      </w:r>
    </w:p>
    <w:p>
      <w:pPr>
        <w:pStyle w:val="TOC8"/>
        <w:rPr>
          <w:rFonts w:asciiTheme="minorHAnsi" w:eastAsiaTheme="minorEastAsia" w:hAnsiTheme="minorHAnsi" w:cstheme="minorBidi"/>
          <w:szCs w:val="22"/>
        </w:rPr>
      </w:pPr>
      <w:r>
        <w:t>150D.</w:t>
      </w:r>
      <w:r>
        <w:tab/>
        <w:t>Information or samples obtained by Minister can be made available to certain persons</w:t>
      </w:r>
      <w:r>
        <w:tab/>
      </w:r>
      <w:r>
        <w:fldChar w:fldCharType="begin"/>
      </w:r>
      <w:r>
        <w:instrText xml:space="preserve"> PAGEREF _Toc33609267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Information and samples obtained by another Minister</w:t>
      </w:r>
    </w:p>
    <w:p>
      <w:pPr>
        <w:pStyle w:val="TOC8"/>
        <w:rPr>
          <w:rFonts w:asciiTheme="minorHAnsi" w:eastAsiaTheme="minorEastAsia" w:hAnsiTheme="minorHAnsi" w:cstheme="minorBidi"/>
          <w:szCs w:val="22"/>
        </w:rPr>
      </w:pPr>
      <w:r>
        <w:t>150E.</w:t>
      </w:r>
      <w:r>
        <w:tab/>
        <w:t>Protection of confidentiality of information obtained by another Minister</w:t>
      </w:r>
      <w:r>
        <w:tab/>
      </w:r>
      <w:r>
        <w:fldChar w:fldCharType="begin"/>
      </w:r>
      <w:r>
        <w:instrText xml:space="preserve"> PAGEREF _Toc33609269 \h </w:instrText>
      </w:r>
      <w:r>
        <w:fldChar w:fldCharType="separate"/>
      </w:r>
      <w:r>
        <w:t>244</w:t>
      </w:r>
      <w:r>
        <w:fldChar w:fldCharType="end"/>
      </w:r>
    </w:p>
    <w:p>
      <w:pPr>
        <w:pStyle w:val="TOC8"/>
        <w:rPr>
          <w:rFonts w:asciiTheme="minorHAnsi" w:eastAsiaTheme="minorEastAsia" w:hAnsiTheme="minorHAnsi" w:cstheme="minorBidi"/>
          <w:szCs w:val="22"/>
        </w:rPr>
      </w:pPr>
      <w:r>
        <w:t>150F.</w:t>
      </w:r>
      <w:r>
        <w:tab/>
        <w:t>Protection of confidentiality of samples obtained by another Minister</w:t>
      </w:r>
      <w:r>
        <w:tab/>
      </w:r>
      <w:r>
        <w:fldChar w:fldCharType="begin"/>
      </w:r>
      <w:r>
        <w:instrText xml:space="preserve"> PAGEREF _Toc33609270 \h </w:instrText>
      </w:r>
      <w:r>
        <w:fldChar w:fldCharType="separate"/>
      </w:r>
      <w:r>
        <w:t>245</w:t>
      </w:r>
      <w:r>
        <w:fldChar w:fldCharType="end"/>
      </w:r>
    </w:p>
    <w:p>
      <w:pPr>
        <w:pStyle w:val="TOC8"/>
        <w:rPr>
          <w:rFonts w:asciiTheme="minorHAnsi" w:eastAsiaTheme="minorEastAsia" w:hAnsiTheme="minorHAnsi" w:cstheme="minorBidi"/>
          <w:szCs w:val="22"/>
        </w:rPr>
      </w:pPr>
      <w:r>
        <w:t>150G.</w:t>
      </w:r>
      <w:r>
        <w:tab/>
        <w:t>Information or samples obtained by another Minister can be made available to certain persons</w:t>
      </w:r>
      <w:r>
        <w:tab/>
      </w:r>
      <w:r>
        <w:fldChar w:fldCharType="begin"/>
      </w:r>
      <w:r>
        <w:instrText xml:space="preserve"> PAGEREF _Toc33609271 \h </w:instrText>
      </w:r>
      <w:r>
        <w:fldChar w:fldCharType="separate"/>
      </w:r>
      <w:r>
        <w:t>245</w:t>
      </w:r>
      <w:r>
        <w:fldChar w:fldCharType="end"/>
      </w:r>
    </w:p>
    <w:p>
      <w:pPr>
        <w:pStyle w:val="TOC6"/>
        <w:tabs>
          <w:tab w:val="right" w:leader="dot" w:pos="7077"/>
        </w:tabs>
        <w:rPr>
          <w:rFonts w:asciiTheme="minorHAnsi" w:eastAsiaTheme="minorEastAsia" w:hAnsiTheme="minorHAnsi" w:cstheme="minorBidi"/>
          <w:b w:val="0"/>
          <w:sz w:val="22"/>
          <w:szCs w:val="22"/>
        </w:rPr>
      </w:pPr>
      <w:r>
        <w:t>Subdivision 3 — Miscellaneous</w:t>
      </w:r>
    </w:p>
    <w:p>
      <w:pPr>
        <w:pStyle w:val="TOC8"/>
        <w:rPr>
          <w:rFonts w:asciiTheme="minorHAnsi" w:eastAsiaTheme="minorEastAsia" w:hAnsiTheme="minorHAnsi" w:cstheme="minorBidi"/>
          <w:szCs w:val="22"/>
        </w:rPr>
      </w:pPr>
      <w:r>
        <w:t>150H.</w:t>
      </w:r>
      <w:r>
        <w:tab/>
        <w:t>Fees</w:t>
      </w:r>
      <w:r>
        <w:tab/>
      </w:r>
      <w:r>
        <w:fldChar w:fldCharType="begin"/>
      </w:r>
      <w:r>
        <w:instrText xml:space="preserve"> PAGEREF _Toc33609273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150</w:t>
      </w:r>
      <w:r>
        <w:rPr>
          <w:snapToGrid w:val="0"/>
        </w:rPr>
        <w:t>.</w:t>
      </w:r>
      <w:r>
        <w:rPr>
          <w:snapToGrid w:val="0"/>
        </w:rPr>
        <w:tab/>
        <w:t>Jurisdiction of Magistrates Court</w:t>
      </w:r>
      <w:r>
        <w:tab/>
      </w:r>
      <w:r>
        <w:fldChar w:fldCharType="begin"/>
      </w:r>
      <w:r>
        <w:instrText xml:space="preserve"> PAGEREF _Toc33609275 \h </w:instrText>
      </w:r>
      <w:r>
        <w:fldChar w:fldCharType="separate"/>
      </w:r>
      <w:r>
        <w:t>247</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Special case may be reserved for Supreme Court</w:t>
      </w:r>
      <w:r>
        <w:tab/>
      </w:r>
      <w:r>
        <w:fldChar w:fldCharType="begin"/>
      </w:r>
      <w:r>
        <w:instrText xml:space="preserve"> PAGEREF _Toc33609276 \h </w:instrText>
      </w:r>
      <w:r>
        <w:fldChar w:fldCharType="separate"/>
      </w:r>
      <w:r>
        <w:t>247</w:t>
      </w:r>
      <w:r>
        <w:fldChar w:fldCharType="end"/>
      </w:r>
    </w:p>
    <w:p>
      <w:pPr>
        <w:pStyle w:val="TOC8"/>
        <w:rPr>
          <w:rFonts w:asciiTheme="minorHAnsi" w:eastAsiaTheme="minorEastAsia" w:hAnsiTheme="minorHAnsi" w:cstheme="minorBidi"/>
          <w:szCs w:val="22"/>
        </w:rPr>
      </w:pPr>
      <w:r>
        <w:t>152.</w:t>
      </w:r>
      <w:r>
        <w:tab/>
        <w:t xml:space="preserve">Certain things are not personal property for purposes of </w:t>
      </w:r>
      <w:r>
        <w:rPr>
          <w:i/>
          <w:iCs/>
        </w:rPr>
        <w:t>Personal Property Securities Act 2009</w:t>
      </w:r>
      <w:r>
        <w:t xml:space="preserve"> (Commonwealth)</w:t>
      </w:r>
      <w:r>
        <w:tab/>
      </w:r>
      <w:r>
        <w:fldChar w:fldCharType="begin"/>
      </w:r>
      <w:r>
        <w:instrText xml:space="preserve"> PAGEREF _Toc33609277 \h </w:instrText>
      </w:r>
      <w:r>
        <w:fldChar w:fldCharType="separate"/>
      </w:r>
      <w:r>
        <w:t>248</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Regulations</w:t>
      </w:r>
      <w:r>
        <w:tab/>
      </w:r>
      <w:r>
        <w:fldChar w:fldCharType="begin"/>
      </w:r>
      <w:r>
        <w:instrText xml:space="preserve"> PAGEREF _Toc33609278 \h </w:instrText>
      </w:r>
      <w:r>
        <w:fldChar w:fldCharType="separate"/>
      </w:r>
      <w:r>
        <w:t>248</w:t>
      </w:r>
      <w:r>
        <w:fldChar w:fldCharType="end"/>
      </w:r>
    </w:p>
    <w:p>
      <w:pPr>
        <w:pStyle w:val="TOC8"/>
        <w:rPr>
          <w:rFonts w:asciiTheme="minorHAnsi" w:eastAsiaTheme="minorEastAsia" w:hAnsiTheme="minorHAnsi" w:cstheme="minorBidi"/>
          <w:szCs w:val="22"/>
        </w:rPr>
      </w:pPr>
      <w:r>
        <w:t>154.</w:t>
      </w:r>
      <w:r>
        <w:tab/>
        <w:t>Further transitional provisions</w:t>
      </w:r>
      <w:r>
        <w:tab/>
      </w:r>
      <w:r>
        <w:fldChar w:fldCharType="begin"/>
      </w:r>
      <w:r>
        <w:instrText xml:space="preserve"> PAGEREF _Toc33609279 \h </w:instrText>
      </w:r>
      <w:r>
        <w:fldChar w:fldCharType="separate"/>
      </w:r>
      <w:r>
        <w:t>251</w:t>
      </w:r>
      <w:r>
        <w:fldChar w:fldCharType="end"/>
      </w:r>
    </w:p>
    <w:p>
      <w:pPr>
        <w:pStyle w:val="TOC2"/>
        <w:tabs>
          <w:tab w:val="right" w:leader="dot" w:pos="7077"/>
        </w:tabs>
        <w:rPr>
          <w:rFonts w:asciiTheme="minorHAnsi" w:eastAsiaTheme="minorEastAsia" w:hAnsiTheme="minorHAnsi" w:cstheme="minorBidi"/>
          <w:b w:val="0"/>
          <w:sz w:val="22"/>
          <w:szCs w:val="22"/>
        </w:rPr>
      </w:pPr>
      <w:r>
        <w:t>Schedule 1 — Occupational safety and health</w:t>
      </w:r>
    </w:p>
    <w:p>
      <w:pPr>
        <w:pStyle w:val="TOC4"/>
        <w:tabs>
          <w:tab w:val="right" w:leader="dot" w:pos="7077"/>
        </w:tabs>
        <w:rPr>
          <w:rFonts w:asciiTheme="minorHAnsi" w:eastAsiaTheme="minorEastAsia" w:hAnsiTheme="minorHAnsi" w:cstheme="minorBidi"/>
          <w:b w:val="0"/>
          <w:szCs w:val="22"/>
        </w:rPr>
      </w:pPr>
      <w:r>
        <w:t>Division 1</w:t>
      </w:r>
      <w:r>
        <w:rPr>
          <w:b w:val="0"/>
        </w:rPr>
        <w:t> — </w:t>
      </w:r>
      <w:r>
        <w:t>Introduction</w:t>
      </w:r>
    </w:p>
    <w:p>
      <w:pPr>
        <w:pStyle w:val="TOC8"/>
        <w:rPr>
          <w:rFonts w:asciiTheme="minorHAnsi" w:eastAsiaTheme="minorEastAsia" w:hAnsiTheme="minorHAnsi" w:cstheme="minorBidi"/>
          <w:szCs w:val="22"/>
        </w:rPr>
      </w:pPr>
      <w:r>
        <w:t>1.</w:t>
      </w:r>
      <w:r>
        <w:tab/>
        <w:t>Objects</w:t>
      </w:r>
      <w:r>
        <w:tab/>
      </w:r>
      <w:r>
        <w:fldChar w:fldCharType="begin"/>
      </w:r>
      <w:r>
        <w:instrText xml:space="preserve"> PAGEREF _Toc33609282 \h </w:instrText>
      </w:r>
      <w:r>
        <w:fldChar w:fldCharType="separate"/>
      </w:r>
      <w:r>
        <w:t>253</w:t>
      </w:r>
      <w:r>
        <w:fldChar w:fldCharType="end"/>
      </w:r>
    </w:p>
    <w:p>
      <w:pPr>
        <w:pStyle w:val="TOC8"/>
        <w:rPr>
          <w:rFonts w:asciiTheme="minorHAnsi" w:eastAsiaTheme="minorEastAsia" w:hAnsiTheme="minorHAnsi" w:cstheme="minorBidi"/>
          <w:szCs w:val="22"/>
        </w:rPr>
      </w:pPr>
      <w:r>
        <w:t>2.</w:t>
      </w:r>
      <w:r>
        <w:tab/>
        <w:t>Simplified outline</w:t>
      </w:r>
      <w:r>
        <w:tab/>
      </w:r>
      <w:r>
        <w:fldChar w:fldCharType="begin"/>
      </w:r>
      <w:r>
        <w:instrText xml:space="preserve"> PAGEREF _Toc33609283 \h </w:instrText>
      </w:r>
      <w:r>
        <w:fldChar w:fldCharType="separate"/>
      </w:r>
      <w:r>
        <w:t>253</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_Toc33609284 \h </w:instrText>
      </w:r>
      <w:r>
        <w:fldChar w:fldCharType="separate"/>
      </w:r>
      <w:r>
        <w:t>255</w:t>
      </w:r>
      <w:r>
        <w:fldChar w:fldCharType="end"/>
      </w:r>
    </w:p>
    <w:p>
      <w:pPr>
        <w:pStyle w:val="TOC8"/>
        <w:rPr>
          <w:rFonts w:asciiTheme="minorHAnsi" w:eastAsiaTheme="minorEastAsia" w:hAnsiTheme="minorHAnsi" w:cstheme="minorBidi"/>
          <w:szCs w:val="22"/>
        </w:rPr>
      </w:pPr>
      <w:r>
        <w:t>4.</w:t>
      </w:r>
      <w:r>
        <w:tab/>
        <w:t>Operator must ensure presence of operator’s representative</w:t>
      </w:r>
      <w:r>
        <w:tab/>
      </w:r>
      <w:r>
        <w:fldChar w:fldCharType="begin"/>
      </w:r>
      <w:r>
        <w:instrText xml:space="preserve"> PAGEREF _Toc33609285 \h </w:instrText>
      </w:r>
      <w:r>
        <w:fldChar w:fldCharType="separate"/>
      </w:r>
      <w:r>
        <w:t>257</w:t>
      </w:r>
      <w:r>
        <w:fldChar w:fldCharType="end"/>
      </w:r>
    </w:p>
    <w:p>
      <w:pPr>
        <w:pStyle w:val="TOC8"/>
        <w:rPr>
          <w:rFonts w:asciiTheme="minorHAnsi" w:eastAsiaTheme="minorEastAsia" w:hAnsiTheme="minorHAnsi" w:cstheme="minorBidi"/>
          <w:szCs w:val="22"/>
        </w:rPr>
      </w:pPr>
      <w:r>
        <w:t>5.</w:t>
      </w:r>
      <w:r>
        <w:tab/>
        <w:t>Safety and health of persons using accommodation amenity</w:t>
      </w:r>
      <w:r>
        <w:tab/>
      </w:r>
      <w:r>
        <w:fldChar w:fldCharType="begin"/>
      </w:r>
      <w:r>
        <w:instrText xml:space="preserve"> PAGEREF _Toc33609286 \h </w:instrText>
      </w:r>
      <w:r>
        <w:fldChar w:fldCharType="separate"/>
      </w:r>
      <w:r>
        <w:t>258</w:t>
      </w:r>
      <w:r>
        <w:fldChar w:fldCharType="end"/>
      </w:r>
    </w:p>
    <w:p>
      <w:pPr>
        <w:pStyle w:val="TOC8"/>
        <w:rPr>
          <w:rFonts w:asciiTheme="minorHAnsi" w:eastAsiaTheme="minorEastAsia" w:hAnsiTheme="minorHAnsi" w:cstheme="minorBidi"/>
          <w:szCs w:val="22"/>
        </w:rPr>
      </w:pPr>
      <w:r>
        <w:t>6.</w:t>
      </w:r>
      <w:r>
        <w:tab/>
        <w:t>Contractor</w:t>
      </w:r>
      <w:r>
        <w:tab/>
      </w:r>
      <w:r>
        <w:fldChar w:fldCharType="begin"/>
      </w:r>
      <w:r>
        <w:instrText xml:space="preserve"> PAGEREF _Toc33609287 \h </w:instrText>
      </w:r>
      <w:r>
        <w:fldChar w:fldCharType="separate"/>
      </w:r>
      <w:r>
        <w:t>258</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Occupational safety and health</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 xml:space="preserve">Duties </w:t>
      </w:r>
      <w:r>
        <w:t>relating to occupational safety and health</w:t>
      </w:r>
    </w:p>
    <w:p>
      <w:pPr>
        <w:pStyle w:val="TOC8"/>
        <w:rPr>
          <w:rFonts w:asciiTheme="minorHAnsi" w:eastAsiaTheme="minorEastAsia" w:hAnsiTheme="minorHAnsi" w:cstheme="minorBidi"/>
          <w:szCs w:val="22"/>
        </w:rPr>
      </w:pPr>
      <w:r>
        <w:t>7.</w:t>
      </w:r>
      <w:r>
        <w:tab/>
        <w:t>Duties of operator</w:t>
      </w:r>
      <w:r>
        <w:tab/>
      </w:r>
      <w:r>
        <w:fldChar w:fldCharType="begin"/>
      </w:r>
      <w:r>
        <w:instrText xml:space="preserve"> PAGEREF _Toc33609290 \h </w:instrText>
      </w:r>
      <w:r>
        <w:fldChar w:fldCharType="separate"/>
      </w:r>
      <w:r>
        <w:t>259</w:t>
      </w:r>
      <w:r>
        <w:fldChar w:fldCharType="end"/>
      </w:r>
    </w:p>
    <w:p>
      <w:pPr>
        <w:pStyle w:val="TOC8"/>
        <w:rPr>
          <w:rFonts w:asciiTheme="minorHAnsi" w:eastAsiaTheme="minorEastAsia" w:hAnsiTheme="minorHAnsi" w:cstheme="minorBidi"/>
          <w:szCs w:val="22"/>
        </w:rPr>
      </w:pPr>
      <w:r>
        <w:t>8.</w:t>
      </w:r>
      <w:r>
        <w:tab/>
        <w:t>Duties of persons in control of parts of petroleum operation or geothermal energy operation</w:t>
      </w:r>
      <w:r>
        <w:tab/>
      </w:r>
      <w:r>
        <w:fldChar w:fldCharType="begin"/>
      </w:r>
      <w:r>
        <w:instrText xml:space="preserve"> PAGEREF _Toc33609291 \h </w:instrText>
      </w:r>
      <w:r>
        <w:fldChar w:fldCharType="separate"/>
      </w:r>
      <w:r>
        <w:t>261</w:t>
      </w:r>
      <w:r>
        <w:fldChar w:fldCharType="end"/>
      </w:r>
    </w:p>
    <w:p>
      <w:pPr>
        <w:pStyle w:val="TOC8"/>
        <w:rPr>
          <w:rFonts w:asciiTheme="minorHAnsi" w:eastAsiaTheme="minorEastAsia" w:hAnsiTheme="minorHAnsi" w:cstheme="minorBidi"/>
          <w:szCs w:val="22"/>
        </w:rPr>
      </w:pPr>
      <w:r>
        <w:t>9.</w:t>
      </w:r>
      <w:r>
        <w:tab/>
        <w:t>Duties of employers</w:t>
      </w:r>
      <w:r>
        <w:tab/>
      </w:r>
      <w:r>
        <w:fldChar w:fldCharType="begin"/>
      </w:r>
      <w:r>
        <w:instrText xml:space="preserve"> PAGEREF _Toc33609292 \h </w:instrText>
      </w:r>
      <w:r>
        <w:fldChar w:fldCharType="separate"/>
      </w:r>
      <w:r>
        <w:t>262</w:t>
      </w:r>
      <w:r>
        <w:fldChar w:fldCharType="end"/>
      </w:r>
    </w:p>
    <w:p>
      <w:pPr>
        <w:pStyle w:val="TOC8"/>
        <w:rPr>
          <w:rFonts w:asciiTheme="minorHAnsi" w:eastAsiaTheme="minorEastAsia" w:hAnsiTheme="minorHAnsi" w:cstheme="minorBidi"/>
          <w:szCs w:val="22"/>
        </w:rPr>
      </w:pPr>
      <w:r>
        <w:t>10.</w:t>
      </w:r>
      <w:r>
        <w:tab/>
        <w:t>Duties of manufacturers in relation to plant and substances</w:t>
      </w:r>
      <w:r>
        <w:tab/>
      </w:r>
      <w:r>
        <w:fldChar w:fldCharType="begin"/>
      </w:r>
      <w:r>
        <w:instrText xml:space="preserve"> PAGEREF _Toc33609293 \h </w:instrText>
      </w:r>
      <w:r>
        <w:fldChar w:fldCharType="separate"/>
      </w:r>
      <w:r>
        <w:t>263</w:t>
      </w:r>
      <w:r>
        <w:fldChar w:fldCharType="end"/>
      </w:r>
    </w:p>
    <w:p>
      <w:pPr>
        <w:pStyle w:val="TOC8"/>
        <w:rPr>
          <w:rFonts w:asciiTheme="minorHAnsi" w:eastAsiaTheme="minorEastAsia" w:hAnsiTheme="minorHAnsi" w:cstheme="minorBidi"/>
          <w:szCs w:val="22"/>
        </w:rPr>
      </w:pPr>
      <w:r>
        <w:t>11.</w:t>
      </w:r>
      <w:r>
        <w:tab/>
        <w:t>Duties of suppliers of facilities, plant and substances</w:t>
      </w:r>
      <w:r>
        <w:tab/>
      </w:r>
      <w:r>
        <w:fldChar w:fldCharType="begin"/>
      </w:r>
      <w:r>
        <w:instrText xml:space="preserve"> PAGEREF _Toc33609294 \h </w:instrText>
      </w:r>
      <w:r>
        <w:fldChar w:fldCharType="separate"/>
      </w:r>
      <w:r>
        <w:t>265</w:t>
      </w:r>
      <w:r>
        <w:fldChar w:fldCharType="end"/>
      </w:r>
    </w:p>
    <w:p>
      <w:pPr>
        <w:pStyle w:val="TOC8"/>
        <w:rPr>
          <w:rFonts w:asciiTheme="minorHAnsi" w:eastAsiaTheme="minorEastAsia" w:hAnsiTheme="minorHAnsi" w:cstheme="minorBidi"/>
          <w:szCs w:val="22"/>
        </w:rPr>
      </w:pPr>
      <w:r>
        <w:t>12.</w:t>
      </w:r>
      <w:r>
        <w:tab/>
        <w:t>Duties of persons erecting facilities or installing plant</w:t>
      </w:r>
      <w:r>
        <w:tab/>
      </w:r>
      <w:r>
        <w:fldChar w:fldCharType="begin"/>
      </w:r>
      <w:r>
        <w:instrText xml:space="preserve"> PAGEREF _Toc33609295 \h </w:instrText>
      </w:r>
      <w:r>
        <w:fldChar w:fldCharType="separate"/>
      </w:r>
      <w:r>
        <w:t>267</w:t>
      </w:r>
      <w:r>
        <w:fldChar w:fldCharType="end"/>
      </w:r>
    </w:p>
    <w:p>
      <w:pPr>
        <w:pStyle w:val="TOC8"/>
        <w:rPr>
          <w:rFonts w:asciiTheme="minorHAnsi" w:eastAsiaTheme="minorEastAsia" w:hAnsiTheme="minorHAnsi" w:cstheme="minorBidi"/>
          <w:szCs w:val="22"/>
        </w:rPr>
      </w:pPr>
      <w:r>
        <w:t>13.</w:t>
      </w:r>
      <w:r>
        <w:tab/>
        <w:t>Duties of persons in relation to occupational safety and health</w:t>
      </w:r>
      <w:r>
        <w:tab/>
      </w:r>
      <w:r>
        <w:fldChar w:fldCharType="begin"/>
      </w:r>
      <w:r>
        <w:instrText xml:space="preserve"> PAGEREF _Toc33609296 \h </w:instrText>
      </w:r>
      <w:r>
        <w:fldChar w:fldCharType="separate"/>
      </w:r>
      <w:r>
        <w:t>267</w:t>
      </w:r>
      <w:r>
        <w:fldChar w:fldCharType="end"/>
      </w:r>
    </w:p>
    <w:p>
      <w:pPr>
        <w:pStyle w:val="TOC8"/>
        <w:rPr>
          <w:rFonts w:asciiTheme="minorHAnsi" w:eastAsiaTheme="minorEastAsia" w:hAnsiTheme="minorHAnsi" w:cstheme="minorBidi"/>
          <w:szCs w:val="22"/>
        </w:rPr>
      </w:pPr>
      <w:r>
        <w:t>14.</w:t>
      </w:r>
      <w:r>
        <w:tab/>
        <w:t>Reliance on information supplied or results of research</w:t>
      </w:r>
      <w:r>
        <w:tab/>
      </w:r>
      <w:r>
        <w:fldChar w:fldCharType="begin"/>
      </w:r>
      <w:r>
        <w:instrText xml:space="preserve"> PAGEREF _Toc33609297 \h </w:instrText>
      </w:r>
      <w:r>
        <w:fldChar w:fldCharType="separate"/>
      </w:r>
      <w:r>
        <w:t>268</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Regulations</w:t>
      </w:r>
      <w:r>
        <w:t xml:space="preserve"> relating to occupational safety and health</w:t>
      </w:r>
    </w:p>
    <w:p>
      <w:pPr>
        <w:pStyle w:val="TOC8"/>
        <w:rPr>
          <w:rFonts w:asciiTheme="minorHAnsi" w:eastAsiaTheme="minorEastAsia" w:hAnsiTheme="minorHAnsi" w:cstheme="minorBidi"/>
          <w:szCs w:val="22"/>
        </w:rPr>
      </w:pPr>
      <w:r>
        <w:t>15.</w:t>
      </w:r>
      <w:r>
        <w:tab/>
        <w:t>Regulations relating to occupational safety and health</w:t>
      </w:r>
      <w:r>
        <w:tab/>
      </w:r>
      <w:r>
        <w:fldChar w:fldCharType="begin"/>
      </w:r>
      <w:r>
        <w:instrText xml:space="preserve"> PAGEREF _Toc33609299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Workplace arrangements</w:t>
      </w:r>
    </w:p>
    <w:p>
      <w:pPr>
        <w:pStyle w:val="TOC6"/>
        <w:tabs>
          <w:tab w:val="right" w:leader="dot" w:pos="7077"/>
        </w:tabs>
        <w:rPr>
          <w:rFonts w:asciiTheme="minorHAnsi" w:eastAsiaTheme="minorEastAsia" w:hAnsiTheme="minorHAnsi" w:cstheme="minorBidi"/>
          <w:b w:val="0"/>
          <w:sz w:val="22"/>
          <w:szCs w:val="22"/>
        </w:rPr>
      </w:pPr>
      <w:r>
        <w:t>Subdivision </w:t>
      </w:r>
      <w:r>
        <w:rPr>
          <w:bCs/>
        </w:rPr>
        <w:t>1</w:t>
      </w:r>
      <w:r>
        <w:rPr>
          <w:b w:val="0"/>
        </w:rPr>
        <w:t> — </w:t>
      </w:r>
      <w:r>
        <w:rPr>
          <w:bCs/>
        </w:rPr>
        <w:t>Introduction</w:t>
      </w:r>
    </w:p>
    <w:p>
      <w:pPr>
        <w:pStyle w:val="TOC8"/>
        <w:rPr>
          <w:rFonts w:asciiTheme="minorHAnsi" w:eastAsiaTheme="minorEastAsia" w:hAnsiTheme="minorHAnsi" w:cstheme="minorBidi"/>
          <w:szCs w:val="22"/>
        </w:rPr>
      </w:pPr>
      <w:r>
        <w:t>16.</w:t>
      </w:r>
      <w:r>
        <w:tab/>
        <w:t>Simplified outline</w:t>
      </w:r>
      <w:r>
        <w:tab/>
      </w:r>
      <w:r>
        <w:fldChar w:fldCharType="begin"/>
      </w:r>
      <w:r>
        <w:instrText xml:space="preserve"> PAGEREF _Toc33609302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2</w:t>
      </w:r>
      <w:r>
        <w:rPr>
          <w:b w:val="0"/>
        </w:rPr>
        <w:t> — </w:t>
      </w:r>
      <w:r>
        <w:rPr>
          <w:bCs/>
        </w:rPr>
        <w:t xml:space="preserve">Designated </w:t>
      </w:r>
      <w:r>
        <w:t>work groups</w:t>
      </w:r>
    </w:p>
    <w:p>
      <w:pPr>
        <w:pStyle w:val="TOC8"/>
        <w:rPr>
          <w:rFonts w:asciiTheme="minorHAnsi" w:eastAsiaTheme="minorEastAsia" w:hAnsiTheme="minorHAnsi" w:cstheme="minorBidi"/>
          <w:szCs w:val="22"/>
        </w:rPr>
      </w:pPr>
      <w:r>
        <w:t>17.</w:t>
      </w:r>
      <w:r>
        <w:tab/>
        <w:t>Establishment of designated work groups by request</w:t>
      </w:r>
      <w:r>
        <w:tab/>
      </w:r>
      <w:r>
        <w:fldChar w:fldCharType="begin"/>
      </w:r>
      <w:r>
        <w:instrText xml:space="preserve"> PAGEREF _Toc33609304 \h </w:instrText>
      </w:r>
      <w:r>
        <w:fldChar w:fldCharType="separate"/>
      </w:r>
      <w:r>
        <w:t>272</w:t>
      </w:r>
      <w:r>
        <w:fldChar w:fldCharType="end"/>
      </w:r>
    </w:p>
    <w:p>
      <w:pPr>
        <w:pStyle w:val="TOC8"/>
        <w:rPr>
          <w:rFonts w:asciiTheme="minorHAnsi" w:eastAsiaTheme="minorEastAsia" w:hAnsiTheme="minorHAnsi" w:cstheme="minorBidi"/>
          <w:szCs w:val="22"/>
        </w:rPr>
      </w:pPr>
      <w:r>
        <w:t>18.</w:t>
      </w:r>
      <w:r>
        <w:tab/>
        <w:t>Establishment of designated work groups at initiative of operator</w:t>
      </w:r>
      <w:r>
        <w:tab/>
      </w:r>
      <w:r>
        <w:fldChar w:fldCharType="begin"/>
      </w:r>
      <w:r>
        <w:instrText xml:space="preserve"> PAGEREF _Toc33609305 \h </w:instrText>
      </w:r>
      <w:r>
        <w:fldChar w:fldCharType="separate"/>
      </w:r>
      <w:r>
        <w:t>273</w:t>
      </w:r>
      <w:r>
        <w:fldChar w:fldCharType="end"/>
      </w:r>
    </w:p>
    <w:p>
      <w:pPr>
        <w:pStyle w:val="TOC8"/>
        <w:rPr>
          <w:rFonts w:asciiTheme="minorHAnsi" w:eastAsiaTheme="minorEastAsia" w:hAnsiTheme="minorHAnsi" w:cstheme="minorBidi"/>
          <w:szCs w:val="22"/>
        </w:rPr>
      </w:pPr>
      <w:r>
        <w:t>19.</w:t>
      </w:r>
      <w:r>
        <w:tab/>
        <w:t>Variation of designated work groups by request</w:t>
      </w:r>
      <w:r>
        <w:tab/>
      </w:r>
      <w:r>
        <w:fldChar w:fldCharType="begin"/>
      </w:r>
      <w:r>
        <w:instrText xml:space="preserve"> PAGEREF _Toc33609306 \h </w:instrText>
      </w:r>
      <w:r>
        <w:fldChar w:fldCharType="separate"/>
      </w:r>
      <w:r>
        <w:t>274</w:t>
      </w:r>
      <w:r>
        <w:fldChar w:fldCharType="end"/>
      </w:r>
    </w:p>
    <w:p>
      <w:pPr>
        <w:pStyle w:val="TOC8"/>
        <w:rPr>
          <w:rFonts w:asciiTheme="minorHAnsi" w:eastAsiaTheme="minorEastAsia" w:hAnsiTheme="minorHAnsi" w:cstheme="minorBidi"/>
          <w:szCs w:val="22"/>
        </w:rPr>
      </w:pPr>
      <w:r>
        <w:t>20.</w:t>
      </w:r>
      <w:r>
        <w:tab/>
        <w:t>Variation of designated work groups at initiative of operator</w:t>
      </w:r>
      <w:r>
        <w:tab/>
      </w:r>
      <w:r>
        <w:fldChar w:fldCharType="begin"/>
      </w:r>
      <w:r>
        <w:instrText xml:space="preserve"> PAGEREF _Toc33609307 \h </w:instrText>
      </w:r>
      <w:r>
        <w:fldChar w:fldCharType="separate"/>
      </w:r>
      <w:r>
        <w:t>275</w:t>
      </w:r>
      <w:r>
        <w:fldChar w:fldCharType="end"/>
      </w:r>
    </w:p>
    <w:p>
      <w:pPr>
        <w:pStyle w:val="TOC8"/>
        <w:rPr>
          <w:rFonts w:asciiTheme="minorHAnsi" w:eastAsiaTheme="minorEastAsia" w:hAnsiTheme="minorHAnsi" w:cstheme="minorBidi"/>
          <w:szCs w:val="22"/>
        </w:rPr>
      </w:pPr>
      <w:r>
        <w:t>21.</w:t>
      </w:r>
      <w:r>
        <w:tab/>
        <w:t>Referral of disagreement to reviewing authority</w:t>
      </w:r>
      <w:r>
        <w:tab/>
      </w:r>
      <w:r>
        <w:fldChar w:fldCharType="begin"/>
      </w:r>
      <w:r>
        <w:instrText xml:space="preserve"> PAGEREF _Toc33609308 \h </w:instrText>
      </w:r>
      <w:r>
        <w:fldChar w:fldCharType="separate"/>
      </w:r>
      <w:r>
        <w:t>276</w:t>
      </w:r>
      <w:r>
        <w:fldChar w:fldCharType="end"/>
      </w:r>
    </w:p>
    <w:p>
      <w:pPr>
        <w:pStyle w:val="TOC8"/>
        <w:rPr>
          <w:rFonts w:asciiTheme="minorHAnsi" w:eastAsiaTheme="minorEastAsia" w:hAnsiTheme="minorHAnsi" w:cstheme="minorBidi"/>
          <w:szCs w:val="22"/>
        </w:rPr>
      </w:pPr>
      <w:r>
        <w:t>22.</w:t>
      </w:r>
      <w:r>
        <w:tab/>
        <w:t>Manner of grouping members of workforce</w:t>
      </w:r>
      <w:r>
        <w:tab/>
      </w:r>
      <w:r>
        <w:fldChar w:fldCharType="begin"/>
      </w:r>
      <w:r>
        <w:instrText xml:space="preserve"> PAGEREF _Toc33609309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3</w:t>
      </w:r>
      <w:r>
        <w:rPr>
          <w:b w:val="0"/>
        </w:rPr>
        <w:t> — </w:t>
      </w:r>
      <w:r>
        <w:rPr>
          <w:bCs/>
        </w:rPr>
        <w:t>Safety and health</w:t>
      </w:r>
      <w:r>
        <w:t xml:space="preserve"> representatives</w:t>
      </w:r>
    </w:p>
    <w:p>
      <w:pPr>
        <w:pStyle w:val="TOC8"/>
        <w:rPr>
          <w:rFonts w:asciiTheme="minorHAnsi" w:eastAsiaTheme="minorEastAsia" w:hAnsiTheme="minorHAnsi" w:cstheme="minorBidi"/>
          <w:szCs w:val="22"/>
        </w:rPr>
      </w:pPr>
      <w:r>
        <w:t>23.</w:t>
      </w:r>
      <w:r>
        <w:tab/>
        <w:t>Selection of safety and health representatives</w:t>
      </w:r>
      <w:r>
        <w:tab/>
      </w:r>
      <w:r>
        <w:fldChar w:fldCharType="begin"/>
      </w:r>
      <w:r>
        <w:instrText xml:space="preserve"> PAGEREF _Toc33609311 \h </w:instrText>
      </w:r>
      <w:r>
        <w:fldChar w:fldCharType="separate"/>
      </w:r>
      <w:r>
        <w:t>278</w:t>
      </w:r>
      <w:r>
        <w:fldChar w:fldCharType="end"/>
      </w:r>
    </w:p>
    <w:p>
      <w:pPr>
        <w:pStyle w:val="TOC8"/>
        <w:rPr>
          <w:rFonts w:asciiTheme="minorHAnsi" w:eastAsiaTheme="minorEastAsia" w:hAnsiTheme="minorHAnsi" w:cstheme="minorBidi"/>
          <w:szCs w:val="22"/>
        </w:rPr>
      </w:pPr>
      <w:r>
        <w:t>24.</w:t>
      </w:r>
      <w:r>
        <w:tab/>
        <w:t>Election of safety and health representatives</w:t>
      </w:r>
      <w:r>
        <w:tab/>
      </w:r>
      <w:r>
        <w:fldChar w:fldCharType="begin"/>
      </w:r>
      <w:r>
        <w:instrText xml:space="preserve"> PAGEREF _Toc33609312 \h </w:instrText>
      </w:r>
      <w:r>
        <w:fldChar w:fldCharType="separate"/>
      </w:r>
      <w:r>
        <w:t>278</w:t>
      </w:r>
      <w:r>
        <w:fldChar w:fldCharType="end"/>
      </w:r>
    </w:p>
    <w:p>
      <w:pPr>
        <w:pStyle w:val="TOC8"/>
        <w:rPr>
          <w:rFonts w:asciiTheme="minorHAnsi" w:eastAsiaTheme="minorEastAsia" w:hAnsiTheme="minorHAnsi" w:cstheme="minorBidi"/>
          <w:szCs w:val="22"/>
        </w:rPr>
      </w:pPr>
      <w:r>
        <w:t>25.</w:t>
      </w:r>
      <w:r>
        <w:tab/>
        <w:t>List of safety and health representatives</w:t>
      </w:r>
      <w:r>
        <w:tab/>
      </w:r>
      <w:r>
        <w:fldChar w:fldCharType="begin"/>
      </w:r>
      <w:r>
        <w:instrText xml:space="preserve"> PAGEREF _Toc33609313 \h </w:instrText>
      </w:r>
      <w:r>
        <w:fldChar w:fldCharType="separate"/>
      </w:r>
      <w:r>
        <w:t>279</w:t>
      </w:r>
      <w:r>
        <w:fldChar w:fldCharType="end"/>
      </w:r>
    </w:p>
    <w:p>
      <w:pPr>
        <w:pStyle w:val="TOC8"/>
        <w:rPr>
          <w:rFonts w:asciiTheme="minorHAnsi" w:eastAsiaTheme="minorEastAsia" w:hAnsiTheme="minorHAnsi" w:cstheme="minorBidi"/>
          <w:szCs w:val="22"/>
        </w:rPr>
      </w:pPr>
      <w:r>
        <w:t>26.</w:t>
      </w:r>
      <w:r>
        <w:tab/>
        <w:t>Members of designated work group must be notified of selection etc. of safety and health representative</w:t>
      </w:r>
      <w:r>
        <w:tab/>
      </w:r>
      <w:r>
        <w:fldChar w:fldCharType="begin"/>
      </w:r>
      <w:r>
        <w:instrText xml:space="preserve"> PAGEREF _Toc33609314 \h </w:instrText>
      </w:r>
      <w:r>
        <w:fldChar w:fldCharType="separate"/>
      </w:r>
      <w:r>
        <w:t>280</w:t>
      </w:r>
      <w:r>
        <w:fldChar w:fldCharType="end"/>
      </w:r>
    </w:p>
    <w:p>
      <w:pPr>
        <w:pStyle w:val="TOC8"/>
        <w:rPr>
          <w:rFonts w:asciiTheme="minorHAnsi" w:eastAsiaTheme="minorEastAsia" w:hAnsiTheme="minorHAnsi" w:cstheme="minorBidi"/>
          <w:szCs w:val="22"/>
        </w:rPr>
      </w:pPr>
      <w:r>
        <w:t>27.</w:t>
      </w:r>
      <w:r>
        <w:tab/>
        <w:t>Term of office</w:t>
      </w:r>
      <w:r>
        <w:tab/>
      </w:r>
      <w:r>
        <w:fldChar w:fldCharType="begin"/>
      </w:r>
      <w:r>
        <w:instrText xml:space="preserve"> PAGEREF _Toc33609315 \h </w:instrText>
      </w:r>
      <w:r>
        <w:fldChar w:fldCharType="separate"/>
      </w:r>
      <w:r>
        <w:t>280</w:t>
      </w:r>
      <w:r>
        <w:fldChar w:fldCharType="end"/>
      </w:r>
    </w:p>
    <w:p>
      <w:pPr>
        <w:pStyle w:val="TOC8"/>
        <w:rPr>
          <w:rFonts w:asciiTheme="minorHAnsi" w:eastAsiaTheme="minorEastAsia" w:hAnsiTheme="minorHAnsi" w:cstheme="minorBidi"/>
          <w:szCs w:val="22"/>
        </w:rPr>
      </w:pPr>
      <w:r>
        <w:t>28.</w:t>
      </w:r>
      <w:r>
        <w:tab/>
        <w:t>Training of safety and health representatives</w:t>
      </w:r>
      <w:r>
        <w:tab/>
      </w:r>
      <w:r>
        <w:fldChar w:fldCharType="begin"/>
      </w:r>
      <w:r>
        <w:instrText xml:space="preserve"> PAGEREF _Toc33609316 \h </w:instrText>
      </w:r>
      <w:r>
        <w:fldChar w:fldCharType="separate"/>
      </w:r>
      <w:r>
        <w:t>280</w:t>
      </w:r>
      <w:r>
        <w:fldChar w:fldCharType="end"/>
      </w:r>
    </w:p>
    <w:p>
      <w:pPr>
        <w:pStyle w:val="TOC8"/>
        <w:rPr>
          <w:rFonts w:asciiTheme="minorHAnsi" w:eastAsiaTheme="minorEastAsia" w:hAnsiTheme="minorHAnsi" w:cstheme="minorBidi"/>
          <w:szCs w:val="22"/>
        </w:rPr>
      </w:pPr>
      <w:r>
        <w:t>29.</w:t>
      </w:r>
      <w:r>
        <w:tab/>
        <w:t>Resignation etc. of safety and health representatives</w:t>
      </w:r>
      <w:r>
        <w:tab/>
      </w:r>
      <w:r>
        <w:fldChar w:fldCharType="begin"/>
      </w:r>
      <w:r>
        <w:instrText xml:space="preserve"> PAGEREF _Toc33609317 \h </w:instrText>
      </w:r>
      <w:r>
        <w:fldChar w:fldCharType="separate"/>
      </w:r>
      <w:r>
        <w:t>281</w:t>
      </w:r>
      <w:r>
        <w:fldChar w:fldCharType="end"/>
      </w:r>
    </w:p>
    <w:p>
      <w:pPr>
        <w:pStyle w:val="TOC8"/>
        <w:rPr>
          <w:rFonts w:asciiTheme="minorHAnsi" w:eastAsiaTheme="minorEastAsia" w:hAnsiTheme="minorHAnsi" w:cstheme="minorBidi"/>
          <w:szCs w:val="22"/>
        </w:rPr>
      </w:pPr>
      <w:r>
        <w:t>30.</w:t>
      </w:r>
      <w:r>
        <w:tab/>
        <w:t>Disqualification of safety and health representatives</w:t>
      </w:r>
      <w:r>
        <w:tab/>
      </w:r>
      <w:r>
        <w:fldChar w:fldCharType="begin"/>
      </w:r>
      <w:r>
        <w:instrText xml:space="preserve"> PAGEREF _Toc33609318 \h </w:instrText>
      </w:r>
      <w:r>
        <w:fldChar w:fldCharType="separate"/>
      </w:r>
      <w:r>
        <w:t>282</w:t>
      </w:r>
      <w:r>
        <w:fldChar w:fldCharType="end"/>
      </w:r>
    </w:p>
    <w:p>
      <w:pPr>
        <w:pStyle w:val="TOC8"/>
        <w:rPr>
          <w:rFonts w:asciiTheme="minorHAnsi" w:eastAsiaTheme="minorEastAsia" w:hAnsiTheme="minorHAnsi" w:cstheme="minorBidi"/>
          <w:szCs w:val="22"/>
        </w:rPr>
      </w:pPr>
      <w:r>
        <w:t>31.</w:t>
      </w:r>
      <w:r>
        <w:tab/>
        <w:t>Deputy safety and health representatives</w:t>
      </w:r>
      <w:r>
        <w:tab/>
      </w:r>
      <w:r>
        <w:fldChar w:fldCharType="begin"/>
      </w:r>
      <w:r>
        <w:instrText xml:space="preserve"> PAGEREF _Toc33609319 \h </w:instrText>
      </w:r>
      <w:r>
        <w:fldChar w:fldCharType="separate"/>
      </w:r>
      <w:r>
        <w:t>283</w:t>
      </w:r>
      <w:r>
        <w:fldChar w:fldCharType="end"/>
      </w:r>
    </w:p>
    <w:p>
      <w:pPr>
        <w:pStyle w:val="TOC8"/>
        <w:rPr>
          <w:rFonts w:asciiTheme="minorHAnsi" w:eastAsiaTheme="minorEastAsia" w:hAnsiTheme="minorHAnsi" w:cstheme="minorBidi"/>
          <w:szCs w:val="22"/>
        </w:rPr>
      </w:pPr>
      <w:r>
        <w:t>32.</w:t>
      </w:r>
      <w:r>
        <w:tab/>
        <w:t>Powers of safety and health representatives</w:t>
      </w:r>
      <w:r>
        <w:tab/>
      </w:r>
      <w:r>
        <w:fldChar w:fldCharType="begin"/>
      </w:r>
      <w:r>
        <w:instrText xml:space="preserve"> PAGEREF _Toc33609320 \h </w:instrText>
      </w:r>
      <w:r>
        <w:fldChar w:fldCharType="separate"/>
      </w:r>
      <w:r>
        <w:t>283</w:t>
      </w:r>
      <w:r>
        <w:fldChar w:fldCharType="end"/>
      </w:r>
    </w:p>
    <w:p>
      <w:pPr>
        <w:pStyle w:val="TOC8"/>
        <w:rPr>
          <w:rFonts w:asciiTheme="minorHAnsi" w:eastAsiaTheme="minorEastAsia" w:hAnsiTheme="minorHAnsi" w:cstheme="minorBidi"/>
          <w:szCs w:val="22"/>
        </w:rPr>
      </w:pPr>
      <w:r>
        <w:t>33.</w:t>
      </w:r>
      <w:r>
        <w:tab/>
        <w:t>Assistance by consultant</w:t>
      </w:r>
      <w:r>
        <w:tab/>
      </w:r>
      <w:r>
        <w:fldChar w:fldCharType="begin"/>
      </w:r>
      <w:r>
        <w:instrText xml:space="preserve"> PAGEREF _Toc33609321 \h </w:instrText>
      </w:r>
      <w:r>
        <w:fldChar w:fldCharType="separate"/>
      </w:r>
      <w:r>
        <w:t>285</w:t>
      </w:r>
      <w:r>
        <w:fldChar w:fldCharType="end"/>
      </w:r>
    </w:p>
    <w:p>
      <w:pPr>
        <w:pStyle w:val="TOC8"/>
        <w:rPr>
          <w:rFonts w:asciiTheme="minorHAnsi" w:eastAsiaTheme="minorEastAsia" w:hAnsiTheme="minorHAnsi" w:cstheme="minorBidi"/>
          <w:szCs w:val="22"/>
        </w:rPr>
      </w:pPr>
      <w:r>
        <w:t>34.</w:t>
      </w:r>
      <w:r>
        <w:tab/>
      </w:r>
      <w:r>
        <w:rPr>
          <w:bCs/>
        </w:rPr>
        <w:t>Access to information</w:t>
      </w:r>
      <w:r>
        <w:tab/>
      </w:r>
      <w:r>
        <w:fldChar w:fldCharType="begin"/>
      </w:r>
      <w:r>
        <w:instrText xml:space="preserve"> PAGEREF _Toc33609322 \h </w:instrText>
      </w:r>
      <w:r>
        <w:fldChar w:fldCharType="separate"/>
      </w:r>
      <w:r>
        <w:t>286</w:t>
      </w:r>
      <w:r>
        <w:fldChar w:fldCharType="end"/>
      </w:r>
    </w:p>
    <w:p>
      <w:pPr>
        <w:pStyle w:val="TOC8"/>
        <w:rPr>
          <w:rFonts w:asciiTheme="minorHAnsi" w:eastAsiaTheme="minorEastAsia" w:hAnsiTheme="minorHAnsi" w:cstheme="minorBidi"/>
          <w:szCs w:val="22"/>
        </w:rPr>
      </w:pPr>
      <w:r>
        <w:t>35.</w:t>
      </w:r>
      <w:r>
        <w:tab/>
        <w:t>Obligations and liabilities of safety and health representatives</w:t>
      </w:r>
      <w:r>
        <w:tab/>
      </w:r>
      <w:r>
        <w:fldChar w:fldCharType="begin"/>
      </w:r>
      <w:r>
        <w:instrText xml:space="preserve"> PAGEREF _Toc33609323 \h </w:instrText>
      </w:r>
      <w:r>
        <w:fldChar w:fldCharType="separate"/>
      </w:r>
      <w:r>
        <w:t>287</w:t>
      </w:r>
      <w:r>
        <w:fldChar w:fldCharType="end"/>
      </w:r>
    </w:p>
    <w:p>
      <w:pPr>
        <w:pStyle w:val="TOC8"/>
        <w:rPr>
          <w:rFonts w:asciiTheme="minorHAnsi" w:eastAsiaTheme="minorEastAsia" w:hAnsiTheme="minorHAnsi" w:cstheme="minorBidi"/>
          <w:szCs w:val="22"/>
        </w:rPr>
      </w:pPr>
      <w:r>
        <w:t>36.</w:t>
      </w:r>
      <w:r>
        <w:tab/>
        <w:t>Provisional improvement notices</w:t>
      </w:r>
      <w:r>
        <w:tab/>
      </w:r>
      <w:r>
        <w:fldChar w:fldCharType="begin"/>
      </w:r>
      <w:r>
        <w:instrText xml:space="preserve"> PAGEREF _Toc33609324 \h </w:instrText>
      </w:r>
      <w:r>
        <w:fldChar w:fldCharType="separate"/>
      </w:r>
      <w:r>
        <w:t>287</w:t>
      </w:r>
      <w:r>
        <w:fldChar w:fldCharType="end"/>
      </w:r>
    </w:p>
    <w:p>
      <w:pPr>
        <w:pStyle w:val="TOC8"/>
        <w:rPr>
          <w:rFonts w:asciiTheme="minorHAnsi" w:eastAsiaTheme="minorEastAsia" w:hAnsiTheme="minorHAnsi" w:cstheme="minorBidi"/>
          <w:szCs w:val="22"/>
        </w:rPr>
      </w:pPr>
      <w:r>
        <w:t>37.</w:t>
      </w:r>
      <w:r>
        <w:tab/>
        <w:t>Effect of provisional improvement notice</w:t>
      </w:r>
      <w:r>
        <w:tab/>
      </w:r>
      <w:r>
        <w:fldChar w:fldCharType="begin"/>
      </w:r>
      <w:r>
        <w:instrText xml:space="preserve"> PAGEREF _Toc33609325 \h </w:instrText>
      </w:r>
      <w:r>
        <w:fldChar w:fldCharType="separate"/>
      </w:r>
      <w:r>
        <w:t>289</w:t>
      </w:r>
      <w:r>
        <w:fldChar w:fldCharType="end"/>
      </w:r>
    </w:p>
    <w:p>
      <w:pPr>
        <w:pStyle w:val="TOC8"/>
        <w:rPr>
          <w:rFonts w:asciiTheme="minorHAnsi" w:eastAsiaTheme="minorEastAsia" w:hAnsiTheme="minorHAnsi" w:cstheme="minorBidi"/>
          <w:szCs w:val="22"/>
        </w:rPr>
      </w:pPr>
      <w:r>
        <w:t>38.</w:t>
      </w:r>
      <w:r>
        <w:tab/>
        <w:t>Duties of operator and other employers in relation to safety and health representatives</w:t>
      </w:r>
      <w:r>
        <w:tab/>
      </w:r>
      <w:r>
        <w:fldChar w:fldCharType="begin"/>
      </w:r>
      <w:r>
        <w:instrText xml:space="preserve"> PAGEREF _Toc33609326 \h </w:instrText>
      </w:r>
      <w:r>
        <w:fldChar w:fldCharType="separate"/>
      </w:r>
      <w:r>
        <w:t>290</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w:t>
      </w:r>
      <w:r>
        <w:rPr>
          <w:b w:val="0"/>
        </w:rPr>
        <w:t> — </w:t>
      </w:r>
      <w:r>
        <w:rPr>
          <w:bCs/>
        </w:rPr>
        <w:t>Safety and health</w:t>
      </w:r>
      <w:r>
        <w:t xml:space="preserve"> committees</w:t>
      </w:r>
    </w:p>
    <w:p>
      <w:pPr>
        <w:pStyle w:val="TOC8"/>
        <w:rPr>
          <w:rFonts w:asciiTheme="minorHAnsi" w:eastAsiaTheme="minorEastAsia" w:hAnsiTheme="minorHAnsi" w:cstheme="minorBidi"/>
          <w:szCs w:val="22"/>
        </w:rPr>
      </w:pPr>
      <w:r>
        <w:t>39.</w:t>
      </w:r>
      <w:r>
        <w:tab/>
        <w:t>Safety and health committees</w:t>
      </w:r>
      <w:r>
        <w:tab/>
      </w:r>
      <w:r>
        <w:fldChar w:fldCharType="begin"/>
      </w:r>
      <w:r>
        <w:instrText xml:space="preserve"> PAGEREF _Toc33609328 \h </w:instrText>
      </w:r>
      <w:r>
        <w:fldChar w:fldCharType="separate"/>
      </w:r>
      <w:r>
        <w:t>292</w:t>
      </w:r>
      <w:r>
        <w:fldChar w:fldCharType="end"/>
      </w:r>
    </w:p>
    <w:p>
      <w:pPr>
        <w:pStyle w:val="TOC8"/>
        <w:rPr>
          <w:rFonts w:asciiTheme="minorHAnsi" w:eastAsiaTheme="minorEastAsia" w:hAnsiTheme="minorHAnsi" w:cstheme="minorBidi"/>
          <w:szCs w:val="22"/>
        </w:rPr>
      </w:pPr>
      <w:r>
        <w:t>40.</w:t>
      </w:r>
      <w:r>
        <w:tab/>
        <w:t>Functions of safety and health committees</w:t>
      </w:r>
      <w:r>
        <w:tab/>
      </w:r>
      <w:r>
        <w:fldChar w:fldCharType="begin"/>
      </w:r>
      <w:r>
        <w:instrText xml:space="preserve"> PAGEREF _Toc33609329 \h </w:instrText>
      </w:r>
      <w:r>
        <w:fldChar w:fldCharType="separate"/>
      </w:r>
      <w:r>
        <w:t>293</w:t>
      </w:r>
      <w:r>
        <w:fldChar w:fldCharType="end"/>
      </w:r>
    </w:p>
    <w:p>
      <w:pPr>
        <w:pStyle w:val="TOC8"/>
        <w:rPr>
          <w:rFonts w:asciiTheme="minorHAnsi" w:eastAsiaTheme="minorEastAsia" w:hAnsiTheme="minorHAnsi" w:cstheme="minorBidi"/>
          <w:szCs w:val="22"/>
        </w:rPr>
      </w:pPr>
      <w:r>
        <w:t>41.</w:t>
      </w:r>
      <w:r>
        <w:tab/>
        <w:t>Duties of operator and other employers in relation to safety and health committees</w:t>
      </w:r>
      <w:r>
        <w:tab/>
      </w:r>
      <w:r>
        <w:fldChar w:fldCharType="begin"/>
      </w:r>
      <w:r>
        <w:instrText xml:space="preserve"> PAGEREF _Toc33609330 \h </w:instrText>
      </w:r>
      <w:r>
        <w:fldChar w:fldCharType="separate"/>
      </w:r>
      <w:r>
        <w:t>294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w:t>
      </w:r>
      <w:r>
        <w:rPr>
          <w:b w:val="0"/>
        </w:rPr>
        <w:t> — </w:t>
      </w:r>
      <w:r>
        <w:rPr>
          <w:bCs/>
        </w:rPr>
        <w:t>Emergency</w:t>
      </w:r>
      <w:r>
        <w:t xml:space="preserve"> procedures</w:t>
      </w:r>
    </w:p>
    <w:p>
      <w:pPr>
        <w:pStyle w:val="TOC8"/>
        <w:rPr>
          <w:rFonts w:asciiTheme="minorHAnsi" w:eastAsiaTheme="minorEastAsia" w:hAnsiTheme="minorHAnsi" w:cstheme="minorBidi"/>
          <w:szCs w:val="22"/>
        </w:rPr>
      </w:pPr>
      <w:r>
        <w:t>42.</w:t>
      </w:r>
      <w:r>
        <w:tab/>
        <w:t>Action by safety and health representatives</w:t>
      </w:r>
      <w:r>
        <w:tab/>
      </w:r>
      <w:r>
        <w:fldChar w:fldCharType="begin"/>
      </w:r>
      <w:r>
        <w:instrText xml:space="preserve"> PAGEREF _Toc33609332 \h </w:instrText>
      </w:r>
      <w:r>
        <w:fldChar w:fldCharType="separate"/>
      </w:r>
      <w:r>
        <w:t>295</w:t>
      </w:r>
      <w:r>
        <w:fldChar w:fldCharType="end"/>
      </w:r>
    </w:p>
    <w:p>
      <w:pPr>
        <w:pStyle w:val="TOC8"/>
        <w:rPr>
          <w:rFonts w:asciiTheme="minorHAnsi" w:eastAsiaTheme="minorEastAsia" w:hAnsiTheme="minorHAnsi" w:cstheme="minorBidi"/>
          <w:szCs w:val="22"/>
        </w:rPr>
      </w:pPr>
      <w:r>
        <w:t>43.</w:t>
      </w:r>
      <w:r>
        <w:tab/>
        <w:t>Directions to perform other work</w:t>
      </w:r>
      <w:r>
        <w:tab/>
      </w:r>
      <w:r>
        <w:fldChar w:fldCharType="begin"/>
      </w:r>
      <w:r>
        <w:instrText xml:space="preserve"> PAGEREF _Toc33609333 \h </w:instrText>
      </w:r>
      <w:r>
        <w:fldChar w:fldCharType="separate"/>
      </w:r>
      <w:r>
        <w:t>297</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6 — Exemptions</w:t>
      </w:r>
    </w:p>
    <w:p>
      <w:pPr>
        <w:pStyle w:val="TOC8"/>
        <w:rPr>
          <w:rFonts w:asciiTheme="minorHAnsi" w:eastAsiaTheme="minorEastAsia" w:hAnsiTheme="minorHAnsi" w:cstheme="minorBidi"/>
          <w:szCs w:val="22"/>
        </w:rPr>
      </w:pPr>
      <w:r>
        <w:t>44.</w:t>
      </w:r>
      <w:r>
        <w:tab/>
        <w:t>Exemptions</w:t>
      </w:r>
      <w:r>
        <w:tab/>
      </w:r>
      <w:r>
        <w:fldChar w:fldCharType="begin"/>
      </w:r>
      <w:r>
        <w:instrText xml:space="preserve"> PAGEREF _Toc33609335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Inspections</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Introduction</w:t>
      </w:r>
    </w:p>
    <w:p>
      <w:pPr>
        <w:pStyle w:val="TOC8"/>
        <w:rPr>
          <w:rFonts w:asciiTheme="minorHAnsi" w:eastAsiaTheme="minorEastAsia" w:hAnsiTheme="minorHAnsi" w:cstheme="minorBidi"/>
          <w:szCs w:val="22"/>
        </w:rPr>
      </w:pPr>
      <w:r>
        <w:t>45.</w:t>
      </w:r>
      <w:r>
        <w:tab/>
        <w:t>Simplified outline</w:t>
      </w:r>
      <w:r>
        <w:tab/>
      </w:r>
      <w:r>
        <w:fldChar w:fldCharType="begin"/>
      </w:r>
      <w:r>
        <w:instrText xml:space="preserve"> PAGEREF _Toc33609338 \h </w:instrText>
      </w:r>
      <w:r>
        <w:fldChar w:fldCharType="separate"/>
      </w:r>
      <w:r>
        <w:t>298</w:t>
      </w:r>
      <w:r>
        <w:fldChar w:fldCharType="end"/>
      </w:r>
    </w:p>
    <w:p>
      <w:pPr>
        <w:pStyle w:val="TOC8"/>
        <w:rPr>
          <w:rFonts w:asciiTheme="minorHAnsi" w:eastAsiaTheme="minorEastAsia" w:hAnsiTheme="minorHAnsi" w:cstheme="minorBidi"/>
          <w:szCs w:val="22"/>
        </w:rPr>
      </w:pPr>
      <w:r>
        <w:t>46.</w:t>
      </w:r>
      <w:r>
        <w:tab/>
        <w:t>Powers, functions and duties of inspectors</w:t>
      </w:r>
      <w:r>
        <w:tab/>
      </w:r>
      <w:r>
        <w:fldChar w:fldCharType="begin"/>
      </w:r>
      <w:r>
        <w:instrText xml:space="preserve"> PAGEREF _Toc33609339 \h </w:instrText>
      </w:r>
      <w:r>
        <w:fldChar w:fldCharType="separate"/>
      </w:r>
      <w:r>
        <w:t>298</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Inspections</w:t>
      </w:r>
    </w:p>
    <w:p>
      <w:pPr>
        <w:pStyle w:val="TOC8"/>
        <w:rPr>
          <w:rFonts w:asciiTheme="minorHAnsi" w:eastAsiaTheme="minorEastAsia" w:hAnsiTheme="minorHAnsi" w:cstheme="minorBidi"/>
          <w:szCs w:val="22"/>
        </w:rPr>
      </w:pPr>
      <w:r>
        <w:t>47.</w:t>
      </w:r>
      <w:r>
        <w:tab/>
        <w:t>Inspections</w:t>
      </w:r>
      <w:r>
        <w:tab/>
      </w:r>
      <w:r>
        <w:fldChar w:fldCharType="begin"/>
      </w:r>
      <w:r>
        <w:instrText xml:space="preserve"> PAGEREF _Toc33609341 \h </w:instrText>
      </w:r>
      <w:r>
        <w:fldChar w:fldCharType="separate"/>
      </w:r>
      <w:r>
        <w:t>299</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 xml:space="preserve">3 — Powers </w:t>
      </w:r>
      <w:r>
        <w:t>of inspectors in relation to the conduct of inspections</w:t>
      </w:r>
    </w:p>
    <w:p>
      <w:pPr>
        <w:pStyle w:val="TOC8"/>
        <w:rPr>
          <w:rFonts w:asciiTheme="minorHAnsi" w:eastAsiaTheme="minorEastAsia" w:hAnsiTheme="minorHAnsi" w:cstheme="minorBidi"/>
          <w:szCs w:val="22"/>
        </w:rPr>
      </w:pPr>
      <w:r>
        <w:t>48.</w:t>
      </w:r>
      <w:r>
        <w:tab/>
        <w:t>Powers of entry and search — places at which petroleum operations or geothermal energy operations are carried on</w:t>
      </w:r>
      <w:r>
        <w:tab/>
      </w:r>
      <w:r>
        <w:fldChar w:fldCharType="begin"/>
      </w:r>
      <w:r>
        <w:instrText xml:space="preserve"> PAGEREF _Toc33609343 \h </w:instrText>
      </w:r>
      <w:r>
        <w:fldChar w:fldCharType="separate"/>
      </w:r>
      <w:r>
        <w:t>300</w:t>
      </w:r>
      <w:r>
        <w:fldChar w:fldCharType="end"/>
      </w:r>
    </w:p>
    <w:p>
      <w:pPr>
        <w:pStyle w:val="TOC8"/>
        <w:rPr>
          <w:rFonts w:asciiTheme="minorHAnsi" w:eastAsiaTheme="minorEastAsia" w:hAnsiTheme="minorHAnsi" w:cstheme="minorBidi"/>
          <w:szCs w:val="22"/>
        </w:rPr>
      </w:pPr>
      <w:r>
        <w:t>49.</w:t>
      </w:r>
      <w:r>
        <w:tab/>
        <w:t>Powers of entry and search — regulated business premises (other than places where petroleum operations or geothermal energy operations carried on)</w:t>
      </w:r>
      <w:r>
        <w:tab/>
      </w:r>
      <w:r>
        <w:fldChar w:fldCharType="begin"/>
      </w:r>
      <w:r>
        <w:instrText xml:space="preserve"> PAGEREF _Toc33609344 \h </w:instrText>
      </w:r>
      <w:r>
        <w:fldChar w:fldCharType="separate"/>
      </w:r>
      <w:r>
        <w:t>301</w:t>
      </w:r>
      <w:r>
        <w:fldChar w:fldCharType="end"/>
      </w:r>
    </w:p>
    <w:p>
      <w:pPr>
        <w:pStyle w:val="TOC8"/>
        <w:rPr>
          <w:rFonts w:asciiTheme="minorHAnsi" w:eastAsiaTheme="minorEastAsia" w:hAnsiTheme="minorHAnsi" w:cstheme="minorBidi"/>
          <w:szCs w:val="22"/>
        </w:rPr>
      </w:pPr>
      <w:r>
        <w:t>50.</w:t>
      </w:r>
      <w:r>
        <w:tab/>
        <w:t>Powers of entry and search — premises (other than regulated business premises)</w:t>
      </w:r>
      <w:r>
        <w:tab/>
      </w:r>
      <w:r>
        <w:fldChar w:fldCharType="begin"/>
      </w:r>
      <w:r>
        <w:instrText xml:space="preserve"> PAGEREF _Toc33609345 \h </w:instrText>
      </w:r>
      <w:r>
        <w:fldChar w:fldCharType="separate"/>
      </w:r>
      <w:r>
        <w:t>302</w:t>
      </w:r>
      <w:r>
        <w:fldChar w:fldCharType="end"/>
      </w:r>
    </w:p>
    <w:p>
      <w:pPr>
        <w:pStyle w:val="TOC8"/>
        <w:rPr>
          <w:rFonts w:asciiTheme="minorHAnsi" w:eastAsiaTheme="minorEastAsia" w:hAnsiTheme="minorHAnsi" w:cstheme="minorBidi"/>
          <w:szCs w:val="22"/>
        </w:rPr>
      </w:pPr>
      <w:r>
        <w:t>51.</w:t>
      </w:r>
      <w:r>
        <w:tab/>
        <w:t>Warrant to enter premises (other than regulated business premises)</w:t>
      </w:r>
      <w:r>
        <w:tab/>
      </w:r>
      <w:r>
        <w:fldChar w:fldCharType="begin"/>
      </w:r>
      <w:r>
        <w:instrText xml:space="preserve"> PAGEREF _Toc33609346 \h </w:instrText>
      </w:r>
      <w:r>
        <w:fldChar w:fldCharType="separate"/>
      </w:r>
      <w:r>
        <w:t>303</w:t>
      </w:r>
      <w:r>
        <w:fldChar w:fldCharType="end"/>
      </w:r>
    </w:p>
    <w:p>
      <w:pPr>
        <w:pStyle w:val="TOC8"/>
        <w:rPr>
          <w:rFonts w:asciiTheme="minorHAnsi" w:eastAsiaTheme="minorEastAsia" w:hAnsiTheme="minorHAnsi" w:cstheme="minorBidi"/>
          <w:szCs w:val="22"/>
        </w:rPr>
      </w:pPr>
      <w:r>
        <w:t>52.</w:t>
      </w:r>
      <w:r>
        <w:tab/>
        <w:t>Obstructing or hindering inspector</w:t>
      </w:r>
      <w:r>
        <w:tab/>
      </w:r>
      <w:r>
        <w:fldChar w:fldCharType="begin"/>
      </w:r>
      <w:r>
        <w:instrText xml:space="preserve"> PAGEREF _Toc33609347 \h </w:instrText>
      </w:r>
      <w:r>
        <w:fldChar w:fldCharType="separate"/>
      </w:r>
      <w:r>
        <w:t>304</w:t>
      </w:r>
      <w:r>
        <w:fldChar w:fldCharType="end"/>
      </w:r>
    </w:p>
    <w:p>
      <w:pPr>
        <w:pStyle w:val="TOC8"/>
        <w:rPr>
          <w:rFonts w:asciiTheme="minorHAnsi" w:eastAsiaTheme="minorEastAsia" w:hAnsiTheme="minorHAnsi" w:cstheme="minorBidi"/>
          <w:szCs w:val="22"/>
        </w:rPr>
      </w:pPr>
      <w:r>
        <w:t>53.</w:t>
      </w:r>
      <w:r>
        <w:tab/>
        <w:t>Power to require assistance and information</w:t>
      </w:r>
      <w:r>
        <w:tab/>
      </w:r>
      <w:r>
        <w:fldChar w:fldCharType="begin"/>
      </w:r>
      <w:r>
        <w:instrText xml:space="preserve"> PAGEREF _Toc33609348 \h </w:instrText>
      </w:r>
      <w:r>
        <w:fldChar w:fldCharType="separate"/>
      </w:r>
      <w:r>
        <w:t>304</w:t>
      </w:r>
      <w:r>
        <w:fldChar w:fldCharType="end"/>
      </w:r>
    </w:p>
    <w:p>
      <w:pPr>
        <w:pStyle w:val="TOC8"/>
        <w:rPr>
          <w:rFonts w:asciiTheme="minorHAnsi" w:eastAsiaTheme="minorEastAsia" w:hAnsiTheme="minorHAnsi" w:cstheme="minorBidi"/>
          <w:szCs w:val="22"/>
        </w:rPr>
      </w:pPr>
      <w:r>
        <w:t>54.</w:t>
      </w:r>
      <w:r>
        <w:tab/>
        <w:t>Power to require answering of questions and production of documents or articles</w:t>
      </w:r>
      <w:r>
        <w:tab/>
      </w:r>
      <w:r>
        <w:fldChar w:fldCharType="begin"/>
      </w:r>
      <w:r>
        <w:instrText xml:space="preserve"> PAGEREF _Toc33609349 \h </w:instrText>
      </w:r>
      <w:r>
        <w:fldChar w:fldCharType="separate"/>
      </w:r>
      <w:r>
        <w:t>305</w:t>
      </w:r>
      <w:r>
        <w:fldChar w:fldCharType="end"/>
      </w:r>
    </w:p>
    <w:p>
      <w:pPr>
        <w:pStyle w:val="TOC8"/>
        <w:rPr>
          <w:rFonts w:asciiTheme="minorHAnsi" w:eastAsiaTheme="minorEastAsia" w:hAnsiTheme="minorHAnsi" w:cstheme="minorBidi"/>
          <w:szCs w:val="22"/>
        </w:rPr>
      </w:pPr>
      <w:r>
        <w:t>55.</w:t>
      </w:r>
      <w:r>
        <w:tab/>
        <w:t>Privilege against self</w:t>
      </w:r>
      <w:r>
        <w:noBreakHyphen/>
        <w:t>incrimination</w:t>
      </w:r>
      <w:r>
        <w:tab/>
      </w:r>
      <w:r>
        <w:fldChar w:fldCharType="begin"/>
      </w:r>
      <w:r>
        <w:instrText xml:space="preserve"> PAGEREF _Toc33609350 \h </w:instrText>
      </w:r>
      <w:r>
        <w:fldChar w:fldCharType="separate"/>
      </w:r>
      <w:r>
        <w:t>307</w:t>
      </w:r>
      <w:r>
        <w:fldChar w:fldCharType="end"/>
      </w:r>
    </w:p>
    <w:p>
      <w:pPr>
        <w:pStyle w:val="TOC8"/>
        <w:rPr>
          <w:rFonts w:asciiTheme="minorHAnsi" w:eastAsiaTheme="minorEastAsia" w:hAnsiTheme="minorHAnsi" w:cstheme="minorBidi"/>
          <w:szCs w:val="22"/>
        </w:rPr>
      </w:pPr>
      <w:r>
        <w:t>56.</w:t>
      </w:r>
      <w:r>
        <w:tab/>
        <w:t>Power to take possession of plant, take samples of substances etc.</w:t>
      </w:r>
      <w:r>
        <w:tab/>
      </w:r>
      <w:r>
        <w:fldChar w:fldCharType="begin"/>
      </w:r>
      <w:r>
        <w:instrText xml:space="preserve"> PAGEREF _Toc33609351 \h </w:instrText>
      </w:r>
      <w:r>
        <w:fldChar w:fldCharType="separate"/>
      </w:r>
      <w:r>
        <w:t>307</w:t>
      </w:r>
      <w:r>
        <w:fldChar w:fldCharType="end"/>
      </w:r>
    </w:p>
    <w:p>
      <w:pPr>
        <w:pStyle w:val="TOC8"/>
        <w:rPr>
          <w:rFonts w:asciiTheme="minorHAnsi" w:eastAsiaTheme="minorEastAsia" w:hAnsiTheme="minorHAnsi" w:cstheme="minorBidi"/>
          <w:szCs w:val="22"/>
        </w:rPr>
      </w:pPr>
      <w:r>
        <w:t>57.</w:t>
      </w:r>
      <w:r>
        <w:tab/>
        <w:t>Power to direct that workplace etc. not be disturbed</w:t>
      </w:r>
      <w:r>
        <w:tab/>
      </w:r>
      <w:r>
        <w:fldChar w:fldCharType="begin"/>
      </w:r>
      <w:r>
        <w:instrText xml:space="preserve"> PAGEREF _Toc33609352 \h </w:instrText>
      </w:r>
      <w:r>
        <w:fldChar w:fldCharType="separate"/>
      </w:r>
      <w:r>
        <w:t>309</w:t>
      </w:r>
      <w:r>
        <w:fldChar w:fldCharType="end"/>
      </w:r>
    </w:p>
    <w:p>
      <w:pPr>
        <w:pStyle w:val="TOC8"/>
        <w:rPr>
          <w:rFonts w:asciiTheme="minorHAnsi" w:eastAsiaTheme="minorEastAsia" w:hAnsiTheme="minorHAnsi" w:cstheme="minorBidi"/>
          <w:szCs w:val="22"/>
        </w:rPr>
      </w:pPr>
      <w:r>
        <w:t>58.</w:t>
      </w:r>
      <w:r>
        <w:tab/>
        <w:t>Power to issue prohibition notices</w:t>
      </w:r>
      <w:r>
        <w:tab/>
      </w:r>
      <w:r>
        <w:fldChar w:fldCharType="begin"/>
      </w:r>
      <w:r>
        <w:instrText xml:space="preserve"> PAGEREF _Toc33609353 \h </w:instrText>
      </w:r>
      <w:r>
        <w:fldChar w:fldCharType="separate"/>
      </w:r>
      <w:r>
        <w:t>310</w:t>
      </w:r>
      <w:r>
        <w:fldChar w:fldCharType="end"/>
      </w:r>
    </w:p>
    <w:p>
      <w:pPr>
        <w:pStyle w:val="TOC8"/>
        <w:rPr>
          <w:rFonts w:asciiTheme="minorHAnsi" w:eastAsiaTheme="minorEastAsia" w:hAnsiTheme="minorHAnsi" w:cstheme="minorBidi"/>
          <w:szCs w:val="22"/>
        </w:rPr>
      </w:pPr>
      <w:r>
        <w:t>59.</w:t>
      </w:r>
      <w:r>
        <w:tab/>
        <w:t>Compliance with prohibition notice</w:t>
      </w:r>
      <w:r>
        <w:tab/>
      </w:r>
      <w:r>
        <w:fldChar w:fldCharType="begin"/>
      </w:r>
      <w:r>
        <w:instrText xml:space="preserve"> PAGEREF _Toc33609354 \h </w:instrText>
      </w:r>
      <w:r>
        <w:fldChar w:fldCharType="separate"/>
      </w:r>
      <w:r>
        <w:t>311</w:t>
      </w:r>
      <w:r>
        <w:fldChar w:fldCharType="end"/>
      </w:r>
    </w:p>
    <w:p>
      <w:pPr>
        <w:pStyle w:val="TOC8"/>
        <w:rPr>
          <w:rFonts w:asciiTheme="minorHAnsi" w:eastAsiaTheme="minorEastAsia" w:hAnsiTheme="minorHAnsi" w:cstheme="minorBidi"/>
          <w:szCs w:val="22"/>
        </w:rPr>
      </w:pPr>
      <w:r>
        <w:t>60.</w:t>
      </w:r>
      <w:r>
        <w:tab/>
        <w:t>Power to issue improvement notices</w:t>
      </w:r>
      <w:r>
        <w:tab/>
      </w:r>
      <w:r>
        <w:fldChar w:fldCharType="begin"/>
      </w:r>
      <w:r>
        <w:instrText xml:space="preserve"> PAGEREF _Toc33609355 \h </w:instrText>
      </w:r>
      <w:r>
        <w:fldChar w:fldCharType="separate"/>
      </w:r>
      <w:r>
        <w:t>312</w:t>
      </w:r>
      <w:r>
        <w:fldChar w:fldCharType="end"/>
      </w:r>
    </w:p>
    <w:p>
      <w:pPr>
        <w:pStyle w:val="TOC8"/>
        <w:rPr>
          <w:rFonts w:asciiTheme="minorHAnsi" w:eastAsiaTheme="minorEastAsia" w:hAnsiTheme="minorHAnsi" w:cstheme="minorBidi"/>
          <w:szCs w:val="22"/>
        </w:rPr>
      </w:pPr>
      <w:r>
        <w:t>61.</w:t>
      </w:r>
      <w:r>
        <w:tab/>
        <w:t>Compliance with improvement notice</w:t>
      </w:r>
      <w:r>
        <w:tab/>
      </w:r>
      <w:r>
        <w:fldChar w:fldCharType="begin"/>
      </w:r>
      <w:r>
        <w:instrText xml:space="preserve"> PAGEREF _Toc33609356 \h </w:instrText>
      </w:r>
      <w:r>
        <w:fldChar w:fldCharType="separate"/>
      </w:r>
      <w:r>
        <w:t>314</w:t>
      </w:r>
      <w:r>
        <w:fldChar w:fldCharType="end"/>
      </w:r>
    </w:p>
    <w:p>
      <w:pPr>
        <w:pStyle w:val="TOC8"/>
        <w:rPr>
          <w:rFonts w:asciiTheme="minorHAnsi" w:eastAsiaTheme="minorEastAsia" w:hAnsiTheme="minorHAnsi" w:cstheme="minorBidi"/>
          <w:szCs w:val="22"/>
        </w:rPr>
      </w:pPr>
      <w:r>
        <w:t>62.</w:t>
      </w:r>
      <w:r>
        <w:tab/>
        <w:t>Notices not to be tampered with or removed</w:t>
      </w:r>
      <w:r>
        <w:tab/>
      </w:r>
      <w:r>
        <w:fldChar w:fldCharType="begin"/>
      </w:r>
      <w:r>
        <w:instrText xml:space="preserve"> PAGEREF _Toc33609357 \h </w:instrText>
      </w:r>
      <w:r>
        <w:fldChar w:fldCharType="separate"/>
      </w:r>
      <w:r>
        <w:t>314</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4 — Reports</w:t>
      </w:r>
      <w:r>
        <w:t xml:space="preserve"> on inspections</w:t>
      </w:r>
    </w:p>
    <w:p>
      <w:pPr>
        <w:pStyle w:val="TOC8"/>
        <w:rPr>
          <w:rFonts w:asciiTheme="minorHAnsi" w:eastAsiaTheme="minorEastAsia" w:hAnsiTheme="minorHAnsi" w:cstheme="minorBidi"/>
          <w:szCs w:val="22"/>
        </w:rPr>
      </w:pPr>
      <w:r>
        <w:t>63.</w:t>
      </w:r>
      <w:r>
        <w:tab/>
        <w:t>Reports on inspections</w:t>
      </w:r>
      <w:r>
        <w:tab/>
      </w:r>
      <w:r>
        <w:fldChar w:fldCharType="begin"/>
      </w:r>
      <w:r>
        <w:instrText xml:space="preserve"> PAGEREF _Toc33609359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w:t>
      </w:r>
      <w:r>
        <w:rPr>
          <w:bCs/>
        </w:rPr>
        <w:t>5 — Reviews of inspectors’ decisions</w:t>
      </w:r>
    </w:p>
    <w:p>
      <w:pPr>
        <w:pStyle w:val="TOC8"/>
        <w:rPr>
          <w:rFonts w:asciiTheme="minorHAnsi" w:eastAsiaTheme="minorEastAsia" w:hAnsiTheme="minorHAnsi" w:cstheme="minorBidi"/>
          <w:szCs w:val="22"/>
        </w:rPr>
      </w:pPr>
      <w:r>
        <w:t>64.</w:t>
      </w:r>
      <w:r>
        <w:tab/>
      </w:r>
      <w:r>
        <w:rPr>
          <w:bCs/>
        </w:rPr>
        <w:t>Reviews of inspectors’ decisions</w:t>
      </w:r>
      <w:r>
        <w:tab/>
      </w:r>
      <w:r>
        <w:fldChar w:fldCharType="begin"/>
      </w:r>
      <w:r>
        <w:instrText xml:space="preserve"> PAGEREF _Toc33609361 \h </w:instrText>
      </w:r>
      <w:r>
        <w:fldChar w:fldCharType="separate"/>
      </w:r>
      <w:r>
        <w:t>316</w:t>
      </w:r>
      <w:r>
        <w:fldChar w:fldCharType="end"/>
      </w:r>
    </w:p>
    <w:p>
      <w:pPr>
        <w:pStyle w:val="TOC8"/>
        <w:rPr>
          <w:rFonts w:asciiTheme="minorHAnsi" w:eastAsiaTheme="minorEastAsia" w:hAnsiTheme="minorHAnsi" w:cstheme="minorBidi"/>
          <w:szCs w:val="22"/>
        </w:rPr>
      </w:pPr>
      <w:r>
        <w:t>65.</w:t>
      </w:r>
      <w:r>
        <w:tab/>
        <w:t>Powers of reviewing authority on review</w:t>
      </w:r>
      <w:r>
        <w:tab/>
      </w:r>
      <w:r>
        <w:fldChar w:fldCharType="begin"/>
      </w:r>
      <w:r>
        <w:instrText xml:space="preserve"> PAGEREF _Toc33609362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Referrals to the Tribunal</w:t>
      </w:r>
    </w:p>
    <w:p>
      <w:pPr>
        <w:pStyle w:val="TOC8"/>
        <w:rPr>
          <w:rFonts w:asciiTheme="minorHAnsi" w:eastAsiaTheme="minorEastAsia" w:hAnsiTheme="minorHAnsi" w:cstheme="minorBidi"/>
          <w:szCs w:val="22"/>
        </w:rPr>
      </w:pPr>
      <w:r>
        <w:t>66.</w:t>
      </w:r>
      <w:r>
        <w:tab/>
      </w:r>
      <w:r>
        <w:rPr>
          <w:bCs/>
        </w:rPr>
        <w:t>Decision may be referred to Tribunal</w:t>
      </w:r>
      <w:r>
        <w:tab/>
      </w:r>
      <w:r>
        <w:fldChar w:fldCharType="begin"/>
      </w:r>
      <w:r>
        <w:instrText xml:space="preserve"> PAGEREF _Toc33609364 \h </w:instrText>
      </w:r>
      <w:r>
        <w:fldChar w:fldCharType="separate"/>
      </w:r>
      <w:r>
        <w:t>319</w:t>
      </w:r>
      <w:r>
        <w:fldChar w:fldCharType="end"/>
      </w:r>
    </w:p>
    <w:p>
      <w:pPr>
        <w:pStyle w:val="TOC8"/>
        <w:rPr>
          <w:rFonts w:asciiTheme="minorHAnsi" w:eastAsiaTheme="minorEastAsia" w:hAnsiTheme="minorHAnsi" w:cstheme="minorBidi"/>
          <w:szCs w:val="22"/>
        </w:rPr>
      </w:pPr>
      <w:r>
        <w:t>67.</w:t>
      </w:r>
      <w:r>
        <w:tab/>
        <w:t>Determination by Tribunal</w:t>
      </w:r>
      <w:r>
        <w:tab/>
      </w:r>
      <w:r>
        <w:fldChar w:fldCharType="begin"/>
      </w:r>
      <w:r>
        <w:instrText xml:space="preserve"> PAGEREF _Toc33609365 \h </w:instrText>
      </w:r>
      <w:r>
        <w:fldChar w:fldCharType="separate"/>
      </w:r>
      <w:r>
        <w:t>320</w:t>
      </w:r>
      <w:r>
        <w:fldChar w:fldCharType="end"/>
      </w:r>
    </w:p>
    <w:p>
      <w:pPr>
        <w:pStyle w:val="TOC8"/>
        <w:rPr>
          <w:rFonts w:asciiTheme="minorHAnsi" w:eastAsiaTheme="minorEastAsia" w:hAnsiTheme="minorHAnsi" w:cstheme="minorBidi"/>
          <w:szCs w:val="22"/>
        </w:rPr>
      </w:pPr>
      <w:r>
        <w:t>68.</w:t>
      </w:r>
      <w:r>
        <w:tab/>
        <w:t>Effect of pending review by Tribunal</w:t>
      </w:r>
      <w:r>
        <w:tab/>
      </w:r>
      <w:r>
        <w:fldChar w:fldCharType="begin"/>
      </w:r>
      <w:r>
        <w:instrText xml:space="preserve"> PAGEREF _Toc33609366 \h </w:instrText>
      </w:r>
      <w:r>
        <w:fldChar w:fldCharType="separate"/>
      </w:r>
      <w:r>
        <w:t>321</w:t>
      </w:r>
      <w:r>
        <w:fldChar w:fldCharType="end"/>
      </w:r>
    </w:p>
    <w:p>
      <w:pPr>
        <w:pStyle w:val="TOC8"/>
        <w:rPr>
          <w:rFonts w:asciiTheme="minorHAnsi" w:eastAsiaTheme="minorEastAsia" w:hAnsiTheme="minorHAnsi" w:cstheme="minorBidi"/>
          <w:szCs w:val="22"/>
        </w:rPr>
      </w:pPr>
      <w:r>
        <w:t>69.</w:t>
      </w:r>
      <w:r>
        <w:tab/>
        <w:t>Jurisdiction of Tribunal</w:t>
      </w:r>
      <w:r>
        <w:tab/>
      </w:r>
      <w:r>
        <w:fldChar w:fldCharType="begin"/>
      </w:r>
      <w:r>
        <w:instrText xml:space="preserve"> PAGEREF _Toc33609367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General</w:t>
      </w:r>
    </w:p>
    <w:p>
      <w:pPr>
        <w:pStyle w:val="TOC8"/>
        <w:rPr>
          <w:rFonts w:asciiTheme="minorHAnsi" w:eastAsiaTheme="minorEastAsia" w:hAnsiTheme="minorHAnsi" w:cstheme="minorBidi"/>
          <w:szCs w:val="22"/>
        </w:rPr>
      </w:pPr>
      <w:r>
        <w:t>70.</w:t>
      </w:r>
      <w:r>
        <w:tab/>
        <w:t>Notifying and reporting accidents and dangerous occurrences</w:t>
      </w:r>
      <w:r>
        <w:tab/>
      </w:r>
      <w:r>
        <w:fldChar w:fldCharType="begin"/>
      </w:r>
      <w:r>
        <w:instrText xml:space="preserve"> PAGEREF _Toc33609369 \h </w:instrText>
      </w:r>
      <w:r>
        <w:fldChar w:fldCharType="separate"/>
      </w:r>
      <w:r>
        <w:t>322</w:t>
      </w:r>
      <w:r>
        <w:fldChar w:fldCharType="end"/>
      </w:r>
    </w:p>
    <w:p>
      <w:pPr>
        <w:pStyle w:val="TOC8"/>
        <w:rPr>
          <w:rFonts w:asciiTheme="minorHAnsi" w:eastAsiaTheme="minorEastAsia" w:hAnsiTheme="minorHAnsi" w:cstheme="minorBidi"/>
          <w:szCs w:val="22"/>
        </w:rPr>
      </w:pPr>
      <w:r>
        <w:t>71.</w:t>
      </w:r>
      <w:r>
        <w:tab/>
        <w:t>Records of accidents and dangerous occurrences to be kept</w:t>
      </w:r>
      <w:r>
        <w:tab/>
      </w:r>
      <w:r>
        <w:fldChar w:fldCharType="begin"/>
      </w:r>
      <w:r>
        <w:instrText xml:space="preserve"> PAGEREF _Toc33609370 \h </w:instrText>
      </w:r>
      <w:r>
        <w:fldChar w:fldCharType="separate"/>
      </w:r>
      <w:r>
        <w:t>323</w:t>
      </w:r>
      <w:r>
        <w:fldChar w:fldCharType="end"/>
      </w:r>
    </w:p>
    <w:p>
      <w:pPr>
        <w:pStyle w:val="TOC8"/>
        <w:rPr>
          <w:rFonts w:asciiTheme="minorHAnsi" w:eastAsiaTheme="minorEastAsia" w:hAnsiTheme="minorHAnsi" w:cstheme="minorBidi"/>
          <w:szCs w:val="22"/>
        </w:rPr>
      </w:pPr>
      <w:r>
        <w:t>72</w:t>
      </w:r>
      <w:r>
        <w:rPr>
          <w:bCs/>
        </w:rPr>
        <w:t>.</w:t>
      </w:r>
      <w:r>
        <w:rPr>
          <w:bCs/>
        </w:rPr>
        <w:tab/>
        <w:t>Codes</w:t>
      </w:r>
      <w:r>
        <w:t xml:space="preserve"> of practice</w:t>
      </w:r>
      <w:r>
        <w:tab/>
      </w:r>
      <w:r>
        <w:fldChar w:fldCharType="begin"/>
      </w:r>
      <w:r>
        <w:instrText xml:space="preserve"> PAGEREF _Toc33609371 \h </w:instrText>
      </w:r>
      <w:r>
        <w:fldChar w:fldCharType="separate"/>
      </w:r>
      <w:r>
        <w:t>323</w:t>
      </w:r>
      <w:r>
        <w:fldChar w:fldCharType="end"/>
      </w:r>
    </w:p>
    <w:p>
      <w:pPr>
        <w:pStyle w:val="TOC8"/>
        <w:rPr>
          <w:rFonts w:asciiTheme="minorHAnsi" w:eastAsiaTheme="minorEastAsia" w:hAnsiTheme="minorHAnsi" w:cstheme="minorBidi"/>
          <w:szCs w:val="22"/>
        </w:rPr>
      </w:pPr>
      <w:r>
        <w:t>73.</w:t>
      </w:r>
      <w:r>
        <w:tab/>
        <w:t>Use of codes of practice in proceedings</w:t>
      </w:r>
      <w:r>
        <w:tab/>
      </w:r>
      <w:r>
        <w:fldChar w:fldCharType="begin"/>
      </w:r>
      <w:r>
        <w:instrText xml:space="preserve"> PAGEREF _Toc33609372 \h </w:instrText>
      </w:r>
      <w:r>
        <w:fldChar w:fldCharType="separate"/>
      </w:r>
      <w:r>
        <w:t>323</w:t>
      </w:r>
      <w:r>
        <w:fldChar w:fldCharType="end"/>
      </w:r>
    </w:p>
    <w:p>
      <w:pPr>
        <w:pStyle w:val="TOC8"/>
        <w:rPr>
          <w:rFonts w:asciiTheme="minorHAnsi" w:eastAsiaTheme="minorEastAsia" w:hAnsiTheme="minorHAnsi" w:cstheme="minorBidi"/>
          <w:szCs w:val="22"/>
        </w:rPr>
      </w:pPr>
      <w:r>
        <w:t>74.</w:t>
      </w:r>
      <w:r>
        <w:tab/>
        <w:t>Interference etc. with equipment etc.</w:t>
      </w:r>
      <w:r>
        <w:tab/>
      </w:r>
      <w:r>
        <w:fldChar w:fldCharType="begin"/>
      </w:r>
      <w:r>
        <w:instrText xml:space="preserve"> PAGEREF _Toc33609373 \h </w:instrText>
      </w:r>
      <w:r>
        <w:fldChar w:fldCharType="separate"/>
      </w:r>
      <w:r>
        <w:t>324</w:t>
      </w:r>
      <w:r>
        <w:fldChar w:fldCharType="end"/>
      </w:r>
    </w:p>
    <w:p>
      <w:pPr>
        <w:pStyle w:val="TOC8"/>
        <w:rPr>
          <w:rFonts w:asciiTheme="minorHAnsi" w:eastAsiaTheme="minorEastAsia" w:hAnsiTheme="minorHAnsi" w:cstheme="minorBidi"/>
          <w:szCs w:val="22"/>
        </w:rPr>
      </w:pPr>
      <w:r>
        <w:t>75.</w:t>
      </w:r>
      <w:r>
        <w:tab/>
        <w:t>No charges to be levied on members of workforce</w:t>
      </w:r>
      <w:r>
        <w:tab/>
      </w:r>
      <w:r>
        <w:fldChar w:fldCharType="begin"/>
      </w:r>
      <w:r>
        <w:instrText xml:space="preserve"> PAGEREF _Toc33609374 \h </w:instrText>
      </w:r>
      <w:r>
        <w:fldChar w:fldCharType="separate"/>
      </w:r>
      <w:r>
        <w:t>324</w:t>
      </w:r>
      <w:r>
        <w:fldChar w:fldCharType="end"/>
      </w:r>
    </w:p>
    <w:p>
      <w:pPr>
        <w:pStyle w:val="TOC8"/>
        <w:rPr>
          <w:rFonts w:asciiTheme="minorHAnsi" w:eastAsiaTheme="minorEastAsia" w:hAnsiTheme="minorHAnsi" w:cstheme="minorBidi"/>
          <w:szCs w:val="22"/>
        </w:rPr>
      </w:pPr>
      <w:r>
        <w:t>76.</w:t>
      </w:r>
      <w:r>
        <w:tab/>
        <w:t>Victimisation</w:t>
      </w:r>
      <w:r>
        <w:tab/>
      </w:r>
      <w:r>
        <w:fldChar w:fldCharType="begin"/>
      </w:r>
      <w:r>
        <w:instrText xml:space="preserve"> PAGEREF _Toc33609375 \h </w:instrText>
      </w:r>
      <w:r>
        <w:fldChar w:fldCharType="separate"/>
      </w:r>
      <w:r>
        <w:t>325</w:t>
      </w:r>
      <w:r>
        <w:fldChar w:fldCharType="end"/>
      </w:r>
    </w:p>
    <w:p>
      <w:pPr>
        <w:pStyle w:val="TOC8"/>
        <w:rPr>
          <w:rFonts w:asciiTheme="minorHAnsi" w:eastAsiaTheme="minorEastAsia" w:hAnsiTheme="minorHAnsi" w:cstheme="minorBidi"/>
          <w:szCs w:val="22"/>
        </w:rPr>
      </w:pPr>
      <w:r>
        <w:t>77.</w:t>
      </w:r>
      <w:r>
        <w:tab/>
        <w:t>Institution of prosecutions</w:t>
      </w:r>
      <w:r>
        <w:tab/>
      </w:r>
      <w:r>
        <w:fldChar w:fldCharType="begin"/>
      </w:r>
      <w:r>
        <w:instrText xml:space="preserve"> PAGEREF _Toc33609376 \h </w:instrText>
      </w:r>
      <w:r>
        <w:fldChar w:fldCharType="separate"/>
      </w:r>
      <w:r>
        <w:t>326</w:t>
      </w:r>
      <w:r>
        <w:fldChar w:fldCharType="end"/>
      </w:r>
    </w:p>
    <w:p>
      <w:pPr>
        <w:pStyle w:val="TOC8"/>
        <w:rPr>
          <w:rFonts w:asciiTheme="minorHAnsi" w:eastAsiaTheme="minorEastAsia" w:hAnsiTheme="minorHAnsi" w:cstheme="minorBidi"/>
          <w:szCs w:val="22"/>
        </w:rPr>
      </w:pPr>
      <w:r>
        <w:t>78.</w:t>
      </w:r>
      <w:r>
        <w:tab/>
        <w:t>Conduct of directors, employees and agents</w:t>
      </w:r>
      <w:r>
        <w:tab/>
      </w:r>
      <w:r>
        <w:fldChar w:fldCharType="begin"/>
      </w:r>
      <w:r>
        <w:instrText xml:space="preserve"> PAGEREF _Toc33609377 \h </w:instrText>
      </w:r>
      <w:r>
        <w:fldChar w:fldCharType="separate"/>
      </w:r>
      <w:r>
        <w:t>327</w:t>
      </w:r>
      <w:r>
        <w:fldChar w:fldCharType="end"/>
      </w:r>
    </w:p>
    <w:p>
      <w:pPr>
        <w:pStyle w:val="TOC8"/>
        <w:rPr>
          <w:rFonts w:asciiTheme="minorHAnsi" w:eastAsiaTheme="minorEastAsia" w:hAnsiTheme="minorHAnsi" w:cstheme="minorBidi"/>
          <w:szCs w:val="22"/>
        </w:rPr>
      </w:pPr>
      <w:r>
        <w:t>79.</w:t>
      </w:r>
      <w:r>
        <w:tab/>
        <w:t>Act not to give rise to other liabilities etc.</w:t>
      </w:r>
      <w:r>
        <w:tab/>
      </w:r>
      <w:r>
        <w:fldChar w:fldCharType="begin"/>
      </w:r>
      <w:r>
        <w:instrText xml:space="preserve"> PAGEREF _Toc33609378 \h </w:instrText>
      </w:r>
      <w:r>
        <w:fldChar w:fldCharType="separate"/>
      </w:r>
      <w:r>
        <w:t>328</w:t>
      </w:r>
      <w:r>
        <w:fldChar w:fldCharType="end"/>
      </w:r>
    </w:p>
    <w:p>
      <w:pPr>
        <w:pStyle w:val="TOC8"/>
        <w:rPr>
          <w:rFonts w:asciiTheme="minorHAnsi" w:eastAsiaTheme="minorEastAsia" w:hAnsiTheme="minorHAnsi" w:cstheme="minorBidi"/>
          <w:szCs w:val="22"/>
        </w:rPr>
      </w:pPr>
      <w:r>
        <w:t>80.</w:t>
      </w:r>
      <w:r>
        <w:tab/>
        <w:t>Circumstances preventing compliance may be defence to prosecution</w:t>
      </w:r>
      <w:r>
        <w:tab/>
      </w:r>
      <w:r>
        <w:fldChar w:fldCharType="begin"/>
      </w:r>
      <w:r>
        <w:instrText xml:space="preserve"> PAGEREF _Toc33609379 \h </w:instrText>
      </w:r>
      <w:r>
        <w:fldChar w:fldCharType="separate"/>
      </w:r>
      <w:r>
        <w:t>328</w:t>
      </w:r>
      <w:r>
        <w:fldChar w:fldCharType="end"/>
      </w:r>
    </w:p>
    <w:p>
      <w:pPr>
        <w:pStyle w:val="TOC8"/>
        <w:rPr>
          <w:rFonts w:asciiTheme="minorHAnsi" w:eastAsiaTheme="minorEastAsia" w:hAnsiTheme="minorHAnsi" w:cstheme="minorBidi"/>
          <w:szCs w:val="22"/>
        </w:rPr>
      </w:pPr>
      <w:r>
        <w:t>81.</w:t>
      </w:r>
      <w:r>
        <w:tab/>
        <w:t>Regulations — general</w:t>
      </w:r>
      <w:r>
        <w:tab/>
      </w:r>
      <w:r>
        <w:fldChar w:fldCharType="begin"/>
      </w:r>
      <w:r>
        <w:instrText xml:space="preserve"> PAGEREF _Toc33609380 \h </w:instrText>
      </w:r>
      <w:r>
        <w:fldChar w:fldCharType="separate"/>
      </w:r>
      <w:r>
        <w:t>328</w:t>
      </w:r>
      <w:r>
        <w:fldChar w:fldCharType="end"/>
      </w:r>
    </w:p>
    <w:p>
      <w:pPr>
        <w:pStyle w:val="TOC2"/>
        <w:tabs>
          <w:tab w:val="right" w:leader="dot" w:pos="7077"/>
        </w:tabs>
        <w:rPr>
          <w:rFonts w:asciiTheme="minorHAnsi" w:eastAsiaTheme="minorEastAsia" w:hAnsiTheme="minorHAnsi" w:cstheme="minorBidi"/>
          <w:b w:val="0"/>
          <w:sz w:val="22"/>
          <w:szCs w:val="22"/>
        </w:rPr>
      </w:pPr>
      <w:r>
        <w:t>Schedule 2 — Further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Petroleum and Energy Legislation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_Toc33609383 \h </w:instrText>
      </w:r>
      <w:r>
        <w:fldChar w:fldCharType="separate"/>
      </w:r>
      <w:r>
        <w:t>330</w:t>
      </w:r>
      <w:r>
        <w:fldChar w:fldCharType="end"/>
      </w:r>
    </w:p>
    <w:p>
      <w:pPr>
        <w:pStyle w:val="TOC8"/>
        <w:rPr>
          <w:rFonts w:asciiTheme="minorHAnsi" w:eastAsiaTheme="minorEastAsia" w:hAnsiTheme="minorHAnsi" w:cstheme="minorBidi"/>
          <w:szCs w:val="22"/>
        </w:rPr>
      </w:pPr>
      <w:r>
        <w:t>2.</w:t>
      </w:r>
      <w:r>
        <w:tab/>
        <w:t>Section 41(5) (permit renewals)</w:t>
      </w:r>
      <w:r>
        <w:tab/>
      </w:r>
      <w:r>
        <w:fldChar w:fldCharType="begin"/>
      </w:r>
      <w:r>
        <w:instrText xml:space="preserve"> PAGEREF _Toc33609384 \h </w:instrText>
      </w:r>
      <w:r>
        <w:fldChar w:fldCharType="separate"/>
      </w:r>
      <w:r>
        <w:t>330</w:t>
      </w:r>
      <w:r>
        <w:fldChar w:fldCharType="end"/>
      </w:r>
    </w:p>
    <w:p>
      <w:pPr>
        <w:pStyle w:val="TOC8"/>
        <w:rPr>
          <w:rFonts w:asciiTheme="minorHAnsi" w:eastAsiaTheme="minorEastAsia" w:hAnsiTheme="minorHAnsi" w:cstheme="minorBidi"/>
          <w:szCs w:val="22"/>
        </w:rPr>
      </w:pPr>
      <w:r>
        <w:t>3.</w:t>
      </w:r>
      <w:r>
        <w:tab/>
        <w:t>Section 112 (release of information)</w:t>
      </w:r>
      <w:r>
        <w:tab/>
      </w:r>
      <w:r>
        <w:fldChar w:fldCharType="begin"/>
      </w:r>
      <w:r>
        <w:instrText xml:space="preserve"> PAGEREF _Toc33609385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_Toc33609387 \h </w:instrText>
      </w:r>
      <w:r>
        <w:fldChar w:fldCharType="separate"/>
      </w:r>
      <w:r>
        <w:t>332</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_Toc33609388 \h </w:instrText>
      </w:r>
      <w:r>
        <w:fldChar w:fldCharType="separate"/>
      </w:r>
      <w:r>
        <w:t>336</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_Toc33609389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1800" w:after="1200"/>
      </w:pPr>
      <w:r>
        <w:t>Petroleum and Geothermal Energy Resources Act 1967</w:t>
      </w:r>
    </w:p>
    <w:p>
      <w:pPr>
        <w:pStyle w:val="LongTitle"/>
        <w:rPr>
          <w:snapToGrid w:val="0"/>
        </w:rPr>
      </w:pPr>
      <w:r>
        <w:rPr>
          <w:snapToGrid w:val="0"/>
        </w:rPr>
        <w:t xml:space="preserve">An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No. 35 of 2007 s. 4.]</w:t>
      </w:r>
    </w:p>
    <w:p>
      <w:pPr>
        <w:pStyle w:val="Heading2"/>
      </w:pPr>
      <w:bookmarkStart w:id="3" w:name="_Toc33608685"/>
      <w:bookmarkStart w:id="4" w:name="_Toc33609038"/>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360903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w:t>
      </w:r>
    </w:p>
    <w:p>
      <w:pPr>
        <w:pStyle w:val="Footnotesection"/>
      </w:pPr>
      <w:r>
        <w:tab/>
        <w:t>[Section 1 amended: No. 35 of 2007 s. 5.]</w:t>
      </w:r>
    </w:p>
    <w:p>
      <w:pPr>
        <w:pStyle w:val="Heading5"/>
        <w:rPr>
          <w:snapToGrid w:val="0"/>
        </w:rPr>
      </w:pPr>
      <w:bookmarkStart w:id="6" w:name="_Toc33609040"/>
      <w:r>
        <w:rPr>
          <w:rStyle w:val="CharSectno"/>
        </w:rPr>
        <w:t>2</w:t>
      </w:r>
      <w:r>
        <w:rPr>
          <w:snapToGrid w:val="0"/>
        </w:rPr>
        <w:t>.</w:t>
      </w:r>
      <w:r>
        <w:rPr>
          <w:snapToGrid w:val="0"/>
        </w:rPr>
        <w:tab/>
        <w:t>Commencement</w:t>
      </w:r>
      <w:bookmarkEnd w:id="6"/>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p>
    <w:p>
      <w:pPr>
        <w:pStyle w:val="Heading5"/>
        <w:rPr>
          <w:snapToGrid w:val="0"/>
        </w:rPr>
      </w:pPr>
      <w:bookmarkStart w:id="7" w:name="_Toc33609041"/>
      <w:r>
        <w:rPr>
          <w:rStyle w:val="CharSectno"/>
        </w:rPr>
        <w:t>3</w:t>
      </w:r>
      <w:r>
        <w:rPr>
          <w:snapToGrid w:val="0"/>
        </w:rPr>
        <w:t>.</w:t>
      </w:r>
      <w:r>
        <w:rPr>
          <w:snapToGrid w:val="0"/>
        </w:rPr>
        <w:tab/>
        <w:t>Repeal</w:t>
      </w:r>
      <w:bookmarkEnd w:id="7"/>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No. 12 of 1990 s. 4.]</w:t>
      </w:r>
    </w:p>
    <w:p>
      <w:pPr>
        <w:pStyle w:val="Heading5"/>
        <w:rPr>
          <w:snapToGrid w:val="0"/>
        </w:rPr>
      </w:pPr>
      <w:bookmarkStart w:id="8" w:name="_Toc33609042"/>
      <w:r>
        <w:rPr>
          <w:rStyle w:val="CharSectno"/>
        </w:rPr>
        <w:t>5</w:t>
      </w:r>
      <w:r>
        <w:rPr>
          <w:snapToGrid w:val="0"/>
        </w:rPr>
        <w:t>.</w:t>
      </w:r>
      <w:r>
        <w:rPr>
          <w:snapToGrid w:val="0"/>
        </w:rPr>
        <w:tab/>
        <w:t>Terms used</w:t>
      </w:r>
      <w:bookmarkEnd w:id="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tab/>
      </w:r>
      <w:r>
        <w:rPr>
          <w:rStyle w:val="CharDefText"/>
        </w:rPr>
        <w:t>Barrow Island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tab/>
      </w:r>
      <w:r>
        <w:rPr>
          <w:rStyle w:val="CharDefText"/>
        </w:rPr>
        <w:t>boundary-change permit</w:t>
      </w:r>
      <w:r>
        <w:t xml:space="preserve"> means a petroleum exploration permit granted under section 37B;</w:t>
      </w:r>
    </w:p>
    <w:p>
      <w:pPr>
        <w:pStyle w:val="Defstart"/>
      </w:pPr>
      <w:r>
        <w:rPr>
          <w:b/>
          <w:i/>
        </w:rPr>
        <w:tab/>
      </w:r>
      <w:r>
        <w:rPr>
          <w:rStyle w:val="CharDefText"/>
        </w:rPr>
        <w:t>Commonwealth Act</w:t>
      </w:r>
      <w:r>
        <w:t xml:space="preserve"> means the </w:t>
      </w:r>
      <w:r>
        <w:rPr>
          <w:i/>
        </w:rPr>
        <w:t>Offshore Petroleum and Greenhouse Gas Storage Act 2006</w:t>
      </w:r>
      <w:r>
        <w:t xml:space="preserve"> (Commonwealth);</w:t>
      </w:r>
    </w:p>
    <w:p>
      <w:pPr>
        <w:pStyle w:val="Defstart"/>
      </w:pPr>
      <w:r>
        <w:tab/>
      </w:r>
      <w:r>
        <w:rPr>
          <w:rStyle w:val="CharDefText"/>
        </w:rPr>
        <w:t>Commonwealth lease</w:t>
      </w:r>
      <w:r>
        <w:t xml:space="preserve"> means a petroleum retention lease as defined in the Commonwealth Act section 7;</w:t>
      </w:r>
    </w:p>
    <w:p>
      <w:pPr>
        <w:pStyle w:val="Defstart"/>
      </w:pPr>
      <w:r>
        <w:tab/>
      </w:r>
      <w:r>
        <w:rPr>
          <w:rStyle w:val="CharDefText"/>
        </w:rPr>
        <w:t>Commonwealth licence</w:t>
      </w:r>
      <w:r>
        <w:t xml:space="preserve"> means a fixed</w:t>
      </w:r>
      <w:r>
        <w:noBreakHyphen/>
        <w:t>term petroleum production licence as defined in the Commonwealth Act section 7;</w:t>
      </w:r>
    </w:p>
    <w:p>
      <w:pPr>
        <w:pStyle w:val="Defstart"/>
      </w:pPr>
      <w:r>
        <w:tab/>
      </w:r>
      <w:r>
        <w:rPr>
          <w:rStyle w:val="CharDefText"/>
        </w:rPr>
        <w:t>Commonwealth permit</w:t>
      </w:r>
      <w:r>
        <w:t xml:space="preserve"> means a petroleum exploration permit as defined in the Commonwealth Act section 7;</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right" w:pos="1080"/>
          <w:tab w:val="left" w:pos="1610"/>
        </w:tabs>
        <w:ind w:left="1036" w:hanging="1036"/>
        <w:rPr>
          <w:iCs/>
        </w:rPr>
      </w:pPr>
      <w:r>
        <w:tab/>
      </w:r>
      <w:r>
        <w:rPr>
          <w:iCs/>
        </w:rPr>
        <w:t>[(a)</w:t>
      </w:r>
      <w:r>
        <w:rPr>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pPr>
      <w:r>
        <w:tab/>
        <w:t>(i)</w:t>
      </w:r>
      <w:r>
        <w:tab/>
        <w:t xml:space="preserve">a pastoral lease within the meaning of the </w:t>
      </w:r>
      <w:r>
        <w:rPr>
          <w:i/>
        </w:rPr>
        <w:t>Land Administration Act 1997</w:t>
      </w:r>
      <w:r>
        <w:t>, or a lease otherwise granted for grazing purposes only; or</w:t>
      </w:r>
    </w:p>
    <w:p>
      <w:pPr>
        <w:pStyle w:val="Defsubpara"/>
      </w:pPr>
      <w:r>
        <w:tab/>
        <w:t>(ii)</w:t>
      </w:r>
      <w:r>
        <w:tab/>
        <w:t>a lease for timber purposes; or</w:t>
      </w:r>
    </w:p>
    <w:p>
      <w:pPr>
        <w:pStyle w:val="Defsubpara"/>
      </w:pPr>
      <w:r>
        <w:tab/>
        <w:t>(iii)</w:t>
      </w:r>
      <w: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right" w:pos="1120"/>
          <w:tab w:val="left" w:pos="1610"/>
        </w:tabs>
        <w:ind w:left="1036" w:hanging="1036"/>
        <w:rPr>
          <w:iCs/>
        </w:rPr>
      </w:pPr>
      <w:r>
        <w:rPr>
          <w:iCs/>
        </w:rPr>
        <w:tab/>
        <w:t>[(f), (g)</w:t>
      </w:r>
      <w:r>
        <w:rPr>
          <w:iCs/>
        </w:rPr>
        <w:tab/>
        <w:t>deleted]</w:t>
      </w:r>
    </w:p>
    <w:p>
      <w:pPr>
        <w:pStyle w:val="Defpara"/>
      </w:pPr>
      <w:r>
        <w:tab/>
        <w:t>(h)</w:t>
      </w:r>
      <w:r>
        <w:tab/>
        <w:t>all land between —</w:t>
      </w:r>
    </w:p>
    <w:p>
      <w:pPr>
        <w:pStyle w:val="Defsubpara"/>
      </w:pPr>
      <w:r>
        <w:tab/>
        <w:t>(i)</w:t>
      </w:r>
      <w:r>
        <w:tab/>
        <w:t>high and low</w:t>
      </w:r>
      <w:r>
        <w:noBreakHyphen/>
        <w:t>water mark on the sea shore and on the margin of tidal rivers; and</w:t>
      </w:r>
    </w:p>
    <w:p>
      <w:pPr>
        <w:pStyle w:val="Defsubpara"/>
      </w:pPr>
      <w:r>
        <w:tab/>
        <w:t>(ii)</w:t>
      </w:r>
      <w:r>
        <w:tab/>
        <w:t>low</w:t>
      </w:r>
      <w:r>
        <w:noBreakHyphen/>
        <w:t>water mark referred to in subparagraph (i) and the inner limit of the territorial sea of Australia;</w:t>
      </w:r>
    </w:p>
    <w:p>
      <w:pPr>
        <w:pStyle w:val="Defstart"/>
      </w:pPr>
      <w:r>
        <w:rPr>
          <w:b/>
        </w:rPr>
        <w:tab/>
      </w:r>
      <w:r>
        <w:rPr>
          <w:rStyle w:val="CharDefText"/>
        </w:rPr>
        <w:t>document</w:t>
      </w:r>
      <w:r>
        <w:t xml:space="preserve"> includes any map, book, record or writing;</w:t>
      </w:r>
    </w:p>
    <w:p>
      <w:pPr>
        <w:pStyle w:val="Defstart"/>
        <w:keepNext/>
        <w:keepLines/>
      </w:pPr>
      <w:r>
        <w:rPr>
          <w:b/>
        </w:rPr>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that confers the authority referred to in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tab/>
      </w:r>
      <w:r>
        <w:rPr>
          <w:rStyle w:val="CharDefText"/>
        </w:rPr>
        <w:t>granted</w:t>
      </w:r>
      <w:r>
        <w:t>, in relation to a boundary-change permit, a petroleum retention lease under section 48CD or a petroleum production licence under section 61A, means taken to have been granted;</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b/>
        </w:rPr>
      </w:pPr>
      <w:r>
        <w:tab/>
      </w:r>
      <w:r>
        <w:rPr>
          <w:rStyle w:val="CharDefText"/>
        </w:rPr>
        <w:t>listed OSH law</w:t>
      </w:r>
      <w:r>
        <w:t xml:space="preserve"> means — </w:t>
      </w:r>
    </w:p>
    <w:p>
      <w:pPr>
        <w:pStyle w:val="Defpara"/>
        <w:rPr>
          <w:snapToGrid/>
        </w:rPr>
      </w:pPr>
      <w:r>
        <w:rPr>
          <w:snapToGrid/>
        </w:rPr>
        <w:tab/>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tab/>
      </w:r>
      <w:r>
        <w:rPr>
          <w:rStyle w:val="CharDefText"/>
        </w:rPr>
        <w:t>offshore area</w:t>
      </w:r>
      <w:r>
        <w:t xml:space="preserve"> has the meaning given in the </w:t>
      </w:r>
      <w:r>
        <w:rPr>
          <w:i/>
        </w:rPr>
        <w:t>Petroleum (Submerged Lands) Act 1982</w:t>
      </w:r>
      <w:r>
        <w:t xml:space="preserve"> section 4;</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in relation to an operation for the mining, obtaining or production of petroleum under the Barrow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that confers the authority referred to in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rPr>
      </w:pPr>
      <w:r>
        <w:tab/>
        <w:t>(d)</w:t>
      </w:r>
      <w:r>
        <w:tab/>
        <w:t>an operation for the mining, obtaining or production of petroleum under the Barrow Island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pPr>
      <w:r>
        <w:rPr>
          <w:b/>
          <w:bCs/>
          <w:i/>
          <w:iCs/>
        </w:rPr>
        <w:tab/>
      </w:r>
      <w:r>
        <w:rPr>
          <w:rStyle w:val="CharDefText"/>
        </w:rPr>
        <w:t>relinquished area</w:t>
      </w:r>
      <w:r>
        <w:t xml:space="preserve"> means —</w:t>
      </w:r>
    </w:p>
    <w:p>
      <w:pPr>
        <w:pStyle w:val="Defpara"/>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pPr>
      <w:r>
        <w:tab/>
        <w:t>(ca)</w:t>
      </w:r>
      <w:r>
        <w:tab/>
        <w:t>in relation to a lease that has been wholly cancelled — the area constituted by the blocks in respect of which the lease was in force; and</w:t>
      </w:r>
    </w:p>
    <w:p>
      <w:pPr>
        <w:pStyle w:val="Defpara"/>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keepNex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pPr>
      <w:r>
        <w:rPr>
          <w:b/>
        </w:rPr>
        <w:tab/>
      </w:r>
      <w:r>
        <w:rPr>
          <w:rStyle w:val="CharDefText"/>
        </w:rPr>
        <w:t>vessel</w:t>
      </w:r>
      <w:r>
        <w:t xml:space="preserve"> means a vessel used in navigation, other than air navigation, and includes a barge or other vessel;</w:t>
      </w:r>
    </w:p>
    <w:p>
      <w:pPr>
        <w:pStyle w:val="Defstart"/>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Subsection"/>
      </w:pPr>
      <w:r>
        <w:tab/>
        <w:t>(9)</w:t>
      </w:r>
      <w:r>
        <w:tab/>
        <w:t>Notes in this Act are provided to assist understanding and do not form part of the Act.</w:t>
      </w:r>
    </w:p>
    <w:p>
      <w:pPr>
        <w:pStyle w:val="Footnotesection"/>
      </w:pPr>
      <w:r>
        <w:tab/>
        <w:t>[Section 5 amended: No. 69 of 1981 s. 31; No. 12 of 1990 s. 5; No. 78 of 1990 s. 4; No. 11 of 1994 s. 4; No. 28 of 1994 s. 5; No. 31 of 1997 s. 141; No. 17 of 1999 s. 21; No. 13 of 2005 s. 4; No. 35 of 2007 s. 6 and 85; No. 42 of 2010 s. 4; No. 7 of 2017 s. 4.]</w:t>
      </w:r>
    </w:p>
    <w:p>
      <w:pPr>
        <w:pStyle w:val="Heading5"/>
      </w:pPr>
      <w:bookmarkStart w:id="9" w:name="_Toc33609043"/>
      <w:r>
        <w:rPr>
          <w:rStyle w:val="CharSectno"/>
        </w:rPr>
        <w:t>6A</w:t>
      </w:r>
      <w:r>
        <w:t>.</w:t>
      </w:r>
      <w:r>
        <w:tab/>
        <w:t>Effect of alteration of inshore area</w:t>
      </w:r>
      <w:bookmarkEnd w:id="9"/>
    </w:p>
    <w:p>
      <w:pPr>
        <w:pStyle w:val="Subsection"/>
      </w:pPr>
      <w:r>
        <w:tab/>
        <w:t>(1)</w:t>
      </w:r>
      <w:r>
        <w:tab/>
        <w:t xml:space="preserve">In this section — </w:t>
      </w:r>
    </w:p>
    <w:p>
      <w:pPr>
        <w:pStyle w:val="Defstart"/>
      </w:pPr>
      <w:r>
        <w:tab/>
      </w:r>
      <w:r>
        <w:rPr>
          <w:rStyle w:val="CharDefText"/>
        </w:rPr>
        <w:t>Commonwealth instrument</w:t>
      </w:r>
      <w:r>
        <w:t xml:space="preserve"> means an instrument under the Commonwealth Act that confers, in relation to the offshore area, some or all of the rights that a permit, lease or licence confers in relation to the inshore area;</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Subsection"/>
      </w:pPr>
      <w:r>
        <w:tab/>
        <w:t>(5)</w:t>
      </w:r>
      <w:r>
        <w:tab/>
        <w:t xml:space="preserve">If — </w:t>
      </w:r>
    </w:p>
    <w:p>
      <w:pPr>
        <w:pStyle w:val="Indenta"/>
      </w:pPr>
      <w:r>
        <w:tab/>
        <w:t>(a)</w:t>
      </w:r>
      <w:r>
        <w:tab/>
        <w:t xml:space="preserve">a Commonwealth instrument has been granted on the basis that an area (the </w:t>
      </w:r>
      <w:r>
        <w:rPr>
          <w:rStyle w:val="CharDefText"/>
        </w:rPr>
        <w:t>second affected area</w:t>
      </w:r>
      <w:r>
        <w:t>) is within the offshore area; and</w:t>
      </w:r>
    </w:p>
    <w:p>
      <w:pPr>
        <w:pStyle w:val="Indenta"/>
      </w:pPr>
      <w:r>
        <w:tab/>
        <w:t>(b)</w:t>
      </w:r>
      <w:r>
        <w:tab/>
        <w:t xml:space="preserve">as a result of a change to the boundary of the inshore area the second affected area — </w:t>
      </w:r>
    </w:p>
    <w:p>
      <w:pPr>
        <w:pStyle w:val="Indenti"/>
      </w:pPr>
      <w:r>
        <w:tab/>
        <w:t>(i)</w:t>
      </w:r>
      <w:r>
        <w:tab/>
        <w:t>ceases to be within the offshore area; and</w:t>
      </w:r>
    </w:p>
    <w:p>
      <w:pPr>
        <w:pStyle w:val="Indenti"/>
      </w:pPr>
      <w:r>
        <w:tab/>
        <w:t>(ii)</w:t>
      </w:r>
      <w:r>
        <w:tab/>
        <w:t>falls within the inshore area,</w:t>
      </w:r>
    </w:p>
    <w:p>
      <w:pPr>
        <w:pStyle w:val="Subsection"/>
      </w:pPr>
      <w:r>
        <w:tab/>
      </w:r>
      <w:r>
        <w:tab/>
        <w:t>then this Act does not apply to the second affected area.</w:t>
      </w:r>
    </w:p>
    <w:p>
      <w:pPr>
        <w:pStyle w:val="Subsection"/>
      </w:pPr>
      <w:r>
        <w:tab/>
        <w:t>(6)</w:t>
      </w:r>
      <w:r>
        <w:tab/>
        <w:t>Subsection (5) continues to apply in relation to the second affected area only while the Commonwealth instrument remains in force.</w:t>
      </w:r>
    </w:p>
    <w:p>
      <w:pPr>
        <w:pStyle w:val="Footnotesection"/>
      </w:pPr>
      <w:r>
        <w:tab/>
        <w:t>[Section 6A inserted: No. 42 of 2010 s. 5; amended: No. 7 of 2017 s. 5.]</w:t>
      </w:r>
    </w:p>
    <w:p>
      <w:pPr>
        <w:pStyle w:val="Heading2"/>
      </w:pPr>
      <w:bookmarkStart w:id="10" w:name="_Toc33608691"/>
      <w:bookmarkStart w:id="11" w:name="_Toc33609044"/>
      <w:r>
        <w:rPr>
          <w:rStyle w:val="CharPartNo"/>
        </w:rPr>
        <w:t>Part II</w:t>
      </w:r>
      <w:r>
        <w:rPr>
          <w:rStyle w:val="CharDivNo"/>
        </w:rPr>
        <w:t> </w:t>
      </w:r>
      <w:r>
        <w:t>—</w:t>
      </w:r>
      <w:r>
        <w:rPr>
          <w:rStyle w:val="CharDivText"/>
        </w:rPr>
        <w:t> </w:t>
      </w:r>
      <w:r>
        <w:rPr>
          <w:rStyle w:val="CharPartText"/>
        </w:rPr>
        <w:t>General</w:t>
      </w:r>
      <w:bookmarkEnd w:id="10"/>
      <w:bookmarkEnd w:id="11"/>
    </w:p>
    <w:p>
      <w:pPr>
        <w:pStyle w:val="Heading5"/>
        <w:rPr>
          <w:snapToGrid w:val="0"/>
        </w:rPr>
      </w:pPr>
      <w:bookmarkStart w:id="12" w:name="_Toc33609045"/>
      <w:r>
        <w:rPr>
          <w:rStyle w:val="CharSectno"/>
        </w:rPr>
        <w:t>6</w:t>
      </w:r>
      <w:r>
        <w:rPr>
          <w:snapToGrid w:val="0"/>
        </w:rPr>
        <w:t>.</w:t>
      </w:r>
      <w:r>
        <w:rPr>
          <w:snapToGrid w:val="0"/>
        </w:rPr>
        <w:tab/>
        <w:t>Act to be construed subject to State’s legislative powers</w:t>
      </w:r>
      <w:bookmarkEnd w:id="12"/>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3" w:name="_Toc33609046"/>
      <w:r>
        <w:rPr>
          <w:rStyle w:val="CharSectno"/>
        </w:rPr>
        <w:t>7</w:t>
      </w:r>
      <w:r>
        <w:rPr>
          <w:snapToGrid w:val="0"/>
        </w:rPr>
        <w:t>.</w:t>
      </w:r>
      <w:r>
        <w:rPr>
          <w:snapToGrid w:val="0"/>
        </w:rPr>
        <w:tab/>
        <w:t>Application of Act</w:t>
      </w:r>
      <w:bookmarkEnd w:id="13"/>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No. 107 of 1982 s. 6; No. 12 of 1990 s. 6; No. 78 of 1990 s. 7; No. 35 of 2007 s. 7.]</w:t>
      </w:r>
    </w:p>
    <w:p>
      <w:pPr>
        <w:pStyle w:val="Heading5"/>
      </w:pPr>
      <w:bookmarkStart w:id="14" w:name="_Toc33609047"/>
      <w:r>
        <w:rPr>
          <w:rStyle w:val="CharSectno"/>
        </w:rPr>
        <w:t>7AA</w:t>
      </w:r>
      <w:r>
        <w:t>.</w:t>
      </w:r>
      <w:r>
        <w:tab/>
        <w:t>Disapplication of State occupational safety and health laws</w:t>
      </w:r>
      <w:bookmarkEnd w:id="14"/>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No. 13 of 2005 s. 5; amended: No. 35 of 2007 s. 86.]</w:t>
      </w:r>
    </w:p>
    <w:p>
      <w:pPr>
        <w:pStyle w:val="Heading5"/>
        <w:rPr>
          <w:snapToGrid w:val="0"/>
        </w:rPr>
      </w:pPr>
      <w:bookmarkStart w:id="15" w:name="_Toc33609048"/>
      <w:r>
        <w:rPr>
          <w:rStyle w:val="CharSectno"/>
        </w:rPr>
        <w:t>7A</w:t>
      </w:r>
      <w:r>
        <w:rPr>
          <w:snapToGrid w:val="0"/>
        </w:rPr>
        <w:t>.</w:t>
      </w:r>
      <w:r>
        <w:rPr>
          <w:snapToGrid w:val="0"/>
        </w:rPr>
        <w:tab/>
        <w:t>Geothermal resources area in, or extending into, other areas</w:t>
      </w:r>
      <w:bookmarkEnd w:id="15"/>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t>
      </w:r>
      <w:r>
        <w:t>which a geothermal access</w:t>
      </w:r>
      <w:r>
        <w:rPr>
          <w:snapToGrid w:val="0"/>
        </w:rPr>
        <w:t xml:space="preserve"> authority is in force (in this subsection called an </w:t>
      </w:r>
      <w:r>
        <w:rPr>
          <w:rStyle w:val="CharDefText"/>
        </w:rPr>
        <w:t>access authority area</w:t>
      </w:r>
      <w:r>
        <w:rPr>
          <w:snapToGrid w:val="0"/>
        </w:rPr>
        <w:t>) and the well from that well</w:t>
      </w:r>
      <w:r>
        <w:rPr>
          <w:snapToGrid w:val="0"/>
        </w:rPr>
        <w:noBreakHyphen/>
        <w:t xml:space="preserve">head is inclined so as to enter a </w:t>
      </w:r>
      <w:r>
        <w:t>geothermal resources area, being an</w:t>
      </w:r>
      <w:r>
        <w:rPr>
          <w:snapToGrid w:val="0"/>
        </w:rPr>
        <w:t xml:space="preserve"> </w:t>
      </w:r>
      <w:r>
        <w:t>area</w:t>
      </w:r>
      <w:r>
        <w:rPr>
          <w:snapToGrid w:val="0"/>
        </w:rPr>
        <w:t xml:space="preserve"> that does not extend to that licence area or access authority area, at a place within an adjoining licence area of the same licensee or registered holder of the </w:t>
      </w:r>
      <w:r>
        <w:t>geothermal access authority, any</w:t>
      </w:r>
      <w:r>
        <w:rPr>
          <w:snapToGrid w:val="0"/>
        </w:rPr>
        <w:t xml:space="preserve"> </w:t>
      </w:r>
      <w:r>
        <w:t>geothermal energy</w:t>
      </w:r>
      <w:r>
        <w:rPr>
          <w:snapToGrid w:val="0"/>
        </w:rPr>
        <w:t xml:space="preserve"> recovered through that well shall be deemed to have been recovered in that adjoining licence area </w:t>
      </w:r>
      <w:r>
        <w:t>under the geothermal production licence</w:t>
      </w:r>
      <w:r>
        <w:rPr>
          <w:snapToGrid w:val="0"/>
        </w:rPr>
        <w:t xml:space="preserve"> in respect of that area.</w:t>
      </w:r>
    </w:p>
    <w:p>
      <w:pPr>
        <w:pStyle w:val="Subsection"/>
        <w:rPr>
          <w:snapToGrid w:val="0"/>
        </w:rPr>
      </w:pPr>
      <w:r>
        <w:rPr>
          <w:snapToGrid w:val="0"/>
        </w:rPr>
        <w:tab/>
        <w:t>(3)</w:t>
      </w:r>
      <w:r>
        <w:rPr>
          <w:snapToGrid w:val="0"/>
        </w:rPr>
        <w:tab/>
        <w:t xml:space="preserve">Where a </w:t>
      </w:r>
      <w:r>
        <w:t>geothermal resources area</w:t>
      </w:r>
      <w:r>
        <w:rPr>
          <w:snapToGrid w:val="0"/>
        </w:rPr>
        <w:t xml:space="preserve"> is partly in one licence area and partly in an adjoining licence area of the same licensee and </w:t>
      </w:r>
      <w:r>
        <w:t>geothermal energy</w:t>
      </w:r>
      <w:r>
        <w:rPr>
          <w:snapToGrid w:val="0"/>
        </w:rPr>
        <w:t xml:space="preserve"> is recovered from that </w:t>
      </w:r>
      <w:r>
        <w:t>geothermal resources area</w:t>
      </w:r>
      <w:r>
        <w:rPr>
          <w:snapToGrid w:val="0"/>
        </w:rPr>
        <w:t xml:space="preserve"> through a well or wells in one or both of the licence areas, there shall be deemed to have been recovered in each of the licence areas, </w:t>
      </w:r>
      <w:r>
        <w:t>under the geothermal production licence</w:t>
      </w:r>
      <w:r>
        <w:rPr>
          <w:snapToGrid w:val="0"/>
        </w:rPr>
        <w:t xml:space="preserve"> in respect of that area, such proportion of all </w:t>
      </w:r>
      <w:r>
        <w:t>geothermal energy</w:t>
      </w:r>
      <w:r>
        <w:rPr>
          <w:snapToGrid w:val="0"/>
        </w:rPr>
        <w:t xml:space="preserve"> so recovered as may reasonably be treated as being derived from that area, having regard to the nature and probable extent of the </w:t>
      </w:r>
      <w:r>
        <w:t>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 xml:space="preserve">Where a </w:t>
      </w:r>
      <w:r>
        <w:t>geothermal resources area</w:t>
      </w:r>
      <w:r>
        <w:rPr>
          <w:snapToGrid w:val="0"/>
        </w:rPr>
        <w:t xml:space="preserve"> is partly in a licence area and partly in another area in which the licensee has authority under another written law or a law of another State to explore for geothermal energy resources or recover geothermal energy, and geothermal energy is recovered from that </w:t>
      </w:r>
      <w:r>
        <w:t>geothermal resources area</w:t>
      </w:r>
      <w:r>
        <w:rPr>
          <w:snapToGrid w:val="0"/>
        </w:rPr>
        <w:t xml:space="preserve"> through a well or wells in the licence area, the other area or both, there shall be deemed to have been recovered in the licence area such proportion of all </w:t>
      </w:r>
      <w:r>
        <w:t>geothermal energy</w:t>
      </w:r>
      <w:r>
        <w:rPr>
          <w:snapToGrid w:val="0"/>
        </w:rPr>
        <w:t xml:space="preserve"> so recovered as may reasonably be treated as being derived from the licence area, having regard to the nature and probable extent of the </w:t>
      </w:r>
      <w:r>
        <w:t>geothermal resources area</w:t>
      </w:r>
      <w:r>
        <w:rPr>
          <w:snapToGrid w:val="0"/>
        </w:rPr>
        <w:t>, and that proportion shall be determined in accordance with subsection (6).</w:t>
      </w:r>
    </w:p>
    <w:p>
      <w:pPr>
        <w:pStyle w:val="Subsection"/>
        <w:keepNext/>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w:t>
      </w:r>
      <w:r>
        <w:t>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r>
      <w:r>
        <w:t>geothermal energy</w:t>
      </w:r>
      <w:r>
        <w:rPr>
          <w:snapToGrid w:val="0"/>
        </w:rPr>
        <w:t xml:space="preserve"> is recovered from that </w:t>
      </w:r>
      <w:r>
        <w:t>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 xml:space="preserve">there shall be deemed to have been recovered in the licence area such proportion of </w:t>
      </w:r>
      <w:r>
        <w:t>all</w:t>
      </w:r>
      <w:r>
        <w:rPr>
          <w:snapToGrid w:val="0"/>
        </w:rPr>
        <w:t xml:space="preserve"> </w:t>
      </w:r>
      <w:r>
        <w:t>geothermal energy</w:t>
      </w:r>
      <w:r>
        <w:rPr>
          <w:snapToGrid w:val="0"/>
        </w:rPr>
        <w:t xml:space="preserve"> so recovered as is specified in, or determined in accordance with, the agreement referred to in paragraph (b).</w:t>
      </w:r>
    </w:p>
    <w:p>
      <w:pPr>
        <w:pStyle w:val="Subsection"/>
      </w:pPr>
      <w:r>
        <w:tab/>
        <w:t>(8)</w:t>
      </w:r>
      <w:r>
        <w:tab/>
        <w:t>In this section —</w:t>
      </w:r>
    </w:p>
    <w:p>
      <w:pPr>
        <w:pStyle w:val="Indenta"/>
      </w:pPr>
      <w:r>
        <w:tab/>
        <w:t>(a)</w:t>
      </w:r>
      <w:r>
        <w:tab/>
        <w:t>a reference to a geothermal production licence includes a reference to a geothermal exploration permit and a geothermal retention lease; and</w:t>
      </w:r>
    </w:p>
    <w:p>
      <w:pPr>
        <w:pStyle w:val="Indenta"/>
      </w:pPr>
      <w:r>
        <w:tab/>
        <w:t>(b)</w:t>
      </w:r>
      <w:r>
        <w:tab/>
        <w:t>a reference to a licensee is a reference to the registered holder of a geothermal production licence and includes a reference to a geothermal permittee and a geothermal lessee; and</w:t>
      </w:r>
    </w:p>
    <w:p>
      <w:pPr>
        <w:pStyle w:val="Indenta"/>
      </w:pPr>
      <w:r>
        <w:tab/>
        <w:t>(c)</w:t>
      </w:r>
      <w:r>
        <w:tab/>
        <w:t>a reference to a licence area is a reference to the area constituted by the blocks that are the subject of a geothermal production licence and includes a reference to a geothermal permit area and a geothermal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7A inserted: No. 12 of 1990 s. 7; amended: No. 35 of 2007 s. 8; No. 7 of 2017 s. 6.]</w:t>
      </w:r>
    </w:p>
    <w:p>
      <w:pPr>
        <w:pStyle w:val="Heading5"/>
      </w:pPr>
      <w:bookmarkStart w:id="16" w:name="_Toc33609049"/>
      <w:r>
        <w:rPr>
          <w:rStyle w:val="CharSectno"/>
        </w:rPr>
        <w:t>7B</w:t>
      </w:r>
      <w:r>
        <w:t>.</w:t>
      </w:r>
      <w:r>
        <w:tab/>
        <w:t>Petroleum pool in, or extending into, other areas</w:t>
      </w:r>
      <w:bookmarkEnd w:id="16"/>
    </w:p>
    <w:p>
      <w:pPr>
        <w:pStyle w:val="Subsection"/>
      </w:pPr>
      <w:r>
        <w:tab/>
        <w:t>(1)</w:t>
      </w:r>
      <w:r>
        <w:tab/>
        <w:t>The provisions of this section have effect for the purposes of this Act (including any Act with which this Act is incorporated) and of licences (whether granted before or after the commencement of this section).</w:t>
      </w:r>
    </w:p>
    <w:p>
      <w:pPr>
        <w:pStyle w:val="Subsection"/>
      </w:pPr>
      <w:r>
        <w:tab/>
        <w:t>(2)</w:t>
      </w:r>
      <w:r>
        <w:tab/>
        <w:t>If a well</w:t>
      </w:r>
      <w:r>
        <w:noBreakHyphen/>
        <w:t xml:space="preserve">head is situated in a licence area or in an area in respect of which a petroleum access authority is in force (in this subsection called an </w:t>
      </w:r>
      <w:r>
        <w:rPr>
          <w:rStyle w:val="CharDefText"/>
        </w:rPr>
        <w:t>access authority area</w:t>
      </w:r>
      <w:r>
        <w:t>) and the well from that well</w:t>
      </w:r>
      <w:r>
        <w:noBreakHyphen/>
        <w:t>head is inclined so as to enter a petroleum pool, being a pool that does not extend to that licence area or access authority area, at a place within an adjoining licence area of the same licensee or registered holder of the petroleum access authority, any petroleum recovered through that well is taken to have been recovered in that adjoining licence area under the petroleum production licence in respect of that area.</w:t>
      </w:r>
    </w:p>
    <w:p>
      <w:pPr>
        <w:pStyle w:val="Subsection"/>
      </w:pPr>
      <w:r>
        <w:tab/>
        <w:t>(3)</w:t>
      </w:r>
      <w:r>
        <w:tab/>
        <w:t>If a petroleum pool is partly in one licence area and partly in an adjoining licence area of the same licensee and petroleum is recovered from that pool through a well or wells in one or both of the licence areas, there is taken to have been recovered in each of the licence areas, under the petroleum production licence in respect of that area, such proportion of all petroleum so recovered as may reasonably be treated as being derived from that area, having regard to the nature and probable extent of the pool, and the respective proportions are to be determined in accordance with subsection (4).</w:t>
      </w:r>
    </w:p>
    <w:p>
      <w:pPr>
        <w:pStyle w:val="Subsection"/>
      </w:pPr>
      <w:r>
        <w:tab/>
        <w:t>(4)</w:t>
      </w:r>
      <w: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pPr>
      <w:r>
        <w:tab/>
        <w:t>(5)</w:t>
      </w:r>
      <w:r>
        <w:tab/>
        <w:t>If a petroleum pool is partly in a licence area and partly in another area in which the licensee has authority under another written law or a law of another State or the Commonwealth to explore for, or recover, petroleum, and petroleum is recovered from that pool through a well or wells in the licence area, the other area or both, there is taken to have been recovered in the licence area such proportion of all petroleum so recovered as may reasonably be treated as being derived from the licence area, having regard to the nature and probable extent of the pool, and that proportion is to be determined in accordance with subsection (6).</w:t>
      </w:r>
    </w:p>
    <w:p>
      <w:pPr>
        <w:pStyle w:val="Subsection"/>
      </w:pPr>
      <w:r>
        <w:tab/>
        <w:t>(6)</w:t>
      </w:r>
      <w:r>
        <w:tab/>
        <w:t>The proportion to be determined for the purposes of subsection (5) may be determined —</w:t>
      </w:r>
    </w:p>
    <w:p>
      <w:pPr>
        <w:pStyle w:val="Indenta"/>
      </w:pPr>
      <w:r>
        <w:tab/>
        <w:t>(a)</w:t>
      </w:r>
      <w:r>
        <w:tab/>
        <w:t>in the case of a licensee having authority under another written law, by agreement between —</w:t>
      </w:r>
    </w:p>
    <w:p>
      <w:pPr>
        <w:pStyle w:val="Indenti"/>
      </w:pPr>
      <w:r>
        <w:tab/>
        <w:t>(i)</w:t>
      </w:r>
      <w:r>
        <w:tab/>
        <w:t>that licensee; and</w:t>
      </w:r>
    </w:p>
    <w:p>
      <w:pPr>
        <w:pStyle w:val="Indenti"/>
      </w:pPr>
      <w:r>
        <w:tab/>
        <w:t>(ii)</w:t>
      </w:r>
      <w:r>
        <w:tab/>
        <w:t>the Minister; and</w:t>
      </w:r>
    </w:p>
    <w:p>
      <w:pPr>
        <w:pStyle w:val="Indenti"/>
      </w:pPr>
      <w:r>
        <w:tab/>
        <w:t>(iii)</w:t>
      </w:r>
      <w:r>
        <w:tab/>
        <w:t>if the other written law is administered by a Minister of the Crown other than the Minister, that Minister of the Crown,</w:t>
      </w:r>
    </w:p>
    <w:p>
      <w:pPr>
        <w:pStyle w:val="Indenta"/>
      </w:pPr>
      <w:r>
        <w:tab/>
      </w:r>
      <w:r>
        <w:tab/>
        <w:t>or, in the absence of agreement, may be determined by the Supreme Court on the application of that licensee, the Minister, or the Minister of the Crown (if applicable) referred to in subparagraph (iii); or</w:t>
      </w:r>
    </w:p>
    <w:p>
      <w:pPr>
        <w:pStyle w:val="Indenta"/>
      </w:pPr>
      <w:r>
        <w:tab/>
        <w:t>(b)</w:t>
      </w:r>
      <w:r>
        <w:tab/>
        <w:t>in the case of a licensee having authority under a law of another State, by agreement between —</w:t>
      </w:r>
    </w:p>
    <w:p>
      <w:pPr>
        <w:pStyle w:val="Indenti"/>
      </w:pPr>
      <w:r>
        <w:tab/>
        <w:t>(i)</w:t>
      </w:r>
      <w:r>
        <w:tab/>
        <w:t>that licensee; and</w:t>
      </w:r>
    </w:p>
    <w:p>
      <w:pPr>
        <w:pStyle w:val="Indenti"/>
      </w:pPr>
      <w:r>
        <w:tab/>
        <w:t>(ii)</w:t>
      </w:r>
      <w:r>
        <w:tab/>
        <w:t>the Minister; and</w:t>
      </w:r>
    </w:p>
    <w:p>
      <w:pPr>
        <w:pStyle w:val="Indenti"/>
      </w:pPr>
      <w:r>
        <w:tab/>
        <w:t>(iii)</w:t>
      </w:r>
      <w:r>
        <w:tab/>
        <w:t>the State Minister administering the law of the other State,</w:t>
      </w:r>
    </w:p>
    <w:p>
      <w:pPr>
        <w:pStyle w:val="Indenta"/>
      </w:pPr>
      <w:r>
        <w:tab/>
      </w:r>
      <w:r>
        <w:tab/>
        <w:t>or, in the absence of agreement, may be determined by the Supreme Court on the application of that licensee, the Minister or the State Minister referred to in subparagraph (iii); or</w:t>
      </w:r>
    </w:p>
    <w:p>
      <w:pPr>
        <w:pStyle w:val="Indenta"/>
      </w:pPr>
      <w:r>
        <w:tab/>
        <w:t>(c)</w:t>
      </w:r>
      <w:r>
        <w:tab/>
        <w:t xml:space="preserve">in the case of a licensee having authority under a law of the Commonwealth, by agreement between — </w:t>
      </w:r>
    </w:p>
    <w:p>
      <w:pPr>
        <w:pStyle w:val="Indenti"/>
      </w:pPr>
      <w:r>
        <w:tab/>
        <w:t>(i)</w:t>
      </w:r>
      <w:r>
        <w:tab/>
        <w:t>that licensee; and</w:t>
      </w:r>
    </w:p>
    <w:p>
      <w:pPr>
        <w:pStyle w:val="Indenti"/>
      </w:pPr>
      <w:r>
        <w:tab/>
        <w:t>(ii)</w:t>
      </w:r>
      <w:r>
        <w:tab/>
        <w:t>the Minister; and</w:t>
      </w:r>
    </w:p>
    <w:p>
      <w:pPr>
        <w:pStyle w:val="Indenti"/>
      </w:pPr>
      <w:r>
        <w:tab/>
        <w:t>(iii)</w:t>
      </w:r>
      <w:r>
        <w:tab/>
        <w:t>the Joint Authority,</w:t>
      </w:r>
    </w:p>
    <w:p>
      <w:pPr>
        <w:pStyle w:val="Indenta"/>
      </w:pPr>
      <w:r>
        <w:tab/>
      </w:r>
      <w:r>
        <w:tab/>
        <w:t>or, in the absence of agreement, may be determined by the Supreme Court on the application of that licensee, the Minister or the Joint Authority.</w:t>
      </w:r>
    </w:p>
    <w:p>
      <w:pPr>
        <w:pStyle w:val="Subsection"/>
      </w:pPr>
      <w:r>
        <w:tab/>
        <w:t>(7)</w:t>
      </w:r>
      <w:r>
        <w:tab/>
        <w:t xml:space="preserve">In subsection (6) — </w:t>
      </w:r>
    </w:p>
    <w:p>
      <w:pPr>
        <w:pStyle w:val="Defstart"/>
      </w:pPr>
      <w:r>
        <w:tab/>
      </w:r>
      <w:r>
        <w:rPr>
          <w:rStyle w:val="CharDefText"/>
        </w:rPr>
        <w:t>Joint Authority</w:t>
      </w:r>
      <w:r>
        <w:t xml:space="preserve"> has the meaning given in the Commonwealth Act section 7.</w:t>
      </w:r>
    </w:p>
    <w:p>
      <w:pPr>
        <w:pStyle w:val="Subsection"/>
      </w:pPr>
      <w:r>
        <w:tab/>
        <w:t>(8)</w:t>
      </w:r>
      <w:r>
        <w:tab/>
        <w:t xml:space="preserve">If — </w:t>
      </w:r>
    </w:p>
    <w:p>
      <w:pPr>
        <w:pStyle w:val="Indenta"/>
      </w:pPr>
      <w:r>
        <w:tab/>
        <w:t>(a)</w:t>
      </w:r>
      <w:r>
        <w:tab/>
        <w:t xml:space="preserve">an agreement is in force to explore for, or recover, petroleum between — </w:t>
      </w:r>
    </w:p>
    <w:p>
      <w:pPr>
        <w:pStyle w:val="Indenti"/>
      </w:pPr>
      <w:r>
        <w:tab/>
        <w:t>(i)</w:t>
      </w:r>
      <w:r>
        <w:tab/>
        <w:t xml:space="preserve">a licensee, the Minister and, if the other written law mentioned in this subparagraph is administered by a Minister of the Crown other than the Minister, that Minister of the Crown in relation to a petroleum pool that is partly in the licence area and partly in another area (the </w:t>
      </w:r>
      <w:r>
        <w:rPr>
          <w:rStyle w:val="CharDefText"/>
        </w:rPr>
        <w:t>other area</w:t>
      </w:r>
      <w:r>
        <w:t>) in which the licensee has authority under another written law; or</w:t>
      </w:r>
    </w:p>
    <w:p>
      <w:pPr>
        <w:pStyle w:val="Indenti"/>
      </w:pPr>
      <w:r>
        <w:tab/>
        <w:t>(ii)</w:t>
      </w:r>
      <w:r>
        <w:tab/>
        <w:t xml:space="preserve">a licensee, the Minister and the State Minister administering a law of another State in relation to a petroleum pool that is partly in the licence area and partly in another area (the </w:t>
      </w:r>
      <w:r>
        <w:rPr>
          <w:rStyle w:val="CharDefText"/>
        </w:rPr>
        <w:t>other area</w:t>
      </w:r>
      <w:r>
        <w:t>) in which the licensee has authority under the law of the other State; or</w:t>
      </w:r>
    </w:p>
    <w:p>
      <w:pPr>
        <w:pStyle w:val="Indenti"/>
      </w:pPr>
      <w:r>
        <w:tab/>
        <w:t>(iii)</w:t>
      </w:r>
      <w:r>
        <w:tab/>
        <w:t xml:space="preserve">a licensee, the Minister and the Joint Authority in relation to a petroleum pool that is partly in the licence area and partly in another area (the </w:t>
      </w:r>
      <w:r>
        <w:rPr>
          <w:rStyle w:val="CharDefText"/>
        </w:rPr>
        <w:t>other area</w:t>
      </w:r>
      <w:r>
        <w:t>) in which the licensee has authority under a law of the Commonwealth;</w:t>
      </w:r>
    </w:p>
    <w:p>
      <w:pPr>
        <w:pStyle w:val="Indenta"/>
      </w:pPr>
      <w:r>
        <w:tab/>
      </w:r>
      <w:r>
        <w:tab/>
        <w:t>and</w:t>
      </w:r>
    </w:p>
    <w:p>
      <w:pPr>
        <w:pStyle w:val="Indenta"/>
      </w:pPr>
      <w:r>
        <w:tab/>
        <w:t>(b)</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petroleum pool; and</w:t>
      </w:r>
    </w:p>
    <w:p>
      <w:pPr>
        <w:pStyle w:val="Indenta"/>
      </w:pPr>
      <w:r>
        <w:tab/>
        <w:t>(c)</w:t>
      </w:r>
      <w:r>
        <w:tab/>
        <w:t>assuming that petroleum were recovered from the part of the seabed that is within the areal and vertical extents specified in the agreement, the specified proportion would be consistent with such proportion of all petroleum so recovered as may reasonably be treated as being derived from the licence area, having regard to the nature and probable extent of the petroleum in that part of the seabed; and</w:t>
      </w:r>
    </w:p>
    <w:p>
      <w:pPr>
        <w:pStyle w:val="Indenta"/>
      </w:pPr>
      <w:r>
        <w:tab/>
        <w:t>(d)</w:t>
      </w:r>
      <w:r>
        <w:tab/>
        <w:t>the agreement contains a provision to the effect that if it becomes apparent that the areal and vertical extents of the petroleum pool, as specified in the agreement, comprise or are likely to comprise more than one petroleum pool, the apportionment set out in the apportionment provision will apply to the petroleum recovered from any or all of those petroleum pools, regardless of their location but within those areal and vertical extents; and</w:t>
      </w:r>
    </w:p>
    <w:p>
      <w:pPr>
        <w:pStyle w:val="Indenta"/>
      </w:pPr>
      <w:r>
        <w:tab/>
        <w:t>(e)</w:t>
      </w:r>
      <w:r>
        <w:tab/>
        <w:t>after the time of the making of the agreement, it becomes apparent that the areal and vertical extents of the petroleum pool, as specified in the agreement, comprise, or are likely to comprise, 2 or more petroleum pools; and</w:t>
      </w:r>
    </w:p>
    <w:p>
      <w:pPr>
        <w:pStyle w:val="Indenta"/>
      </w:pPr>
      <w:r>
        <w:tab/>
        <w:t>(f)</w:t>
      </w:r>
      <w:r>
        <w:tab/>
        <w:t>petroleum is recovered from any of those petroleum pools through a well or wells in the licence area, the other area or both,</w:t>
      </w:r>
    </w:p>
    <w:p>
      <w:pPr>
        <w:pStyle w:val="Subsection"/>
      </w:pPr>
      <w:r>
        <w:tab/>
      </w:r>
      <w:r>
        <w:tab/>
        <w:t xml:space="preserve">then — </w:t>
      </w:r>
    </w:p>
    <w:p>
      <w:pPr>
        <w:pStyle w:val="Indenta"/>
      </w:pPr>
      <w:r>
        <w:tab/>
        <w:t>(g)</w:t>
      </w:r>
      <w:r>
        <w:tab/>
        <w:t>for the purposes of this Act, there is taken to have been recovered in the licence area such proportion of all petroleum so recovered as is specified in the apportionment provision; and</w:t>
      </w:r>
    </w:p>
    <w:p>
      <w:pPr>
        <w:pStyle w:val="Indenta"/>
      </w:pPr>
      <w:r>
        <w:tab/>
        <w:t>(h)</w:t>
      </w:r>
      <w:r>
        <w:tab/>
        <w:t>subsection (5) does not apply to any of those petroleum pools.</w:t>
      </w:r>
    </w:p>
    <w:p>
      <w:pPr>
        <w:pStyle w:val="Subsection"/>
        <w:keepNext/>
        <w:keepLines/>
      </w:pPr>
      <w:r>
        <w:tab/>
        <w:t>(9)</w:t>
      </w:r>
      <w:r>
        <w:tab/>
        <w:t>The question of whether there is or was a petroleum pool covered by subsection (8)(a) is to be determined on the basis of information known at the time of the making of the relevant agreement referred to in that provision.</w:t>
      </w:r>
    </w:p>
    <w:p>
      <w:pPr>
        <w:pStyle w:val="Subsection"/>
      </w:pPr>
      <w:r>
        <w:tab/>
        <w:t>(10)</w:t>
      </w:r>
      <w:r>
        <w:tab/>
        <w:t>The question of whether subsection (8)(c) applies is to be determined on the basis of information known at the time of the commencement of the apportionment provision.</w:t>
      </w:r>
    </w:p>
    <w:p>
      <w:pPr>
        <w:pStyle w:val="Subsection"/>
      </w:pPr>
      <w:r>
        <w:tab/>
        <w:t>(11)</w:t>
      </w:r>
      <w:r>
        <w:tab/>
        <w:t>The location of any of the 2 or more petroleum pools mentioned in subsection (8)(e) is immaterial.</w:t>
      </w:r>
    </w:p>
    <w:p>
      <w:pPr>
        <w:pStyle w:val="Subsection"/>
      </w:pPr>
      <w:r>
        <w:tab/>
        <w:t>(12)</w:t>
      </w:r>
      <w:r>
        <w:tab/>
        <w:t xml:space="preserve">If  — </w:t>
      </w:r>
    </w:p>
    <w:p>
      <w:pPr>
        <w:pStyle w:val="Indenta"/>
      </w:pPr>
      <w:r>
        <w:tab/>
        <w:t>(a)</w:t>
      </w:r>
      <w:r>
        <w:tab/>
        <w:t xml:space="preserve">at a particular time after the commencement of this section, a petroleum pool is partly in a licence area and partly in another area (the </w:t>
      </w:r>
      <w:r>
        <w:rPr>
          <w:rStyle w:val="CharDefText"/>
        </w:rPr>
        <w:t>other area</w:t>
      </w:r>
      <w:r>
        <w:t>) in which the licensee has authority under another written law or a law of another State or the Commonwealth to explore for, or recover, petroleum; and</w:t>
      </w:r>
    </w:p>
    <w:p>
      <w:pPr>
        <w:pStyle w:val="Indenta"/>
      </w:pPr>
      <w:r>
        <w:tab/>
        <w:t>(b)</w:t>
      </w:r>
      <w:r>
        <w:tab/>
        <w:t xml:space="preserve">at that time, an agreement is made between — </w:t>
      </w:r>
    </w:p>
    <w:p>
      <w:pPr>
        <w:pStyle w:val="Indenti"/>
      </w:pPr>
      <w:r>
        <w:tab/>
        <w:t>(i)</w:t>
      </w:r>
      <w:r>
        <w:tab/>
        <w:t>if the licensee has authority under another written law — the licensee, the Minister and, if the other written law is administered by a Minister of the Crown other than the Minister, that Minister of the Crown; or</w:t>
      </w:r>
    </w:p>
    <w:p>
      <w:pPr>
        <w:pStyle w:val="Indenti"/>
      </w:pPr>
      <w:r>
        <w:tab/>
        <w:t>(ii)</w:t>
      </w:r>
      <w:r>
        <w:tab/>
        <w:t>if the licensee has authority under a law of another State — the licensee, the Minister and the State Minister administering the law of the other State; or</w:t>
      </w:r>
    </w:p>
    <w:p>
      <w:pPr>
        <w:pStyle w:val="Indenti"/>
      </w:pPr>
      <w:r>
        <w:tab/>
        <w:t>(iii)</w:t>
      </w:r>
      <w:r>
        <w:tab/>
        <w:t>if the licensee has authority under a law of the Commonwealth — the licensee, the Minister and the Joint Authority;</w:t>
      </w:r>
    </w:p>
    <w:p>
      <w:pPr>
        <w:pStyle w:val="Indenta"/>
      </w:pPr>
      <w:r>
        <w:tab/>
      </w:r>
      <w:r>
        <w:tab/>
        <w:t>and</w:t>
      </w:r>
    </w:p>
    <w:p>
      <w:pPr>
        <w:pStyle w:val="Indenta"/>
      </w:pPr>
      <w:r>
        <w:tab/>
        <w:t>(c)</w:t>
      </w:r>
      <w:r>
        <w:tab/>
        <w:t>the agreement specifies a part of the seabed by reference to its areal and vertical extents; and</w:t>
      </w:r>
    </w:p>
    <w:p>
      <w:pPr>
        <w:pStyle w:val="Indenta"/>
      </w:pPr>
      <w:r>
        <w:tab/>
        <w:t>(d)</w:t>
      </w:r>
      <w:r>
        <w:tab/>
        <w:t xml:space="preserve">the areal and vertical extents of the specified part consist of — </w:t>
      </w:r>
    </w:p>
    <w:p>
      <w:pPr>
        <w:pStyle w:val="Indenti"/>
      </w:pPr>
      <w:r>
        <w:tab/>
        <w:t>(i)</w:t>
      </w:r>
      <w:r>
        <w:tab/>
        <w:t>the whole or a part of the licence area; and</w:t>
      </w:r>
    </w:p>
    <w:p>
      <w:pPr>
        <w:pStyle w:val="Indenti"/>
      </w:pPr>
      <w:r>
        <w:tab/>
        <w:t>(ii)</w:t>
      </w:r>
      <w:r>
        <w:tab/>
        <w:t>the whole or a part of the other area;</w:t>
      </w:r>
    </w:p>
    <w:p>
      <w:pPr>
        <w:pStyle w:val="Indenta"/>
      </w:pPr>
      <w:r>
        <w:tab/>
      </w:r>
      <w:r>
        <w:tab/>
        <w:t>and</w:t>
      </w:r>
    </w:p>
    <w:p>
      <w:pPr>
        <w:pStyle w:val="Indenta"/>
      </w:pPr>
      <w:r>
        <w:tab/>
        <w:t>(e)</w:t>
      </w:r>
      <w:r>
        <w:tab/>
        <w:t>the areal and vertical extents of the specified part include the petroleum pool; and</w:t>
      </w:r>
    </w:p>
    <w:p>
      <w:pPr>
        <w:pStyle w:val="Indenta"/>
      </w:pPr>
      <w:r>
        <w:tab/>
        <w:t>(f)</w:t>
      </w:r>
      <w:r>
        <w:tab/>
        <w:t xml:space="preserve">the agreement contains a provision (the </w:t>
      </w:r>
      <w:r>
        <w:rPr>
          <w:rStyle w:val="CharDefText"/>
        </w:rPr>
        <w:t>apportionment provision</w:t>
      </w:r>
      <w:r>
        <w:t>) that provides that, for the purposes of this section, there is taken to be recovered in the licence area a specified proportion of all of the petroleum recovered from the specified part; and</w:t>
      </w:r>
    </w:p>
    <w:p>
      <w:pPr>
        <w:pStyle w:val="Indenta"/>
      </w:pPr>
      <w:r>
        <w:tab/>
        <w:t>(g)</w:t>
      </w:r>
      <w:r>
        <w:tab/>
        <w:t>assuming that petroleum were recovered from the specified part, the specified proportion would be consistent with such proportion of all petroleum so recovered as may reasonably be treated as being derived from the licence area, having regard to the nature and probable extent of the petroleum in the specified part; and</w:t>
      </w:r>
    </w:p>
    <w:p>
      <w:pPr>
        <w:pStyle w:val="Indenta"/>
      </w:pPr>
      <w:r>
        <w:tab/>
        <w:t>(h)</w:t>
      </w:r>
      <w:r>
        <w:tab/>
        <w:t>petroleum is recovered from the specified part through a well or wells in the licence area, the other area or both,</w:t>
      </w:r>
    </w:p>
    <w:p>
      <w:pPr>
        <w:pStyle w:val="Subsection"/>
      </w:pPr>
      <w:r>
        <w:tab/>
      </w:r>
      <w:r>
        <w:tab/>
        <w:t xml:space="preserve">then — </w:t>
      </w:r>
    </w:p>
    <w:p>
      <w:pPr>
        <w:pStyle w:val="Indenta"/>
      </w:pPr>
      <w:r>
        <w:tab/>
        <w:t>(i)</w:t>
      </w:r>
      <w:r>
        <w:tab/>
        <w:t>for the purposes of this Act, there is taken to have been recovered in the licence area such proportion of all petroleum so recovered as is specified in the apportionment provision; and</w:t>
      </w:r>
    </w:p>
    <w:p>
      <w:pPr>
        <w:pStyle w:val="Indenta"/>
      </w:pPr>
      <w:r>
        <w:tab/>
        <w:t>(j)</w:t>
      </w:r>
      <w:r>
        <w:tab/>
        <w:t>subsection (5) does not apply to a petroleum pool located in the specified part.</w:t>
      </w:r>
    </w:p>
    <w:p>
      <w:pPr>
        <w:pStyle w:val="Subsection"/>
      </w:pPr>
      <w:r>
        <w:tab/>
        <w:t>(13)</w:t>
      </w:r>
      <w:r>
        <w:tab/>
        <w:t>The question of whether there is or was a petroleum pool covered by subsection (12)(a) at a particular time is to be determined on the basis of information known at that time.</w:t>
      </w:r>
    </w:p>
    <w:p>
      <w:pPr>
        <w:pStyle w:val="Subsection"/>
      </w:pPr>
      <w:r>
        <w:tab/>
        <w:t>(14)</w:t>
      </w:r>
      <w:r>
        <w:tab/>
        <w:t>The question of whether subsection (12)(g) applies is to be determined on the basis of information known at the time of the commencement of the apportionment provision.</w:t>
      </w:r>
    </w:p>
    <w:p>
      <w:pPr>
        <w:pStyle w:val="Subsection"/>
        <w:keepNext/>
      </w:pPr>
      <w:r>
        <w:tab/>
        <w:t>(15)</w:t>
      </w:r>
      <w:r>
        <w:tab/>
        <w:t xml:space="preserve">If — </w:t>
      </w:r>
    </w:p>
    <w:p>
      <w:pPr>
        <w:pStyle w:val="Indenta"/>
      </w:pPr>
      <w:r>
        <w:tab/>
        <w:t>(a)</w:t>
      </w:r>
      <w:r>
        <w:tab/>
        <w:t>a petroleum pool is partly in a licence area and partly in another area, whether in the State or not, in respect of which another person has authority, whether under this Act or another written law or under the law of another State or the Commonwealth, to explore for or recover petroleum; and</w:t>
      </w:r>
    </w:p>
    <w:p>
      <w:pPr>
        <w:pStyle w:val="Indenta"/>
      </w:pPr>
      <w:r>
        <w:tab/>
        <w:t>(b)</w:t>
      </w:r>
      <w:r>
        <w:tab/>
        <w:t>a unit development agreement in accordance with section 69 is in force between the licensee and that other person; and</w:t>
      </w:r>
    </w:p>
    <w:p>
      <w:pPr>
        <w:pStyle w:val="Indenta"/>
      </w:pPr>
      <w:r>
        <w:tab/>
        <w:t>(c)</w:t>
      </w:r>
      <w:r>
        <w:tab/>
        <w:t>petroleum is recovered from that pool through a well or wells in the licence area, the other area or both,</w:t>
      </w:r>
    </w:p>
    <w:p>
      <w:pPr>
        <w:pStyle w:val="Subsection"/>
      </w:pPr>
      <w:r>
        <w:tab/>
      </w:r>
      <w:r>
        <w:tab/>
        <w:t>there is taken to have been recovered in the licence area such proportion of all petroleum so recovered as is specified in, or determined in accordance with, the agreement referred to in paragraph (b).</w:t>
      </w:r>
    </w:p>
    <w:p>
      <w:pPr>
        <w:pStyle w:val="Subsection"/>
      </w:pPr>
      <w:r>
        <w:tab/>
        <w:t>(16)</w:t>
      </w:r>
      <w:r>
        <w:tab/>
        <w:t xml:space="preserve">In this section — </w:t>
      </w:r>
    </w:p>
    <w:p>
      <w:pPr>
        <w:pStyle w:val="Indenta"/>
      </w:pPr>
      <w:r>
        <w:tab/>
        <w:t>(a)</w:t>
      </w:r>
      <w:r>
        <w:tab/>
        <w:t>a reference to a petroleum production licence includes a reference to a petroleum exploration permit and a petroleum retention lease; and</w:t>
      </w:r>
    </w:p>
    <w:p>
      <w:pPr>
        <w:pStyle w:val="Indenta"/>
      </w:pPr>
      <w:r>
        <w:tab/>
        <w:t>(b)</w:t>
      </w:r>
      <w:r>
        <w:tab/>
        <w:t>a reference to a licensee is a reference to the registered holder of a petroleum production licence and includes a reference to a petroleum permittee and a petroleum lessee; and</w:t>
      </w:r>
    </w:p>
    <w:p>
      <w:pPr>
        <w:pStyle w:val="Indenta"/>
      </w:pPr>
      <w:r>
        <w:tab/>
        <w:t>(c)</w:t>
      </w:r>
      <w:r>
        <w:tab/>
        <w:t>a reference to a licence area is a reference to the area constituted by the blocks that are the subject of a petroleum production licence and includes a reference to a petroleum permit area and a petroleum lease area; and</w:t>
      </w:r>
    </w:p>
    <w:p>
      <w:pPr>
        <w:pStyle w:val="Indenta"/>
      </w:pPr>
      <w:r>
        <w:tab/>
        <w:t>(d)</w:t>
      </w:r>
      <w:r>
        <w:tab/>
        <w:t>a reference to a State includes a reference to the Northern Territory; and</w:t>
      </w:r>
    </w:p>
    <w:p>
      <w:pPr>
        <w:pStyle w:val="Indenta"/>
      </w:pPr>
      <w:r>
        <w:tab/>
        <w:t>(e)</w:t>
      </w:r>
      <w:r>
        <w:tab/>
        <w:t>a reference to the Supreme Court is a reference to the Supreme Court of the State, or of one of the States, in which the petroleum pool is wholly or partly situated.</w:t>
      </w:r>
    </w:p>
    <w:p>
      <w:pPr>
        <w:pStyle w:val="Footnotesection"/>
        <w:spacing w:before="80"/>
        <w:ind w:left="890" w:hanging="890"/>
      </w:pPr>
      <w:r>
        <w:tab/>
        <w:t>[Section 7B inserted: No. 7 of 2017 s. 7.]</w:t>
      </w:r>
    </w:p>
    <w:p>
      <w:pPr>
        <w:pStyle w:val="Heading5"/>
        <w:spacing w:before="180"/>
      </w:pPr>
      <w:bookmarkStart w:id="17" w:name="_Toc33609050"/>
      <w:r>
        <w:rPr>
          <w:rStyle w:val="CharSectno"/>
        </w:rPr>
        <w:t>8</w:t>
      </w:r>
      <w:r>
        <w:t>.</w:t>
      </w:r>
      <w:r>
        <w:tab/>
        <w:t>Position on Earth’s surface</w:t>
      </w:r>
      <w:bookmarkEnd w:id="17"/>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No. 54 of 2000 s. 7(2); amended: No. 13 of 2005 s. 16(1).]</w:t>
      </w:r>
    </w:p>
    <w:p>
      <w:pPr>
        <w:pStyle w:val="Heading5"/>
        <w:rPr>
          <w:snapToGrid w:val="0"/>
        </w:rPr>
      </w:pPr>
      <w:bookmarkStart w:id="18" w:name="_Toc33609051"/>
      <w:r>
        <w:rPr>
          <w:rStyle w:val="CharSectno"/>
        </w:rPr>
        <w:t>9</w:t>
      </w:r>
      <w:r>
        <w:rPr>
          <w:snapToGrid w:val="0"/>
        </w:rPr>
        <w:t>.</w:t>
      </w:r>
      <w:r>
        <w:rPr>
          <w:snapToGrid w:val="0"/>
        </w:rPr>
        <w:tab/>
        <w:t>Petroleum, geothermal energy resources and geothermal energy declared to be property of Crown</w:t>
      </w:r>
      <w:bookmarkEnd w:id="1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r>
        <w:tab/>
        <w:t>[Section 9 amended: No. 35 of 2007 s. 9.]</w:t>
      </w:r>
    </w:p>
    <w:p>
      <w:pPr>
        <w:pStyle w:val="Heading5"/>
        <w:rPr>
          <w:snapToGrid w:val="0"/>
        </w:rPr>
      </w:pPr>
      <w:bookmarkStart w:id="19" w:name="_Toc33609052"/>
      <w:r>
        <w:rPr>
          <w:rStyle w:val="CharSectno"/>
        </w:rPr>
        <w:t>10</w:t>
      </w:r>
      <w:r>
        <w:rPr>
          <w:snapToGrid w:val="0"/>
        </w:rPr>
        <w:t>.</w:t>
      </w:r>
      <w:r>
        <w:rPr>
          <w:snapToGrid w:val="0"/>
        </w:rPr>
        <w:tab/>
        <w:t>Reservations in Crown grants and leases</w:t>
      </w:r>
      <w:bookmarkEnd w:id="19"/>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No. 31 of 1997 s. 76(1); No. 35 of 2007 s. 10.]</w:t>
      </w:r>
    </w:p>
    <w:p>
      <w:pPr>
        <w:pStyle w:val="Heading5"/>
        <w:spacing w:before="180"/>
        <w:rPr>
          <w:snapToGrid w:val="0"/>
        </w:rPr>
      </w:pPr>
      <w:bookmarkStart w:id="20" w:name="_Toc33609053"/>
      <w:r>
        <w:rPr>
          <w:rStyle w:val="CharSectno"/>
        </w:rPr>
        <w:t>11</w:t>
      </w:r>
      <w:r>
        <w:rPr>
          <w:snapToGrid w:val="0"/>
        </w:rPr>
        <w:t>.</w:t>
      </w:r>
      <w:r>
        <w:rPr>
          <w:snapToGrid w:val="0"/>
        </w:rPr>
        <w:tab/>
        <w:t>Minister may search for petroleum</w:t>
      </w:r>
      <w:r>
        <w:t xml:space="preserve"> or geothermal energy resources</w:t>
      </w:r>
      <w:bookmarkEnd w:id="20"/>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No. 31 of 1997 s. 76(2); No. 35 of 2007 s. 11.]</w:t>
      </w:r>
    </w:p>
    <w:p>
      <w:pPr>
        <w:pStyle w:val="Heading5"/>
      </w:pPr>
      <w:bookmarkStart w:id="21" w:name="_Toc33609054"/>
      <w:r>
        <w:rPr>
          <w:rStyle w:val="CharSectno"/>
        </w:rPr>
        <w:t>11A</w:t>
      </w:r>
      <w:r>
        <w:t>.</w:t>
      </w:r>
      <w:r>
        <w:tab/>
        <w:t>Property rights in recovered petroleum and geothermal energy</w:t>
      </w:r>
      <w:bookmarkEnd w:id="21"/>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No. 35 of 2007 s. 12(1).]</w:t>
      </w:r>
    </w:p>
    <w:p>
      <w:pPr>
        <w:pStyle w:val="Heading5"/>
        <w:rPr>
          <w:snapToGrid w:val="0"/>
        </w:rPr>
      </w:pPr>
      <w:bookmarkStart w:id="22" w:name="_Toc33609055"/>
      <w:r>
        <w:rPr>
          <w:rStyle w:val="CharSectno"/>
        </w:rPr>
        <w:t>12</w:t>
      </w:r>
      <w:r>
        <w:rPr>
          <w:snapToGrid w:val="0"/>
        </w:rPr>
        <w:t>.</w:t>
      </w:r>
      <w:r>
        <w:rPr>
          <w:snapToGrid w:val="0"/>
        </w:rPr>
        <w:tab/>
        <w:t>Land may be resumed</w:t>
      </w:r>
      <w:bookmarkEnd w:id="22"/>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No. 31 of 1997 s. 76(3)</w:t>
      </w:r>
      <w:r>
        <w:noBreakHyphen/>
        <w:t>(5), 142 and 143; No. 55 of 2004 s. 916.]</w:t>
      </w:r>
    </w:p>
    <w:p>
      <w:pPr>
        <w:pStyle w:val="Heading5"/>
        <w:rPr>
          <w:snapToGrid w:val="0"/>
        </w:rPr>
      </w:pPr>
      <w:bookmarkStart w:id="23" w:name="_Toc33609056"/>
      <w:r>
        <w:rPr>
          <w:rStyle w:val="CharSectno"/>
        </w:rPr>
        <w:t>13</w:t>
      </w:r>
      <w:r>
        <w:rPr>
          <w:snapToGrid w:val="0"/>
        </w:rPr>
        <w:t>.</w:t>
      </w:r>
      <w:r>
        <w:rPr>
          <w:snapToGrid w:val="0"/>
        </w:rPr>
        <w:tab/>
        <w:t>Governor to have right of pre</w:t>
      </w:r>
      <w:r>
        <w:rPr>
          <w:snapToGrid w:val="0"/>
        </w:rPr>
        <w:noBreakHyphen/>
        <w:t>emption of petroleum in emergency</w:t>
      </w:r>
      <w:bookmarkEnd w:id="23"/>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emption conferred by subsection (1) shall, failing mutual agreement between the Minister and the vendor, be determined by arbitration under the provisions of the</w:t>
      </w:r>
      <w:r>
        <w:rPr>
          <w:i/>
        </w:rPr>
        <w:t xml:space="preserve"> Commercial Arbitration Act 2012</w:t>
      </w:r>
      <w:r>
        <w:rPr>
          <w:snapToGrid w:val="0"/>
        </w:rPr>
        <w:t>.</w:t>
      </w:r>
    </w:p>
    <w:p>
      <w:pPr>
        <w:pStyle w:val="Footnotesection"/>
      </w:pPr>
      <w:r>
        <w:tab/>
        <w:t>[Section 13 amended: No. 12 of 1990 s. 8; No. 42 of 2010 s. 62(15); No. 23 of 2012 s. 45.]</w:t>
      </w:r>
    </w:p>
    <w:p>
      <w:pPr>
        <w:pStyle w:val="Heading5"/>
        <w:rPr>
          <w:snapToGrid w:val="0"/>
        </w:rPr>
      </w:pPr>
      <w:bookmarkStart w:id="24" w:name="_Toc33609057"/>
      <w:r>
        <w:rPr>
          <w:rStyle w:val="CharSectno"/>
        </w:rPr>
        <w:t>14</w:t>
      </w:r>
      <w:r>
        <w:rPr>
          <w:snapToGrid w:val="0"/>
        </w:rPr>
        <w:t>.</w:t>
      </w:r>
      <w:r>
        <w:rPr>
          <w:snapToGrid w:val="0"/>
        </w:rPr>
        <w:tab/>
        <w:t>Land comprised in permit, drilling reservation, lease or licence may be entered for certain purposes</w:t>
      </w:r>
      <w:bookmarkEnd w:id="24"/>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spacing w:before="120"/>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spacing w:before="120"/>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r>
        <w:t xml:space="preserve">Magistrates Court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No. 12 of 1990 s. 9; No. 78 of 1990 s. 7; No. 59 of 2004 s. 141.]</w:t>
      </w:r>
    </w:p>
    <w:p>
      <w:pPr>
        <w:pStyle w:val="Heading5"/>
        <w:spacing w:before="180"/>
        <w:rPr>
          <w:snapToGrid w:val="0"/>
        </w:rPr>
      </w:pPr>
      <w:bookmarkStart w:id="25" w:name="_Toc33609058"/>
      <w:r>
        <w:rPr>
          <w:rStyle w:val="CharSectno"/>
        </w:rPr>
        <w:t>15</w:t>
      </w:r>
      <w:r>
        <w:rPr>
          <w:snapToGrid w:val="0"/>
        </w:rPr>
        <w:t>.</w:t>
      </w:r>
      <w:r>
        <w:rPr>
          <w:snapToGrid w:val="0"/>
        </w:rPr>
        <w:tab/>
        <w:t>Authority conferred by permit, drilling reservation, lease or licence</w:t>
      </w:r>
      <w:bookmarkEnd w:id="25"/>
    </w:p>
    <w:p>
      <w:pPr>
        <w:pStyle w:val="Subsection"/>
        <w:spacing w:before="120"/>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spacing w:before="80"/>
      </w:pPr>
      <w:r>
        <w:tab/>
        <w:t>[(2)</w:t>
      </w:r>
      <w:r>
        <w:tab/>
        <w:t>deleted]</w:t>
      </w:r>
    </w:p>
    <w:p>
      <w:pPr>
        <w:pStyle w:val="Footnotesection"/>
        <w:spacing w:before="80"/>
        <w:ind w:left="890" w:hanging="890"/>
      </w:pPr>
      <w:r>
        <w:tab/>
        <w:t>[Section 15 amended: No. 12 of 1990 s. 10; No. 78 of 1990 s. 7; No. 31 of 1997 s. 141; No. 17 of 1999 s. 22(1) and (2).]</w:t>
      </w:r>
    </w:p>
    <w:p>
      <w:pPr>
        <w:pStyle w:val="Heading5"/>
        <w:spacing w:before="180"/>
        <w:rPr>
          <w:snapToGrid w:val="0"/>
        </w:rPr>
      </w:pPr>
      <w:bookmarkStart w:id="26" w:name="_Toc33609059"/>
      <w:r>
        <w:rPr>
          <w:rStyle w:val="CharSectno"/>
        </w:rPr>
        <w:t>15A</w:t>
      </w:r>
      <w:r>
        <w:rPr>
          <w:snapToGrid w:val="0"/>
        </w:rPr>
        <w:t>.</w:t>
      </w:r>
      <w:r>
        <w:rPr>
          <w:snapToGrid w:val="0"/>
        </w:rPr>
        <w:tab/>
        <w:t>Consent of Minister required for entry on reserves for purposes of exploration etc.</w:t>
      </w:r>
      <w:bookmarkEnd w:id="26"/>
    </w:p>
    <w:p>
      <w:pPr>
        <w:pStyle w:val="Subsection"/>
        <w:spacing w:before="120"/>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spacing w:before="60"/>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No. 17 of 1999 s. 23(1); amended: No. 35 of 2007 s. 13.]</w:t>
      </w:r>
    </w:p>
    <w:p>
      <w:pPr>
        <w:pStyle w:val="Heading5"/>
        <w:spacing w:before="180"/>
        <w:rPr>
          <w:snapToGrid w:val="0"/>
        </w:rPr>
      </w:pPr>
      <w:bookmarkStart w:id="27" w:name="_Toc33609060"/>
      <w:r>
        <w:rPr>
          <w:rStyle w:val="CharSectno"/>
        </w:rPr>
        <w:t>16</w:t>
      </w:r>
      <w:r>
        <w:rPr>
          <w:snapToGrid w:val="0"/>
        </w:rPr>
        <w:t>.</w:t>
      </w:r>
      <w:r>
        <w:rPr>
          <w:snapToGrid w:val="0"/>
        </w:rPr>
        <w:tab/>
        <w:t>Consent of owner or trustees required in certain cases for exploration etc.</w:t>
      </w:r>
      <w:bookmarkEnd w:id="27"/>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No. 94 of 1972 s. 4; No. 12 of 1990 s. 11; No. 78 of 1990 s. 7; No. 73 of 1994 s. 4; No. 14 of 1996 s. 4; No. 17 of 1999 s. 24; No. 35 of 2007 s. 14.]</w:t>
      </w:r>
    </w:p>
    <w:p>
      <w:pPr>
        <w:pStyle w:val="Heading5"/>
        <w:rPr>
          <w:snapToGrid w:val="0"/>
        </w:rPr>
      </w:pPr>
      <w:bookmarkStart w:id="28" w:name="_Toc33609061"/>
      <w:r>
        <w:rPr>
          <w:rStyle w:val="CharSectno"/>
        </w:rPr>
        <w:t>17</w:t>
      </w:r>
      <w:r>
        <w:rPr>
          <w:snapToGrid w:val="0"/>
        </w:rPr>
        <w:t>.</w:t>
      </w:r>
      <w:r>
        <w:rPr>
          <w:snapToGrid w:val="0"/>
        </w:rPr>
        <w:tab/>
        <w:t>Compensation to owners and occupiers of private land</w:t>
      </w:r>
      <w:bookmarkEnd w:id="28"/>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If within such time as may be prescribed the parties are unable to agree upon the amount of compensation to be paid, either party may apply to the Magistrates Court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No. 12 of 1990 s. 12; No. 78 of 1990 s. 7; No. 59 of 2004 s. 141; No. 35 of 2007 s. 15.]</w:t>
      </w:r>
    </w:p>
    <w:p>
      <w:pPr>
        <w:pStyle w:val="Heading5"/>
        <w:rPr>
          <w:snapToGrid w:val="0"/>
        </w:rPr>
      </w:pPr>
      <w:bookmarkStart w:id="29" w:name="_Toc33609062"/>
      <w:r>
        <w:rPr>
          <w:rStyle w:val="CharSectno"/>
        </w:rPr>
        <w:t>18</w:t>
      </w:r>
      <w:r>
        <w:rPr>
          <w:snapToGrid w:val="0"/>
        </w:rPr>
        <w:t>.</w:t>
      </w:r>
      <w:r>
        <w:rPr>
          <w:snapToGrid w:val="0"/>
        </w:rPr>
        <w:tab/>
        <w:t>Owner of private land in vicinity of permit area, drilling reservation, lease area or licence area may be entitled to compensation</w:t>
      </w:r>
      <w:bookmarkEnd w:id="29"/>
    </w:p>
    <w:p>
      <w:pPr>
        <w:pStyle w:val="Subsection"/>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No. 12 of 1990 s. 13; No. 78 of 1990 s. 7.]</w:t>
      </w:r>
    </w:p>
    <w:p>
      <w:pPr>
        <w:pStyle w:val="Heading5"/>
        <w:rPr>
          <w:snapToGrid w:val="0"/>
        </w:rPr>
      </w:pPr>
      <w:bookmarkStart w:id="30" w:name="_Toc33609063"/>
      <w:r>
        <w:rPr>
          <w:rStyle w:val="CharSectno"/>
        </w:rPr>
        <w:t>19</w:t>
      </w:r>
      <w:r>
        <w:rPr>
          <w:snapToGrid w:val="0"/>
        </w:rPr>
        <w:t>.</w:t>
      </w:r>
      <w:r>
        <w:rPr>
          <w:snapToGrid w:val="0"/>
        </w:rPr>
        <w:tab/>
        <w:t>Compensation for further damage</w:t>
      </w:r>
      <w:bookmarkEnd w:id="30"/>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No. 12 of 1990 s. 14; No. 78 of 1990 s. 7.]</w:t>
      </w:r>
    </w:p>
    <w:p>
      <w:pPr>
        <w:pStyle w:val="Heading5"/>
        <w:rPr>
          <w:snapToGrid w:val="0"/>
        </w:rPr>
      </w:pPr>
      <w:bookmarkStart w:id="31" w:name="_Toc336090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3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No. 12 of 1990 s. 15; No. 78 of 1990 s. 7.]</w:t>
      </w:r>
    </w:p>
    <w:p>
      <w:pPr>
        <w:pStyle w:val="Heading5"/>
        <w:spacing w:before="180"/>
        <w:rPr>
          <w:snapToGrid w:val="0"/>
        </w:rPr>
      </w:pPr>
      <w:bookmarkStart w:id="32" w:name="_Toc336090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32"/>
    </w:p>
    <w:p>
      <w:pPr>
        <w:pStyle w:val="Subsection"/>
        <w:spacing w:before="120"/>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r>
        <w:t xml:space="preserve">Magistrates Court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ind w:left="890" w:hanging="890"/>
      </w:pPr>
      <w:r>
        <w:tab/>
        <w:t>[Section 21 amended: No. 12 of 1990 s. 16; No. 78 of 1990 s. 7; No. 31 of 1997 s. 141; No. 59 of 2004 s. 141.]</w:t>
      </w:r>
    </w:p>
    <w:p>
      <w:pPr>
        <w:pStyle w:val="Heading5"/>
        <w:rPr>
          <w:snapToGrid w:val="0"/>
        </w:rPr>
      </w:pPr>
      <w:bookmarkStart w:id="33" w:name="_Toc33609066"/>
      <w:r>
        <w:rPr>
          <w:rStyle w:val="CharSectno"/>
        </w:rPr>
        <w:t>22</w:t>
      </w:r>
      <w:r>
        <w:rPr>
          <w:snapToGrid w:val="0"/>
        </w:rPr>
        <w:t>.</w:t>
      </w:r>
      <w:r>
        <w:rPr>
          <w:snapToGrid w:val="0"/>
        </w:rPr>
        <w:tab/>
        <w:t>Determination of partial compensation</w:t>
      </w:r>
      <w:bookmarkEnd w:id="33"/>
    </w:p>
    <w:p>
      <w:pPr>
        <w:pStyle w:val="Subsection"/>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ind w:left="890" w:hanging="890"/>
      </w:pPr>
      <w:r>
        <w:tab/>
        <w:t>[Section 22 amended: No. 12 of 1990 s. 17.]</w:t>
      </w:r>
    </w:p>
    <w:p>
      <w:pPr>
        <w:pStyle w:val="Heading5"/>
        <w:spacing w:before="200"/>
        <w:rPr>
          <w:snapToGrid w:val="0"/>
        </w:rPr>
      </w:pPr>
      <w:bookmarkStart w:id="34" w:name="_Toc33609067"/>
      <w:r>
        <w:rPr>
          <w:rStyle w:val="CharSectno"/>
        </w:rPr>
        <w:t>23</w:t>
      </w:r>
      <w:r>
        <w:rPr>
          <w:snapToGrid w:val="0"/>
        </w:rPr>
        <w:t>.</w:t>
      </w:r>
      <w:r>
        <w:rPr>
          <w:snapToGrid w:val="0"/>
        </w:rPr>
        <w:tab/>
        <w:t>Security for compensation</w:t>
      </w:r>
      <w:bookmarkEnd w:id="34"/>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rPr>
          <w:snapToGrid w:val="0"/>
        </w:rPr>
      </w:pPr>
      <w:bookmarkStart w:id="35" w:name="_Toc33609068"/>
      <w:r>
        <w:rPr>
          <w:rStyle w:val="CharSectno"/>
        </w:rPr>
        <w:t>24</w:t>
      </w:r>
      <w:r>
        <w:rPr>
          <w:snapToGrid w:val="0"/>
        </w:rPr>
        <w:t>.</w:t>
      </w:r>
      <w:r>
        <w:rPr>
          <w:snapToGrid w:val="0"/>
        </w:rPr>
        <w:tab/>
        <w:t>Matters for which compensation not payable</w:t>
      </w:r>
      <w:bookmarkEnd w:id="35"/>
    </w:p>
    <w:p>
      <w:pPr>
        <w:pStyle w:val="Subsection"/>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rPr>
          <w:snapToGrid w:val="0"/>
        </w:rPr>
      </w:pPr>
      <w:r>
        <w:rPr>
          <w:snapToGrid w:val="0"/>
        </w:rPr>
        <w:tab/>
        <w:t>(a)</w:t>
      </w:r>
      <w:r>
        <w:rPr>
          <w:snapToGrid w:val="0"/>
        </w:rPr>
        <w:tab/>
        <w:t>for deprivation of the possession of the surface of the land or any part of the surface; and</w:t>
      </w:r>
    </w:p>
    <w:p>
      <w:pPr>
        <w:pStyle w:val="Indenta"/>
        <w:rPr>
          <w:snapToGrid w:val="0"/>
        </w:rPr>
      </w:pPr>
      <w:r>
        <w:rPr>
          <w:snapToGrid w:val="0"/>
        </w:rPr>
        <w:tab/>
        <w:t>(b)</w:t>
      </w:r>
      <w:r>
        <w:rPr>
          <w:snapToGrid w:val="0"/>
        </w:rPr>
        <w:tab/>
        <w:t>for damage to the surface of the land; and</w:t>
      </w:r>
    </w:p>
    <w:p>
      <w:pPr>
        <w:pStyle w:val="Indenta"/>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rPr>
          <w:snapToGrid w:val="0"/>
        </w:rPr>
      </w:pPr>
      <w:r>
        <w:rPr>
          <w:snapToGrid w:val="0"/>
        </w:rPr>
        <w:tab/>
        <w:t>(d)</w:t>
      </w:r>
      <w:r>
        <w:rPr>
          <w:snapToGrid w:val="0"/>
        </w:rPr>
        <w:tab/>
        <w:t>for surface rights of way and easements.</w:t>
      </w:r>
    </w:p>
    <w:p>
      <w:pPr>
        <w:pStyle w:val="Subsection"/>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ind w:left="890" w:hanging="890"/>
      </w:pPr>
      <w:r>
        <w:tab/>
        <w:t>[Section 24 amended: No. 12 of 1990 s. 18; No. 31 of 1997 s. 141; No. 35 of 2007 s. 16.]</w:t>
      </w:r>
    </w:p>
    <w:p>
      <w:pPr>
        <w:pStyle w:val="Heading5"/>
        <w:rPr>
          <w:snapToGrid w:val="0"/>
        </w:rPr>
      </w:pPr>
      <w:bookmarkStart w:id="36" w:name="_Toc33609069"/>
      <w:r>
        <w:rPr>
          <w:rStyle w:val="CharSectno"/>
        </w:rPr>
        <w:t>24A</w:t>
      </w:r>
      <w:r>
        <w:rPr>
          <w:snapToGrid w:val="0"/>
        </w:rPr>
        <w:t>.</w:t>
      </w:r>
      <w:r>
        <w:rPr>
          <w:snapToGrid w:val="0"/>
        </w:rPr>
        <w:tab/>
        <w:t>Liability for payment of compensation to native title holders</w:t>
      </w:r>
      <w:bookmarkEnd w:id="3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spacing w:before="60"/>
      </w:pPr>
      <w:r>
        <w:tab/>
      </w:r>
      <w:r>
        <w:rPr>
          <w:rStyle w:val="CharDefText"/>
        </w:rPr>
        <w:t>authorisation</w:t>
      </w:r>
      <w:r>
        <w:t xml:space="preserve"> means a permit, drilling reservation, lease, licence, special prospecting authority or access authority;</w:t>
      </w:r>
    </w:p>
    <w:p>
      <w:pPr>
        <w:pStyle w:val="Defstart"/>
        <w:spacing w:before="60"/>
      </w:pPr>
      <w:r>
        <w:tab/>
      </w:r>
      <w:r>
        <w:rPr>
          <w:rStyle w:val="CharDefText"/>
        </w:rPr>
        <w:t>native title holders</w:t>
      </w:r>
      <w:r>
        <w:t xml:space="preserve"> has the same meaning as in the </w:t>
      </w:r>
      <w:r>
        <w:rPr>
          <w:i/>
        </w:rPr>
        <w:t>Native Title Act 1993</w:t>
      </w:r>
      <w:r>
        <w:t xml:space="preserve"> of the Commonwealth.</w:t>
      </w:r>
    </w:p>
    <w:p>
      <w:pPr>
        <w:pStyle w:val="Footnotesection"/>
        <w:spacing w:before="80"/>
        <w:ind w:left="890" w:hanging="890"/>
      </w:pPr>
      <w:r>
        <w:tab/>
        <w:t>[Section 24A inserted: No. 61 of 1998 s. 17.]</w:t>
      </w:r>
    </w:p>
    <w:p>
      <w:pPr>
        <w:pStyle w:val="Heading5"/>
        <w:spacing w:before="180"/>
        <w:rPr>
          <w:snapToGrid w:val="0"/>
        </w:rPr>
      </w:pPr>
      <w:bookmarkStart w:id="37" w:name="_Toc33609070"/>
      <w:r>
        <w:rPr>
          <w:rStyle w:val="CharSectno"/>
        </w:rPr>
        <w:t>25</w:t>
      </w:r>
      <w:r>
        <w:rPr>
          <w:snapToGrid w:val="0"/>
        </w:rPr>
        <w:t>.</w:t>
      </w:r>
      <w:r>
        <w:rPr>
          <w:snapToGrid w:val="0"/>
        </w:rPr>
        <w:tab/>
        <w:t>Delegation</w:t>
      </w:r>
      <w:bookmarkEnd w:id="37"/>
    </w:p>
    <w:p>
      <w:pPr>
        <w:pStyle w:val="Subsection"/>
        <w:spacing w:before="1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spacing w:before="120"/>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spacing w:before="120"/>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spacing w:before="120"/>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spacing w:before="60"/>
        <w:ind w:left="890" w:hanging="890"/>
      </w:pPr>
      <w:r>
        <w:tab/>
        <w:t>[Section 25 amended: No. 13 of 2005 s. 16(1).]</w:t>
      </w:r>
    </w:p>
    <w:p>
      <w:pPr>
        <w:pStyle w:val="Heading2"/>
      </w:pPr>
      <w:bookmarkStart w:id="38" w:name="_Toc33608718"/>
      <w:bookmarkStart w:id="39" w:name="_Toc33609071"/>
      <w:r>
        <w:rPr>
          <w:rStyle w:val="CharPartNo"/>
        </w:rPr>
        <w:t>Part III</w:t>
      </w:r>
      <w:r>
        <w:rPr>
          <w:b w:val="0"/>
        </w:rPr>
        <w:t> </w:t>
      </w:r>
      <w:r>
        <w:t>—</w:t>
      </w:r>
      <w:r>
        <w:rPr>
          <w:b w:val="0"/>
        </w:rPr>
        <w:t> </w:t>
      </w:r>
      <w:r>
        <w:rPr>
          <w:rStyle w:val="CharPartText"/>
        </w:rPr>
        <w:t>Mining for petroleum, geothermal energy resources and geothermal energy</w:t>
      </w:r>
      <w:bookmarkEnd w:id="38"/>
      <w:bookmarkEnd w:id="39"/>
    </w:p>
    <w:p>
      <w:pPr>
        <w:pStyle w:val="Footnoteheading"/>
      </w:pPr>
      <w:r>
        <w:tab/>
        <w:t>[Heading inserted: No. 35 of 2007 s. 17.]</w:t>
      </w:r>
    </w:p>
    <w:p>
      <w:pPr>
        <w:pStyle w:val="Heading3"/>
      </w:pPr>
      <w:bookmarkStart w:id="40" w:name="_Toc33608719"/>
      <w:bookmarkStart w:id="41" w:name="_Toc33609072"/>
      <w:r>
        <w:rPr>
          <w:rStyle w:val="CharDivNo"/>
        </w:rPr>
        <w:t>Division 1</w:t>
      </w:r>
      <w:r>
        <w:rPr>
          <w:snapToGrid w:val="0"/>
        </w:rPr>
        <w:t> — </w:t>
      </w:r>
      <w:r>
        <w:rPr>
          <w:rStyle w:val="CharDivText"/>
        </w:rPr>
        <w:t>Preliminary</w:t>
      </w:r>
      <w:bookmarkEnd w:id="40"/>
      <w:bookmarkEnd w:id="41"/>
    </w:p>
    <w:p>
      <w:pPr>
        <w:pStyle w:val="Heading5"/>
        <w:spacing w:before="240"/>
        <w:rPr>
          <w:snapToGrid w:val="0"/>
        </w:rPr>
      </w:pPr>
      <w:bookmarkStart w:id="42" w:name="_Toc33609073"/>
      <w:r>
        <w:rPr>
          <w:rStyle w:val="CharSectno"/>
        </w:rPr>
        <w:t>26</w:t>
      </w:r>
      <w:r>
        <w:rPr>
          <w:snapToGrid w:val="0"/>
        </w:rPr>
        <w:t>.</w:t>
      </w:r>
      <w:r>
        <w:rPr>
          <w:snapToGrid w:val="0"/>
        </w:rPr>
        <w:tab/>
        <w:t>Term used: State</w:t>
      </w:r>
      <w:bookmarkEnd w:id="42"/>
    </w:p>
    <w:p>
      <w:pPr>
        <w:pStyle w:val="Subsection"/>
        <w:rPr>
          <w:snapToGrid w:val="0"/>
        </w:rPr>
      </w:pPr>
      <w:r>
        <w:rPr>
          <w:snapToGrid w:val="0"/>
        </w:rPr>
        <w:tab/>
      </w:r>
      <w:r>
        <w:rPr>
          <w:snapToGrid w:val="0"/>
        </w:rPr>
        <w:tab/>
        <w:t>In this Part</w:t>
      </w:r>
      <w:r>
        <w:t xml:space="preserve"> the </w:t>
      </w:r>
      <w:r>
        <w:rPr>
          <w:rStyle w:val="CharDefText"/>
        </w:rPr>
        <w:t>State</w:t>
      </w:r>
      <w:r>
        <w:rPr>
          <w:snapToGrid w:val="0"/>
        </w:rPr>
        <w:t xml:space="preserve"> means all that part of the State of Western Australia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No. 90 of 1987 s. 4.]</w:t>
      </w:r>
    </w:p>
    <w:p>
      <w:pPr>
        <w:pStyle w:val="Heading5"/>
        <w:rPr>
          <w:snapToGrid w:val="0"/>
        </w:rPr>
      </w:pPr>
      <w:bookmarkStart w:id="43" w:name="_Toc33609074"/>
      <w:r>
        <w:rPr>
          <w:rStyle w:val="CharSectno"/>
        </w:rPr>
        <w:t>27</w:t>
      </w:r>
      <w:r>
        <w:rPr>
          <w:snapToGrid w:val="0"/>
        </w:rPr>
        <w:t>.</w:t>
      </w:r>
      <w:r>
        <w:rPr>
          <w:snapToGrid w:val="0"/>
        </w:rPr>
        <w:tab/>
        <w:t>Graticulation of Earth’s surface and constitution of blocks</w:t>
      </w:r>
      <w:bookmarkEnd w:id="43"/>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spacing w:before="180"/>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No. 54 of 2000 s. 7(3).]</w:t>
      </w:r>
    </w:p>
    <w:p>
      <w:pPr>
        <w:pStyle w:val="Heading5"/>
        <w:spacing w:before="240"/>
        <w:rPr>
          <w:snapToGrid w:val="0"/>
        </w:rPr>
      </w:pPr>
      <w:bookmarkStart w:id="44" w:name="_Toc33609075"/>
      <w:r>
        <w:rPr>
          <w:rStyle w:val="CharSectno"/>
        </w:rPr>
        <w:t>28</w:t>
      </w:r>
      <w:r>
        <w:rPr>
          <w:snapToGrid w:val="0"/>
        </w:rPr>
        <w:t>.</w:t>
      </w:r>
      <w:r>
        <w:rPr>
          <w:snapToGrid w:val="0"/>
        </w:rPr>
        <w:tab/>
        <w:t>Reservation of blocks</w:t>
      </w:r>
      <w:bookmarkEnd w:id="44"/>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No. 12 of 1990 s. 19; No. 78 of 1990 s. 7; No. 35 of 2007 s. 18.]</w:t>
      </w:r>
    </w:p>
    <w:p>
      <w:pPr>
        <w:pStyle w:val="Heading5"/>
        <w:rPr>
          <w:snapToGrid w:val="0"/>
        </w:rPr>
      </w:pPr>
      <w:bookmarkStart w:id="45" w:name="_Toc33609076"/>
      <w:r>
        <w:rPr>
          <w:rStyle w:val="CharSectno"/>
        </w:rPr>
        <w:t>28A</w:t>
      </w:r>
      <w:r>
        <w:rPr>
          <w:snapToGrid w:val="0"/>
        </w:rPr>
        <w:t>.</w:t>
      </w:r>
      <w:r>
        <w:rPr>
          <w:snapToGrid w:val="0"/>
        </w:rPr>
        <w:tab/>
        <w:t>Issue of permits etc. in marine reserves</w:t>
      </w:r>
      <w:bookmarkEnd w:id="45"/>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No. 5 of 1997 s. 43; amended: No. 17 of 1999 s. 22(3).]</w:t>
      </w:r>
    </w:p>
    <w:p>
      <w:pPr>
        <w:pStyle w:val="Heading3"/>
        <w:pageBreakBefore/>
        <w:spacing w:before="0"/>
      </w:pPr>
      <w:bookmarkStart w:id="46" w:name="_Toc33608724"/>
      <w:bookmarkStart w:id="47" w:name="_Toc33609077"/>
      <w:r>
        <w:rPr>
          <w:rStyle w:val="CharDivNo"/>
        </w:rPr>
        <w:t>Division 2</w:t>
      </w:r>
      <w:r>
        <w:rPr>
          <w:snapToGrid w:val="0"/>
        </w:rPr>
        <w:t> — </w:t>
      </w:r>
      <w:r>
        <w:rPr>
          <w:rStyle w:val="CharDivText"/>
        </w:rPr>
        <w:t>Permits and drilling reservations</w:t>
      </w:r>
      <w:bookmarkEnd w:id="46"/>
      <w:bookmarkEnd w:id="47"/>
    </w:p>
    <w:p>
      <w:pPr>
        <w:pStyle w:val="Footnoteheading"/>
        <w:keepNext/>
      </w:pPr>
      <w:r>
        <w:tab/>
        <w:t>[Heading inserted: No. 78 of 1990 s. 5.]</w:t>
      </w:r>
    </w:p>
    <w:p>
      <w:pPr>
        <w:pStyle w:val="Heading5"/>
        <w:spacing w:before="180"/>
        <w:rPr>
          <w:snapToGrid w:val="0"/>
        </w:rPr>
      </w:pPr>
      <w:bookmarkStart w:id="48" w:name="_Toc33609078"/>
      <w:r>
        <w:rPr>
          <w:rStyle w:val="CharSectno"/>
        </w:rPr>
        <w:t>29</w:t>
      </w:r>
      <w:r>
        <w:rPr>
          <w:snapToGrid w:val="0"/>
        </w:rPr>
        <w:t>.</w:t>
      </w:r>
      <w:r>
        <w:rPr>
          <w:snapToGrid w:val="0"/>
        </w:rPr>
        <w:tab/>
        <w:t>Exploration for petroleum and</w:t>
      </w:r>
      <w:r>
        <w:t xml:space="preserve"> geothermal energy resources restricted</w:t>
      </w:r>
      <w:bookmarkEnd w:id="48"/>
    </w:p>
    <w:p>
      <w:pPr>
        <w:pStyle w:val="Subsection"/>
        <w:spacing w:before="120"/>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No. 12 of 1990 s. 20; amended: No. 78 of 1990 s. 7; No. 28 of 1994 s. 6; No. 35 of 2007 s. 19; No. 42 of 2010 s. 62(15).]</w:t>
      </w:r>
    </w:p>
    <w:p>
      <w:pPr>
        <w:pStyle w:val="Heading5"/>
        <w:spacing w:before="180"/>
        <w:rPr>
          <w:snapToGrid w:val="0"/>
        </w:rPr>
      </w:pPr>
      <w:bookmarkStart w:id="49" w:name="_Toc33609079"/>
      <w:r>
        <w:rPr>
          <w:rStyle w:val="CharSectno"/>
        </w:rPr>
        <w:t>30</w:t>
      </w:r>
      <w:r>
        <w:rPr>
          <w:snapToGrid w:val="0"/>
        </w:rPr>
        <w:t>.</w:t>
      </w:r>
      <w:r>
        <w:rPr>
          <w:snapToGrid w:val="0"/>
        </w:rPr>
        <w:tab/>
        <w:t>Advertisement of blocks</w:t>
      </w:r>
      <w:bookmarkEnd w:id="49"/>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ind w:left="890" w:hanging="890"/>
      </w:pPr>
      <w:r>
        <w:tab/>
        <w:t>[Section 30 amended: No. 12 of 1990 s. 21.]</w:t>
      </w:r>
    </w:p>
    <w:p>
      <w:pPr>
        <w:pStyle w:val="Heading5"/>
        <w:spacing w:before="180"/>
        <w:rPr>
          <w:snapToGrid w:val="0"/>
        </w:rPr>
      </w:pPr>
      <w:bookmarkStart w:id="50" w:name="_Toc33609080"/>
      <w:r>
        <w:rPr>
          <w:rStyle w:val="CharSectno"/>
        </w:rPr>
        <w:t>31</w:t>
      </w:r>
      <w:r>
        <w:rPr>
          <w:snapToGrid w:val="0"/>
        </w:rPr>
        <w:t>.</w:t>
      </w:r>
      <w:r>
        <w:rPr>
          <w:snapToGrid w:val="0"/>
        </w:rPr>
        <w:tab/>
        <w:t>Application for permit</w:t>
      </w:r>
      <w:bookmarkEnd w:id="50"/>
    </w:p>
    <w:p>
      <w:pPr>
        <w:pStyle w:val="Subsection"/>
        <w:spacing w:before="120"/>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pPr>
      <w:r>
        <w:tab/>
        <w:t>(c)</w:t>
      </w:r>
      <w:r>
        <w:tab/>
        <w:t xml:space="preserve">shall be in respect of not more than — </w:t>
      </w:r>
    </w:p>
    <w:p>
      <w:pPr>
        <w:pStyle w:val="Indenti"/>
      </w:pPr>
      <w:r>
        <w:tab/>
        <w:t>(i)</w:t>
      </w:r>
      <w:r>
        <w:tab/>
        <w:t>400 blocks, if the application relates to the exploration for petroleum; or</w:t>
      </w:r>
    </w:p>
    <w:p>
      <w:pPr>
        <w:pStyle w:val="Indenti"/>
      </w:pPr>
      <w:r>
        <w:tab/>
        <w:t>(ii)</w:t>
      </w:r>
      <w:r>
        <w:tab/>
        <w:t>160 blocks, if the application relates to the exploration for geothermal energy resources;</w:t>
      </w:r>
    </w:p>
    <w:p>
      <w:pPr>
        <w:pStyle w:val="Indenta"/>
      </w:pPr>
      <w:r>
        <w:tab/>
      </w:r>
      <w:r>
        <w:tab/>
        <w:t>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blocks specified in the application; and</w:t>
      </w:r>
    </w:p>
    <w:p>
      <w:pPr>
        <w:pStyle w:val="Indenti"/>
        <w:rPr>
          <w:snapToGrid w:val="0"/>
        </w:rPr>
      </w:pPr>
      <w:r>
        <w:rPr>
          <w:snapToGrid w:val="0"/>
        </w:rPr>
        <w:tab/>
        <w:t>(ii)</w:t>
      </w:r>
      <w:r>
        <w:rPr>
          <w:snapToGrid w:val="0"/>
        </w:rPr>
        <w:tab/>
        <w:t>the technical qualifications of the applicant and of his employees;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the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No. 69 of 1981 s. 34; No. 12 of 1990 s. 22; No. 28 of 1994 s. 7; No. 35 of 2007 s. 20; No. 42 of 2010 s. 6.]</w:t>
      </w:r>
    </w:p>
    <w:p>
      <w:pPr>
        <w:pStyle w:val="Heading5"/>
      </w:pPr>
      <w:bookmarkStart w:id="51" w:name="_Toc33609081"/>
      <w:r>
        <w:rPr>
          <w:rStyle w:val="CharSectno"/>
        </w:rPr>
        <w:t>32A</w:t>
      </w:r>
      <w:r>
        <w:t>.</w:t>
      </w:r>
      <w:r>
        <w:tab/>
        <w:t>More than one permit application for same block or blocks</w:t>
      </w:r>
      <w:bookmarkEnd w:id="51"/>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No. 42 of 2010 s. 7.]</w:t>
      </w:r>
    </w:p>
    <w:p>
      <w:pPr>
        <w:pStyle w:val="Heading5"/>
        <w:rPr>
          <w:snapToGrid w:val="0"/>
        </w:rPr>
      </w:pPr>
      <w:bookmarkStart w:id="52" w:name="_Toc33609082"/>
      <w:r>
        <w:rPr>
          <w:rStyle w:val="CharSectno"/>
        </w:rPr>
        <w:t>32</w:t>
      </w:r>
      <w:r>
        <w:rPr>
          <w:snapToGrid w:val="0"/>
        </w:rPr>
        <w:t>.</w:t>
      </w:r>
      <w:r>
        <w:rPr>
          <w:snapToGrid w:val="0"/>
        </w:rPr>
        <w:tab/>
        <w:t>Grant or refusal of permit in relation to application</w:t>
      </w:r>
      <w:bookmarkEnd w:id="52"/>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No. 28 of 1994 s. 8; No. 35 of 2007 s. 21; No. 42 of 2010 s. 8.]</w:t>
      </w:r>
    </w:p>
    <w:p>
      <w:pPr>
        <w:pStyle w:val="Heading5"/>
      </w:pPr>
      <w:bookmarkStart w:id="53" w:name="_Toc33609083"/>
      <w:r>
        <w:rPr>
          <w:rStyle w:val="CharSectno"/>
        </w:rPr>
        <w:t>33A</w:t>
      </w:r>
      <w:r>
        <w:t>.</w:t>
      </w:r>
      <w:r>
        <w:tab/>
        <w:t>Withdrawal of application</w:t>
      </w:r>
      <w:bookmarkEnd w:id="53"/>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r>
        <w:tab/>
        <w:t>[Section 33A inserted: No. 42 of 2010 s. 9.]</w:t>
      </w:r>
    </w:p>
    <w:p>
      <w:pPr>
        <w:pStyle w:val="Heading5"/>
      </w:pPr>
      <w:bookmarkStart w:id="54" w:name="_Toc33609084"/>
      <w:r>
        <w:rPr>
          <w:rStyle w:val="CharSectno"/>
        </w:rPr>
        <w:t>33B</w:t>
      </w:r>
      <w:r>
        <w:t>.</w:t>
      </w:r>
      <w:r>
        <w:tab/>
        <w:t>Application continued after withdrawal of joint applicant</w:t>
      </w:r>
      <w:bookmarkEnd w:id="54"/>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r>
        <w:tab/>
        <w:t>[Section 33B inserted: No. 42 of 2010 s. 9.]</w:t>
      </w:r>
    </w:p>
    <w:p>
      <w:pPr>
        <w:pStyle w:val="Heading5"/>
        <w:spacing w:before="180"/>
      </w:pPr>
      <w:bookmarkStart w:id="55" w:name="_Toc33609085"/>
      <w:r>
        <w:rPr>
          <w:rStyle w:val="CharSectno"/>
        </w:rPr>
        <w:t>33C</w:t>
      </w:r>
      <w:r>
        <w:t>.</w:t>
      </w:r>
      <w:r>
        <w:tab/>
        <w:t>Effect of withdrawal or lapse of s. 30 application</w:t>
      </w:r>
      <w:bookmarkEnd w:id="55"/>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No. 42 of 2010 s. 9.]</w:t>
      </w:r>
    </w:p>
    <w:p>
      <w:pPr>
        <w:pStyle w:val="Heading5"/>
        <w:rPr>
          <w:snapToGrid w:val="0"/>
        </w:rPr>
      </w:pPr>
      <w:bookmarkStart w:id="56" w:name="_Toc33609086"/>
      <w:r>
        <w:rPr>
          <w:rStyle w:val="CharSectno"/>
        </w:rPr>
        <w:t>33</w:t>
      </w:r>
      <w:r>
        <w:rPr>
          <w:snapToGrid w:val="0"/>
        </w:rPr>
        <w:t>.</w:t>
      </w:r>
      <w:r>
        <w:rPr>
          <w:snapToGrid w:val="0"/>
        </w:rPr>
        <w:tab/>
        <w:t>Application for permit in respect of surrendered etc. blocks</w:t>
      </w:r>
      <w:bookmarkEnd w:id="5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No. 12 of 1990 s. 23; No. 28 of 1994 s. 9; No. 35 of 2007 s. 22; No. 42 of 2010 s. 10.]</w:t>
      </w:r>
    </w:p>
    <w:p>
      <w:pPr>
        <w:pStyle w:val="Heading5"/>
        <w:rPr>
          <w:snapToGrid w:val="0"/>
        </w:rPr>
      </w:pPr>
      <w:bookmarkStart w:id="57" w:name="_Toc33609087"/>
      <w:r>
        <w:rPr>
          <w:rStyle w:val="CharSectno"/>
        </w:rPr>
        <w:t>34</w:t>
      </w:r>
      <w:r>
        <w:rPr>
          <w:snapToGrid w:val="0"/>
        </w:rPr>
        <w:t>.</w:t>
      </w:r>
      <w:r>
        <w:rPr>
          <w:snapToGrid w:val="0"/>
        </w:rPr>
        <w:tab/>
        <w:t>Application fee etc.</w:t>
      </w:r>
      <w:bookmarkEnd w:id="57"/>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ind w:left="890" w:hanging="890"/>
      </w:pPr>
      <w:r>
        <w:tab/>
        <w:t>[Section 34 amended: No. 69 of 1981 s. 34; No. 12 of 1990 s. 24; No. 42 of 2010 s. 11.]</w:t>
      </w:r>
    </w:p>
    <w:p>
      <w:pPr>
        <w:pStyle w:val="Heading5"/>
        <w:keepLines w:val="0"/>
        <w:spacing w:before="240"/>
        <w:rPr>
          <w:snapToGrid w:val="0"/>
        </w:rPr>
      </w:pPr>
      <w:bookmarkStart w:id="58" w:name="_Toc33609088"/>
      <w:r>
        <w:rPr>
          <w:rStyle w:val="CharSectno"/>
        </w:rPr>
        <w:t>35</w:t>
      </w:r>
      <w:r>
        <w:rPr>
          <w:snapToGrid w:val="0"/>
        </w:rPr>
        <w:t>.</w:t>
      </w:r>
      <w:r>
        <w:rPr>
          <w:snapToGrid w:val="0"/>
        </w:rPr>
        <w:tab/>
        <w:t>Consideration of application</w:t>
      </w:r>
      <w:bookmarkEnd w:id="58"/>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No. 12 of 1990 s. 25; No. 28 of 1994 s. 10; No. 35 of 2007 s. 23; No. 42 of 2010 s. 12.]</w:t>
      </w:r>
    </w:p>
    <w:p>
      <w:pPr>
        <w:pStyle w:val="Heading5"/>
        <w:rPr>
          <w:snapToGrid w:val="0"/>
        </w:rPr>
      </w:pPr>
      <w:bookmarkStart w:id="59" w:name="_Toc33609089"/>
      <w:r>
        <w:rPr>
          <w:rStyle w:val="CharSectno"/>
        </w:rPr>
        <w:t>36</w:t>
      </w:r>
      <w:r>
        <w:rPr>
          <w:snapToGrid w:val="0"/>
        </w:rPr>
        <w:t>.</w:t>
      </w:r>
      <w:r>
        <w:rPr>
          <w:snapToGrid w:val="0"/>
        </w:rPr>
        <w:tab/>
        <w:t>Request by applicant for grant of permit in respect of advertised block</w:t>
      </w:r>
      <w:bookmarkEnd w:id="59"/>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No. 28 of 1994 s. 11; No. 42 of 2010 s. 13.]</w:t>
      </w:r>
    </w:p>
    <w:p>
      <w:pPr>
        <w:pStyle w:val="Heading5"/>
        <w:rPr>
          <w:snapToGrid w:val="0"/>
        </w:rPr>
      </w:pPr>
      <w:bookmarkStart w:id="60" w:name="_Toc33609090"/>
      <w:r>
        <w:rPr>
          <w:rStyle w:val="CharSectno"/>
        </w:rPr>
        <w:t>37</w:t>
      </w:r>
      <w:r>
        <w:rPr>
          <w:snapToGrid w:val="0"/>
        </w:rPr>
        <w:t>.</w:t>
      </w:r>
      <w:r>
        <w:rPr>
          <w:snapToGrid w:val="0"/>
        </w:rPr>
        <w:tab/>
        <w:t>Grant of permit on request</w:t>
      </w:r>
      <w:bookmarkEnd w:id="60"/>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No. 28 of 1994 s. 12; No. 35 of 2007 s. 24; No. 42 of 2010 s. 14.]</w:t>
      </w:r>
    </w:p>
    <w:p>
      <w:pPr>
        <w:pStyle w:val="Heading5"/>
        <w:keepNext w:val="0"/>
        <w:keepLines w:val="0"/>
        <w:pageBreakBefore/>
        <w:spacing w:before="0"/>
        <w:rPr>
          <w:snapToGrid w:val="0"/>
        </w:rPr>
      </w:pPr>
      <w:bookmarkStart w:id="61" w:name="_Toc33609091"/>
      <w:r>
        <w:rPr>
          <w:rStyle w:val="CharSectno"/>
        </w:rPr>
        <w:t>37A</w:t>
      </w:r>
      <w:r>
        <w:rPr>
          <w:snapToGrid w:val="0"/>
        </w:rPr>
        <w:t>.</w:t>
      </w:r>
      <w:r>
        <w:rPr>
          <w:snapToGrid w:val="0"/>
        </w:rPr>
        <w:tab/>
        <w:t>Permit for 2 or more blocks may be divided into 2 or more permits</w:t>
      </w:r>
      <w:bookmarkEnd w:id="61"/>
    </w:p>
    <w:p>
      <w:pPr>
        <w:pStyle w:val="Subsection"/>
        <w:rPr>
          <w:snapToGrid w:val="0"/>
        </w:rPr>
      </w:pPr>
      <w:r>
        <w:rPr>
          <w:snapToGrid w:val="0"/>
        </w:rPr>
        <w:tab/>
        <w:t>(1)</w:t>
      </w:r>
      <w:r>
        <w:rPr>
          <w:snapToGrid w:val="0"/>
        </w:rPr>
        <w:tab/>
        <w:t>Where a permit (in this section called</w:t>
      </w:r>
      <w:r>
        <w:t xml:space="preserve"> the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keepNext/>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No. 28 of 1994 s. 13; amended: No. 35 of 2007 s. 25.]</w:t>
      </w:r>
    </w:p>
    <w:p>
      <w:pPr>
        <w:pStyle w:val="Heading5"/>
      </w:pPr>
      <w:bookmarkStart w:id="62" w:name="_Toc33609092"/>
      <w:r>
        <w:rPr>
          <w:rStyle w:val="CharSectno"/>
        </w:rPr>
        <w:t>37B</w:t>
      </w:r>
      <w:r>
        <w:t>.</w:t>
      </w:r>
      <w:r>
        <w:tab/>
        <w:t>Grant of boundary-change permit</w:t>
      </w:r>
      <w:bookmarkEnd w:id="62"/>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PermNoteHeading"/>
      </w:pPr>
      <w:r>
        <w:tab/>
        <w:t>Note for this definition:</w:t>
      </w:r>
    </w:p>
    <w:p>
      <w:pPr>
        <w:pStyle w:val="PermNoteText"/>
      </w:pPr>
      <w:r>
        <w:tab/>
      </w:r>
      <w:r>
        <w:tab/>
        <w:t>See also subsection (8).</w:t>
      </w:r>
    </w:p>
    <w:p>
      <w:pPr>
        <w:pStyle w:val="Subsection"/>
      </w:pPr>
      <w:r>
        <w:tab/>
        <w:t>(2)</w:t>
      </w:r>
      <w:r>
        <w:tab/>
        <w:t xml:space="preserve">This section applies if — </w:t>
      </w:r>
    </w:p>
    <w:p>
      <w:pPr>
        <w:pStyle w:val="Indenta"/>
      </w:pPr>
      <w:r>
        <w:tab/>
        <w:t>(a)</w:t>
      </w:r>
      <w:r>
        <w:tab/>
        <w:t xml:space="preserve">a Commonwealth permit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 that are in the offshore area; and</w:t>
      </w:r>
    </w:p>
    <w:p>
      <w:pPr>
        <w:pStyle w:val="Indenti"/>
      </w:pPr>
      <w:r>
        <w:tab/>
        <w:t>(ii)</w:t>
      </w:r>
      <w:r>
        <w:tab/>
        <w:t>otherwise than as the result of the cancellation or surrender of the Commonwealth permit.</w:t>
      </w:r>
    </w:p>
    <w:p>
      <w:pPr>
        <w:pStyle w:val="Subsection"/>
      </w:pPr>
      <w:r>
        <w:tab/>
        <w:t>(4)</w:t>
      </w:r>
      <w:r>
        <w:tab/>
        <w:t xml:space="preserve">The conditions mentioned in subsection (2)(c)(ii) are — </w:t>
      </w:r>
    </w:p>
    <w:p>
      <w:pPr>
        <w:pStyle w:val="Indenta"/>
      </w:pPr>
      <w:r>
        <w:tab/>
        <w:t>(a)</w:t>
      </w:r>
      <w:r>
        <w:tab/>
        <w:t>all of the section 27 blocks that were covered by the Commonwealth permit immediately before the change are in the relevant area; and</w:t>
      </w:r>
    </w:p>
    <w:p>
      <w:pPr>
        <w:pStyle w:val="Indenta"/>
      </w:pPr>
      <w:r>
        <w:tab/>
        <w:t>(b)</w:t>
      </w:r>
      <w:r>
        <w:tab/>
        <w:t xml:space="preserve">the Commonwealth permit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permit immediately before the change; and</w:t>
      </w:r>
    </w:p>
    <w:p>
      <w:pPr>
        <w:pStyle w:val="Indenti"/>
      </w:pPr>
      <w:r>
        <w:tab/>
        <w:t>(ii)</w:t>
      </w:r>
      <w:r>
        <w:tab/>
        <w:t>otherwise than as the result of the cancellation or surrender of the Commonwealth permit.</w:t>
      </w:r>
    </w:p>
    <w:p>
      <w:pPr>
        <w:pStyle w:val="Subsection"/>
      </w:pPr>
      <w:r>
        <w:tab/>
        <w:t>(5)</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covered by paragraph (a);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39(1A).</w:t>
      </w:r>
    </w:p>
    <w:p>
      <w:pPr>
        <w:pStyle w:val="Subsection"/>
      </w:pPr>
      <w:r>
        <w:tab/>
        <w:t>(6)</w:t>
      </w:r>
      <w:r>
        <w:tab/>
        <w:t xml:space="preserve">If — </w:t>
      </w:r>
    </w:p>
    <w:p>
      <w:pPr>
        <w:pStyle w:val="Indenta"/>
      </w:pPr>
      <w:r>
        <w:tab/>
        <w:t>(a)</w:t>
      </w:r>
      <w:r>
        <w:tab/>
        <w:t xml:space="preserve">assuming that — </w:t>
      </w:r>
    </w:p>
    <w:p>
      <w:pPr>
        <w:pStyle w:val="Indenti"/>
      </w:pPr>
      <w:r>
        <w:tab/>
        <w:t>(i)</w:t>
      </w:r>
      <w:r>
        <w:tab/>
        <w:t>the change to the boundary of the offshore area had not occurred; and</w:t>
      </w:r>
    </w:p>
    <w:p>
      <w:pPr>
        <w:pStyle w:val="Indenti"/>
      </w:pPr>
      <w:r>
        <w:tab/>
        <w:t>(ii)</w:t>
      </w:r>
      <w:r>
        <w:tab/>
        <w:t>the relevant area had remained in the offshore area,</w:t>
      </w:r>
    </w:p>
    <w:p>
      <w:pPr>
        <w:pStyle w:val="Indenta"/>
      </w:pPr>
      <w:r>
        <w:tab/>
      </w:r>
      <w:r>
        <w:tab/>
        <w:t xml:space="preserve">the holder of the Commonwealth permit would not have been entitled to apply under the Commonwealth Act for the renewal of the Commonwealth permit in relation to all of the section 27 blocks that are — </w:t>
      </w:r>
    </w:p>
    <w:p>
      <w:pPr>
        <w:pStyle w:val="Indenti"/>
      </w:pPr>
      <w:r>
        <w:tab/>
        <w:t>(iii)</w:t>
      </w:r>
      <w:r>
        <w:tab/>
        <w:t>covered by the Commonwealth permit; and</w:t>
      </w:r>
    </w:p>
    <w:p>
      <w:pPr>
        <w:pStyle w:val="Indenti"/>
      </w:pPr>
      <w:r>
        <w:tab/>
        <w:t>(iv)</w:t>
      </w:r>
      <w:r>
        <w:tab/>
        <w:t>in the relevant area;</w:t>
      </w:r>
    </w:p>
    <w:p>
      <w:pPr>
        <w:pStyle w:val="Indenta"/>
      </w:pPr>
      <w:r>
        <w:tab/>
      </w:r>
      <w:r>
        <w:tab/>
        <w:t>and</w:t>
      </w:r>
    </w:p>
    <w:p>
      <w:pPr>
        <w:pStyle w:val="Indenta"/>
      </w:pPr>
      <w:r>
        <w:tab/>
        <w:t>(b)</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permit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r>
      <w:r>
        <w:tab/>
        <w:t xml:space="preserve">the Minister is taken — </w:t>
      </w:r>
    </w:p>
    <w:p>
      <w:pPr>
        <w:pStyle w:val="Indenta"/>
      </w:pPr>
      <w:r>
        <w:tab/>
        <w:t>(c)</w:t>
      </w:r>
      <w:r>
        <w:tab/>
        <w:t>to have granted the holder of the Commonwealth permit a petroleum exploration permit over those relevant section 27 blocks; and</w:t>
      </w:r>
    </w:p>
    <w:p>
      <w:pPr>
        <w:pStyle w:val="Indenta"/>
      </w:pPr>
      <w:r>
        <w:tab/>
        <w:t>(d)</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exploration permit, see section 39(1B).</w:t>
      </w:r>
    </w:p>
    <w:p>
      <w:pPr>
        <w:pStyle w:val="Subsection"/>
      </w:pPr>
      <w:r>
        <w:tab/>
        <w:t>(7)</w:t>
      </w:r>
      <w:r>
        <w:tab/>
        <w:t xml:space="preserve">For the purposes of subsections (5) and (6), the following provisions of the Commonwealth Act are to be disregarded — </w:t>
      </w:r>
    </w:p>
    <w:p>
      <w:pPr>
        <w:pStyle w:val="Indenta"/>
      </w:pPr>
      <w:r>
        <w:tab/>
        <w:t>(a)</w:t>
      </w:r>
      <w:r>
        <w:tab/>
        <w:t>the standard halving rules in section 123 of that Act;</w:t>
      </w:r>
    </w:p>
    <w:p>
      <w:pPr>
        <w:pStyle w:val="Indenta"/>
      </w:pPr>
      <w:r>
        <w:tab/>
        <w:t>(b)</w:t>
      </w:r>
      <w:r>
        <w:tab/>
        <w:t>the modified halving rules in section 124 of that Act;</w:t>
      </w:r>
    </w:p>
    <w:p>
      <w:pPr>
        <w:pStyle w:val="Indenta"/>
      </w:pPr>
      <w:r>
        <w:tab/>
        <w:t>(c)</w:t>
      </w:r>
      <w:r>
        <w:tab/>
        <w:t>a provision of a kind specified in the regulations.</w:t>
      </w:r>
    </w:p>
    <w:p>
      <w:pPr>
        <w:pStyle w:val="Subsection"/>
      </w:pPr>
      <w:r>
        <w:tab/>
        <w:t>(8)</w:t>
      </w:r>
      <w:r>
        <w:tab/>
        <w:t xml:space="preserve">If, after the change to the boundary of the offshore area — </w:t>
      </w:r>
    </w:p>
    <w:p>
      <w:pPr>
        <w:pStyle w:val="Indenta"/>
      </w:pPr>
      <w:r>
        <w:tab/>
        <w:t>(a)</w:t>
      </w:r>
      <w:r>
        <w:tab/>
        <w:t>a part of a section 27 block that was covered by the Commonwealth permit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Subsection"/>
      </w:pPr>
      <w:r>
        <w:tab/>
        <w:t>(9)</w:t>
      </w:r>
      <w:r>
        <w:tab/>
        <w:t>An assumption in subsection (5)(a) or (6)(a) does not affect subsection (8).</w:t>
      </w:r>
    </w:p>
    <w:p>
      <w:pPr>
        <w:pStyle w:val="Footnotesection"/>
      </w:pPr>
      <w:r>
        <w:tab/>
        <w:t>[Section 37B inserted: No. 7 of 2017 s. 8.]</w:t>
      </w:r>
    </w:p>
    <w:p>
      <w:pPr>
        <w:pStyle w:val="Heading5"/>
        <w:pageBreakBefore/>
        <w:spacing w:before="0"/>
        <w:rPr>
          <w:snapToGrid w:val="0"/>
        </w:rPr>
      </w:pPr>
      <w:bookmarkStart w:id="63" w:name="_Toc33609093"/>
      <w:r>
        <w:rPr>
          <w:rStyle w:val="CharSectno"/>
        </w:rPr>
        <w:t>38</w:t>
      </w:r>
      <w:r>
        <w:rPr>
          <w:snapToGrid w:val="0"/>
        </w:rPr>
        <w:t>.</w:t>
      </w:r>
      <w:r>
        <w:rPr>
          <w:snapToGrid w:val="0"/>
        </w:rPr>
        <w:tab/>
        <w:t>Rights conferred by permit</w:t>
      </w:r>
      <w:bookmarkEnd w:id="63"/>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No. 13 of 2005 s. 16(2); No. 35 of 2007 s. 26.]</w:t>
      </w:r>
    </w:p>
    <w:p>
      <w:pPr>
        <w:pStyle w:val="Heading5"/>
        <w:rPr>
          <w:snapToGrid w:val="0"/>
        </w:rPr>
      </w:pPr>
      <w:bookmarkStart w:id="64" w:name="_Toc33609094"/>
      <w:r>
        <w:rPr>
          <w:rStyle w:val="CharSectno"/>
        </w:rPr>
        <w:t>39</w:t>
      </w:r>
      <w:r>
        <w:rPr>
          <w:snapToGrid w:val="0"/>
        </w:rPr>
        <w:t>.</w:t>
      </w:r>
      <w:r>
        <w:rPr>
          <w:snapToGrid w:val="0"/>
        </w:rPr>
        <w:tab/>
        <w:t>Term of permit</w:t>
      </w:r>
      <w:bookmarkEnd w:id="64"/>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pPr>
      <w:r>
        <w:tab/>
        <w:t>(1A)</w:t>
      </w:r>
      <w:r>
        <w:tab/>
        <w:t>Subject to this Part, a boundary-change permit granted under section 37B(5) remains in force for a period of 5 years commencing on the day on which the permit is granted.</w:t>
      </w:r>
    </w:p>
    <w:p>
      <w:pPr>
        <w:pStyle w:val="Subsection"/>
      </w:pPr>
      <w:r>
        <w:tab/>
        <w:t>(1B)</w:t>
      </w:r>
      <w:r>
        <w:tab/>
        <w:t>Subject to this Part, a boundary-change permit granted under section 37B(6) remains in force for a period of 12 months commencing on the day on which the permit is granted.</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No. 12 of 1990 s. 26; No. 28 of 1994 s. 14; No. 42 of 2010 s. 15; No. 7 of 2017 s. 9.]</w:t>
      </w:r>
    </w:p>
    <w:p>
      <w:pPr>
        <w:pStyle w:val="Heading5"/>
        <w:pageBreakBefore/>
        <w:spacing w:before="0"/>
        <w:rPr>
          <w:snapToGrid w:val="0"/>
        </w:rPr>
      </w:pPr>
      <w:bookmarkStart w:id="65" w:name="_Toc33609095"/>
      <w:r>
        <w:rPr>
          <w:rStyle w:val="CharSectno"/>
        </w:rPr>
        <w:t>40</w:t>
      </w:r>
      <w:r>
        <w:rPr>
          <w:snapToGrid w:val="0"/>
        </w:rPr>
        <w:t>.</w:t>
      </w:r>
      <w:r>
        <w:rPr>
          <w:snapToGrid w:val="0"/>
        </w:rPr>
        <w:tab/>
        <w:t>Application for renewal of permit</w:t>
      </w:r>
      <w:bookmarkEnd w:id="65"/>
    </w:p>
    <w:p>
      <w:pPr>
        <w:pStyle w:val="Subsection"/>
        <w:rPr>
          <w:snapToGrid w:val="0"/>
        </w:rPr>
      </w:pPr>
      <w:r>
        <w:rPr>
          <w:snapToGrid w:val="0"/>
        </w:rPr>
        <w:tab/>
        <w:t>(1)</w:t>
      </w:r>
      <w:r>
        <w:rPr>
          <w:snapToGrid w:val="0"/>
        </w:rPr>
        <w:tab/>
        <w:t xml:space="preserve">Subject to </w:t>
      </w:r>
      <w:r>
        <w:t xml:space="preserve">sections 41, 42A and 42B,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ind w:left="890" w:hanging="890"/>
      </w:pPr>
      <w:r>
        <w:tab/>
        <w:t>[Section 40 amended: No. 69 of 1981 s. 34; No. 12 of 1990 s. 27; No. 42 of 2010 s. 16; No. 7 of 2017 s. 10.]</w:t>
      </w:r>
    </w:p>
    <w:p>
      <w:pPr>
        <w:pStyle w:val="Heading5"/>
        <w:spacing w:before="240"/>
        <w:rPr>
          <w:snapToGrid w:val="0"/>
        </w:rPr>
      </w:pPr>
      <w:bookmarkStart w:id="66" w:name="_Toc33609096"/>
      <w:r>
        <w:rPr>
          <w:rStyle w:val="CharSectno"/>
        </w:rPr>
        <w:t>41</w:t>
      </w:r>
      <w:r>
        <w:rPr>
          <w:snapToGrid w:val="0"/>
        </w:rPr>
        <w:t>.</w:t>
      </w:r>
      <w:r>
        <w:rPr>
          <w:snapToGrid w:val="0"/>
        </w:rPr>
        <w:tab/>
        <w:t>Application for renewal of permit to be in respect of reduced area</w:t>
      </w:r>
      <w:bookmarkEnd w:id="66"/>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keepNext/>
        <w:keepLines/>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Subsection"/>
      </w:pPr>
      <w:r>
        <w:tab/>
        <w:t>(7)</w:t>
      </w:r>
      <w:r>
        <w:tab/>
        <w:t xml:space="preserve">Subsections (1) to (5) do not apply to an application for the renewal of a permit if — </w:t>
      </w:r>
    </w:p>
    <w:p>
      <w:pPr>
        <w:pStyle w:val="Indenta"/>
      </w:pPr>
      <w:r>
        <w:tab/>
        <w:t>(a)</w:t>
      </w:r>
      <w:r>
        <w:tab/>
        <w:t xml:space="preserve">the permit was granted on the basis that an area (the </w:t>
      </w:r>
      <w:r>
        <w:rPr>
          <w:rStyle w:val="CharDefText"/>
        </w:rPr>
        <w:t>relevant area</w:t>
      </w:r>
      <w:r>
        <w:t>) was within the inshore area; and</w:t>
      </w:r>
    </w:p>
    <w:p>
      <w:pPr>
        <w:pStyle w:val="Indenta"/>
      </w:pPr>
      <w:r>
        <w:tab/>
        <w:t>(b)</w:t>
      </w:r>
      <w:r>
        <w:tab/>
        <w:t xml:space="preserve">as a result of a change to the boundary of the offshore area, the relevant area — </w:t>
      </w:r>
    </w:p>
    <w:p>
      <w:pPr>
        <w:pStyle w:val="Indenti"/>
      </w:pPr>
      <w:r>
        <w:tab/>
        <w:t>(i)</w:t>
      </w:r>
      <w:r>
        <w:tab/>
        <w:t>ceased to be within the inshore area; and</w:t>
      </w:r>
    </w:p>
    <w:p>
      <w:pPr>
        <w:pStyle w:val="Indenti"/>
      </w:pPr>
      <w:r>
        <w:tab/>
        <w:t>(ii)</w:t>
      </w:r>
      <w:r>
        <w:tab/>
        <w:t>fell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11 comes into operation.</w:t>
      </w:r>
    </w:p>
    <w:p>
      <w:pPr>
        <w:pStyle w:val="Footnotesection"/>
        <w:ind w:left="890" w:hanging="890"/>
      </w:pPr>
      <w:r>
        <w:tab/>
        <w:t>[Section 41 amended: No. 12 of 1990 s. 28; No. 28 of 1994 s. 15; No. 42 of 2010 s. 17; No. 7 of 2017 s. 11.]</w:t>
      </w:r>
    </w:p>
    <w:p>
      <w:pPr>
        <w:pStyle w:val="Heading5"/>
        <w:spacing w:before="240"/>
      </w:pPr>
      <w:bookmarkStart w:id="67" w:name="_Toc33609097"/>
      <w:r>
        <w:rPr>
          <w:rStyle w:val="CharSectno"/>
        </w:rPr>
        <w:t>42A</w:t>
      </w:r>
      <w:r>
        <w:t>.</w:t>
      </w:r>
      <w:r>
        <w:tab/>
        <w:t>Certain permits cannot be renewed more than twice</w:t>
      </w:r>
      <w:bookmarkEnd w:id="67"/>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keepNext/>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No. 42 of 2010 s. 18.]</w:t>
      </w:r>
    </w:p>
    <w:p>
      <w:pPr>
        <w:pStyle w:val="Heading5"/>
      </w:pPr>
      <w:bookmarkStart w:id="68" w:name="_Toc33609098"/>
      <w:r>
        <w:rPr>
          <w:rStyle w:val="CharSectno"/>
        </w:rPr>
        <w:t>42B</w:t>
      </w:r>
      <w:r>
        <w:t>.</w:t>
      </w:r>
      <w:r>
        <w:tab/>
        <w:t>Limits on renewal of boundary-change permits</w:t>
      </w:r>
      <w:bookmarkEnd w:id="68"/>
    </w:p>
    <w:p>
      <w:pPr>
        <w:pStyle w:val="Subsection"/>
      </w:pPr>
      <w:r>
        <w:tab/>
        <w:t>(1)</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otherwise than by way of renewal,</w:t>
      </w:r>
    </w:p>
    <w:p>
      <w:pPr>
        <w:pStyle w:val="Subsection"/>
      </w:pPr>
      <w:r>
        <w:tab/>
      </w:r>
      <w:r>
        <w:tab/>
        <w:t xml:space="preserve">then — </w:t>
      </w:r>
    </w:p>
    <w:p>
      <w:pPr>
        <w:pStyle w:val="Indenta"/>
      </w:pPr>
      <w:r>
        <w:tab/>
        <w:t>(c)</w:t>
      </w:r>
      <w:r>
        <w:tab/>
        <w:t>section 41 applies to an application for the renewal of the boundary-change permit; and</w:t>
      </w:r>
    </w:p>
    <w:p>
      <w:pPr>
        <w:pStyle w:val="Indenta"/>
      </w:pPr>
      <w:r>
        <w:tab/>
        <w:t>(d)</w:t>
      </w:r>
      <w:r>
        <w:tab/>
        <w:t>an application must not be made for the renewal of the boundary-change permit if the Minister has previously granted a renewal of the permit.</w:t>
      </w:r>
    </w:p>
    <w:p>
      <w:pPr>
        <w:pStyle w:val="Subsection"/>
      </w:pPr>
      <w:r>
        <w:tab/>
        <w:t>(2)</w:t>
      </w:r>
      <w:r>
        <w:tab/>
        <w:t xml:space="preserve">If — </w:t>
      </w:r>
    </w:p>
    <w:p>
      <w:pPr>
        <w:pStyle w:val="Indenta"/>
      </w:pPr>
      <w:r>
        <w:tab/>
        <w:t>(a)</w:t>
      </w:r>
      <w:r>
        <w:tab/>
        <w:t>a boundary-change permit is granted under section 37B(5); and</w:t>
      </w:r>
    </w:p>
    <w:p>
      <w:pPr>
        <w:pStyle w:val="Indenta"/>
      </w:pPr>
      <w:r>
        <w:tab/>
        <w:t>(b)</w:t>
      </w:r>
      <w:r>
        <w:tab/>
        <w:t>the relevant Commonwealth permit that ceases to be in force, as mentioned in section 37B(3)(b) or (4)(b), was granted by way of renewal,</w:t>
      </w:r>
    </w:p>
    <w:p>
      <w:pPr>
        <w:pStyle w:val="Subsection"/>
      </w:pPr>
      <w:r>
        <w:tab/>
      </w:r>
      <w:r>
        <w:tab/>
        <w:t>an application must not be made for the renewal of the boundary-change permit.</w:t>
      </w:r>
    </w:p>
    <w:p>
      <w:pPr>
        <w:pStyle w:val="Subsection"/>
      </w:pPr>
      <w:r>
        <w:tab/>
        <w:t>(3)</w:t>
      </w:r>
      <w:r>
        <w:tab/>
        <w:t>If a boundary-change permit is granted under section 37B(6), an application must not be made for the renewal of the permit.</w:t>
      </w:r>
    </w:p>
    <w:p>
      <w:pPr>
        <w:pStyle w:val="Footnotesection"/>
      </w:pPr>
      <w:r>
        <w:tab/>
        <w:t>[Section 42B inserted: No. 7 of 2017 s. 12.]</w:t>
      </w:r>
    </w:p>
    <w:p>
      <w:pPr>
        <w:pStyle w:val="Heading5"/>
        <w:rPr>
          <w:snapToGrid w:val="0"/>
        </w:rPr>
      </w:pPr>
      <w:bookmarkStart w:id="69" w:name="_Toc33609099"/>
      <w:r>
        <w:rPr>
          <w:rStyle w:val="CharSectno"/>
        </w:rPr>
        <w:t>42</w:t>
      </w:r>
      <w:r>
        <w:rPr>
          <w:snapToGrid w:val="0"/>
        </w:rPr>
        <w:t>.</w:t>
      </w:r>
      <w:r>
        <w:rPr>
          <w:snapToGrid w:val="0"/>
        </w:rPr>
        <w:tab/>
        <w:t>Grant or refusal of renewal of permit</w:t>
      </w:r>
      <w:bookmarkEnd w:id="69"/>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tabs>
          <w:tab w:val="left" w:pos="2835"/>
        </w:tabs>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keepLines/>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spacing w:before="120"/>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No. 28 of 1994 s. 16.]</w:t>
      </w:r>
    </w:p>
    <w:p>
      <w:pPr>
        <w:pStyle w:val="Heading5"/>
        <w:spacing w:before="180"/>
        <w:rPr>
          <w:snapToGrid w:val="0"/>
        </w:rPr>
      </w:pPr>
      <w:bookmarkStart w:id="70" w:name="_Toc33609100"/>
      <w:r>
        <w:rPr>
          <w:rStyle w:val="CharSectno"/>
        </w:rPr>
        <w:t>43</w:t>
      </w:r>
      <w:r>
        <w:rPr>
          <w:snapToGrid w:val="0"/>
        </w:rPr>
        <w:t>.</w:t>
      </w:r>
      <w:r>
        <w:rPr>
          <w:snapToGrid w:val="0"/>
        </w:rPr>
        <w:tab/>
        <w:t>Conditions of permit</w:t>
      </w:r>
      <w:bookmarkEnd w:id="7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pPr>
      <w:r>
        <w:tab/>
        <w:t>(1A)</w:t>
      </w:r>
      <w:r>
        <w:tab/>
        <w:t>Subsection (1) does not apply to a boundary-change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Subsection"/>
      </w:pPr>
      <w:r>
        <w:tab/>
        <w:t>(3)</w:t>
      </w:r>
      <w:r>
        <w:tab/>
        <w:t>The Minister may, by written notice given to the permittee, vary a boundary-change permit by imposing one or more conditions to which the permit is subject.</w:t>
      </w:r>
    </w:p>
    <w:p>
      <w:pPr>
        <w:pStyle w:val="Subsection"/>
      </w:pPr>
      <w:r>
        <w:tab/>
        <w:t>(4)</w:t>
      </w:r>
      <w:r>
        <w:tab/>
        <w:t>A notice under subsection (3) may only be given within 14 days after the grant of the boundary-change permit.</w:t>
      </w:r>
    </w:p>
    <w:p>
      <w:pPr>
        <w:pStyle w:val="Subsection"/>
      </w:pPr>
      <w:r>
        <w:tab/>
        <w:t>(5)</w:t>
      </w:r>
      <w:r>
        <w:tab/>
        <w:t>A variation under subsection (3) takes effect on the day on which notice of the variation is given to the permittee.</w:t>
      </w:r>
    </w:p>
    <w:p>
      <w:pPr>
        <w:pStyle w:val="Subsection"/>
      </w:pPr>
      <w:r>
        <w:tab/>
        <w:t>(6)</w:t>
      </w:r>
      <w:r>
        <w:tab/>
        <w:t xml:space="preserve">If, when a boundary-change permit is granted, the relevant Commonwealth permit that ceases to be in force, as mentioned in section 37B(3)(b) or (4)(b), is of a kind that corresponds to a petroleum exploration permit granted under section 32(4) or 37, any or all of the conditions mentioned in subsection (7) may be specified in — </w:t>
      </w:r>
    </w:p>
    <w:p>
      <w:pPr>
        <w:pStyle w:val="Indenta"/>
      </w:pPr>
      <w:r>
        <w:tab/>
        <w:t>(a)</w:t>
      </w:r>
      <w:r>
        <w:tab/>
        <w:t>the boundary-change permit; or</w:t>
      </w:r>
    </w:p>
    <w:p>
      <w:pPr>
        <w:pStyle w:val="Indenta"/>
      </w:pPr>
      <w:r>
        <w:tab/>
        <w:t>(b)</w:t>
      </w:r>
      <w:r>
        <w:tab/>
        <w:t>a permit granted by way of the renewal of the boundary-change permit.</w:t>
      </w:r>
    </w:p>
    <w:p>
      <w:pPr>
        <w:pStyle w:val="Subsection"/>
      </w:pPr>
      <w:r>
        <w:tab/>
        <w:t>(7)</w:t>
      </w:r>
      <w:r>
        <w:tab/>
        <w:t xml:space="preserve">The following conditions are specified for the purposes of subsection (6) — </w:t>
      </w:r>
    </w:p>
    <w:p>
      <w:pPr>
        <w:pStyle w:val="Indenta"/>
      </w:pPr>
      <w:r>
        <w:tab/>
        <w:t>(a)</w:t>
      </w:r>
      <w:r>
        <w:tab/>
        <w:t>conditions requiring the permittee to carry out work in, or in relation to, the permit area (including conditions requiring the permittee to carry out the work during a period of 12 months or longer, or during periods each of which is 12 months or longer);</w:t>
      </w:r>
    </w:p>
    <w:p>
      <w:pPr>
        <w:pStyle w:val="Indenta"/>
      </w:pPr>
      <w:r>
        <w:tab/>
        <w:t>(b)</w:t>
      </w:r>
      <w:r>
        <w:tab/>
        <w:t>conditions relating to the amounts that the permittee must spend in carrying out such work;</w:t>
      </w:r>
    </w:p>
    <w:p>
      <w:pPr>
        <w:pStyle w:val="Indenta"/>
      </w:pPr>
      <w:r>
        <w:tab/>
        <w:t>(c)</w:t>
      </w:r>
      <w:r>
        <w:tab/>
        <w:t xml:space="preserve">conditions requiring the permittee to comply with directions that — </w:t>
      </w:r>
    </w:p>
    <w:p>
      <w:pPr>
        <w:pStyle w:val="Indenti"/>
      </w:pPr>
      <w:r>
        <w:tab/>
        <w:t>(i)</w:t>
      </w:r>
      <w:r>
        <w:tab/>
        <w:t>relate to the matters covered by paragraphs (a) and (b); and</w:t>
      </w:r>
    </w:p>
    <w:p>
      <w:pPr>
        <w:pStyle w:val="Indenti"/>
      </w:pPr>
      <w:r>
        <w:tab/>
        <w:t>(ii)</w:t>
      </w:r>
      <w:r>
        <w:tab/>
        <w:t>are given in accordance with the permit.</w:t>
      </w:r>
    </w:p>
    <w:p>
      <w:pPr>
        <w:pStyle w:val="Subsection"/>
      </w:pPr>
      <w:r>
        <w:tab/>
        <w:t>(8)</w:t>
      </w:r>
      <w:r>
        <w:tab/>
        <w:t>Subsection (6) does not limit subsection (3).</w:t>
      </w:r>
    </w:p>
    <w:p>
      <w:pPr>
        <w:pStyle w:val="Subsection"/>
      </w:pPr>
      <w:r>
        <w:tab/>
        <w:t>(9)</w:t>
      </w:r>
      <w:r>
        <w:tab/>
        <w:t xml:space="preserve">If — </w:t>
      </w:r>
    </w:p>
    <w:p>
      <w:pPr>
        <w:pStyle w:val="Indenta"/>
      </w:pPr>
      <w:r>
        <w:tab/>
        <w:t>(a)</w:t>
      </w:r>
      <w:r>
        <w:tab/>
        <w:t>a boundary-change permit is granted; and</w:t>
      </w:r>
    </w:p>
    <w:p>
      <w:pPr>
        <w:pStyle w:val="Indenta"/>
      </w:pPr>
      <w:r>
        <w:tab/>
        <w:t>(b)</w:t>
      </w:r>
      <w:r>
        <w:tab/>
        <w:t>the relevant Commonwealth permit that ceases to be in force, as mentioned in section 37B(3)(b) or (4)(b), is a cash</w:t>
      </w:r>
      <w:r>
        <w:noBreakHyphen/>
        <w:t>bid petroleum exploration permit, as defined in the Commonwealth Act section 7,</w:t>
      </w:r>
    </w:p>
    <w:p>
      <w:pPr>
        <w:pStyle w:val="Subsection"/>
      </w:pPr>
      <w:r>
        <w:tab/>
      </w:r>
      <w:r>
        <w:tab/>
        <w:t xml:space="preserve">the conditions mentioned in subsection (10) must not be specified in — </w:t>
      </w:r>
    </w:p>
    <w:p>
      <w:pPr>
        <w:pStyle w:val="Indenta"/>
      </w:pPr>
      <w:r>
        <w:tab/>
        <w:t>(c)</w:t>
      </w:r>
      <w:r>
        <w:tab/>
        <w:t>the boundary-change permit; or</w:t>
      </w:r>
    </w:p>
    <w:p>
      <w:pPr>
        <w:pStyle w:val="Indenta"/>
      </w:pPr>
      <w:r>
        <w:tab/>
        <w:t>(d)</w:t>
      </w:r>
      <w:r>
        <w:tab/>
        <w:t>a permit granted by way of the renewal of the boundary-change permit.</w:t>
      </w:r>
    </w:p>
    <w:p>
      <w:pPr>
        <w:pStyle w:val="Subsection"/>
      </w:pPr>
      <w:r>
        <w:tab/>
        <w:t>(10)</w:t>
      </w:r>
      <w:r>
        <w:tab/>
        <w:t xml:space="preserve">The following conditions are specified for the purposes of subsection (9) — </w:t>
      </w:r>
    </w:p>
    <w:p>
      <w:pPr>
        <w:pStyle w:val="Indenta"/>
      </w:pPr>
      <w:r>
        <w:tab/>
        <w:t>(a)</w:t>
      </w:r>
      <w:r>
        <w:tab/>
        <w:t xml:space="preserve">conditions requiring the permittee to carry out work in, or in relation to, the permit area; </w:t>
      </w:r>
    </w:p>
    <w:p>
      <w:pPr>
        <w:pStyle w:val="Indenta"/>
      </w:pPr>
      <w:r>
        <w:tab/>
        <w:t>(b)</w:t>
      </w:r>
      <w:r>
        <w:tab/>
        <w:t>conditions requiring the permittee to spend particular amounts on the carrying out of work in, or in relation to, the permit area.</w:t>
      </w:r>
    </w:p>
    <w:p>
      <w:pPr>
        <w:pStyle w:val="Footnotesection"/>
      </w:pPr>
      <w:r>
        <w:tab/>
        <w:t>[Section 43 amended: No. 12 of 1990 s. 29; No. 7 of 2017 s. 13.]</w:t>
      </w:r>
    </w:p>
    <w:p>
      <w:pPr>
        <w:pStyle w:val="Heading5"/>
        <w:keepNext w:val="0"/>
        <w:rPr>
          <w:snapToGrid w:val="0"/>
        </w:rPr>
      </w:pPr>
      <w:bookmarkStart w:id="71" w:name="_Toc33609101"/>
      <w:r>
        <w:rPr>
          <w:rStyle w:val="CharSectno"/>
        </w:rPr>
        <w:t>43A</w:t>
      </w:r>
      <w:r>
        <w:rPr>
          <w:snapToGrid w:val="0"/>
        </w:rPr>
        <w:t>.</w:t>
      </w:r>
      <w:r>
        <w:rPr>
          <w:snapToGrid w:val="0"/>
        </w:rPr>
        <w:tab/>
        <w:t>Advertisement of blocks for drilling reservations</w:t>
      </w:r>
      <w:bookmarkEnd w:id="71"/>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No. 78 of 1990 s. 6; amended: No. 28 of 1994 s. 17; No. 35 of 2007 s. 27.]</w:t>
      </w:r>
    </w:p>
    <w:p>
      <w:pPr>
        <w:pStyle w:val="Heading5"/>
        <w:rPr>
          <w:snapToGrid w:val="0"/>
        </w:rPr>
      </w:pPr>
      <w:bookmarkStart w:id="72" w:name="_Toc33609102"/>
      <w:r>
        <w:rPr>
          <w:rStyle w:val="CharSectno"/>
        </w:rPr>
        <w:t>43B</w:t>
      </w:r>
      <w:r>
        <w:rPr>
          <w:snapToGrid w:val="0"/>
        </w:rPr>
        <w:t>.</w:t>
      </w:r>
      <w:r>
        <w:rPr>
          <w:snapToGrid w:val="0"/>
        </w:rPr>
        <w:tab/>
        <w:t>Application for drilling reservation</w:t>
      </w:r>
      <w:bookmarkEnd w:id="72"/>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rPr>
          <w:snapToGrid w:val="0"/>
        </w:rPr>
      </w:pPr>
      <w:r>
        <w:rPr>
          <w:snapToGrid w:val="0"/>
        </w:rPr>
        <w:tab/>
        <w:t>(d)</w:t>
      </w:r>
      <w:r>
        <w:rPr>
          <w:snapToGrid w:val="0"/>
        </w:rPr>
        <w:tab/>
        <w:t>shall be accompanied by particulars of —</w:t>
      </w:r>
    </w:p>
    <w:p>
      <w:pPr>
        <w:pStyle w:val="Indenti"/>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rPr>
          <w:snapToGrid w:val="0"/>
        </w:rPr>
      </w:pPr>
      <w:r>
        <w:rPr>
          <w:snapToGrid w:val="0"/>
        </w:rPr>
        <w:tab/>
        <w:t>(ii)</w:t>
      </w:r>
      <w:r>
        <w:rPr>
          <w:snapToGrid w:val="0"/>
        </w:rPr>
        <w:tab/>
        <w:t>the technical qualifications of the applicant and of the employees of the applicant; and</w:t>
      </w:r>
    </w:p>
    <w:p>
      <w:pPr>
        <w:pStyle w:val="Indenti"/>
        <w:rPr>
          <w:snapToGrid w:val="0"/>
        </w:rPr>
      </w:pPr>
      <w:r>
        <w:rPr>
          <w:snapToGrid w:val="0"/>
        </w:rPr>
        <w:tab/>
        <w:t>(iii)</w:t>
      </w:r>
      <w:r>
        <w:rPr>
          <w:snapToGrid w:val="0"/>
        </w:rPr>
        <w:tab/>
        <w:t>the technical advice available to the applicant; and</w:t>
      </w:r>
    </w:p>
    <w:p>
      <w:pPr>
        <w:pStyle w:val="Indenti"/>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rPr>
          <w:snapToGrid w:val="0"/>
        </w:rPr>
      </w:pPr>
      <w:r>
        <w:rPr>
          <w:snapToGrid w:val="0"/>
        </w:rPr>
        <w:tab/>
        <w:t>(v)</w:t>
      </w:r>
      <w:r>
        <w:rPr>
          <w:snapToGrid w:val="0"/>
        </w:rPr>
        <w:tab/>
        <w:t>a statement of the approximate time of the completion of the well; and</w:t>
      </w:r>
    </w:p>
    <w:p>
      <w:pPr>
        <w:pStyle w:val="Indenti"/>
        <w:rPr>
          <w:snapToGrid w:val="0"/>
        </w:rPr>
      </w:pPr>
      <w:r>
        <w:rPr>
          <w:snapToGrid w:val="0"/>
        </w:rPr>
        <w:tab/>
        <w:t>(vi)</w:t>
      </w:r>
      <w:r>
        <w:rPr>
          <w:snapToGrid w:val="0"/>
        </w:rPr>
        <w:tab/>
        <w:t xml:space="preserve">the financial resources available to the applicant;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set out any other matters that the applicant wishes the Minister to consider; and</w:t>
      </w:r>
    </w:p>
    <w:p>
      <w:pPr>
        <w:pStyle w:val="Indenta"/>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ind w:left="890" w:hanging="890"/>
      </w:pPr>
      <w:r>
        <w:tab/>
        <w:t>[Section 43B inserted: No. 78 of 1990 s. 6; amended: No. 28 of 1994 s. 18; No. 35 of 2007 s. 28; No. 42 of 2010 s. 19.]</w:t>
      </w:r>
    </w:p>
    <w:p>
      <w:pPr>
        <w:pStyle w:val="Heading5"/>
      </w:pPr>
      <w:bookmarkStart w:id="73" w:name="_Toc33609103"/>
      <w:r>
        <w:rPr>
          <w:rStyle w:val="CharSectno"/>
        </w:rPr>
        <w:t>43CA</w:t>
      </w:r>
      <w:r>
        <w:t>.</w:t>
      </w:r>
      <w:r>
        <w:tab/>
        <w:t>More than one drilling reservation application for same block or blocks</w:t>
      </w:r>
      <w:bookmarkEnd w:id="73"/>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No. 42 of 2010 s. 20.]</w:t>
      </w:r>
    </w:p>
    <w:p>
      <w:pPr>
        <w:pStyle w:val="Heading5"/>
        <w:rPr>
          <w:snapToGrid w:val="0"/>
        </w:rPr>
      </w:pPr>
      <w:bookmarkStart w:id="74" w:name="_Toc33609104"/>
      <w:r>
        <w:rPr>
          <w:rStyle w:val="CharSectno"/>
        </w:rPr>
        <w:t>43C</w:t>
      </w:r>
      <w:r>
        <w:rPr>
          <w:snapToGrid w:val="0"/>
        </w:rPr>
        <w:t>.</w:t>
      </w:r>
      <w:r>
        <w:rPr>
          <w:snapToGrid w:val="0"/>
        </w:rPr>
        <w:tab/>
        <w:t>Grant or refusal in relation to applications for drilling reservations</w:t>
      </w:r>
      <w:bookmarkEnd w:id="74"/>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No. 78 of 1990 s. 6; amended: No. 28 of 1994 s. 19.]</w:t>
      </w:r>
    </w:p>
    <w:p>
      <w:pPr>
        <w:pStyle w:val="Heading5"/>
        <w:spacing w:before="180"/>
      </w:pPr>
      <w:bookmarkStart w:id="75" w:name="_Toc33609105"/>
      <w:r>
        <w:rPr>
          <w:rStyle w:val="CharSectno"/>
        </w:rPr>
        <w:t>43DA</w:t>
      </w:r>
      <w:r>
        <w:t>.</w:t>
      </w:r>
      <w:r>
        <w:tab/>
        <w:t>Withdrawal of application</w:t>
      </w:r>
      <w:bookmarkEnd w:id="75"/>
    </w:p>
    <w:p>
      <w:pPr>
        <w:pStyle w:val="Subsection"/>
        <w:keepNext/>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r>
        <w:tab/>
        <w:t>[Section 43DA inserted: No. 42 of 2010 s. 21.]</w:t>
      </w:r>
    </w:p>
    <w:p>
      <w:pPr>
        <w:pStyle w:val="Heading5"/>
        <w:spacing w:before="180"/>
      </w:pPr>
      <w:bookmarkStart w:id="76" w:name="_Toc33609106"/>
      <w:r>
        <w:rPr>
          <w:rStyle w:val="CharSectno"/>
        </w:rPr>
        <w:t>43DB</w:t>
      </w:r>
      <w:r>
        <w:t>.</w:t>
      </w:r>
      <w:r>
        <w:tab/>
        <w:t>Application continued after withdrawal of joint applicant</w:t>
      </w:r>
      <w:bookmarkEnd w:id="76"/>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ind w:left="890" w:hanging="890"/>
      </w:pPr>
      <w:r>
        <w:tab/>
        <w:t>[Section 43DB inserted: No. 42 of 2010 s. 21.]</w:t>
      </w:r>
    </w:p>
    <w:p>
      <w:pPr>
        <w:pStyle w:val="Heading5"/>
      </w:pPr>
      <w:bookmarkStart w:id="77" w:name="_Toc33609107"/>
      <w:r>
        <w:rPr>
          <w:rStyle w:val="CharSectno"/>
        </w:rPr>
        <w:t>43DC</w:t>
      </w:r>
      <w:r>
        <w:t>.</w:t>
      </w:r>
      <w:r>
        <w:tab/>
        <w:t>Effect of withdrawal or lapse of s. 43A application</w:t>
      </w:r>
      <w:bookmarkEnd w:id="77"/>
    </w:p>
    <w:p>
      <w:pPr>
        <w:pStyle w:val="Subsection"/>
        <w:keepNext/>
      </w:pPr>
      <w:r>
        <w:tab/>
      </w:r>
      <w:r>
        <w:tab/>
        <w:t xml:space="preserve">If — </w:t>
      </w:r>
    </w:p>
    <w:p>
      <w:pPr>
        <w:pStyle w:val="Indenta"/>
      </w:pPr>
      <w:r>
        <w:tab/>
        <w:t>(a)</w:t>
      </w:r>
      <w:r>
        <w:tab/>
        <w:t>2 or more applications have been made under section 43A for the grant of a drilling reservation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keepLines/>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No. 42 of 2010 s. 21.]</w:t>
      </w:r>
    </w:p>
    <w:p>
      <w:pPr>
        <w:pStyle w:val="Heading5"/>
        <w:rPr>
          <w:snapToGrid w:val="0"/>
        </w:rPr>
      </w:pPr>
      <w:bookmarkStart w:id="78" w:name="_Toc33609108"/>
      <w:r>
        <w:rPr>
          <w:rStyle w:val="CharSectno"/>
        </w:rPr>
        <w:t>43D</w:t>
      </w:r>
      <w:r>
        <w:rPr>
          <w:snapToGrid w:val="0"/>
        </w:rPr>
        <w:t>.</w:t>
      </w:r>
      <w:r>
        <w:rPr>
          <w:snapToGrid w:val="0"/>
        </w:rPr>
        <w:tab/>
        <w:t>Rights conferred by drilling reservation</w:t>
      </w:r>
      <w:bookmarkEnd w:id="78"/>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No. 78 of 1990 s. 6; amended: No. 13 of 2005 s. 16(2); No. 35 of 2007 s. 29.]</w:t>
      </w:r>
    </w:p>
    <w:p>
      <w:pPr>
        <w:pStyle w:val="Heading5"/>
        <w:rPr>
          <w:snapToGrid w:val="0"/>
        </w:rPr>
      </w:pPr>
      <w:bookmarkStart w:id="79" w:name="_Toc33609109"/>
      <w:r>
        <w:rPr>
          <w:rStyle w:val="CharSectno"/>
        </w:rPr>
        <w:t>43E</w:t>
      </w:r>
      <w:r>
        <w:rPr>
          <w:snapToGrid w:val="0"/>
        </w:rPr>
        <w:t>.</w:t>
      </w:r>
      <w:r>
        <w:rPr>
          <w:snapToGrid w:val="0"/>
        </w:rPr>
        <w:tab/>
        <w:t>Term of drilling reservation</w:t>
      </w:r>
      <w:bookmarkEnd w:id="79"/>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No. 78 of 1990 s. 6; amended: No. 17 of 1999 s. 25.]</w:t>
      </w:r>
    </w:p>
    <w:p>
      <w:pPr>
        <w:pStyle w:val="Heading5"/>
        <w:rPr>
          <w:snapToGrid w:val="0"/>
        </w:rPr>
      </w:pPr>
      <w:bookmarkStart w:id="80" w:name="_Toc33609110"/>
      <w:r>
        <w:rPr>
          <w:rStyle w:val="CharSectno"/>
        </w:rPr>
        <w:t>43F</w:t>
      </w:r>
      <w:r>
        <w:rPr>
          <w:snapToGrid w:val="0"/>
        </w:rPr>
        <w:t>.</w:t>
      </w:r>
      <w:r>
        <w:rPr>
          <w:snapToGrid w:val="0"/>
        </w:rPr>
        <w:tab/>
        <w:t>Extension of term of drilling reservation</w:t>
      </w:r>
      <w:bookmarkEnd w:id="80"/>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No. 78 of 1990 s. 6; amended: No. 28 of 1994 s. 20; No. 17 of 1999 s. 26(1)</w:t>
      </w:r>
      <w:r>
        <w:noBreakHyphen/>
        <w:t>(4).]</w:t>
      </w:r>
    </w:p>
    <w:p>
      <w:pPr>
        <w:pStyle w:val="Heading5"/>
        <w:spacing w:before="180"/>
        <w:rPr>
          <w:snapToGrid w:val="0"/>
        </w:rPr>
      </w:pPr>
      <w:bookmarkStart w:id="81" w:name="_Toc33609111"/>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81"/>
    </w:p>
    <w:p>
      <w:pPr>
        <w:pStyle w:val="Subsection"/>
        <w:spacing w:before="120"/>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spacing w:before="120"/>
      </w:pPr>
      <w:r>
        <w:tab/>
        <w:t>[(2)</w:t>
      </w:r>
      <w:r>
        <w:tab/>
        <w:t>deleted]</w:t>
      </w:r>
    </w:p>
    <w:p>
      <w:pPr>
        <w:pStyle w:val="Footnotesection"/>
      </w:pPr>
      <w:r>
        <w:tab/>
        <w:t>[Section 44 amended: No. 12 of 1990 s. 30; No. 78 of 1990 s. 7; No. 35 of 2007 s. 30; No. 42 of 2010 s. 22.]</w:t>
      </w:r>
    </w:p>
    <w:p>
      <w:pPr>
        <w:pStyle w:val="Ednotesection"/>
        <w:spacing w:before="180"/>
      </w:pPr>
      <w:r>
        <w:t>[</w:t>
      </w:r>
      <w:r>
        <w:rPr>
          <w:b/>
        </w:rPr>
        <w:t>45.</w:t>
      </w:r>
      <w:r>
        <w:tab/>
        <w:t>Deleted: No. 42 of 2010 s. 23.]</w:t>
      </w:r>
    </w:p>
    <w:p>
      <w:pPr>
        <w:pStyle w:val="Heading5"/>
        <w:spacing w:before="180"/>
        <w:rPr>
          <w:snapToGrid w:val="0"/>
        </w:rPr>
      </w:pPr>
      <w:bookmarkStart w:id="82" w:name="_Toc33609112"/>
      <w:r>
        <w:rPr>
          <w:rStyle w:val="CharSectno"/>
        </w:rPr>
        <w:t>46</w:t>
      </w:r>
      <w:r>
        <w:rPr>
          <w:snapToGrid w:val="0"/>
        </w:rPr>
        <w:t>.</w:t>
      </w:r>
      <w:r>
        <w:rPr>
          <w:snapToGrid w:val="0"/>
        </w:rPr>
        <w:tab/>
        <w:t>Nomination of blocks as location</w:t>
      </w:r>
      <w:bookmarkEnd w:id="8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No. 12 of 1990 s. 32; amended: No. 78 of 1990 s. 7; No. 35 of 2007 s. 32 (correction to reprint in Gazette 23 Jun 2009 p. 2470).]</w:t>
      </w:r>
    </w:p>
    <w:p>
      <w:pPr>
        <w:pStyle w:val="Heading5"/>
        <w:rPr>
          <w:snapToGrid w:val="0"/>
        </w:rPr>
      </w:pPr>
      <w:bookmarkStart w:id="83" w:name="_Toc33609113"/>
      <w:r>
        <w:rPr>
          <w:rStyle w:val="CharSectno"/>
        </w:rPr>
        <w:t>47</w:t>
      </w:r>
      <w:r>
        <w:rPr>
          <w:snapToGrid w:val="0"/>
        </w:rPr>
        <w:t>.</w:t>
      </w:r>
      <w:r>
        <w:rPr>
          <w:snapToGrid w:val="0"/>
        </w:rPr>
        <w:tab/>
        <w:t>Declaration of location</w:t>
      </w:r>
      <w:bookmarkEnd w:id="83"/>
    </w:p>
    <w:p>
      <w:pPr>
        <w:pStyle w:val="Subsection"/>
      </w:pPr>
      <w:r>
        <w:tab/>
        <w:t>(1A)</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permit concerned — the graticular section; or</w:t>
      </w:r>
    </w:p>
    <w:p>
      <w:pPr>
        <w:pStyle w:val="Defpara"/>
      </w:pPr>
      <w:r>
        <w:tab/>
        <w:t>(c)</w:t>
      </w:r>
      <w:r>
        <w:tab/>
        <w:t>if a part only of a graticular section is within the area that was covered by the Commonwealth permit concerned — that part of the graticular section.</w:t>
      </w:r>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pPr>
      <w:r>
        <w:tab/>
        <w:t>(2A)</w:t>
      </w:r>
      <w:r>
        <w:tab/>
        <w:t xml:space="preserve">Subsection (2B) applies if — </w:t>
      </w:r>
    </w:p>
    <w:p>
      <w:pPr>
        <w:pStyle w:val="Indenta"/>
      </w:pPr>
      <w:r>
        <w:tab/>
        <w:t>(a)</w:t>
      </w:r>
      <w:r>
        <w:tab/>
        <w:t>a boundary-change permit is granted over one or more section 27 blocks; and</w:t>
      </w:r>
    </w:p>
    <w:p>
      <w:pPr>
        <w:pStyle w:val="Indenta"/>
      </w:pPr>
      <w:r>
        <w:tab/>
        <w:t>(b)</w:t>
      </w:r>
      <w:r>
        <w:tab/>
        <w:t>immediately before the grant,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(2B)</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grant.</w:t>
      </w:r>
    </w:p>
    <w:p>
      <w:pPr>
        <w:pStyle w:val="Subsection"/>
      </w:pPr>
      <w:r>
        <w:tab/>
        <w:t>(2C)</w:t>
      </w:r>
      <w:r>
        <w:tab/>
        <w:t xml:space="preserve">Subsection (2D) applies if — </w:t>
      </w:r>
    </w:p>
    <w:p>
      <w:pPr>
        <w:pStyle w:val="Indenta"/>
      </w:pPr>
      <w:r>
        <w:tab/>
        <w:t>(a)</w:t>
      </w:r>
      <w:r>
        <w:tab/>
        <w:t>a permit is varied under section 97A so as to include in the permit area one or more section 27 blocks; and</w:t>
      </w:r>
    </w:p>
    <w:p>
      <w:pPr>
        <w:pStyle w:val="Indenta"/>
      </w:pPr>
      <w:r>
        <w:tab/>
        <w:t>(b)</w:t>
      </w:r>
      <w:r>
        <w:tab/>
        <w:t>immediately before the variation, those section 27 blocks were, or were part of, a location as defined in the Commonwealth Act section 7; and</w:t>
      </w:r>
    </w:p>
    <w:p>
      <w:pPr>
        <w:pStyle w:val="Indenta"/>
      </w:pPr>
      <w:r>
        <w:tab/>
        <w:t>(c)</w:t>
      </w:r>
      <w:r>
        <w:tab/>
        <w:t>apart from this subsection, those section 27 blocks are not, and are not part of, a location as defined in section 5 of this Act.</w:t>
      </w:r>
    </w:p>
    <w:p>
      <w:pPr>
        <w:pStyle w:val="Subsection"/>
      </w:pPr>
      <w:r>
        <w:tab/>
        <w:t>(2D)</w:t>
      </w:r>
      <w:r>
        <w:tab/>
        <w:t xml:space="preserve">The Minister is taken — </w:t>
      </w:r>
    </w:p>
    <w:p>
      <w:pPr>
        <w:pStyle w:val="Indenta"/>
      </w:pPr>
      <w:r>
        <w:tab/>
        <w:t>(a)</w:t>
      </w:r>
      <w:r>
        <w:tab/>
        <w:t>to have declared those section 27 blocks to be a location; and</w:t>
      </w:r>
    </w:p>
    <w:p>
      <w:pPr>
        <w:pStyle w:val="Indenta"/>
      </w:pPr>
      <w:r>
        <w:tab/>
        <w:t>(b)</w:t>
      </w:r>
      <w:r>
        <w:tab/>
        <w:t>to have done so immediately after the variation.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spacing w:before="120"/>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No. 12 of 1990 s. 32; amended: No. 78 of 1990 s. 7; No. 35 of 2007 s. 33; No. 42 of 2010 s. 24; No. 7 of 2017 s. 14.]</w:t>
      </w:r>
    </w:p>
    <w:p>
      <w:pPr>
        <w:pStyle w:val="Heading5"/>
        <w:spacing w:before="180"/>
        <w:rPr>
          <w:snapToGrid w:val="0"/>
        </w:rPr>
      </w:pPr>
      <w:bookmarkStart w:id="84" w:name="_Toc33609114"/>
      <w:r>
        <w:rPr>
          <w:rStyle w:val="CharSectno"/>
        </w:rPr>
        <w:t>48</w:t>
      </w:r>
      <w:r>
        <w:rPr>
          <w:snapToGrid w:val="0"/>
        </w:rPr>
        <w:t>.</w:t>
      </w:r>
      <w:r>
        <w:rPr>
          <w:snapToGrid w:val="0"/>
        </w:rPr>
        <w:tab/>
        <w:t>Immediately adjoining blocks</w:t>
      </w:r>
      <w:bookmarkEnd w:id="84"/>
    </w:p>
    <w:p>
      <w:pPr>
        <w:pStyle w:val="Subsection"/>
        <w:spacing w:before="120"/>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No. 12 of 1990 s. 33.]</w:t>
      </w:r>
    </w:p>
    <w:p>
      <w:pPr>
        <w:pStyle w:val="Heading3"/>
        <w:pageBreakBefore/>
        <w:spacing w:before="0"/>
      </w:pPr>
      <w:bookmarkStart w:id="85" w:name="_Toc33608762"/>
      <w:bookmarkStart w:id="86" w:name="_Toc33609115"/>
      <w:r>
        <w:rPr>
          <w:rStyle w:val="CharDivNo"/>
        </w:rPr>
        <w:t>Division 2A</w:t>
      </w:r>
      <w:r>
        <w:rPr>
          <w:snapToGrid w:val="0"/>
        </w:rPr>
        <w:t> — </w:t>
      </w:r>
      <w:r>
        <w:rPr>
          <w:rStyle w:val="CharDivText"/>
        </w:rPr>
        <w:t>Retention leases</w:t>
      </w:r>
      <w:bookmarkEnd w:id="85"/>
      <w:bookmarkEnd w:id="86"/>
    </w:p>
    <w:p>
      <w:pPr>
        <w:pStyle w:val="Footnoteheading"/>
      </w:pPr>
      <w:r>
        <w:tab/>
        <w:t>[Heading inserted: No. 12 of 1990 s. 34; amended: No. 35 of 2007 s. 34.]</w:t>
      </w:r>
    </w:p>
    <w:p>
      <w:pPr>
        <w:pStyle w:val="Heading5"/>
        <w:spacing w:before="240"/>
        <w:rPr>
          <w:snapToGrid w:val="0"/>
        </w:rPr>
      </w:pPr>
      <w:bookmarkStart w:id="87" w:name="_Toc33609116"/>
      <w:r>
        <w:rPr>
          <w:rStyle w:val="CharSectno"/>
        </w:rPr>
        <w:t>48A</w:t>
      </w:r>
      <w:r>
        <w:rPr>
          <w:snapToGrid w:val="0"/>
        </w:rPr>
        <w:t>.</w:t>
      </w:r>
      <w:r>
        <w:rPr>
          <w:snapToGrid w:val="0"/>
        </w:rPr>
        <w:tab/>
        <w:t>Application by permittee or holder of drilling reservation for lease</w:t>
      </w:r>
      <w:bookmarkEnd w:id="87"/>
    </w:p>
    <w:p>
      <w:pPr>
        <w:pStyle w:val="Subsection"/>
        <w:spacing w:before="180"/>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spacing w:before="18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spacing w:before="180"/>
        <w:rPr>
          <w:snapToGrid w:val="0"/>
        </w:rPr>
      </w:pPr>
      <w:r>
        <w:rPr>
          <w:snapToGrid w:val="0"/>
        </w:rPr>
        <w:tab/>
        <w:t>(2)</w:t>
      </w:r>
      <w:r>
        <w:rPr>
          <w:snapToGrid w:val="0"/>
        </w:rPr>
        <w:tab/>
        <w:t>An application under subsection (1) or (1a)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ind w:left="890" w:hanging="890"/>
      </w:pPr>
      <w:r>
        <w:tab/>
        <w:t>[Section 48A inserted: No. 12 of 1990 s. 34; amended: No. 78 of 1990 s. 7; No. 35 of 2007 s. 35; No. 42 of 2010 s. 25.]</w:t>
      </w:r>
    </w:p>
    <w:p>
      <w:pPr>
        <w:pStyle w:val="Heading5"/>
        <w:rPr>
          <w:snapToGrid w:val="0"/>
        </w:rPr>
      </w:pPr>
      <w:bookmarkStart w:id="88" w:name="_Toc33609117"/>
      <w:r>
        <w:rPr>
          <w:rStyle w:val="CharSectno"/>
        </w:rPr>
        <w:t>48B</w:t>
      </w:r>
      <w:r>
        <w:rPr>
          <w:snapToGrid w:val="0"/>
        </w:rPr>
        <w:t>.</w:t>
      </w:r>
      <w:r>
        <w:rPr>
          <w:snapToGrid w:val="0"/>
        </w:rPr>
        <w:tab/>
        <w:t>Grant or refusal of lease in relation to application</w:t>
      </w:r>
      <w:bookmarkEnd w:id="88"/>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keepNext/>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No. 12 of 1990 s. 34; amended: No. 78 of 1990 s. 7; No. 28 of 1994 s. 21; No. 35 of 2007 s. 36; No. 42 of 2010 s. 26.]</w:t>
      </w:r>
    </w:p>
    <w:p>
      <w:pPr>
        <w:pStyle w:val="Heading5"/>
        <w:rPr>
          <w:snapToGrid w:val="0"/>
        </w:rPr>
      </w:pPr>
      <w:bookmarkStart w:id="89" w:name="_Toc33609118"/>
      <w:r>
        <w:rPr>
          <w:rStyle w:val="CharSectno"/>
        </w:rPr>
        <w:t>48BA</w:t>
      </w:r>
      <w:r>
        <w:rPr>
          <w:snapToGrid w:val="0"/>
        </w:rPr>
        <w:t>.</w:t>
      </w:r>
      <w:r>
        <w:rPr>
          <w:snapToGrid w:val="0"/>
        </w:rPr>
        <w:tab/>
        <w:t>Application of s. 48A and 48B where permit is transferred</w:t>
      </w:r>
      <w:bookmarkEnd w:id="89"/>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No. 28 of 1994 s. 22; amended: No. 42 of 2010 s. 27.]</w:t>
      </w:r>
    </w:p>
    <w:p>
      <w:pPr>
        <w:pStyle w:val="Heading5"/>
      </w:pPr>
      <w:bookmarkStart w:id="90" w:name="_Toc33609119"/>
      <w:r>
        <w:rPr>
          <w:rStyle w:val="CharSectno"/>
        </w:rPr>
        <w:t>48CA</w:t>
      </w:r>
      <w:r>
        <w:t>.</w:t>
      </w:r>
      <w:r>
        <w:tab/>
        <w:t>Application by licensee for lease</w:t>
      </w:r>
      <w:bookmarkEnd w:id="90"/>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keepNext/>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2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2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2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2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80"/>
        <w:ind w:left="890" w:hanging="890"/>
      </w:pPr>
      <w:r>
        <w:tab/>
        <w:t>[Section 48CA inserted: No. 42 of 2010 s. 28.]</w:t>
      </w:r>
    </w:p>
    <w:p>
      <w:pPr>
        <w:pStyle w:val="Heading5"/>
        <w:spacing w:before="180"/>
      </w:pPr>
      <w:bookmarkStart w:id="91" w:name="_Toc33609120"/>
      <w:r>
        <w:rPr>
          <w:rStyle w:val="CharSectno"/>
        </w:rPr>
        <w:t>48CB</w:t>
      </w:r>
      <w:r>
        <w:t>.</w:t>
      </w:r>
      <w:r>
        <w:tab/>
        <w:t>Grant or refusal of lease in relation to application by licensee</w:t>
      </w:r>
      <w:bookmarkEnd w:id="91"/>
    </w:p>
    <w:p>
      <w:pPr>
        <w:pStyle w:val="Subsection"/>
        <w:spacing w:before="120"/>
      </w:pPr>
      <w:r>
        <w:tab/>
        <w:t>(1)</w:t>
      </w:r>
      <w:r>
        <w:tab/>
        <w:t xml:space="preserve">If — </w:t>
      </w:r>
    </w:p>
    <w:p>
      <w:pPr>
        <w:pStyle w:val="Indenta"/>
      </w:pPr>
      <w:r>
        <w:tab/>
        <w:t>(a)</w:t>
      </w:r>
      <w:r>
        <w:tab/>
        <w:t>an application has been made under section 48CA(1); and</w:t>
      </w:r>
    </w:p>
    <w:p>
      <w:pPr>
        <w:pStyle w:val="Indenta"/>
      </w:pPr>
      <w:r>
        <w:tab/>
        <w:t>(b)</w:t>
      </w:r>
      <w:r>
        <w:tab/>
        <w:t>the applicant has given any further information as and when required by the Minister under section 48CA(6); and</w:t>
      </w:r>
    </w:p>
    <w:p>
      <w:pPr>
        <w:pStyle w:val="Indenta"/>
        <w:keepNext/>
      </w:pPr>
      <w:r>
        <w:tab/>
        <w:t>(c)</w:t>
      </w:r>
      <w:r>
        <w:tab/>
        <w:t xml:space="preserve">the Minister is satisfied that recovery of petroleum from the unused area — </w:t>
      </w:r>
    </w:p>
    <w:p>
      <w:pPr>
        <w:pStyle w:val="Indenti"/>
      </w:pPr>
      <w:r>
        <w:tab/>
        <w:t>(i)</w:t>
      </w:r>
      <w:r>
        <w:tab/>
        <w:t>is not, at the time of the application, commercially viable; and</w:t>
      </w:r>
    </w:p>
    <w:p>
      <w:pPr>
        <w:pStyle w:val="Indenti"/>
        <w:keepNext/>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2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spacing w:before="180"/>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spacing w:before="180"/>
      </w:pPr>
      <w:r>
        <w:tab/>
        <w:t>(8)</w:t>
      </w:r>
      <w:r>
        <w:tab/>
        <w:t>If the applicant does not make the request within the period applicable under subsection (6), the application lapses at the end of that period.</w:t>
      </w:r>
    </w:p>
    <w:p>
      <w:pPr>
        <w:pStyle w:val="Subsection"/>
        <w:spacing w:before="180"/>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r>
        <w:tab/>
        <w:t>[Section 48CB inserted: No. 42 of 2010 s. 28.]</w:t>
      </w:r>
    </w:p>
    <w:p>
      <w:pPr>
        <w:pStyle w:val="Heading5"/>
        <w:spacing w:before="240"/>
      </w:pPr>
      <w:bookmarkStart w:id="92" w:name="_Toc33609121"/>
      <w:r>
        <w:rPr>
          <w:rStyle w:val="CharSectno"/>
        </w:rPr>
        <w:t>48CC</w:t>
      </w:r>
      <w:r>
        <w:t>.</w:t>
      </w:r>
      <w:r>
        <w:tab/>
        <w:t>Application of s. 48CA and 48CB if licence is transferred</w:t>
      </w:r>
      <w:bookmarkEnd w:id="92"/>
    </w:p>
    <w:p>
      <w:pPr>
        <w:pStyle w:val="Subsection"/>
        <w:spacing w:before="180"/>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spacing w:before="180"/>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No. 42 of 2010 s. 28.]</w:t>
      </w:r>
    </w:p>
    <w:p>
      <w:pPr>
        <w:pStyle w:val="Heading5"/>
      </w:pPr>
      <w:bookmarkStart w:id="93" w:name="_Toc33609122"/>
      <w:r>
        <w:rPr>
          <w:rStyle w:val="CharSectno"/>
        </w:rPr>
        <w:t>48CD</w:t>
      </w:r>
      <w:r>
        <w:t>.</w:t>
      </w:r>
      <w:r>
        <w:tab/>
        <w:t>Grant of petroleum retention lease as result of change to boundary of offshore area</w:t>
      </w:r>
      <w:bookmarkEnd w:id="93"/>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lease concerned — the graticular section; or</w:t>
      </w:r>
    </w:p>
    <w:p>
      <w:pPr>
        <w:pStyle w:val="Defpara"/>
      </w:pPr>
      <w:r>
        <w:tab/>
        <w:t>(c)</w:t>
      </w:r>
      <w:r>
        <w:tab/>
        <w:t>if a part only of a graticular section is within the area that was covered by the Commonwealth lease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lease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lease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keepNext/>
      </w:pPr>
      <w:r>
        <w:tab/>
        <w:t>(3)</w:t>
      </w:r>
      <w:r>
        <w:tab/>
        <w:t xml:space="preserve">The conditions mentioned in subsection (2)(c)(i) are — </w:t>
      </w:r>
    </w:p>
    <w:p>
      <w:pPr>
        <w:pStyle w:val="Indenta"/>
      </w:pPr>
      <w:r>
        <w:tab/>
        <w:t>(a)</w:t>
      </w:r>
      <w:r>
        <w:tab/>
        <w:t>one or more, but not 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 that are in the offshore area; and</w:t>
      </w:r>
    </w:p>
    <w:p>
      <w:pPr>
        <w:pStyle w:val="Indenti"/>
      </w:pPr>
      <w:r>
        <w:tab/>
        <w:t>(ii)</w:t>
      </w:r>
      <w:r>
        <w:tab/>
        <w:t>otherwise than as the result of the cancellation or surrender of the Commonwealth lease.</w:t>
      </w:r>
    </w:p>
    <w:p>
      <w:pPr>
        <w:pStyle w:val="Subsection"/>
      </w:pPr>
      <w:r>
        <w:tab/>
        <w:t>(4)</w:t>
      </w:r>
      <w:r>
        <w:tab/>
        <w:t xml:space="preserve">The conditions mentioned in subsection (2)(c)(ii) are — </w:t>
      </w:r>
    </w:p>
    <w:p>
      <w:pPr>
        <w:pStyle w:val="Indenta"/>
      </w:pPr>
      <w:r>
        <w:tab/>
        <w:t>(a)</w:t>
      </w:r>
      <w:r>
        <w:tab/>
        <w:t>all of the section 27 blocks that were covered by the Commonwealth lease immediately before the change are in the relevant area; and</w:t>
      </w:r>
    </w:p>
    <w:p>
      <w:pPr>
        <w:pStyle w:val="Indenta"/>
      </w:pPr>
      <w:r>
        <w:tab/>
        <w:t>(b)</w:t>
      </w:r>
      <w:r>
        <w:tab/>
        <w:t xml:space="preserve">the Commonwealth lease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lease immediately before the change; and</w:t>
      </w:r>
    </w:p>
    <w:p>
      <w:pPr>
        <w:pStyle w:val="Indenti"/>
      </w:pPr>
      <w:r>
        <w:tab/>
        <w:t>(ii)</w:t>
      </w:r>
      <w:r>
        <w:tab/>
        <w:t>otherwise than as the result of the cancellation or surrender of the Commonwealth lease.</w:t>
      </w:r>
    </w:p>
    <w:p>
      <w:pPr>
        <w:pStyle w:val="Subsection"/>
      </w:pPr>
      <w:r>
        <w:tab/>
        <w:t>(5)</w:t>
      </w:r>
      <w:r>
        <w:tab/>
        <w:t xml:space="preserve">The Minister is taken — </w:t>
      </w:r>
    </w:p>
    <w:p>
      <w:pPr>
        <w:pStyle w:val="Indenta"/>
      </w:pPr>
      <w:r>
        <w:tab/>
        <w:t>(a)</w:t>
      </w:r>
      <w:r>
        <w:tab/>
        <w:t>to have granted the holder of the Commonwealth lease a petroleum retention lease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petroleum retention lease, see section 48D(2).</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lease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pPr>
      <w:r>
        <w:tab/>
        <w:t>[Section 48CD inserted: No. 7 of 2017 s. 15.]</w:t>
      </w:r>
    </w:p>
    <w:p>
      <w:pPr>
        <w:pStyle w:val="Heading5"/>
        <w:rPr>
          <w:snapToGrid w:val="0"/>
        </w:rPr>
      </w:pPr>
      <w:bookmarkStart w:id="94" w:name="_Toc33609123"/>
      <w:r>
        <w:rPr>
          <w:rStyle w:val="CharSectno"/>
        </w:rPr>
        <w:t>48C</w:t>
      </w:r>
      <w:r>
        <w:rPr>
          <w:snapToGrid w:val="0"/>
        </w:rPr>
        <w:t>.</w:t>
      </w:r>
      <w:r>
        <w:rPr>
          <w:snapToGrid w:val="0"/>
        </w:rPr>
        <w:tab/>
        <w:t>Rights conferred by lease</w:t>
      </w:r>
      <w:bookmarkEnd w:id="94"/>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keepNext/>
        <w:rPr>
          <w:snapToGrid w:val="0"/>
        </w:rPr>
      </w:pPr>
      <w:r>
        <w:tab/>
        <w:t>(c)</w:t>
      </w:r>
      <w:r>
        <w:tab/>
        <w:t>to carry on such operations and execute such works in the lease area as are necessary for those purposes.</w:t>
      </w:r>
    </w:p>
    <w:p>
      <w:pPr>
        <w:pStyle w:val="Footnotesection"/>
      </w:pPr>
      <w:r>
        <w:tab/>
        <w:t>[Section 48C inserted: No. 12 of 1990 s. 34; amended: No. 13 of 2005 s. 16(2); No. 35 of 2007 s. 37.]</w:t>
      </w:r>
    </w:p>
    <w:p>
      <w:pPr>
        <w:pStyle w:val="Heading5"/>
        <w:rPr>
          <w:snapToGrid w:val="0"/>
        </w:rPr>
      </w:pPr>
      <w:bookmarkStart w:id="95" w:name="_Toc33609124"/>
      <w:r>
        <w:rPr>
          <w:rStyle w:val="CharSectno"/>
        </w:rPr>
        <w:t>48D</w:t>
      </w:r>
      <w:r>
        <w:rPr>
          <w:snapToGrid w:val="0"/>
        </w:rPr>
        <w:t>.</w:t>
      </w:r>
      <w:r>
        <w:rPr>
          <w:snapToGrid w:val="0"/>
        </w:rPr>
        <w:tab/>
        <w:t>Term of lease</w:t>
      </w:r>
      <w:bookmarkEnd w:id="95"/>
    </w:p>
    <w:p>
      <w:pPr>
        <w:pStyle w:val="Subsection"/>
        <w:rPr>
          <w:snapToGrid w:val="0"/>
        </w:rPr>
      </w:pPr>
      <w:r>
        <w:rPr>
          <w:snapToGrid w:val="0"/>
        </w:rPr>
        <w:tab/>
      </w:r>
      <w:r>
        <w:t>(1)</w:t>
      </w:r>
      <w:r>
        <w:tab/>
        <w:t>Subject</w:t>
      </w:r>
      <w:r>
        <w:rPr>
          <w:snapToGrid w:val="0"/>
        </w:rPr>
        <w:t xml:space="preserve"> to this Part, a lease (whether granted by way of renewal of a lease or </w:t>
      </w:r>
      <w:r>
        <w:t xml:space="preserve">otherwise and other than a petroleum retention lease granted under section 48CD) </w:t>
      </w:r>
      <w:r>
        <w:rPr>
          <w:snapToGrid w:val="0"/>
        </w:rPr>
        <w:t>remains in force for a period of 5 years commencing on the day on which the lease was granted or, if a later day is specified in the lease as being the day on which the lease is to come into force, on that later day.</w:t>
      </w:r>
    </w:p>
    <w:p>
      <w:pPr>
        <w:pStyle w:val="Subsection"/>
      </w:pPr>
      <w:r>
        <w:tab/>
        <w:t>(2)</w:t>
      </w:r>
      <w:r>
        <w:tab/>
        <w:t>Subject to this Part, a petroleum retention lease granted under section 48CD remains in force for a period of 5 years commencing on the day on which the lease is granted.</w:t>
      </w:r>
    </w:p>
    <w:p>
      <w:pPr>
        <w:pStyle w:val="Footnotesection"/>
        <w:ind w:left="890" w:hanging="890"/>
      </w:pPr>
      <w:r>
        <w:tab/>
        <w:t>[Section 48D inserted: No. 12 of 1990 s. 34; amended: No. 7 of 2017 s. 16.]</w:t>
      </w:r>
    </w:p>
    <w:p>
      <w:pPr>
        <w:pStyle w:val="Heading5"/>
        <w:keepNext w:val="0"/>
        <w:keepLines w:val="0"/>
        <w:rPr>
          <w:snapToGrid w:val="0"/>
        </w:rPr>
      </w:pPr>
      <w:bookmarkStart w:id="96" w:name="_Toc33609125"/>
      <w:r>
        <w:rPr>
          <w:rStyle w:val="CharSectno"/>
        </w:rPr>
        <w:t>48E</w:t>
      </w:r>
      <w:r>
        <w:rPr>
          <w:snapToGrid w:val="0"/>
        </w:rPr>
        <w:t>.</w:t>
      </w:r>
      <w:r>
        <w:rPr>
          <w:snapToGrid w:val="0"/>
        </w:rPr>
        <w:tab/>
        <w:t>Notice of intention to cancel lease</w:t>
      </w:r>
      <w:bookmarkEnd w:id="9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No. 12 of 1990 s. 34; amended: No. 35 of 2007 s. 38.]</w:t>
      </w:r>
    </w:p>
    <w:p>
      <w:pPr>
        <w:pStyle w:val="Heading5"/>
        <w:rPr>
          <w:snapToGrid w:val="0"/>
        </w:rPr>
      </w:pPr>
      <w:bookmarkStart w:id="97" w:name="_Toc33609126"/>
      <w:r>
        <w:rPr>
          <w:rStyle w:val="CharSectno"/>
        </w:rPr>
        <w:t>48F</w:t>
      </w:r>
      <w:r>
        <w:rPr>
          <w:snapToGrid w:val="0"/>
        </w:rPr>
        <w:t>.</w:t>
      </w:r>
      <w:r>
        <w:rPr>
          <w:snapToGrid w:val="0"/>
        </w:rPr>
        <w:tab/>
        <w:t>Application for renewal of lease</w:t>
      </w:r>
      <w:bookmarkEnd w:id="97"/>
    </w:p>
    <w:p>
      <w:pPr>
        <w:pStyle w:val="Subsection"/>
        <w:spacing w:before="120"/>
        <w:rPr>
          <w:snapToGrid w:val="0"/>
        </w:rPr>
      </w:pPr>
      <w:r>
        <w:rPr>
          <w:snapToGrid w:val="0"/>
        </w:rPr>
        <w:tab/>
        <w:t>(1)</w:t>
      </w:r>
      <w:r>
        <w:rPr>
          <w:snapToGrid w:val="0"/>
        </w:rPr>
        <w:tab/>
        <w:t>A lessee may, from time to time, make an application to the Minister for the renewal of the lease.</w:t>
      </w:r>
    </w:p>
    <w:p>
      <w:pPr>
        <w:pStyle w:val="Subsection"/>
        <w:spacing w:before="120"/>
        <w:rPr>
          <w:snapToGrid w:val="0"/>
        </w:rPr>
      </w:pPr>
      <w:r>
        <w:rPr>
          <w:snapToGrid w:val="0"/>
        </w:rPr>
        <w:tab/>
        <w:t>(2)</w:t>
      </w:r>
      <w:r>
        <w:rPr>
          <w:snapToGrid w:val="0"/>
        </w:rPr>
        <w:tab/>
        <w:t>An application for the renewal of a lease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ind w:left="890" w:hanging="890"/>
      </w:pPr>
      <w:r>
        <w:tab/>
        <w:t>[Section 48F inserted: No. 12 of 1990 s. 34; amended: No. 28 of 1994 s. 23; No. 35 of 2007 s. 39; No. 42 of 2010 s. 29.]</w:t>
      </w:r>
    </w:p>
    <w:p>
      <w:pPr>
        <w:pStyle w:val="Heading5"/>
        <w:rPr>
          <w:snapToGrid w:val="0"/>
        </w:rPr>
      </w:pPr>
      <w:bookmarkStart w:id="98" w:name="_Toc33609127"/>
      <w:r>
        <w:rPr>
          <w:rStyle w:val="CharSectno"/>
        </w:rPr>
        <w:t>48G</w:t>
      </w:r>
      <w:r>
        <w:rPr>
          <w:snapToGrid w:val="0"/>
        </w:rPr>
        <w:t>.</w:t>
      </w:r>
      <w:r>
        <w:rPr>
          <w:snapToGrid w:val="0"/>
        </w:rPr>
        <w:tab/>
        <w:t>Grant or refusal of renewal of lease</w:t>
      </w:r>
      <w:bookmarkEnd w:id="98"/>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No. 12 of 1990 s. 34; amended: No. 28 of 1994 s. 24; No. 35 of 2007 s. 40.]</w:t>
      </w:r>
    </w:p>
    <w:p>
      <w:pPr>
        <w:pStyle w:val="Heading5"/>
        <w:keepLines w:val="0"/>
        <w:rPr>
          <w:snapToGrid w:val="0"/>
        </w:rPr>
      </w:pPr>
      <w:bookmarkStart w:id="99" w:name="_Toc33609128"/>
      <w:r>
        <w:rPr>
          <w:rStyle w:val="CharSectno"/>
        </w:rPr>
        <w:t>48H</w:t>
      </w:r>
      <w:r>
        <w:rPr>
          <w:snapToGrid w:val="0"/>
        </w:rPr>
        <w:t>.</w:t>
      </w:r>
      <w:r>
        <w:rPr>
          <w:snapToGrid w:val="0"/>
        </w:rPr>
        <w:tab/>
        <w:t>Conditions of lease</w:t>
      </w:r>
      <w:bookmarkEnd w:id="99"/>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pPr>
      <w:r>
        <w:tab/>
        <w:t>(1A)</w:t>
      </w:r>
      <w:r>
        <w:tab/>
        <w:t>Subsection (1) does not apply to a petroleum retention lease granted under section 48CD.</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Subsection"/>
      </w:pPr>
      <w:r>
        <w:tab/>
        <w:t>(5)</w:t>
      </w:r>
      <w:r>
        <w:tab/>
        <w:t>The Minister may, by written notice given to the lessee, vary a petroleum retention lease granted under section 48CD by imposing one or more conditions to which the lease is subject.</w:t>
      </w:r>
    </w:p>
    <w:p>
      <w:pPr>
        <w:pStyle w:val="Subsection"/>
      </w:pPr>
      <w:r>
        <w:tab/>
        <w:t>(6)</w:t>
      </w:r>
      <w:r>
        <w:tab/>
        <w:t>A notice under subsection (5) may only be given within 14 days after the grant of the petroleum retention lease.</w:t>
      </w:r>
    </w:p>
    <w:p>
      <w:pPr>
        <w:pStyle w:val="Subsection"/>
      </w:pPr>
      <w:r>
        <w:tab/>
        <w:t>(7)</w:t>
      </w:r>
      <w:r>
        <w:tab/>
        <w:t>A variation under subsection (5) takes effect on the day on which notice of the variation is given to the lessee.</w:t>
      </w:r>
    </w:p>
    <w:p>
      <w:pPr>
        <w:pStyle w:val="Footnotesection"/>
        <w:keepLines w:val="0"/>
        <w:widowControl w:val="0"/>
        <w:ind w:left="890" w:hanging="890"/>
      </w:pPr>
      <w:r>
        <w:tab/>
        <w:t>[Section 48H inserted: No. 12 of 1990 s. 34; amended: No. 35 of 2007 s. 41; No. 7 of 2017 s. 17.]</w:t>
      </w:r>
    </w:p>
    <w:p>
      <w:pPr>
        <w:pStyle w:val="Heading5"/>
        <w:rPr>
          <w:snapToGrid w:val="0"/>
        </w:rPr>
      </w:pPr>
      <w:bookmarkStart w:id="100" w:name="_Toc33609129"/>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100"/>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No. 42 of 2010 s. 30.]</w:t>
      </w:r>
    </w:p>
    <w:p>
      <w:pPr>
        <w:pStyle w:val="Heading5"/>
        <w:rPr>
          <w:snapToGrid w:val="0"/>
        </w:rPr>
      </w:pPr>
      <w:bookmarkStart w:id="101" w:name="_Toc33609130"/>
      <w:r>
        <w:rPr>
          <w:rStyle w:val="CharSectno"/>
        </w:rPr>
        <w:t>48K</w:t>
      </w:r>
      <w:r>
        <w:rPr>
          <w:snapToGrid w:val="0"/>
        </w:rPr>
        <w:t>.</w:t>
      </w:r>
      <w:r>
        <w:rPr>
          <w:snapToGrid w:val="0"/>
        </w:rPr>
        <w:tab/>
        <w:t>Directions by Minister on discovery of petroleum or</w:t>
      </w:r>
      <w:r>
        <w:t xml:space="preserve"> geothermal energy resources</w:t>
      </w:r>
      <w:bookmarkEnd w:id="101"/>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No. 12 of 1990 s. 34; amended: No. 35 of 2007 s. 43; No. 42 of 2010 s. 62(1).]</w:t>
      </w:r>
    </w:p>
    <w:p>
      <w:pPr>
        <w:pStyle w:val="Heading3"/>
        <w:pageBreakBefore/>
        <w:spacing w:before="0"/>
      </w:pPr>
      <w:bookmarkStart w:id="102" w:name="_Toc33608778"/>
      <w:bookmarkStart w:id="103" w:name="_Toc33609131"/>
      <w:r>
        <w:rPr>
          <w:rStyle w:val="CharDivNo"/>
        </w:rPr>
        <w:t>Division 3</w:t>
      </w:r>
      <w:r>
        <w:rPr>
          <w:snapToGrid w:val="0"/>
        </w:rPr>
        <w:t> — </w:t>
      </w:r>
      <w:r>
        <w:rPr>
          <w:rStyle w:val="CharDivText"/>
        </w:rPr>
        <w:t>Production licences</w:t>
      </w:r>
      <w:bookmarkEnd w:id="102"/>
      <w:bookmarkEnd w:id="103"/>
    </w:p>
    <w:p>
      <w:pPr>
        <w:pStyle w:val="Footnoteheading"/>
      </w:pPr>
      <w:r>
        <w:tab/>
        <w:t>[Heading amended: No. 35 of 2007 s. 44.]</w:t>
      </w:r>
    </w:p>
    <w:p>
      <w:pPr>
        <w:pStyle w:val="Heading5"/>
        <w:spacing w:before="180"/>
        <w:rPr>
          <w:snapToGrid w:val="0"/>
        </w:rPr>
      </w:pPr>
      <w:bookmarkStart w:id="104" w:name="_Toc33609132"/>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104"/>
    </w:p>
    <w:p>
      <w:pPr>
        <w:pStyle w:val="Subsection"/>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ind w:left="890" w:hanging="890"/>
      </w:pPr>
      <w:r>
        <w:tab/>
        <w:t>[Section 49 inserted: No. 12 of 1990 s. 35; amended: No. 35 of 2007 s. 45; No. 42 of 2010 s. 62(15).]</w:t>
      </w:r>
    </w:p>
    <w:p>
      <w:pPr>
        <w:pStyle w:val="Heading5"/>
        <w:spacing w:before="180"/>
        <w:rPr>
          <w:snapToGrid w:val="0"/>
        </w:rPr>
      </w:pPr>
      <w:bookmarkStart w:id="105" w:name="_Toc33609133"/>
      <w:r>
        <w:rPr>
          <w:rStyle w:val="CharSectno"/>
        </w:rPr>
        <w:t>50</w:t>
      </w:r>
      <w:r>
        <w:rPr>
          <w:snapToGrid w:val="0"/>
        </w:rPr>
        <w:t>.</w:t>
      </w:r>
      <w:r>
        <w:rPr>
          <w:snapToGrid w:val="0"/>
        </w:rPr>
        <w:tab/>
        <w:t>Application by permittee for licence</w:t>
      </w:r>
      <w:bookmarkEnd w:id="105"/>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rPr>
          <w:snapToGrid w:val="0"/>
        </w:rPr>
      </w:pPr>
      <w:r>
        <w:rPr>
          <w:snapToGrid w:val="0"/>
        </w:rPr>
        <w:tab/>
        <w:t>(e)</w:t>
      </w:r>
      <w:r>
        <w:rPr>
          <w:snapToGrid w:val="0"/>
        </w:rPr>
        <w:tab/>
        <w:t>where 2 blocks constitute the location concerned — in respect of one of those blocks; or</w:t>
      </w:r>
    </w:p>
    <w:p>
      <w:pPr>
        <w:pStyle w:val="Indenta"/>
        <w:rPr>
          <w:snapToGrid w:val="0"/>
        </w:rPr>
      </w:pPr>
      <w:r>
        <w:rPr>
          <w:snapToGrid w:val="0"/>
        </w:rPr>
        <w:tab/>
        <w:t>(f)</w:t>
      </w:r>
      <w:r>
        <w:rPr>
          <w:snapToGrid w:val="0"/>
        </w:rPr>
        <w:tab/>
        <w:t>where one block constitutes the location concerned — in respect of that block.</w:t>
      </w:r>
    </w:p>
    <w:p>
      <w:pPr>
        <w:pStyle w:val="Subsection"/>
        <w:spacing w:before="12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2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No. 12 of 1990 s. 36; No. 78 of 1990 s. 7; No. 28 of 1994 s. 25; No. 35 of 2007 s. 46.]</w:t>
      </w:r>
    </w:p>
    <w:p>
      <w:pPr>
        <w:pStyle w:val="Heading5"/>
        <w:rPr>
          <w:snapToGrid w:val="0"/>
        </w:rPr>
      </w:pPr>
      <w:bookmarkStart w:id="106" w:name="_Toc33609134"/>
      <w:r>
        <w:rPr>
          <w:rStyle w:val="CharSectno"/>
        </w:rPr>
        <w:t>50A</w:t>
      </w:r>
      <w:r>
        <w:rPr>
          <w:snapToGrid w:val="0"/>
        </w:rPr>
        <w:t>.</w:t>
      </w:r>
      <w:r>
        <w:rPr>
          <w:snapToGrid w:val="0"/>
        </w:rPr>
        <w:tab/>
        <w:t>Application by lessee for licence</w:t>
      </w:r>
      <w:bookmarkEnd w:id="106"/>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keepNext/>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No. 12 of 1990 s. 37; amended: No. 35 of 2007 s. 47.]</w:t>
      </w:r>
    </w:p>
    <w:p>
      <w:pPr>
        <w:pStyle w:val="Heading5"/>
        <w:rPr>
          <w:snapToGrid w:val="0"/>
        </w:rPr>
      </w:pPr>
      <w:bookmarkStart w:id="107" w:name="_Toc33609135"/>
      <w:r>
        <w:rPr>
          <w:rStyle w:val="CharSectno"/>
        </w:rPr>
        <w:t>51</w:t>
      </w:r>
      <w:r>
        <w:rPr>
          <w:snapToGrid w:val="0"/>
        </w:rPr>
        <w:t>.</w:t>
      </w:r>
      <w:r>
        <w:rPr>
          <w:snapToGrid w:val="0"/>
        </w:rPr>
        <w:tab/>
        <w:t>Application for licence under s. 50 or 50A, requirements for</w:t>
      </w:r>
      <w:bookmarkEnd w:id="107"/>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No. 69 of 1981 s. 34; No. 12 of 1990 s. 38; No. 42 of 2010 s. 31.]</w:t>
      </w:r>
    </w:p>
    <w:p>
      <w:pPr>
        <w:pStyle w:val="Heading5"/>
        <w:rPr>
          <w:snapToGrid w:val="0"/>
        </w:rPr>
      </w:pPr>
      <w:bookmarkStart w:id="108" w:name="_Toc33609136"/>
      <w:r>
        <w:rPr>
          <w:rStyle w:val="CharSectno"/>
        </w:rPr>
        <w:t>52</w:t>
      </w:r>
      <w:r>
        <w:rPr>
          <w:snapToGrid w:val="0"/>
        </w:rPr>
        <w:t>.</w:t>
      </w:r>
      <w:r>
        <w:rPr>
          <w:snapToGrid w:val="0"/>
        </w:rPr>
        <w:tab/>
        <w:t>Determination of rate of royalty</w:t>
      </w:r>
      <w:bookmarkEnd w:id="108"/>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No. 11 of 1994 s. 5; No. 42 of 2010 s. 32.]</w:t>
      </w:r>
    </w:p>
    <w:p>
      <w:pPr>
        <w:pStyle w:val="Heading5"/>
        <w:rPr>
          <w:snapToGrid w:val="0"/>
        </w:rPr>
      </w:pPr>
      <w:bookmarkStart w:id="109" w:name="_Toc33609137"/>
      <w:r>
        <w:rPr>
          <w:rStyle w:val="CharSectno"/>
        </w:rPr>
        <w:t>53</w:t>
      </w:r>
      <w:r>
        <w:rPr>
          <w:snapToGrid w:val="0"/>
        </w:rPr>
        <w:t>.</w:t>
      </w:r>
      <w:r>
        <w:rPr>
          <w:snapToGrid w:val="0"/>
        </w:rPr>
        <w:tab/>
        <w:t>Notification as to grant of licence</w:t>
      </w:r>
      <w:bookmarkEnd w:id="109"/>
    </w:p>
    <w:p>
      <w:pPr>
        <w:pStyle w:val="Subsection"/>
        <w:spacing w:before="120"/>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the Minister is satisfied that the area comprised in the block, or any one or more of the blocks, specified in the application contains petroleum,</w:t>
      </w:r>
    </w:p>
    <w:p>
      <w:pPr>
        <w:pStyle w:val="Subsection"/>
        <w:spacing w:before="120"/>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spacing w:before="120"/>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spacing w:before="120"/>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spacing w:before="120"/>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No. 12 of 1990 s. 39; No. 28 of 1994 s. 26; No. 35 of 2007 s. 48; No. 42 of 2010 s. 33.]</w:t>
      </w:r>
    </w:p>
    <w:p>
      <w:pPr>
        <w:pStyle w:val="Heading5"/>
        <w:rPr>
          <w:snapToGrid w:val="0"/>
        </w:rPr>
      </w:pPr>
      <w:bookmarkStart w:id="110" w:name="_Toc33609138"/>
      <w:r>
        <w:rPr>
          <w:rStyle w:val="CharSectno"/>
        </w:rPr>
        <w:t>54</w:t>
      </w:r>
      <w:r>
        <w:rPr>
          <w:snapToGrid w:val="0"/>
        </w:rPr>
        <w:t>.</w:t>
      </w:r>
      <w:r>
        <w:rPr>
          <w:snapToGrid w:val="0"/>
        </w:rPr>
        <w:tab/>
        <w:t>Grant of licence</w:t>
      </w:r>
      <w:bookmarkEnd w:id="110"/>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No. 12 of 1990 s. 40; No. 78 of 1990 s. 7; No. 28 of 1994 s. 27; No. 35 of 2007 s. 49; No. 42 of 2010 s. 34.]</w:t>
      </w:r>
    </w:p>
    <w:p>
      <w:pPr>
        <w:pStyle w:val="Heading5"/>
        <w:keepNext w:val="0"/>
        <w:keepLines w:val="0"/>
        <w:spacing w:before="180"/>
        <w:rPr>
          <w:snapToGrid w:val="0"/>
        </w:rPr>
      </w:pPr>
      <w:bookmarkStart w:id="111" w:name="_Toc33609139"/>
      <w:r>
        <w:rPr>
          <w:rStyle w:val="CharSectno"/>
        </w:rPr>
        <w:t>54A</w:t>
      </w:r>
      <w:r>
        <w:rPr>
          <w:snapToGrid w:val="0"/>
        </w:rPr>
        <w:t>.</w:t>
      </w:r>
      <w:r>
        <w:rPr>
          <w:snapToGrid w:val="0"/>
        </w:rPr>
        <w:tab/>
        <w:t>Application of s. 51 to 54 where permit etc. transferred</w:t>
      </w:r>
      <w:bookmarkEnd w:id="111"/>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No. 28 of 1994 s. 28.]</w:t>
      </w:r>
    </w:p>
    <w:p>
      <w:pPr>
        <w:pStyle w:val="Heading5"/>
        <w:rPr>
          <w:snapToGrid w:val="0"/>
        </w:rPr>
      </w:pPr>
      <w:bookmarkStart w:id="112" w:name="_Toc33609140"/>
      <w:r>
        <w:rPr>
          <w:rStyle w:val="CharSectno"/>
        </w:rPr>
        <w:t>55</w:t>
      </w:r>
      <w:r>
        <w:rPr>
          <w:snapToGrid w:val="0"/>
        </w:rPr>
        <w:t>.</w:t>
      </w:r>
      <w:r>
        <w:rPr>
          <w:snapToGrid w:val="0"/>
        </w:rPr>
        <w:tab/>
        <w:t>Variation of licence area</w:t>
      </w:r>
      <w:bookmarkEnd w:id="112"/>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No. 12 of 1990 s. 41; No. 42 of 2010 s. 35.]</w:t>
      </w:r>
    </w:p>
    <w:p>
      <w:pPr>
        <w:pStyle w:val="Heading5"/>
        <w:rPr>
          <w:snapToGrid w:val="0"/>
          <w:spacing w:val="-2"/>
        </w:rPr>
      </w:pPr>
      <w:bookmarkStart w:id="113" w:name="_Toc33609141"/>
      <w:r>
        <w:rPr>
          <w:rStyle w:val="CharSectno"/>
        </w:rPr>
        <w:t>56</w:t>
      </w:r>
      <w:r>
        <w:rPr>
          <w:snapToGrid w:val="0"/>
        </w:rPr>
        <w:t>.</w:t>
      </w:r>
      <w:r>
        <w:rPr>
          <w:snapToGrid w:val="0"/>
        </w:rPr>
        <w:tab/>
      </w:r>
      <w:r>
        <w:rPr>
          <w:snapToGrid w:val="0"/>
          <w:spacing w:val="-2"/>
        </w:rPr>
        <w:t>Determination of permit as to blocks not taken up by licensee</w:t>
      </w:r>
      <w:bookmarkEnd w:id="113"/>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Subsection"/>
      </w:pPr>
      <w:r>
        <w:tab/>
        <w:t>(7)</w:t>
      </w:r>
      <w:r>
        <w:tab/>
        <w:t xml:space="preserve">This section does not apply in relation to a permit if — </w:t>
      </w:r>
    </w:p>
    <w:p>
      <w:pPr>
        <w:pStyle w:val="Indenta"/>
      </w:pPr>
      <w:r>
        <w:tab/>
        <w:t>(a)</w:t>
      </w:r>
      <w:r>
        <w:tab/>
        <w:t xml:space="preserve">the permit has been granted on the basis that an area (the </w:t>
      </w:r>
      <w:r>
        <w:rPr>
          <w:rStyle w:val="CharDefText"/>
        </w:rPr>
        <w:t>relevant area</w:t>
      </w:r>
      <w:r>
        <w:t>) is within the inshore area; and</w:t>
      </w:r>
    </w:p>
    <w:p>
      <w:pPr>
        <w:pStyle w:val="Indenta"/>
      </w:pPr>
      <w:r>
        <w:tab/>
        <w:t>(b)</w:t>
      </w:r>
      <w:r>
        <w:tab/>
        <w:t xml:space="preserve">as a result of a change to the boundary of the offshore area, the relevant area — </w:t>
      </w:r>
    </w:p>
    <w:p>
      <w:pPr>
        <w:pStyle w:val="Indenti"/>
      </w:pPr>
      <w:r>
        <w:tab/>
        <w:t>(i)</w:t>
      </w:r>
      <w:r>
        <w:tab/>
        <w:t>ceases to be within the inshore area; and</w:t>
      </w:r>
    </w:p>
    <w:p>
      <w:pPr>
        <w:pStyle w:val="Indenti"/>
      </w:pPr>
      <w:r>
        <w:tab/>
        <w:t>(ii)</w:t>
      </w:r>
      <w:r>
        <w:tab/>
        <w:t>falls within the offshore area;</w:t>
      </w:r>
    </w:p>
    <w:p>
      <w:pPr>
        <w:pStyle w:val="Indenta"/>
      </w:pPr>
      <w:r>
        <w:tab/>
      </w:r>
      <w:r>
        <w:tab/>
        <w:t>and</w:t>
      </w:r>
    </w:p>
    <w:p>
      <w:pPr>
        <w:pStyle w:val="Indenta"/>
      </w:pPr>
      <w:r>
        <w:tab/>
        <w:t>(c)</w:t>
      </w:r>
      <w:r>
        <w:tab/>
        <w:t>immediately before the change, the relevant area was a part of the permit area.</w:t>
      </w:r>
    </w:p>
    <w:p>
      <w:pPr>
        <w:pStyle w:val="Subsection"/>
      </w:pPr>
      <w:r>
        <w:tab/>
        <w:t>(8)</w:t>
      </w:r>
      <w:r>
        <w:tab/>
        <w:t xml:space="preserve">For the purposes of subsection (7) — </w:t>
      </w:r>
    </w:p>
    <w:p>
      <w:pPr>
        <w:pStyle w:val="Indenta"/>
      </w:pPr>
      <w:r>
        <w:tab/>
        <w:t>(a)</w:t>
      </w:r>
      <w:r>
        <w:tab/>
        <w:t>section 6A is to be disregarded; and</w:t>
      </w:r>
    </w:p>
    <w:p>
      <w:pPr>
        <w:pStyle w:val="Indenta"/>
      </w:pPr>
      <w:r>
        <w:tab/>
        <w:t>(b)</w:t>
      </w:r>
      <w:r>
        <w:tab/>
        <w:t>it is immaterial whether the change occurred before, at or after the commencement day.</w:t>
      </w:r>
    </w:p>
    <w:p>
      <w:pPr>
        <w:pStyle w:val="Subsection"/>
      </w:pPr>
      <w:r>
        <w:tab/>
        <w:t>(9)</w:t>
      </w:r>
      <w:r>
        <w:tab/>
        <w:t xml:space="preserve">In subsection (8)(b) — </w:t>
      </w:r>
    </w:p>
    <w:p>
      <w:pPr>
        <w:pStyle w:val="Defstart"/>
      </w:pPr>
      <w:r>
        <w:tab/>
      </w:r>
      <w:r>
        <w:rPr>
          <w:rStyle w:val="CharDefText"/>
        </w:rPr>
        <w:t>commencement day</w:t>
      </w:r>
      <w:r>
        <w:t xml:space="preserve"> means the day on which the </w:t>
      </w:r>
      <w:r>
        <w:rPr>
          <w:i/>
        </w:rPr>
        <w:t>Petroleum Legislation Amendment Act 2017</w:t>
      </w:r>
      <w:r>
        <w:t xml:space="preserve"> section 18 comes into operation.</w:t>
      </w:r>
    </w:p>
    <w:p>
      <w:pPr>
        <w:pStyle w:val="Footnotesection"/>
        <w:ind w:left="890" w:hanging="890"/>
      </w:pPr>
      <w:r>
        <w:tab/>
        <w:t>[Section 56 amended: No. 12 of 1990 s. 42; No. 78 of 1990 s. 7; No. 7 of 2017 s. 18.]</w:t>
      </w:r>
    </w:p>
    <w:p>
      <w:pPr>
        <w:pStyle w:val="Heading5"/>
        <w:rPr>
          <w:snapToGrid w:val="0"/>
        </w:rPr>
      </w:pPr>
      <w:bookmarkStart w:id="114" w:name="_Toc33609142"/>
      <w:r>
        <w:rPr>
          <w:rStyle w:val="CharSectno"/>
        </w:rPr>
        <w:t>57</w:t>
      </w:r>
      <w:r>
        <w:rPr>
          <w:snapToGrid w:val="0"/>
        </w:rPr>
        <w:t>.</w:t>
      </w:r>
      <w:r>
        <w:rPr>
          <w:snapToGrid w:val="0"/>
        </w:rPr>
        <w:tab/>
        <w:t>Application for licence in respect of surrendered etc. blocks</w:t>
      </w:r>
      <w:bookmarkEnd w:id="114"/>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No. 12 of 1990 s. 43; No. 78 of 1990 s. 7; No. 11 of 1994 s. 5; No. 28 of 1994 s. 29; No. 35 of 2007 s. 50; No. 42 of 2010 s. 36.]</w:t>
      </w:r>
    </w:p>
    <w:p>
      <w:pPr>
        <w:pStyle w:val="Heading5"/>
        <w:rPr>
          <w:snapToGrid w:val="0"/>
        </w:rPr>
      </w:pPr>
      <w:bookmarkStart w:id="115" w:name="_Toc33609143"/>
      <w:r>
        <w:rPr>
          <w:rStyle w:val="CharSectno"/>
        </w:rPr>
        <w:t>58</w:t>
      </w:r>
      <w:r>
        <w:rPr>
          <w:snapToGrid w:val="0"/>
        </w:rPr>
        <w:t>.</w:t>
      </w:r>
      <w:r>
        <w:rPr>
          <w:snapToGrid w:val="0"/>
        </w:rPr>
        <w:tab/>
        <w:t>Application fee etc. for s. 57 applications</w:t>
      </w:r>
      <w:bookmarkEnd w:id="115"/>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No. 69 of 1981 s. 34; No. 12 of 1990 s. 44; No. 42 of 2010 s. 37.]</w:t>
      </w:r>
    </w:p>
    <w:p>
      <w:pPr>
        <w:pStyle w:val="Heading5"/>
        <w:keepNext w:val="0"/>
        <w:keepLines w:val="0"/>
        <w:spacing w:before="180"/>
        <w:rPr>
          <w:snapToGrid w:val="0"/>
        </w:rPr>
      </w:pPr>
      <w:bookmarkStart w:id="116" w:name="_Toc33609144"/>
      <w:r>
        <w:rPr>
          <w:rStyle w:val="CharSectno"/>
        </w:rPr>
        <w:t>59</w:t>
      </w:r>
      <w:r>
        <w:rPr>
          <w:snapToGrid w:val="0"/>
        </w:rPr>
        <w:t>.</w:t>
      </w:r>
      <w:r>
        <w:rPr>
          <w:snapToGrid w:val="0"/>
        </w:rPr>
        <w:tab/>
        <w:t>Request by applicant for grant of licence</w:t>
      </w:r>
      <w:bookmarkEnd w:id="116"/>
    </w:p>
    <w:p>
      <w:pPr>
        <w:pStyle w:val="Subsection"/>
        <w:spacing w:before="120"/>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spacing w:before="120"/>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spacing w:before="120"/>
      </w:pPr>
      <w:r>
        <w:tab/>
        <w:t>[(3), (4)</w:t>
      </w:r>
      <w:r>
        <w:tab/>
        <w:t>deleted]</w:t>
      </w:r>
    </w:p>
    <w:p>
      <w:pPr>
        <w:pStyle w:val="Subsection"/>
        <w:spacing w:before="120"/>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2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No. 12 of 1990 s. 45; No. 28 of 1994 s. 30; No. 35 of 2007 s. 51; No. 42 of 2010 s. 38.]</w:t>
      </w:r>
    </w:p>
    <w:p>
      <w:pPr>
        <w:pStyle w:val="Heading5"/>
        <w:spacing w:before="240"/>
        <w:rPr>
          <w:snapToGrid w:val="0"/>
        </w:rPr>
      </w:pPr>
      <w:bookmarkStart w:id="117" w:name="_Toc33609145"/>
      <w:r>
        <w:rPr>
          <w:rStyle w:val="CharSectno"/>
        </w:rPr>
        <w:t>60</w:t>
      </w:r>
      <w:r>
        <w:rPr>
          <w:snapToGrid w:val="0"/>
        </w:rPr>
        <w:t>.</w:t>
      </w:r>
      <w:r>
        <w:rPr>
          <w:snapToGrid w:val="0"/>
        </w:rPr>
        <w:tab/>
        <w:t>Grant of licence on request</w:t>
      </w:r>
      <w:bookmarkEnd w:id="117"/>
    </w:p>
    <w:p>
      <w:pPr>
        <w:pStyle w:val="Subsection"/>
        <w:spacing w:before="180"/>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spacing w:before="180"/>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No. 28 of 1994 s. 31; No. 35 of 2007 s. 52; No. 42 of 2010 s. 39.]</w:t>
      </w:r>
    </w:p>
    <w:p>
      <w:pPr>
        <w:pStyle w:val="Heading5"/>
        <w:rPr>
          <w:snapToGrid w:val="0"/>
        </w:rPr>
      </w:pPr>
      <w:bookmarkStart w:id="118" w:name="_Toc33609146"/>
      <w:r>
        <w:rPr>
          <w:rStyle w:val="CharSectno"/>
        </w:rPr>
        <w:t>61</w:t>
      </w:r>
      <w:r>
        <w:rPr>
          <w:snapToGrid w:val="0"/>
        </w:rPr>
        <w:t>.</w:t>
      </w:r>
      <w:r>
        <w:rPr>
          <w:snapToGrid w:val="0"/>
        </w:rPr>
        <w:tab/>
        <w:t>Licence for 2 or more blocks may be divided into 2 or more licences</w:t>
      </w:r>
      <w:bookmarkEnd w:id="118"/>
    </w:p>
    <w:p>
      <w:pPr>
        <w:pStyle w:val="Subsection"/>
      </w:pPr>
      <w:r>
        <w:rPr>
          <w:snapToGrid w:val="0"/>
        </w:rPr>
        <w:tab/>
        <w:t>(1)</w:t>
      </w:r>
      <w:r>
        <w:rPr>
          <w:snapToGrid w:val="0"/>
        </w:rPr>
        <w:tab/>
        <w:t xml:space="preserve">Where a licence (in this section called 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keepNext/>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spacing w:before="120"/>
        <w:rPr>
          <w:snapToGrid w:val="0"/>
        </w:rPr>
      </w:pPr>
      <w:r>
        <w:rPr>
          <w:snapToGrid w:val="0"/>
        </w:rPr>
        <w:tab/>
        <w:t>(6)</w:t>
      </w:r>
      <w:r>
        <w:rPr>
          <w:snapToGrid w:val="0"/>
        </w:rPr>
        <w:tab/>
        <w:t>Where licences are granted on an application under this section —</w:t>
      </w:r>
    </w:p>
    <w:p>
      <w:pPr>
        <w:pStyle w:val="Indenta"/>
        <w:spacing w:before="60"/>
        <w:rPr>
          <w:snapToGrid w:val="0"/>
        </w:rPr>
      </w:pPr>
      <w:r>
        <w:rPr>
          <w:snapToGrid w:val="0"/>
        </w:rPr>
        <w:tab/>
        <w:t>(a)</w:t>
      </w:r>
      <w:r>
        <w:rPr>
          <w:snapToGrid w:val="0"/>
        </w:rPr>
        <w:tab/>
        <w:t>the original licence is, by force of this subsection, determined; and</w:t>
      </w:r>
    </w:p>
    <w:p>
      <w:pPr>
        <w:pStyle w:val="Indenta"/>
        <w:keepNext/>
        <w:spacing w:before="60"/>
        <w:rPr>
          <w:snapToGrid w:val="0"/>
        </w:rPr>
      </w:pPr>
      <w:r>
        <w:rPr>
          <w:snapToGrid w:val="0"/>
        </w:rPr>
        <w:tab/>
        <w:t>(b)</w:t>
      </w:r>
      <w:r>
        <w:rPr>
          <w:snapToGrid w:val="0"/>
        </w:rPr>
        <w:tab/>
        <w:t>the determination has effect on and from the day on which those licences come into force.</w:t>
      </w:r>
    </w:p>
    <w:p>
      <w:pPr>
        <w:pStyle w:val="Footnotesection"/>
        <w:spacing w:before="80"/>
        <w:ind w:left="890" w:hanging="890"/>
      </w:pPr>
      <w:r>
        <w:tab/>
        <w:t>[Section 61 amended: No. 69 of 1981 s. 34; No. 12 of 1990 s. 46; No. 28 of 1994 s. 32; No. 35 of 2007 s. 53; No. 42 of 2010 s. 40.]</w:t>
      </w:r>
    </w:p>
    <w:p>
      <w:pPr>
        <w:pStyle w:val="Heading5"/>
      </w:pPr>
      <w:bookmarkStart w:id="119" w:name="_Toc33609147"/>
      <w:r>
        <w:rPr>
          <w:rStyle w:val="CharSectno"/>
        </w:rPr>
        <w:t>61A</w:t>
      </w:r>
      <w:r>
        <w:t>.</w:t>
      </w:r>
      <w:r>
        <w:tab/>
        <w:t>Grant of petroleum production licence as result of change to boundary of offshore area</w:t>
      </w:r>
      <w:bookmarkEnd w:id="119"/>
    </w:p>
    <w:p>
      <w:pPr>
        <w:pStyle w:val="Subsection"/>
      </w:pPr>
      <w:r>
        <w:tab/>
        <w:t>(1)</w:t>
      </w:r>
      <w:r>
        <w:tab/>
        <w:t xml:space="preserve">In this section — </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licence concerned — the graticular section; or</w:t>
      </w:r>
    </w:p>
    <w:p>
      <w:pPr>
        <w:pStyle w:val="Defpara"/>
      </w:pPr>
      <w:r>
        <w:tab/>
        <w:t>(c)</w:t>
      </w:r>
      <w:r>
        <w:tab/>
        <w:t>if a part only of a graticular section is within the area that was covered by the Commonwealth licence concerned — that part of the graticular section.</w:t>
      </w:r>
    </w:p>
    <w:p>
      <w:pPr>
        <w:pStyle w:val="PermNoteHeading"/>
      </w:pPr>
      <w:r>
        <w:tab/>
        <w:t>Note for this definition:</w:t>
      </w:r>
    </w:p>
    <w:p>
      <w:pPr>
        <w:pStyle w:val="PermNoteText"/>
      </w:pPr>
      <w:r>
        <w:tab/>
      </w:r>
      <w:r>
        <w:tab/>
        <w:t>See also subsection (6).</w:t>
      </w:r>
    </w:p>
    <w:p>
      <w:pPr>
        <w:pStyle w:val="Subsection"/>
      </w:pPr>
      <w:r>
        <w:tab/>
        <w:t>(2)</w:t>
      </w:r>
      <w:r>
        <w:tab/>
        <w:t xml:space="preserve">This section applies if — </w:t>
      </w:r>
    </w:p>
    <w:p>
      <w:pPr>
        <w:pStyle w:val="Indenta"/>
      </w:pPr>
      <w:r>
        <w:tab/>
        <w:t>(a)</w:t>
      </w:r>
      <w:r>
        <w:tab/>
        <w:t xml:space="preserve">a Commonwealth licence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there are one or more section 27 blocks (the </w:t>
      </w:r>
      <w:r>
        <w:rPr>
          <w:rStyle w:val="CharDefText"/>
        </w:rPr>
        <w:t>relevant section 27 blocks</w:t>
      </w:r>
      <w:r>
        <w:t xml:space="preserve">) that — </w:t>
      </w:r>
    </w:p>
    <w:p>
      <w:pPr>
        <w:pStyle w:val="Indenti"/>
      </w:pPr>
      <w:r>
        <w:tab/>
        <w:t>(i)</w:t>
      </w:r>
      <w:r>
        <w:tab/>
        <w:t>correspond to the section 27 blocks that were covered by the Commonwealth licence immediately before the change; and</w:t>
      </w:r>
    </w:p>
    <w:p>
      <w:pPr>
        <w:pStyle w:val="Indenti"/>
      </w:pPr>
      <w:r>
        <w:tab/>
        <w:t>(ii)</w:t>
      </w:r>
      <w:r>
        <w:tab/>
        <w:t>are in the inshore area; and</w:t>
      </w:r>
    </w:p>
    <w:p>
      <w:pPr>
        <w:pStyle w:val="Indenti"/>
      </w:pPr>
      <w:r>
        <w:tab/>
        <w:t>(iii)</w:t>
      </w:r>
      <w:r>
        <w:tab/>
        <w:t>are not the subject of a variation under section 97A.</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 that are in the offshore area; and</w:t>
      </w:r>
    </w:p>
    <w:p>
      <w:pPr>
        <w:pStyle w:val="Indenti"/>
      </w:pPr>
      <w:r>
        <w:tab/>
        <w:t>(ii)</w:t>
      </w:r>
      <w:r>
        <w:tab/>
        <w:t>otherwise than as the result of the cancellation or surrender of the Commonwealth licence.</w:t>
      </w:r>
    </w:p>
    <w:p>
      <w:pPr>
        <w:pStyle w:val="Subsection"/>
      </w:pPr>
      <w:r>
        <w:tab/>
        <w:t>(4)</w:t>
      </w:r>
      <w:r>
        <w:tab/>
        <w:t xml:space="preserve">The conditions mentioned in subsection (2)(c)(ii) are — </w:t>
      </w:r>
    </w:p>
    <w:p>
      <w:pPr>
        <w:pStyle w:val="Indenta"/>
      </w:pPr>
      <w:r>
        <w:tab/>
        <w:t>(a)</w:t>
      </w:r>
      <w:r>
        <w:tab/>
        <w:t>all of the section 27 blocks that were covered by the Commonwealth licence immediately before the change are in the relevant area; and</w:t>
      </w:r>
    </w:p>
    <w:p>
      <w:pPr>
        <w:pStyle w:val="Indenta"/>
      </w:pPr>
      <w:r>
        <w:tab/>
        <w:t>(b)</w:t>
      </w:r>
      <w:r>
        <w:tab/>
        <w:t xml:space="preserve">the Commonwealth licence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licence immediately before the change; and</w:t>
      </w:r>
    </w:p>
    <w:p>
      <w:pPr>
        <w:pStyle w:val="Indenti"/>
      </w:pPr>
      <w:r>
        <w:tab/>
        <w:t>(ii)</w:t>
      </w:r>
      <w:r>
        <w:tab/>
        <w:t>otherwise than as the result of the cancellation or surrender of the Commonwealth licence.</w:t>
      </w:r>
    </w:p>
    <w:p>
      <w:pPr>
        <w:pStyle w:val="Subsection"/>
      </w:pPr>
      <w:r>
        <w:tab/>
        <w:t>(5)</w:t>
      </w:r>
      <w:r>
        <w:tab/>
        <w:t xml:space="preserve">The Minister is taken — </w:t>
      </w:r>
    </w:p>
    <w:p>
      <w:pPr>
        <w:pStyle w:val="Indenta"/>
      </w:pPr>
      <w:r>
        <w:tab/>
        <w:t>(a)</w:t>
      </w:r>
      <w:r>
        <w:tab/>
        <w:t>to have granted the holder of the Commonwealth licence a petroleum production licence over the relevant section 27 blocks; and</w:t>
      </w:r>
    </w:p>
    <w:p>
      <w:pPr>
        <w:pStyle w:val="Indenta"/>
      </w:pPr>
      <w:r>
        <w:tab/>
        <w:t>(b)</w:t>
      </w:r>
      <w:r>
        <w:tab/>
        <w:t>to have done so immediately after the relevant time mentioned in whichever of subsection (3) or (4) is applicable.</w:t>
      </w:r>
    </w:p>
    <w:p>
      <w:pPr>
        <w:pStyle w:val="PermNoteHeading"/>
      </w:pPr>
      <w:r>
        <w:tab/>
        <w:t>Note for this subsection:</w:t>
      </w:r>
    </w:p>
    <w:p>
      <w:pPr>
        <w:pStyle w:val="PermNoteText"/>
      </w:pPr>
      <w:r>
        <w:tab/>
      </w:r>
      <w:r>
        <w:tab/>
        <w:t>For the duration of the licence, see section 63(3).</w:t>
      </w:r>
    </w:p>
    <w:p>
      <w:pPr>
        <w:pStyle w:val="Subsection"/>
      </w:pPr>
      <w:r>
        <w:tab/>
        <w:t>(6)</w:t>
      </w:r>
      <w:r>
        <w:tab/>
        <w:t xml:space="preserve">If, after the change to the boundary of the offshore area — </w:t>
      </w:r>
    </w:p>
    <w:p>
      <w:pPr>
        <w:pStyle w:val="Indenta"/>
      </w:pPr>
      <w:r>
        <w:tab/>
        <w:t>(a)</w:t>
      </w:r>
      <w:r>
        <w:tab/>
        <w:t>a part of a section 27 block that was covered by the Commonwealth licence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spacing w:before="80"/>
        <w:ind w:left="890" w:hanging="890"/>
      </w:pPr>
      <w:r>
        <w:tab/>
        <w:t>[Section 61A inserted: No. 7 of 2017 s. 19.]</w:t>
      </w:r>
    </w:p>
    <w:p>
      <w:pPr>
        <w:pStyle w:val="Heading5"/>
        <w:spacing w:before="180"/>
        <w:rPr>
          <w:snapToGrid w:val="0"/>
        </w:rPr>
      </w:pPr>
      <w:bookmarkStart w:id="120" w:name="_Toc33609148"/>
      <w:r>
        <w:rPr>
          <w:rStyle w:val="CharSectno"/>
        </w:rPr>
        <w:t>62</w:t>
      </w:r>
      <w:r>
        <w:rPr>
          <w:snapToGrid w:val="0"/>
        </w:rPr>
        <w:t>.</w:t>
      </w:r>
      <w:r>
        <w:rPr>
          <w:snapToGrid w:val="0"/>
        </w:rPr>
        <w:tab/>
        <w:t>Rights conferred by licence</w:t>
      </w:r>
      <w:bookmarkEnd w:id="120"/>
    </w:p>
    <w:p>
      <w:pPr>
        <w:pStyle w:val="Subsection"/>
        <w:spacing w:before="120"/>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spacing w:before="60"/>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No. 12 of 1990 s. 47; No. 13 of 2005 s. 16(2); No. 35 of 2007 s. 54.]</w:t>
      </w:r>
    </w:p>
    <w:p>
      <w:pPr>
        <w:pStyle w:val="Heading5"/>
      </w:pPr>
      <w:bookmarkStart w:id="121" w:name="_Toc33609149"/>
      <w:r>
        <w:rPr>
          <w:rStyle w:val="CharSectno"/>
        </w:rPr>
        <w:t>62A</w:t>
      </w:r>
      <w:r>
        <w:t>.</w:t>
      </w:r>
      <w:r>
        <w:tab/>
        <w:t>Geothermal energy recovery development plans</w:t>
      </w:r>
      <w:bookmarkEnd w:id="121"/>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keepNext/>
        <w:keepLines/>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No. 35 of 2007 s. 55.]</w:t>
      </w:r>
    </w:p>
    <w:p>
      <w:pPr>
        <w:pStyle w:val="Heading5"/>
        <w:spacing w:before="180"/>
      </w:pPr>
      <w:bookmarkStart w:id="122" w:name="_Toc33609150"/>
      <w:r>
        <w:rPr>
          <w:rStyle w:val="CharSectno"/>
        </w:rPr>
        <w:t>62B</w:t>
      </w:r>
      <w:r>
        <w:t>.</w:t>
      </w:r>
      <w:r>
        <w:tab/>
        <w:t>Variation of approved development plans</w:t>
      </w:r>
      <w:bookmarkEnd w:id="122"/>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No. 35 of 2007 s. 55.]</w:t>
      </w:r>
    </w:p>
    <w:p>
      <w:pPr>
        <w:pStyle w:val="Heading5"/>
        <w:spacing w:before="180"/>
        <w:rPr>
          <w:snapToGrid w:val="0"/>
        </w:rPr>
      </w:pPr>
      <w:bookmarkStart w:id="123" w:name="_Toc33609151"/>
      <w:r>
        <w:rPr>
          <w:rStyle w:val="CharSectno"/>
        </w:rPr>
        <w:t>63</w:t>
      </w:r>
      <w:r>
        <w:rPr>
          <w:snapToGrid w:val="0"/>
        </w:rPr>
        <w:t>.</w:t>
      </w:r>
      <w:r>
        <w:rPr>
          <w:snapToGrid w:val="0"/>
        </w:rPr>
        <w:tab/>
        <w:t>Term of licence</w:t>
      </w:r>
      <w:bookmarkEnd w:id="123"/>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t xml:space="preserve"> </w:t>
      </w:r>
      <w:r>
        <w:rPr>
          <w:iCs/>
          <w:snapToGrid w:val="0"/>
        </w:rPr>
        <w:t xml:space="preserve"> </w:t>
      </w:r>
      <w:r>
        <w:t>section 41(3), other than a petroleum production licence granted under section 61A, remains in force indefinitely.</w:t>
      </w:r>
    </w:p>
    <w:p>
      <w:pPr>
        <w:pStyle w:val="Subsection"/>
      </w:pPr>
      <w:r>
        <w:tab/>
        <w:t>(3)</w:t>
      </w:r>
      <w:r>
        <w:tab/>
        <w:t>Subject to this Part, a petroleum production licence granted under section 61A remains in force for the period of 21 years commencing on the day on which the licence is granted.</w:t>
      </w:r>
    </w:p>
    <w:p>
      <w:pPr>
        <w:pStyle w:val="Footnotesection"/>
      </w:pPr>
      <w:r>
        <w:tab/>
        <w:t>[Section 63 inserted: No. 12 of 1990 s. 48; amended: No. 42 of 2010 s. 41; No. 7 of 2017 s. 20.]</w:t>
      </w:r>
    </w:p>
    <w:p>
      <w:pPr>
        <w:pStyle w:val="Heading5"/>
      </w:pPr>
      <w:bookmarkStart w:id="124" w:name="_Toc33609152"/>
      <w:r>
        <w:rPr>
          <w:rStyle w:val="CharSectno"/>
        </w:rPr>
        <w:t>64A</w:t>
      </w:r>
      <w:r>
        <w:t>.</w:t>
      </w:r>
      <w:r>
        <w:tab/>
        <w:t>Termination of licence if no operations for 5 years</w:t>
      </w:r>
      <w:bookmarkEnd w:id="124"/>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keepNext/>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No. 42 of 2010 s. 42.]</w:t>
      </w:r>
    </w:p>
    <w:p>
      <w:pPr>
        <w:pStyle w:val="Heading5"/>
        <w:pageBreakBefore/>
        <w:spacing w:before="0"/>
        <w:rPr>
          <w:snapToGrid w:val="0"/>
        </w:rPr>
      </w:pPr>
      <w:bookmarkStart w:id="125" w:name="_Toc33609153"/>
      <w:r>
        <w:rPr>
          <w:rStyle w:val="CharSectno"/>
        </w:rPr>
        <w:t>64</w:t>
      </w:r>
      <w:r>
        <w:rPr>
          <w:snapToGrid w:val="0"/>
        </w:rPr>
        <w:t>.</w:t>
      </w:r>
      <w:r>
        <w:rPr>
          <w:snapToGrid w:val="0"/>
        </w:rPr>
        <w:tab/>
        <w:t>Application for renewal of licence</w:t>
      </w:r>
      <w:bookmarkEnd w:id="125"/>
    </w:p>
    <w:p>
      <w:pPr>
        <w:pStyle w:val="Subsection"/>
        <w:keepNext/>
        <w:keepLines/>
      </w:pPr>
      <w:r>
        <w:tab/>
        <w:t>(1)</w:t>
      </w:r>
      <w:r>
        <w:tab/>
        <w:t>Subject to this section, a licensee under a licence to which section 63(1)(a) or (b) or (3) applies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Subsection"/>
      </w:pPr>
      <w:r>
        <w:tab/>
        <w:t>(4)</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otherwise than by way of renewal,</w:t>
      </w:r>
    </w:p>
    <w:p>
      <w:pPr>
        <w:pStyle w:val="Subsection"/>
      </w:pPr>
      <w:r>
        <w:tab/>
      </w:r>
      <w:r>
        <w:tab/>
        <w:t>an application must not be made for the renewal of the petroleum production licence if the Minister has previously granted a renewal of the licence.</w:t>
      </w:r>
    </w:p>
    <w:p>
      <w:pPr>
        <w:pStyle w:val="Subsection"/>
      </w:pPr>
      <w:r>
        <w:tab/>
        <w:t>(5)</w:t>
      </w:r>
      <w:r>
        <w:tab/>
        <w:t xml:space="preserve">If — </w:t>
      </w:r>
    </w:p>
    <w:p>
      <w:pPr>
        <w:pStyle w:val="Indenta"/>
      </w:pPr>
      <w:r>
        <w:tab/>
        <w:t>(a)</w:t>
      </w:r>
      <w:r>
        <w:tab/>
        <w:t>a petroleum production licence is granted under section 61A; and</w:t>
      </w:r>
    </w:p>
    <w:p>
      <w:pPr>
        <w:pStyle w:val="Indenta"/>
      </w:pPr>
      <w:r>
        <w:tab/>
        <w:t>(b)</w:t>
      </w:r>
      <w:r>
        <w:tab/>
        <w:t>the relevant Commonwealth licence that ceases to be in force, as mentioned in section 61A(3)(b) or (4)(b), was granted by way of renewal,</w:t>
      </w:r>
    </w:p>
    <w:p>
      <w:pPr>
        <w:pStyle w:val="Subsection"/>
      </w:pPr>
      <w:r>
        <w:tab/>
      </w:r>
      <w:r>
        <w:tab/>
        <w:t>an application must not be made for the renewal of the petroleum production licence.</w:t>
      </w:r>
    </w:p>
    <w:p>
      <w:pPr>
        <w:pStyle w:val="Footnotesection"/>
        <w:spacing w:before="100"/>
        <w:ind w:left="890" w:hanging="890"/>
      </w:pPr>
      <w:r>
        <w:tab/>
        <w:t>[Section 64 amended: No. 69 of 1981 s. 34; No. 12 of 1990 s. 49; No. 42 of 2010 s. 43; No. 7 of 2017 s. 21.]</w:t>
      </w:r>
    </w:p>
    <w:p>
      <w:pPr>
        <w:pStyle w:val="Heading5"/>
        <w:spacing w:before="180"/>
        <w:rPr>
          <w:snapToGrid w:val="0"/>
        </w:rPr>
      </w:pPr>
      <w:bookmarkStart w:id="126" w:name="_Toc33609154"/>
      <w:r>
        <w:rPr>
          <w:rStyle w:val="CharSectno"/>
        </w:rPr>
        <w:t>65</w:t>
      </w:r>
      <w:r>
        <w:rPr>
          <w:snapToGrid w:val="0"/>
        </w:rPr>
        <w:t>.</w:t>
      </w:r>
      <w:r>
        <w:rPr>
          <w:snapToGrid w:val="0"/>
        </w:rPr>
        <w:tab/>
        <w:t>Grant or refusal of renewal of licence</w:t>
      </w:r>
      <w:bookmarkEnd w:id="126"/>
    </w:p>
    <w:p>
      <w:pPr>
        <w:pStyle w:val="Subsection"/>
        <w:spacing w:before="10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00"/>
        <w:rPr>
          <w:snapToGrid w:val="0"/>
        </w:rPr>
      </w:pPr>
      <w:r>
        <w:rPr>
          <w:snapToGrid w:val="0"/>
        </w:rPr>
        <w:tab/>
      </w:r>
      <w:r>
        <w:rPr>
          <w:snapToGrid w:val="0"/>
        </w:rPr>
        <w:tab/>
        <w:t>the Minister —</w:t>
      </w:r>
    </w:p>
    <w:p>
      <w:pPr>
        <w:pStyle w:val="Indenta"/>
        <w:spacing w:before="60"/>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spacing w:before="60"/>
      </w:pPr>
      <w:r>
        <w:tab/>
        <w:t>(d)</w:t>
      </w:r>
      <w:r>
        <w:tab/>
        <w:t>may in any other case,</w:t>
      </w:r>
    </w:p>
    <w:p>
      <w:pPr>
        <w:pStyle w:val="Subsection"/>
        <w:spacing w:before="100"/>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spacing w:before="100"/>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spacing w:before="80"/>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keepNext/>
        <w:rPr>
          <w:snapToGrid w:val="0"/>
        </w:rPr>
      </w:pPr>
      <w:r>
        <w:rPr>
          <w:snapToGrid w:val="0"/>
        </w:rPr>
        <w:tab/>
        <w:t>(11)</w:t>
      </w:r>
      <w:r>
        <w:rPr>
          <w:snapToGrid w:val="0"/>
        </w:rPr>
        <w:tab/>
        <w:t>Where —</w:t>
      </w:r>
    </w:p>
    <w:p>
      <w:pPr>
        <w:pStyle w:val="Indenta"/>
        <w:keepNext/>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spacing w:before="180"/>
        <w:rPr>
          <w:snapToGrid w:val="0"/>
        </w:rPr>
      </w:pPr>
      <w:r>
        <w:rPr>
          <w:snapToGrid w:val="0"/>
        </w:rPr>
        <w:tab/>
      </w:r>
      <w:r>
        <w:rPr>
          <w:snapToGrid w:val="0"/>
        </w:rPr>
        <w:tab/>
        <w:t>whichever first happens.</w:t>
      </w:r>
    </w:p>
    <w:p>
      <w:pPr>
        <w:pStyle w:val="Footnotesection"/>
      </w:pPr>
      <w:r>
        <w:tab/>
        <w:t>[Section 65 amended: No. 28 of 1994 s. 33; No. 42 of 2010 s. 44.]</w:t>
      </w:r>
    </w:p>
    <w:p>
      <w:pPr>
        <w:pStyle w:val="Heading5"/>
        <w:spacing w:before="240"/>
        <w:rPr>
          <w:snapToGrid w:val="0"/>
        </w:rPr>
      </w:pPr>
      <w:bookmarkStart w:id="127" w:name="_Toc33609155"/>
      <w:r>
        <w:rPr>
          <w:rStyle w:val="CharSectno"/>
        </w:rPr>
        <w:t>66</w:t>
      </w:r>
      <w:r>
        <w:rPr>
          <w:snapToGrid w:val="0"/>
        </w:rPr>
        <w:t>.</w:t>
      </w:r>
      <w:r>
        <w:rPr>
          <w:snapToGrid w:val="0"/>
        </w:rPr>
        <w:tab/>
        <w:t>Conditions of licence</w:t>
      </w:r>
      <w:bookmarkEnd w:id="127"/>
    </w:p>
    <w:p>
      <w:pPr>
        <w:pStyle w:val="Subsection"/>
        <w:spacing w:before="180"/>
        <w:rPr>
          <w:snapToGrid w:val="0"/>
        </w:rPr>
      </w:pPr>
      <w:r>
        <w:rPr>
          <w:snapToGrid w:val="0"/>
        </w:rPr>
        <w:tab/>
        <w:t>(1)</w:t>
      </w:r>
      <w:r>
        <w:rPr>
          <w:snapToGrid w:val="0"/>
        </w:rPr>
        <w:tab/>
        <w:t>A licence may be granted subject to such conditions as the Minister thinks fit and specifies in the licence.</w:t>
      </w:r>
    </w:p>
    <w:p>
      <w:pPr>
        <w:pStyle w:val="Subsection"/>
        <w:spacing w:before="180"/>
      </w:pPr>
      <w:r>
        <w:tab/>
        <w:t>(2)</w:t>
      </w:r>
      <w:r>
        <w:tab/>
        <w:t>Without limiting subsection (1), a geothermal production licence is subject to the condition that geothermal energy may be recovered under the licence only in accordance with the approved development plan.</w:t>
      </w:r>
    </w:p>
    <w:p>
      <w:pPr>
        <w:pStyle w:val="Subsection"/>
      </w:pPr>
      <w:r>
        <w:tab/>
        <w:t>(3)</w:t>
      </w:r>
      <w:r>
        <w:tab/>
        <w:t>Subsection (1) does not apply to a petroleum production licence granted under section 61A.</w:t>
      </w:r>
    </w:p>
    <w:p>
      <w:pPr>
        <w:pStyle w:val="Subsection"/>
      </w:pPr>
      <w:r>
        <w:tab/>
        <w:t>(4)</w:t>
      </w:r>
      <w:r>
        <w:tab/>
        <w:t>The Minister may, by written notice given to the licensee, vary a petroleum production licence granted under section 61A by imposing one or more conditions to which the licence is subject.</w:t>
      </w:r>
    </w:p>
    <w:p>
      <w:pPr>
        <w:pStyle w:val="Subsection"/>
      </w:pPr>
      <w:r>
        <w:tab/>
        <w:t>(5)</w:t>
      </w:r>
      <w:r>
        <w:tab/>
        <w:t>A notice under subsection (4) may only be given within 14 days after the grant of the petroleum production licence.</w:t>
      </w:r>
    </w:p>
    <w:p>
      <w:pPr>
        <w:pStyle w:val="Subsection"/>
      </w:pPr>
      <w:r>
        <w:tab/>
        <w:t>(6)</w:t>
      </w:r>
      <w:r>
        <w:tab/>
        <w:t>A variation under subsection (4) takes effect on the day on which notice of the variation is given to the licensee.</w:t>
      </w:r>
    </w:p>
    <w:p>
      <w:pPr>
        <w:pStyle w:val="Footnotesection"/>
        <w:ind w:left="890" w:hanging="890"/>
      </w:pPr>
      <w:r>
        <w:tab/>
        <w:t>[Section 66 amended: No. 35 of 2007 s. 56; No. 7 of 2017 s. 22.]</w:t>
      </w:r>
    </w:p>
    <w:p>
      <w:pPr>
        <w:pStyle w:val="Heading5"/>
        <w:spacing w:before="240"/>
        <w:rPr>
          <w:snapToGrid w:val="0"/>
        </w:rPr>
      </w:pPr>
      <w:bookmarkStart w:id="128" w:name="_Toc33609156"/>
      <w:r>
        <w:rPr>
          <w:rStyle w:val="CharSectno"/>
        </w:rPr>
        <w:t>67</w:t>
      </w:r>
      <w:r>
        <w:rPr>
          <w:snapToGrid w:val="0"/>
        </w:rPr>
        <w:t>.</w:t>
      </w:r>
      <w:r>
        <w:rPr>
          <w:snapToGrid w:val="0"/>
        </w:rPr>
        <w:tab/>
        <w:t>Storage of petroleum underground</w:t>
      </w:r>
      <w:bookmarkEnd w:id="128"/>
    </w:p>
    <w:p>
      <w:pPr>
        <w:pStyle w:val="Subsection"/>
        <w:spacing w:before="180"/>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spacing w:before="180"/>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rPr>
          <w:snapToGrid w:val="0"/>
        </w:rPr>
      </w:pPr>
      <w:r>
        <w:rPr>
          <w:snapToGrid w:val="0"/>
        </w:rPr>
        <w:tab/>
        <w:t>(a)</w:t>
      </w:r>
      <w:r>
        <w:rPr>
          <w:snapToGrid w:val="0"/>
        </w:rPr>
        <w:tab/>
        <w:t>shall specify the details of the methods to be used for the injection, storage and subsequent recovery of the petroleum; and</w:t>
      </w:r>
    </w:p>
    <w:p>
      <w:pPr>
        <w:pStyle w:val="Indenta"/>
        <w:rPr>
          <w:snapToGrid w:val="0"/>
        </w:rPr>
      </w:pPr>
      <w:r>
        <w:rPr>
          <w:snapToGrid w:val="0"/>
        </w:rPr>
        <w:tab/>
        <w:t>(b)</w:t>
      </w:r>
      <w:r>
        <w:rPr>
          <w:snapToGrid w:val="0"/>
        </w:rPr>
        <w:tab/>
        <w:t>may specify —</w:t>
      </w:r>
    </w:p>
    <w:p>
      <w:pPr>
        <w:pStyle w:val="Indenti"/>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rPr>
          <w:snapToGrid w:val="0"/>
        </w:rPr>
      </w:pPr>
      <w:r>
        <w:rPr>
          <w:snapToGrid w:val="0"/>
        </w:rPr>
        <w:tab/>
        <w:t>(ii)</w:t>
      </w:r>
      <w:r>
        <w:rPr>
          <w:snapToGrid w:val="0"/>
        </w:rPr>
        <w:tab/>
        <w:t>such conditions, restrictions and other matters as the Minister thinks fit.</w:t>
      </w:r>
    </w:p>
    <w:p>
      <w:pPr>
        <w:pStyle w:val="Footnotesection"/>
        <w:ind w:left="890" w:hanging="890"/>
      </w:pPr>
      <w:r>
        <w:tab/>
        <w:t>[Section 67 inserted: No. 28 of 1994 s. 34; amended: No. 42 of 2010 s. 62(15).]</w:t>
      </w:r>
    </w:p>
    <w:p>
      <w:pPr>
        <w:pStyle w:val="Heading5"/>
        <w:spacing w:before="240"/>
        <w:rPr>
          <w:snapToGrid w:val="0"/>
        </w:rPr>
      </w:pPr>
      <w:bookmarkStart w:id="129" w:name="_Toc33609157"/>
      <w:r>
        <w:rPr>
          <w:rStyle w:val="CharSectno"/>
        </w:rPr>
        <w:t>68</w:t>
      </w:r>
      <w:r>
        <w:rPr>
          <w:snapToGrid w:val="0"/>
        </w:rPr>
        <w:t>.</w:t>
      </w:r>
      <w:r>
        <w:rPr>
          <w:snapToGrid w:val="0"/>
        </w:rPr>
        <w:tab/>
        <w:t>Directions as to recovery of petroleum</w:t>
      </w:r>
      <w:bookmarkEnd w:id="129"/>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No. 12 of 1990 s. 51.]</w:t>
      </w:r>
    </w:p>
    <w:p>
      <w:pPr>
        <w:pStyle w:val="Heading5"/>
        <w:rPr>
          <w:snapToGrid w:val="0"/>
        </w:rPr>
      </w:pPr>
      <w:bookmarkStart w:id="130" w:name="_Toc33609158"/>
      <w:r>
        <w:rPr>
          <w:rStyle w:val="CharSectno"/>
        </w:rPr>
        <w:t>69</w:t>
      </w:r>
      <w:r>
        <w:rPr>
          <w:snapToGrid w:val="0"/>
        </w:rPr>
        <w:t>.</w:t>
      </w:r>
      <w:r>
        <w:rPr>
          <w:snapToGrid w:val="0"/>
        </w:rPr>
        <w:tab/>
        <w:t>Unit development</w:t>
      </w:r>
      <w:bookmarkEnd w:id="130"/>
    </w:p>
    <w:p>
      <w:pPr>
        <w:pStyle w:val="Subsection"/>
      </w:pPr>
      <w:r>
        <w:tab/>
        <w:t>(1A)</w:t>
      </w:r>
      <w:r>
        <w:tab/>
        <w:t xml:space="preserve">In this section — </w:t>
      </w:r>
    </w:p>
    <w:p>
      <w:pPr>
        <w:pStyle w:val="Defstart"/>
      </w:pPr>
      <w:r>
        <w:tab/>
      </w:r>
      <w:r>
        <w:rPr>
          <w:rStyle w:val="CharDefText"/>
        </w:rPr>
        <w:t>Joint Authority</w:t>
      </w:r>
      <w:r>
        <w:t xml:space="preserve"> and </w:t>
      </w:r>
      <w:r>
        <w:rPr>
          <w:rStyle w:val="CharDefText"/>
        </w:rPr>
        <w:t>offshore area</w:t>
      </w:r>
      <w:r>
        <w:t xml:space="preserve"> have the respective meanings given in the Commonwealth Act section 7.</w:t>
      </w:r>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pPr>
      <w:r>
        <w:tab/>
        <w:t>(a)</w:t>
      </w:r>
      <w:r>
        <w:tab/>
        <w:t xml:space="preserve">applies in relation to — </w:t>
      </w:r>
    </w:p>
    <w:p>
      <w:pPr>
        <w:pStyle w:val="Indenti"/>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the Northern Territory or the Commonwealth, to carry on operations for the recovery of petroleum from the pool; or</w:t>
      </w:r>
    </w:p>
    <w:p>
      <w:pPr>
        <w:pStyle w:val="Indenti"/>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pPr>
      <w:r>
        <w:tab/>
      </w:r>
      <w:r>
        <w:tab/>
        <w:t>and</w:t>
      </w:r>
    </w:p>
    <w:p>
      <w:pPr>
        <w:pStyle w:val="Indenta"/>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spacing w:before="120"/>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spacing w:before="120"/>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spacing w:before="120"/>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spacing w:before="120"/>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spacing w:before="120"/>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 xml:space="preserve">the adjacent area of an adjoining State or </w:t>
      </w:r>
      <w:r>
        <w:t>Territory; or</w:t>
      </w:r>
    </w:p>
    <w:p>
      <w:pPr>
        <w:pStyle w:val="Indenta"/>
      </w:pPr>
      <w:r>
        <w:tab/>
        <w:t>(c)</w:t>
      </w:r>
      <w:r>
        <w:tab/>
        <w:t>the offshore area,</w:t>
      </w:r>
    </w:p>
    <w:p>
      <w:pPr>
        <w:pStyle w:val="Subsection"/>
        <w:spacing w:before="100"/>
        <w:rPr>
          <w:snapToGrid w:val="0"/>
        </w:rPr>
      </w:pPr>
      <w:r>
        <w:rPr>
          <w:snapToGrid w:val="0"/>
        </w:rPr>
        <w:tab/>
      </w:r>
      <w:r>
        <w:rPr>
          <w:snapToGrid w:val="0"/>
        </w:rPr>
        <w:tab/>
        <w:t>each Minister concerned shall consult concerning the exploitation of the petroleum pool with any other Minister concerned and with the appropriate authority of</w:t>
      </w:r>
      <w:r>
        <w:t xml:space="preserve"> the other State or the Territory if paragraph (a) or (b) applies and with the Joint Authority if paragraph (c) applies.</w:t>
      </w:r>
    </w:p>
    <w:p>
      <w:pPr>
        <w:pStyle w:val="Subsection"/>
        <w:keepNext/>
        <w:keepLines/>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the other State or the Territory.</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 xml:space="preserve">except with the approval of any other Minister concerned and any State or Territory authority </w:t>
      </w:r>
      <w:r>
        <w:t>concerned and with the approval of the Joint Authority if subsection (11)(c) applies.</w:t>
      </w:r>
    </w:p>
    <w:p>
      <w:pPr>
        <w:pStyle w:val="Footnotesection"/>
        <w:ind w:left="890" w:hanging="890"/>
      </w:pPr>
      <w:r>
        <w:tab/>
        <w:t>[Section 69 amended: No. 12 of 1990 s. 52; No. 35 of 2007 s. 57; No. 7 of 2017 s. 23.]</w:t>
      </w:r>
    </w:p>
    <w:p>
      <w:pPr>
        <w:pStyle w:val="Heading3"/>
      </w:pPr>
      <w:bookmarkStart w:id="131" w:name="_Toc33608806"/>
      <w:bookmarkStart w:id="132" w:name="_Toc33609159"/>
      <w:r>
        <w:rPr>
          <w:rStyle w:val="CharDivNo"/>
        </w:rPr>
        <w:t>Division 3A</w:t>
      </w:r>
      <w:r>
        <w:t> — </w:t>
      </w:r>
      <w:r>
        <w:rPr>
          <w:rStyle w:val="CharDivText"/>
        </w:rPr>
        <w:t>Petroleum titles and geothermal titles may subsist in respect of same blocks</w:t>
      </w:r>
      <w:bookmarkEnd w:id="131"/>
      <w:bookmarkEnd w:id="132"/>
    </w:p>
    <w:p>
      <w:pPr>
        <w:pStyle w:val="Footnoteheading"/>
      </w:pPr>
      <w:r>
        <w:tab/>
        <w:t>[Heading inserted: No. 35 of 2007 s. 58.]</w:t>
      </w:r>
    </w:p>
    <w:p>
      <w:pPr>
        <w:pStyle w:val="Heading5"/>
      </w:pPr>
      <w:bookmarkStart w:id="133" w:name="_Toc33609160"/>
      <w:r>
        <w:rPr>
          <w:rStyle w:val="CharSectno"/>
        </w:rPr>
        <w:t>69A</w:t>
      </w:r>
      <w:r>
        <w:t>.</w:t>
      </w:r>
      <w:r>
        <w:tab/>
        <w:t>Petroleum titles and geothermal titles may subsist in respect of same blocks</w:t>
      </w:r>
      <w:bookmarkEnd w:id="133"/>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pPr>
      <w:r>
        <w:tab/>
        <w:t>(i)</w:t>
      </w:r>
      <w:r>
        <w:tab/>
        <w:t>given particulars of the petroleum title proposed to be granted or of the variation proposed to be made to the petroleum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keepNext/>
      </w:pPr>
      <w:r>
        <w:tab/>
        <w:t>(c)</w:t>
      </w:r>
      <w:r>
        <w:tab/>
        <w:t>has taken into account any matters submitted to the Minister on or before the specified date by that person.</w:t>
      </w:r>
    </w:p>
    <w:p>
      <w:pPr>
        <w:pStyle w:val="Subsection"/>
        <w:keepNext/>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pPr>
      <w:r>
        <w:tab/>
      </w:r>
      <w:r>
        <w:tab/>
        <w:t>unless the Minister has complied with subsection (5).</w:t>
      </w:r>
    </w:p>
    <w:p>
      <w:pPr>
        <w:pStyle w:val="Subsection"/>
      </w:pPr>
      <w:r>
        <w:tab/>
        <w:t>(5)</w:t>
      </w:r>
      <w:r>
        <w:tab/>
        <w:t xml:space="preserve">The Minister has complied with this subsection if the Minister — </w:t>
      </w:r>
    </w:p>
    <w:p>
      <w:pPr>
        <w:pStyle w:val="Indenta"/>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spacing w:before="80"/>
        <w:ind w:left="890" w:hanging="890"/>
      </w:pPr>
      <w:r>
        <w:tab/>
        <w:t>[Section 69A inserted: No. 35 of 2007 s. 58.]</w:t>
      </w:r>
    </w:p>
    <w:p>
      <w:pPr>
        <w:pStyle w:val="Ednotesection"/>
      </w:pPr>
      <w:r>
        <w:t>[</w:t>
      </w:r>
      <w:r>
        <w:rPr>
          <w:b/>
          <w:bCs/>
        </w:rPr>
        <w:t>69B</w:t>
      </w:r>
      <w:r>
        <w:rPr>
          <w:b/>
          <w:bCs/>
        </w:rPr>
        <w:noBreakHyphen/>
        <w:t>69I.</w:t>
      </w:r>
      <w:r>
        <w:tab/>
        <w:t>Deleted: No. 52 of 1995 s. 37.]</w:t>
      </w:r>
    </w:p>
    <w:p>
      <w:pPr>
        <w:pStyle w:val="Heading3"/>
      </w:pPr>
      <w:bookmarkStart w:id="134" w:name="_Toc33608808"/>
      <w:bookmarkStart w:id="135" w:name="_Toc33609161"/>
      <w:r>
        <w:rPr>
          <w:rStyle w:val="CharDivNo"/>
        </w:rPr>
        <w:t>Division 4</w:t>
      </w:r>
      <w:r>
        <w:rPr>
          <w:snapToGrid w:val="0"/>
        </w:rPr>
        <w:t> — </w:t>
      </w:r>
      <w:r>
        <w:rPr>
          <w:rStyle w:val="CharDivText"/>
        </w:rPr>
        <w:t>Registration of instruments</w:t>
      </w:r>
      <w:bookmarkEnd w:id="134"/>
      <w:bookmarkEnd w:id="135"/>
    </w:p>
    <w:p>
      <w:pPr>
        <w:pStyle w:val="Heading5"/>
        <w:rPr>
          <w:snapToGrid w:val="0"/>
        </w:rPr>
      </w:pPr>
      <w:bookmarkStart w:id="136" w:name="_Toc33609162"/>
      <w:r>
        <w:rPr>
          <w:rStyle w:val="CharSectno"/>
        </w:rPr>
        <w:t>69J</w:t>
      </w:r>
      <w:r>
        <w:rPr>
          <w:snapToGrid w:val="0"/>
        </w:rPr>
        <w:t>.</w:t>
      </w:r>
      <w:r>
        <w:rPr>
          <w:snapToGrid w:val="0"/>
        </w:rPr>
        <w:tab/>
        <w:t>Term used: title</w:t>
      </w:r>
      <w:bookmarkEnd w:id="136"/>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No. 12 of 1990 s. 53; amended: No. 78 of 1990 s. 7; renumbered: No. 21 of 1993 s. 45.]</w:t>
      </w:r>
    </w:p>
    <w:p>
      <w:pPr>
        <w:pStyle w:val="Heading5"/>
        <w:rPr>
          <w:snapToGrid w:val="0"/>
        </w:rPr>
      </w:pPr>
      <w:bookmarkStart w:id="137" w:name="_Toc33609163"/>
      <w:r>
        <w:rPr>
          <w:rStyle w:val="CharSectno"/>
        </w:rPr>
        <w:t>70</w:t>
      </w:r>
      <w:r>
        <w:rPr>
          <w:snapToGrid w:val="0"/>
        </w:rPr>
        <w:t>.</w:t>
      </w:r>
      <w:r>
        <w:rPr>
          <w:snapToGrid w:val="0"/>
        </w:rPr>
        <w:tab/>
        <w:t>Register of certain instruments to be kept</w:t>
      </w:r>
      <w:bookmarkEnd w:id="137"/>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No. 12 of 1990 s. 54; No. 78 of 1990 s. 7; No. 28 of 1994 s. 35; No. 42 of 2010 s. 45.]</w:t>
      </w:r>
    </w:p>
    <w:p>
      <w:pPr>
        <w:pStyle w:val="Heading5"/>
        <w:rPr>
          <w:snapToGrid w:val="0"/>
        </w:rPr>
      </w:pPr>
      <w:bookmarkStart w:id="138" w:name="_Toc33609164"/>
      <w:r>
        <w:rPr>
          <w:rStyle w:val="CharSectno"/>
        </w:rPr>
        <w:t>71</w:t>
      </w:r>
      <w:r>
        <w:rPr>
          <w:snapToGrid w:val="0"/>
        </w:rPr>
        <w:t>.</w:t>
      </w:r>
      <w:r>
        <w:rPr>
          <w:snapToGrid w:val="0"/>
        </w:rPr>
        <w:tab/>
        <w:t>Memorials to be entered of permits determined etc.</w:t>
      </w:r>
      <w:bookmarkEnd w:id="138"/>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spacing w:before="120"/>
        <w:rPr>
          <w:snapToGrid w:val="0"/>
        </w:rPr>
      </w:pPr>
      <w:r>
        <w:rPr>
          <w:snapToGrid w:val="0"/>
        </w:rPr>
        <w:tab/>
      </w:r>
      <w:r>
        <w:rPr>
          <w:snapToGrid w:val="0"/>
        </w:rPr>
        <w:tab/>
        <w:t>the Minister shall enter in the Register a memorial of the fact.</w:t>
      </w:r>
    </w:p>
    <w:p>
      <w:pPr>
        <w:pStyle w:val="Footnotesection"/>
        <w:ind w:left="890" w:hanging="890"/>
      </w:pPr>
      <w:r>
        <w:tab/>
        <w:t>[Section 71 amended: No. 12 of 1990 s. 55; No. 78 of 1990 s. 7.]</w:t>
      </w:r>
    </w:p>
    <w:p>
      <w:pPr>
        <w:pStyle w:val="Heading5"/>
        <w:spacing w:before="180"/>
        <w:rPr>
          <w:snapToGrid w:val="0"/>
        </w:rPr>
      </w:pPr>
      <w:bookmarkStart w:id="139" w:name="_Toc33609165"/>
      <w:r>
        <w:rPr>
          <w:rStyle w:val="CharSectno"/>
        </w:rPr>
        <w:t>72</w:t>
      </w:r>
      <w:r>
        <w:rPr>
          <w:snapToGrid w:val="0"/>
        </w:rPr>
        <w:t>.</w:t>
      </w:r>
      <w:r>
        <w:rPr>
          <w:snapToGrid w:val="0"/>
        </w:rPr>
        <w:tab/>
        <w:t>Approval and registration of transfers</w:t>
      </w:r>
      <w:bookmarkEnd w:id="139"/>
    </w:p>
    <w:p>
      <w:pPr>
        <w:pStyle w:val="Subsection"/>
        <w:spacing w:before="120"/>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spacing w:before="120"/>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spacing w:before="120"/>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spacing w:before="40"/>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No. 12 of 1990 s. 56; amended: No. 78 of 1990 s. 7; No. 28 of 1994 s. 36; No. 35 of 2007 s. 59.]</w:t>
      </w:r>
    </w:p>
    <w:p>
      <w:pPr>
        <w:pStyle w:val="Heading5"/>
        <w:rPr>
          <w:snapToGrid w:val="0"/>
        </w:rPr>
      </w:pPr>
      <w:bookmarkStart w:id="140" w:name="_Toc33609166"/>
      <w:r>
        <w:rPr>
          <w:rStyle w:val="CharSectno"/>
        </w:rPr>
        <w:t>73</w:t>
      </w:r>
      <w:r>
        <w:rPr>
          <w:snapToGrid w:val="0"/>
        </w:rPr>
        <w:t>.</w:t>
      </w:r>
      <w:r>
        <w:rPr>
          <w:snapToGrid w:val="0"/>
        </w:rPr>
        <w:tab/>
        <w:t>Entries in Register on devolution of title</w:t>
      </w:r>
      <w:bookmarkEnd w:id="140"/>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No. 69 of 1981 s. 34; No. 12 of 1990 s. 57.]</w:t>
      </w:r>
    </w:p>
    <w:p>
      <w:pPr>
        <w:pStyle w:val="Ednotesection"/>
        <w:spacing w:before="200"/>
        <w:ind w:left="890" w:hanging="890"/>
      </w:pPr>
      <w:r>
        <w:t>[</w:t>
      </w:r>
      <w:r>
        <w:rPr>
          <w:b/>
        </w:rPr>
        <w:t>74.</w:t>
      </w:r>
      <w:r>
        <w:tab/>
        <w:t>Deleted: No. 12 of 1990 s. 58.]</w:t>
      </w:r>
    </w:p>
    <w:p>
      <w:pPr>
        <w:pStyle w:val="Heading5"/>
        <w:spacing w:before="180"/>
        <w:rPr>
          <w:snapToGrid w:val="0"/>
        </w:rPr>
      </w:pPr>
      <w:bookmarkStart w:id="141" w:name="_Toc33609167"/>
      <w:r>
        <w:rPr>
          <w:rStyle w:val="CharSectno"/>
        </w:rPr>
        <w:t>75</w:t>
      </w:r>
      <w:r>
        <w:rPr>
          <w:snapToGrid w:val="0"/>
        </w:rPr>
        <w:t>.</w:t>
      </w:r>
      <w:r>
        <w:rPr>
          <w:snapToGrid w:val="0"/>
        </w:rPr>
        <w:tab/>
        <w:t>Approval of dealings creating interests etc. in existing titles</w:t>
      </w:r>
      <w:bookmarkEnd w:id="141"/>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keepNext/>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No. 12 of 1990 s. 58; amended: No. 78 of 1990 s. 7; No. 28 of 1994 s. 37; No. 20 of 2003 s. 35; No. 35 of 2007 s. 60.]</w:t>
      </w:r>
    </w:p>
    <w:p>
      <w:pPr>
        <w:pStyle w:val="Heading5"/>
        <w:keepNext w:val="0"/>
        <w:keepLines w:val="0"/>
        <w:pageBreakBefore/>
        <w:spacing w:before="0"/>
        <w:rPr>
          <w:snapToGrid w:val="0"/>
        </w:rPr>
      </w:pPr>
      <w:bookmarkStart w:id="142" w:name="_Toc33609168"/>
      <w:r>
        <w:rPr>
          <w:rStyle w:val="CharSectno"/>
        </w:rPr>
        <w:t>75A</w:t>
      </w:r>
      <w:r>
        <w:rPr>
          <w:snapToGrid w:val="0"/>
        </w:rPr>
        <w:t>.</w:t>
      </w:r>
      <w:r>
        <w:rPr>
          <w:snapToGrid w:val="0"/>
        </w:rPr>
        <w:tab/>
        <w:t>Approval of dealings in future interests etc.</w:t>
      </w:r>
      <w:bookmarkEnd w:id="142"/>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No. 12 of 1990 s. 58; amended: No. 78 of 1990 s. 7.]</w:t>
      </w:r>
    </w:p>
    <w:p>
      <w:pPr>
        <w:pStyle w:val="Heading5"/>
        <w:rPr>
          <w:snapToGrid w:val="0"/>
        </w:rPr>
      </w:pPr>
      <w:bookmarkStart w:id="143" w:name="_Toc33609169"/>
      <w:r>
        <w:rPr>
          <w:rStyle w:val="CharSectno"/>
        </w:rPr>
        <w:t>76</w:t>
      </w:r>
      <w:r>
        <w:rPr>
          <w:snapToGrid w:val="0"/>
        </w:rPr>
        <w:t>.</w:t>
      </w:r>
      <w:r>
        <w:rPr>
          <w:snapToGrid w:val="0"/>
        </w:rPr>
        <w:tab/>
        <w:t>True consideration to be shown in transfer or dealing</w:t>
      </w:r>
      <w:bookmarkEnd w:id="143"/>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No. 12 of 1990 s. 59; No. 35 of 2007 s. 61; No. 42 of 2010 s. 62(15).]</w:t>
      </w:r>
    </w:p>
    <w:p>
      <w:pPr>
        <w:pStyle w:val="Heading5"/>
        <w:rPr>
          <w:snapToGrid w:val="0"/>
        </w:rPr>
      </w:pPr>
      <w:bookmarkStart w:id="144" w:name="_Toc33609170"/>
      <w:r>
        <w:rPr>
          <w:rStyle w:val="CharSectno"/>
        </w:rPr>
        <w:t>77</w:t>
      </w:r>
      <w:r>
        <w:rPr>
          <w:snapToGrid w:val="0"/>
        </w:rPr>
        <w:t>.</w:t>
      </w:r>
      <w:r>
        <w:rPr>
          <w:snapToGrid w:val="0"/>
        </w:rPr>
        <w:tab/>
        <w:t>Minister not concerned with certain matters</w:t>
      </w:r>
      <w:bookmarkEnd w:id="144"/>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No. 12 of 1990 s. 60.]</w:t>
      </w:r>
    </w:p>
    <w:p>
      <w:pPr>
        <w:pStyle w:val="Heading5"/>
        <w:rPr>
          <w:snapToGrid w:val="0"/>
        </w:rPr>
      </w:pPr>
      <w:bookmarkStart w:id="145" w:name="_Toc33609171"/>
      <w:r>
        <w:rPr>
          <w:rStyle w:val="CharSectno"/>
        </w:rPr>
        <w:t>78</w:t>
      </w:r>
      <w:r>
        <w:rPr>
          <w:snapToGrid w:val="0"/>
        </w:rPr>
        <w:t>.</w:t>
      </w:r>
      <w:r>
        <w:rPr>
          <w:snapToGrid w:val="0"/>
        </w:rPr>
        <w:tab/>
        <w:t>Power of Minister to require information as to transfers or dealings</w:t>
      </w:r>
      <w:bookmarkEnd w:id="145"/>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rPr>
          <w:snapToGrid w:val="0"/>
        </w:rPr>
      </w:pPr>
      <w:r>
        <w:rPr>
          <w:snapToGrid w:val="0"/>
        </w:rPr>
        <w:tab/>
        <w:t>(1c)</w:t>
      </w:r>
      <w:r>
        <w:rPr>
          <w:snapToGrid w:val="0"/>
        </w:rPr>
        <w:tab/>
        <w:t>A person shall not fail or refuse to comply with a requirement given to the person under subsection (1), (1a) or (1b).</w:t>
      </w:r>
    </w:p>
    <w:p>
      <w:pPr>
        <w:pStyle w:val="Subsection"/>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ind w:left="890" w:hanging="890"/>
      </w:pPr>
      <w:r>
        <w:tab/>
        <w:t>[Section 78 amended: No. 12 of 1990 s. 61; No. 28 of 1994 s. 38; No. 42 of 2010 s. 62(2) and (3).]</w:t>
      </w:r>
    </w:p>
    <w:p>
      <w:pPr>
        <w:pStyle w:val="Heading5"/>
        <w:rPr>
          <w:snapToGrid w:val="0"/>
        </w:rPr>
      </w:pPr>
      <w:bookmarkStart w:id="146" w:name="_Toc33609172"/>
      <w:r>
        <w:rPr>
          <w:rStyle w:val="CharSectno"/>
        </w:rPr>
        <w:t>79</w:t>
      </w:r>
      <w:r>
        <w:rPr>
          <w:snapToGrid w:val="0"/>
        </w:rPr>
        <w:t>.</w:t>
      </w:r>
      <w:r>
        <w:rPr>
          <w:snapToGrid w:val="0"/>
        </w:rPr>
        <w:tab/>
        <w:t>Production and inspection of documents</w:t>
      </w:r>
      <w:bookmarkEnd w:id="146"/>
    </w:p>
    <w:p>
      <w:pPr>
        <w:pStyle w:val="Subsection"/>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ind w:left="890" w:hanging="890"/>
      </w:pPr>
      <w:r>
        <w:tab/>
        <w:t>[Section 79 amended: No. 12 of 1990 s. 62; No. 42 of 2010 s. 62(4).]</w:t>
      </w:r>
    </w:p>
    <w:p>
      <w:pPr>
        <w:pStyle w:val="Heading5"/>
        <w:rPr>
          <w:snapToGrid w:val="0"/>
        </w:rPr>
      </w:pPr>
      <w:bookmarkStart w:id="147" w:name="_Toc33609173"/>
      <w:r>
        <w:rPr>
          <w:rStyle w:val="CharSectno"/>
        </w:rPr>
        <w:t>80</w:t>
      </w:r>
      <w:r>
        <w:rPr>
          <w:snapToGrid w:val="0"/>
        </w:rPr>
        <w:t>.</w:t>
      </w:r>
      <w:r>
        <w:rPr>
          <w:snapToGrid w:val="0"/>
        </w:rPr>
        <w:tab/>
        <w:t>Inspection of Register and instruments</w:t>
      </w:r>
      <w:bookmarkEnd w:id="147"/>
    </w:p>
    <w:p>
      <w:pPr>
        <w:pStyle w:val="Subsection"/>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keepNext/>
      </w:pPr>
      <w:r>
        <w:tab/>
        <w:t>[(2)</w:t>
      </w:r>
      <w:r>
        <w:tab/>
        <w:t>deleted]</w:t>
      </w:r>
    </w:p>
    <w:p>
      <w:pPr>
        <w:pStyle w:val="Footnotesection"/>
        <w:keepLines w:val="0"/>
        <w:spacing w:before="100"/>
        <w:ind w:left="890" w:hanging="890"/>
      </w:pPr>
      <w:r>
        <w:tab/>
        <w:t>[Section 80 amended: No. 69 of 1981 s. 34; No. 12 of 1990 s. 63.]</w:t>
      </w:r>
    </w:p>
    <w:p>
      <w:pPr>
        <w:pStyle w:val="Heading5"/>
        <w:rPr>
          <w:snapToGrid w:val="0"/>
        </w:rPr>
      </w:pPr>
      <w:bookmarkStart w:id="148" w:name="_Toc33609174"/>
      <w:r>
        <w:rPr>
          <w:rStyle w:val="CharSectno"/>
        </w:rPr>
        <w:t>81</w:t>
      </w:r>
      <w:r>
        <w:rPr>
          <w:snapToGrid w:val="0"/>
        </w:rPr>
        <w:t>.</w:t>
      </w:r>
      <w:r>
        <w:rPr>
          <w:snapToGrid w:val="0"/>
        </w:rPr>
        <w:tab/>
        <w:t>Evidentiary provisions</w:t>
      </w:r>
      <w:bookmarkEnd w:id="148"/>
    </w:p>
    <w:p>
      <w:pPr>
        <w:pStyle w:val="Subsection"/>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No. 69 of 1981 s. 34; No. 12 of 1990 s. 64; No. 55 of 2004 s. 917.]</w:t>
      </w:r>
    </w:p>
    <w:p>
      <w:pPr>
        <w:pStyle w:val="Heading5"/>
        <w:rPr>
          <w:snapToGrid w:val="0"/>
        </w:rPr>
      </w:pPr>
      <w:bookmarkStart w:id="149" w:name="_Toc33609175"/>
      <w:r>
        <w:rPr>
          <w:rStyle w:val="CharSectno"/>
        </w:rPr>
        <w:t>81A</w:t>
      </w:r>
      <w:r>
        <w:rPr>
          <w:snapToGrid w:val="0"/>
        </w:rPr>
        <w:t>.</w:t>
      </w:r>
      <w:r>
        <w:rPr>
          <w:snapToGrid w:val="0"/>
        </w:rPr>
        <w:tab/>
        <w:t>Minister may make corrections to, and entries in, Register</w:t>
      </w:r>
      <w:bookmarkEnd w:id="149"/>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spacing w:before="120"/>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No. 12 of 1990 s. 65.]</w:t>
      </w:r>
    </w:p>
    <w:p>
      <w:pPr>
        <w:pStyle w:val="Heading5"/>
        <w:spacing w:before="180"/>
        <w:rPr>
          <w:snapToGrid w:val="0"/>
        </w:rPr>
      </w:pPr>
      <w:bookmarkStart w:id="150" w:name="_Toc33609176"/>
      <w:r>
        <w:rPr>
          <w:rStyle w:val="CharSectno"/>
        </w:rPr>
        <w:t>82</w:t>
      </w:r>
      <w:r>
        <w:rPr>
          <w:snapToGrid w:val="0"/>
        </w:rPr>
        <w:t>.</w:t>
      </w:r>
      <w:r>
        <w:rPr>
          <w:snapToGrid w:val="0"/>
        </w:rPr>
        <w:tab/>
        <w:t>Application to State Administrative Tribunal for orders</w:t>
      </w:r>
      <w:bookmarkEnd w:id="150"/>
    </w:p>
    <w:p>
      <w:pPr>
        <w:pStyle w:val="Subsection"/>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No. 55 of 2004 s. 918.]</w:t>
      </w:r>
    </w:p>
    <w:p>
      <w:pPr>
        <w:pStyle w:val="Ednotesection"/>
        <w:spacing w:before="240"/>
      </w:pPr>
      <w:r>
        <w:t>[</w:t>
      </w:r>
      <w:r>
        <w:rPr>
          <w:b/>
          <w:bCs/>
        </w:rPr>
        <w:t>83.</w:t>
      </w:r>
      <w:r>
        <w:rPr>
          <w:b/>
          <w:bCs/>
        </w:rPr>
        <w:tab/>
      </w:r>
      <w:r>
        <w:t>Deleted: No. 13 of 2005 s. 6.]</w:t>
      </w:r>
    </w:p>
    <w:p>
      <w:pPr>
        <w:pStyle w:val="Heading5"/>
        <w:spacing w:before="240"/>
        <w:rPr>
          <w:snapToGrid w:val="0"/>
        </w:rPr>
      </w:pPr>
      <w:bookmarkStart w:id="151" w:name="_Toc33609177"/>
      <w:r>
        <w:rPr>
          <w:rStyle w:val="CharSectno"/>
        </w:rPr>
        <w:t>84</w:t>
      </w:r>
      <w:r>
        <w:rPr>
          <w:snapToGrid w:val="0"/>
        </w:rPr>
        <w:t>.</w:t>
      </w:r>
      <w:r>
        <w:rPr>
          <w:snapToGrid w:val="0"/>
        </w:rPr>
        <w:tab/>
        <w:t>Offences connected with Register and certain documents</w:t>
      </w:r>
      <w:bookmarkEnd w:id="151"/>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No. 12 of 1990 s. 66; No. 42 of 2010 s. 62(5) and (6).]</w:t>
      </w:r>
    </w:p>
    <w:p>
      <w:pPr>
        <w:pStyle w:val="Heading5"/>
        <w:rPr>
          <w:snapToGrid w:val="0"/>
        </w:rPr>
      </w:pPr>
      <w:bookmarkStart w:id="152" w:name="_Toc33609178"/>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52"/>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No. 55 of 2004 s. 919; No. 35 of 2007 s. 62.]</w:t>
      </w:r>
    </w:p>
    <w:p>
      <w:pPr>
        <w:pStyle w:val="Heading5"/>
        <w:rPr>
          <w:snapToGrid w:val="0"/>
        </w:rPr>
      </w:pPr>
      <w:bookmarkStart w:id="153" w:name="_Toc33609179"/>
      <w:r>
        <w:rPr>
          <w:rStyle w:val="CharSectno"/>
        </w:rPr>
        <w:t>86</w:t>
      </w:r>
      <w:r>
        <w:rPr>
          <w:snapToGrid w:val="0"/>
        </w:rPr>
        <w:t>.</w:t>
      </w:r>
      <w:r>
        <w:rPr>
          <w:snapToGrid w:val="0"/>
        </w:rPr>
        <w:tab/>
        <w:t>Exemption from duty</w:t>
      </w:r>
      <w:bookmarkEnd w:id="153"/>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No. 12 of 1990 s. 67; No. 78 of 1990 s. 7; No. 31 of 2008 s. 34.]</w:t>
      </w:r>
    </w:p>
    <w:p>
      <w:pPr>
        <w:pStyle w:val="Heading3"/>
        <w:keepLines/>
      </w:pPr>
      <w:bookmarkStart w:id="154" w:name="_Toc33608827"/>
      <w:bookmarkStart w:id="155" w:name="_Toc33609180"/>
      <w:r>
        <w:rPr>
          <w:rStyle w:val="CharDivNo"/>
        </w:rPr>
        <w:t>Division 5</w:t>
      </w:r>
      <w:r>
        <w:rPr>
          <w:snapToGrid w:val="0"/>
        </w:rPr>
        <w:t> — </w:t>
      </w:r>
      <w:r>
        <w:rPr>
          <w:rStyle w:val="CharDivText"/>
        </w:rPr>
        <w:t>General</w:t>
      </w:r>
      <w:bookmarkEnd w:id="154"/>
      <w:bookmarkEnd w:id="155"/>
    </w:p>
    <w:p>
      <w:pPr>
        <w:pStyle w:val="Ednotesection"/>
        <w:keepNext/>
        <w:keepLines/>
        <w:ind w:left="890" w:hanging="890"/>
      </w:pPr>
      <w:r>
        <w:t>[</w:t>
      </w:r>
      <w:r>
        <w:rPr>
          <w:b/>
        </w:rPr>
        <w:t>87.</w:t>
      </w:r>
      <w:r>
        <w:tab/>
        <w:t>Deleted: No. 12 of 1990 s. 68.]</w:t>
      </w:r>
    </w:p>
    <w:p>
      <w:pPr>
        <w:pStyle w:val="Heading5"/>
        <w:spacing w:before="180"/>
        <w:rPr>
          <w:snapToGrid w:val="0"/>
        </w:rPr>
      </w:pPr>
      <w:bookmarkStart w:id="156" w:name="_Toc33609181"/>
      <w:r>
        <w:rPr>
          <w:rStyle w:val="CharSectno"/>
        </w:rPr>
        <w:t>88</w:t>
      </w:r>
      <w:r>
        <w:rPr>
          <w:snapToGrid w:val="0"/>
        </w:rPr>
        <w:t>.</w:t>
      </w:r>
      <w:r>
        <w:rPr>
          <w:snapToGrid w:val="0"/>
        </w:rPr>
        <w:tab/>
        <w:t>Notice of grants of permits etc. to be published</w:t>
      </w:r>
      <w:bookmarkEnd w:id="156"/>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No. 12 of 1990 s. 69; No. 78 of 1990 s. 7; No. 28 of 1994 s. 39.]</w:t>
      </w:r>
    </w:p>
    <w:p>
      <w:pPr>
        <w:pStyle w:val="Heading5"/>
        <w:rPr>
          <w:snapToGrid w:val="0"/>
        </w:rPr>
      </w:pPr>
      <w:bookmarkStart w:id="157" w:name="_Toc33609182"/>
      <w:r>
        <w:rPr>
          <w:rStyle w:val="CharSectno"/>
        </w:rPr>
        <w:t>89</w:t>
      </w:r>
      <w:r>
        <w:rPr>
          <w:snapToGrid w:val="0"/>
        </w:rPr>
        <w:t>.</w:t>
      </w:r>
      <w:r>
        <w:rPr>
          <w:snapToGrid w:val="0"/>
        </w:rPr>
        <w:tab/>
        <w:t>Date of effect of certain surrenders, cancellations and variations</w:t>
      </w:r>
      <w:bookmarkEnd w:id="15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No. 12 of 1990 s. 70; No. 78 of 1990 s. 7.]</w:t>
      </w:r>
    </w:p>
    <w:p>
      <w:pPr>
        <w:pStyle w:val="Heading5"/>
        <w:rPr>
          <w:snapToGrid w:val="0"/>
        </w:rPr>
      </w:pPr>
      <w:bookmarkStart w:id="158" w:name="_Toc33609183"/>
      <w:r>
        <w:rPr>
          <w:rStyle w:val="CharSectno"/>
        </w:rPr>
        <w:t>90</w:t>
      </w:r>
      <w:r>
        <w:rPr>
          <w:snapToGrid w:val="0"/>
        </w:rPr>
        <w:t>.</w:t>
      </w:r>
      <w:r>
        <w:rPr>
          <w:snapToGrid w:val="0"/>
        </w:rPr>
        <w:tab/>
        <w:t>Commencement of works</w:t>
      </w:r>
      <w:bookmarkEnd w:id="158"/>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No. 12 of 1990 s. 71; No. 78 of 1990 s. 7; No. 42 of 2010 s. 62(7).]</w:t>
      </w:r>
    </w:p>
    <w:p>
      <w:pPr>
        <w:pStyle w:val="Heading5"/>
        <w:rPr>
          <w:snapToGrid w:val="0"/>
        </w:rPr>
      </w:pPr>
      <w:bookmarkStart w:id="159" w:name="_Toc33609184"/>
      <w:r>
        <w:rPr>
          <w:rStyle w:val="CharSectno"/>
        </w:rPr>
        <w:t>91</w:t>
      </w:r>
      <w:r>
        <w:rPr>
          <w:snapToGrid w:val="0"/>
        </w:rPr>
        <w:t>.</w:t>
      </w:r>
      <w:r>
        <w:rPr>
          <w:snapToGrid w:val="0"/>
        </w:rPr>
        <w:tab/>
        <w:t>Work practices</w:t>
      </w:r>
      <w:bookmarkEnd w:id="159"/>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rPr>
          <w:snapToGrid w:val="0"/>
        </w:rPr>
      </w:pPr>
      <w:r>
        <w:rPr>
          <w:snapToGrid w:val="0"/>
        </w:rPr>
        <w:tab/>
        <w:t>(d)</w:t>
      </w:r>
      <w:r>
        <w:rPr>
          <w:snapToGrid w:val="0"/>
        </w:rPr>
        <w:tab/>
        <w:t>keep separate —</w:t>
      </w:r>
    </w:p>
    <w:p>
      <w:pPr>
        <w:pStyle w:val="Indenti"/>
        <w:rPr>
          <w:snapToGrid w:val="0"/>
        </w:rPr>
      </w:pPr>
      <w:r>
        <w:rPr>
          <w:snapToGrid w:val="0"/>
        </w:rPr>
        <w:tab/>
        <w:t>(i)</w:t>
      </w:r>
      <w:r>
        <w:rPr>
          <w:snapToGrid w:val="0"/>
        </w:rPr>
        <w:tab/>
        <w:t>each petroleum pool discovered in the permit area, drilling reservation, lease area or licence area; and</w:t>
      </w:r>
    </w:p>
    <w:p>
      <w:pPr>
        <w:pStyle w:val="Indenti"/>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pPr>
      <w:r>
        <w:tab/>
        <w:t>(b)</w:t>
      </w:r>
      <w:r>
        <w:tab/>
        <w:t>prevent the escape in the permit area, drilling reservation, lease area or licence area of any mixture of water or drilling fluid with geothermal energy resources or any other matter; and</w:t>
      </w:r>
    </w:p>
    <w:p>
      <w:pPr>
        <w:pStyle w:val="Indenta"/>
      </w:pPr>
      <w:r>
        <w:tab/>
        <w:t>(c)</w:t>
      </w:r>
      <w:r>
        <w:tab/>
        <w:t>prevent damage to geothermal energy resources in an area, whether in the State or not, in respect of which the permit, drilling reservation, lease or licence is not in force; and</w:t>
      </w:r>
    </w:p>
    <w:p>
      <w:pPr>
        <w:pStyle w:val="Indenta"/>
        <w:keepNext/>
      </w:pPr>
      <w:r>
        <w:tab/>
        <w:t>(d)</w:t>
      </w:r>
      <w:r>
        <w:tab/>
        <w:t xml:space="preserve">keep separate — </w:t>
      </w:r>
    </w:p>
    <w:p>
      <w:pPr>
        <w:pStyle w:val="Indenti"/>
      </w:pPr>
      <w:r>
        <w:tab/>
        <w:t>(i)</w:t>
      </w:r>
      <w:r>
        <w:tab/>
        <w:t>each geothermal resources area discovered in the permit area, drilling reservation, lease area or licence area; and</w:t>
      </w:r>
    </w:p>
    <w:p>
      <w:pPr>
        <w:pStyle w:val="Indenti"/>
      </w:pPr>
      <w:r>
        <w:tab/>
        <w:t>(ii)</w:t>
      </w:r>
      <w:r>
        <w:tab/>
        <w:t>such of the sources of water, if any, discovered in that area as the Minister, by instrument in writing served on that person, directs;</w:t>
      </w:r>
    </w:p>
    <w:p>
      <w:pPr>
        <w:pStyle w:val="Indenta"/>
      </w:pPr>
      <w:r>
        <w:tab/>
      </w:r>
      <w:r>
        <w:tab/>
        <w:t>and</w:t>
      </w:r>
    </w:p>
    <w:p>
      <w:pPr>
        <w:pStyle w:val="Indenta"/>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18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18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spacing w:before="100"/>
      </w:pPr>
      <w:r>
        <w:tab/>
        <w:t>Penalty for an offence under subsection (1), (2), (2a) or (3): a fine of $10 000.</w:t>
      </w:r>
    </w:p>
    <w:p>
      <w:pPr>
        <w:pStyle w:val="Footnotesection"/>
        <w:ind w:left="890" w:hanging="890"/>
      </w:pPr>
      <w:r>
        <w:tab/>
        <w:t>[Section 91 amended: No. 12 of 1990 s. 72; No. 78 of 1990 s. 7; No. 28 of 1994 s. 40; No. 13 of 2005 s. 7; No. 35 of 2007 s. 63; No. 42 of 2010 s. 62(8).]</w:t>
      </w:r>
    </w:p>
    <w:p>
      <w:pPr>
        <w:pStyle w:val="Heading5"/>
        <w:keepNext w:val="0"/>
        <w:keepLines w:val="0"/>
        <w:pageBreakBefore/>
        <w:spacing w:before="0"/>
        <w:rPr>
          <w:snapToGrid w:val="0"/>
        </w:rPr>
      </w:pPr>
      <w:bookmarkStart w:id="160" w:name="_Toc33609185"/>
      <w:r>
        <w:rPr>
          <w:rStyle w:val="CharSectno"/>
        </w:rPr>
        <w:t>91A</w:t>
      </w:r>
      <w:r>
        <w:rPr>
          <w:snapToGrid w:val="0"/>
        </w:rPr>
        <w:t>.</w:t>
      </w:r>
      <w:r>
        <w:rPr>
          <w:snapToGrid w:val="0"/>
        </w:rPr>
        <w:tab/>
        <w:t>Conditions relating to insurance</w:t>
      </w:r>
      <w:bookmarkEnd w:id="160"/>
    </w:p>
    <w:p>
      <w:pPr>
        <w:pStyle w:val="Subsection"/>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w:t>
      </w:r>
      <w:r>
        <w:rPr>
          <w:snapToGrid w:val="0"/>
        </w:rPr>
        <w:t>; and</w:t>
      </w:r>
    </w:p>
    <w:p>
      <w:pPr>
        <w:pStyle w:val="Indenta"/>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ind w:left="890" w:hanging="890"/>
      </w:pPr>
      <w:r>
        <w:tab/>
        <w:t>[Section 91A inserted: No. 28 of 1994 s. 41; amended: No. 35 of 2007 s. 64.]</w:t>
      </w:r>
    </w:p>
    <w:p>
      <w:pPr>
        <w:pStyle w:val="Heading5"/>
        <w:rPr>
          <w:snapToGrid w:val="0"/>
        </w:rPr>
      </w:pPr>
      <w:bookmarkStart w:id="161" w:name="_Toc33609186"/>
      <w:r>
        <w:rPr>
          <w:rStyle w:val="CharSectno"/>
        </w:rPr>
        <w:t>91B</w:t>
      </w:r>
      <w:r>
        <w:rPr>
          <w:snapToGrid w:val="0"/>
        </w:rPr>
        <w:t>.</w:t>
      </w:r>
      <w:r>
        <w:rPr>
          <w:snapToGrid w:val="0"/>
        </w:rPr>
        <w:tab/>
        <w:t>Conditions prohibiting entry on certain land</w:t>
      </w:r>
      <w:bookmarkEnd w:id="161"/>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No. 17 of 1999 s. 27.]</w:t>
      </w:r>
    </w:p>
    <w:p>
      <w:pPr>
        <w:pStyle w:val="Heading5"/>
        <w:keepLines w:val="0"/>
        <w:spacing w:before="240"/>
        <w:rPr>
          <w:snapToGrid w:val="0"/>
        </w:rPr>
      </w:pPr>
      <w:bookmarkStart w:id="162" w:name="_Toc33609187"/>
      <w:r>
        <w:rPr>
          <w:rStyle w:val="CharSectno"/>
        </w:rPr>
        <w:t>92</w:t>
      </w:r>
      <w:r>
        <w:rPr>
          <w:snapToGrid w:val="0"/>
        </w:rPr>
        <w:t>.</w:t>
      </w:r>
      <w:r>
        <w:rPr>
          <w:snapToGrid w:val="0"/>
        </w:rPr>
        <w:tab/>
        <w:t>Maintenance etc. of property</w:t>
      </w:r>
      <w:bookmarkEnd w:id="16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Indenta"/>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No. 12 of 1990 s. 74; No. 78 of 1990 s. 7; No. 28 of 1994 s. 42; No. 42 of 2010 s. 62(9).]</w:t>
      </w:r>
    </w:p>
    <w:p>
      <w:pPr>
        <w:pStyle w:val="Heading5"/>
        <w:rPr>
          <w:snapToGrid w:val="0"/>
        </w:rPr>
      </w:pPr>
      <w:bookmarkStart w:id="163" w:name="_Toc33609188"/>
      <w:r>
        <w:rPr>
          <w:rStyle w:val="CharSectno"/>
        </w:rPr>
        <w:t>93</w:t>
      </w:r>
      <w:r>
        <w:rPr>
          <w:snapToGrid w:val="0"/>
        </w:rPr>
        <w:t>.</w:t>
      </w:r>
      <w:r>
        <w:rPr>
          <w:snapToGrid w:val="0"/>
        </w:rPr>
        <w:tab/>
        <w:t>Operation of s. 91, 91A and 92 subject to this Act and other laws</w:t>
      </w:r>
      <w:bookmarkEnd w:id="163"/>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the regulations; and</w:t>
      </w:r>
    </w:p>
    <w:p>
      <w:pPr>
        <w:pStyle w:val="Indenta"/>
        <w:rPr>
          <w:snapToGrid w:val="0"/>
        </w:rPr>
      </w:pPr>
      <w:r>
        <w:rPr>
          <w:snapToGrid w:val="0"/>
        </w:rPr>
        <w:tab/>
        <w:t>(c)</w:t>
      </w:r>
      <w:r>
        <w:rPr>
          <w:snapToGrid w:val="0"/>
        </w:rPr>
        <w:tab/>
        <w:t>a direction under section 95; and</w:t>
      </w:r>
    </w:p>
    <w:p>
      <w:pPr>
        <w:pStyle w:val="Indenta"/>
        <w:rPr>
          <w:snapToGrid w:val="0"/>
        </w:rPr>
      </w:pPr>
      <w:r>
        <w:rPr>
          <w:snapToGrid w:val="0"/>
        </w:rPr>
        <w:tab/>
        <w:t>(d)</w:t>
      </w:r>
      <w:r>
        <w:rPr>
          <w:snapToGrid w:val="0"/>
        </w:rPr>
        <w:tab/>
        <w:t>any other law.</w:t>
      </w:r>
    </w:p>
    <w:p>
      <w:pPr>
        <w:pStyle w:val="Footnotesection"/>
        <w:spacing w:before="100"/>
        <w:ind w:left="890" w:hanging="890"/>
      </w:pPr>
      <w:r>
        <w:tab/>
        <w:t>[Section 93 amended: No. 28 of 1994 s. 43.]</w:t>
      </w:r>
    </w:p>
    <w:p>
      <w:pPr>
        <w:pStyle w:val="Ednotesection"/>
        <w:spacing w:before="180"/>
      </w:pPr>
      <w:r>
        <w:t>[</w:t>
      </w:r>
      <w:r>
        <w:rPr>
          <w:b/>
        </w:rPr>
        <w:t>94.</w:t>
      </w:r>
      <w:r>
        <w:tab/>
        <w:t>Deleted: No. 42 of 2010 s. 46.]</w:t>
      </w:r>
    </w:p>
    <w:p>
      <w:pPr>
        <w:pStyle w:val="Heading5"/>
        <w:spacing w:before="180"/>
        <w:rPr>
          <w:snapToGrid w:val="0"/>
        </w:rPr>
      </w:pPr>
      <w:bookmarkStart w:id="164" w:name="_Toc33609189"/>
      <w:r>
        <w:rPr>
          <w:rStyle w:val="CharSectno"/>
        </w:rPr>
        <w:t>95</w:t>
      </w:r>
      <w:r>
        <w:rPr>
          <w:snapToGrid w:val="0"/>
        </w:rPr>
        <w:t>.</w:t>
      </w:r>
      <w:r>
        <w:rPr>
          <w:snapToGrid w:val="0"/>
        </w:rPr>
        <w:tab/>
        <w:t>Directions by Minister</w:t>
      </w:r>
      <w:bookmarkEnd w:id="164"/>
    </w:p>
    <w:p>
      <w:pPr>
        <w:pStyle w:val="Subsection"/>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rPr>
          <w:snapToGrid w:val="0"/>
        </w:rPr>
      </w:pPr>
      <w:r>
        <w:rPr>
          <w:snapToGrid w:val="0"/>
        </w:rPr>
        <w:tab/>
        <w:t>(a)</w:t>
      </w:r>
      <w:r>
        <w:rPr>
          <w:snapToGrid w:val="0"/>
        </w:rPr>
        <w:tab/>
        <w:t>a specified class of persons, being a class constituted by or included in one or both of the following classes of persons —</w:t>
      </w:r>
    </w:p>
    <w:p>
      <w:pPr>
        <w:pStyle w:val="Indenti"/>
        <w:rPr>
          <w:snapToGrid w:val="0"/>
        </w:rPr>
      </w:pPr>
      <w:r>
        <w:rPr>
          <w:snapToGrid w:val="0"/>
        </w:rPr>
        <w:tab/>
        <w:t>(i)</w:t>
      </w:r>
      <w:r>
        <w:rPr>
          <w:snapToGrid w:val="0"/>
        </w:rPr>
        <w:tab/>
        <w:t>servants or agents of, or persons acting on behalf of, the registered holder;</w:t>
      </w:r>
    </w:p>
    <w:p>
      <w:pPr>
        <w:pStyle w:val="Indenti"/>
        <w:rPr>
          <w:snapToGrid w:val="0"/>
        </w:rPr>
      </w:pPr>
      <w:r>
        <w:rPr>
          <w:snapToGrid w:val="0"/>
        </w:rPr>
        <w:tab/>
        <w:t>(ii)</w:t>
      </w:r>
      <w:r>
        <w:rPr>
          <w:snapToGrid w:val="0"/>
        </w:rPr>
        <w:tab/>
        <w:t>persons performing work or services, whether directly or indirectly, for the registered holder;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spacing w:before="180"/>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spacing w:before="180"/>
        <w:rPr>
          <w:snapToGrid w:val="0"/>
        </w:rPr>
      </w:pPr>
      <w:r>
        <w:rPr>
          <w:snapToGrid w:val="0"/>
        </w:rPr>
        <w:tab/>
        <w:t>(4)</w:t>
      </w:r>
      <w:r>
        <w:rPr>
          <w:snapToGrid w:val="0"/>
        </w:rPr>
        <w:tab/>
        <w:t>A direction under this section has effect and shall be complied with notwithstanding anything in the regulations.</w:t>
      </w:r>
    </w:p>
    <w:p>
      <w:pPr>
        <w:pStyle w:val="Subsection"/>
        <w:spacing w:before="180"/>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spacing w:before="180"/>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spacing w:before="180"/>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No. 12 of 1990 s. 76; amended: No. 78 of 1990 s. 7; No. 35 of 2007 s. 65; No. 42 of 2010 s. 62(15).]</w:t>
      </w:r>
    </w:p>
    <w:p>
      <w:pPr>
        <w:pStyle w:val="Heading5"/>
        <w:spacing w:before="180"/>
        <w:rPr>
          <w:snapToGrid w:val="0"/>
        </w:rPr>
      </w:pPr>
      <w:bookmarkStart w:id="165" w:name="_Toc33609190"/>
      <w:r>
        <w:rPr>
          <w:rStyle w:val="CharSectno"/>
        </w:rPr>
        <w:t>96</w:t>
      </w:r>
      <w:r>
        <w:rPr>
          <w:snapToGrid w:val="0"/>
        </w:rPr>
        <w:t>.</w:t>
      </w:r>
      <w:r>
        <w:rPr>
          <w:snapToGrid w:val="0"/>
        </w:rPr>
        <w:tab/>
        <w:t>Compliance with directions</w:t>
      </w:r>
      <w:bookmarkEnd w:id="165"/>
    </w:p>
    <w:p>
      <w:pPr>
        <w:pStyle w:val="Subsection"/>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Next/>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ind w:left="890" w:hanging="890"/>
      </w:pPr>
      <w:r>
        <w:tab/>
        <w:t>[Section 96 amended: No. 12 of 1990 s. 77.]</w:t>
      </w:r>
    </w:p>
    <w:p>
      <w:pPr>
        <w:pStyle w:val="Heading5"/>
        <w:spacing w:before="180"/>
        <w:rPr>
          <w:snapToGrid w:val="0"/>
        </w:rPr>
      </w:pPr>
      <w:bookmarkStart w:id="166" w:name="_Toc33609191"/>
      <w:r>
        <w:rPr>
          <w:rStyle w:val="CharSectno"/>
        </w:rPr>
        <w:t>97</w:t>
      </w:r>
      <w:r>
        <w:rPr>
          <w:snapToGrid w:val="0"/>
        </w:rPr>
        <w:t>.</w:t>
      </w:r>
      <w:r>
        <w:rPr>
          <w:snapToGrid w:val="0"/>
        </w:rPr>
        <w:tab/>
        <w:t>Variation and suspension of, and exemption from compliance with, conditions</w:t>
      </w:r>
      <w:bookmarkEnd w:id="166"/>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ind w:left="890" w:hanging="890"/>
      </w:pPr>
      <w:r>
        <w:tab/>
        <w:t>[Section 97 amended: No. 12 of 1990 s. 78; No. 78 of 1990 s. 7; No. 28 of 1994 s. 44.]</w:t>
      </w:r>
    </w:p>
    <w:p>
      <w:pPr>
        <w:pStyle w:val="Heading5"/>
      </w:pPr>
      <w:bookmarkStart w:id="167" w:name="_Toc33609192"/>
      <w:r>
        <w:rPr>
          <w:rStyle w:val="CharSectno"/>
        </w:rPr>
        <w:t>97A</w:t>
      </w:r>
      <w:r>
        <w:t>.</w:t>
      </w:r>
      <w:r>
        <w:tab/>
        <w:t>Variation of petroleum title by including area as result of change to boundary of offshore area</w:t>
      </w:r>
      <w:bookmarkEnd w:id="167"/>
    </w:p>
    <w:p>
      <w:pPr>
        <w:pStyle w:val="Subsection"/>
      </w:pPr>
      <w:r>
        <w:tab/>
        <w:t>(1)</w:t>
      </w:r>
      <w:r>
        <w:tab/>
        <w:t xml:space="preserve">In this section — </w:t>
      </w:r>
    </w:p>
    <w:p>
      <w:pPr>
        <w:pStyle w:val="Defstart"/>
      </w:pPr>
      <w:r>
        <w:tab/>
      </w:r>
      <w:r>
        <w:rPr>
          <w:rStyle w:val="CharDefText"/>
        </w:rPr>
        <w:t>Commonwealth title</w:t>
      </w:r>
      <w:r>
        <w:t xml:space="preserve"> means — </w:t>
      </w:r>
    </w:p>
    <w:p>
      <w:pPr>
        <w:pStyle w:val="Defpara"/>
      </w:pPr>
      <w:r>
        <w:tab/>
        <w:t>(a)</w:t>
      </w:r>
      <w:r>
        <w:tab/>
        <w:t>a Commonwealth permit; or</w:t>
      </w:r>
    </w:p>
    <w:p>
      <w:pPr>
        <w:pStyle w:val="Defpara"/>
      </w:pPr>
      <w:r>
        <w:tab/>
        <w:t>(b)</w:t>
      </w:r>
      <w:r>
        <w:tab/>
        <w:t>a Commonwealth lease; or</w:t>
      </w:r>
    </w:p>
    <w:p>
      <w:pPr>
        <w:pStyle w:val="Defpara"/>
      </w:pPr>
      <w:r>
        <w:tab/>
        <w:t>(c)</w:t>
      </w:r>
      <w:r>
        <w:tab/>
        <w:t xml:space="preserve">a Commonwealth licence; </w:t>
      </w:r>
    </w:p>
    <w:p>
      <w:pPr>
        <w:pStyle w:val="Defstart"/>
      </w:pPr>
      <w:r>
        <w:tab/>
      </w:r>
      <w:r>
        <w:rPr>
          <w:rStyle w:val="CharDefText"/>
        </w:rPr>
        <w:t>fixed</w:t>
      </w:r>
      <w:r>
        <w:rPr>
          <w:rStyle w:val="CharDefText"/>
        </w:rPr>
        <w:noBreakHyphen/>
        <w:t>term WA petroleum production licence</w:t>
      </w:r>
      <w:r>
        <w:t xml:space="preserve"> means a petroleum production licence granted for a fixed period of years;</w:t>
      </w:r>
    </w:p>
    <w:p>
      <w:pPr>
        <w:pStyle w:val="Defstart"/>
      </w:pPr>
      <w:r>
        <w:tab/>
      </w:r>
      <w:r>
        <w:rPr>
          <w:rStyle w:val="CharDefText"/>
        </w:rPr>
        <w:t>petroleum title</w:t>
      </w:r>
      <w:r>
        <w:t xml:space="preserve"> means a petroleum exploration permit, petroleum retention lease or fixed</w:t>
      </w:r>
      <w:r>
        <w:noBreakHyphen/>
        <w:t>term WA petroleum production licence;</w:t>
      </w:r>
    </w:p>
    <w:p>
      <w:pPr>
        <w:pStyle w:val="Defstart"/>
      </w:pPr>
      <w:r>
        <w:tab/>
      </w:r>
      <w:r>
        <w:rPr>
          <w:rStyle w:val="CharDefText"/>
        </w:rPr>
        <w:t>section 27 block</w:t>
      </w:r>
      <w:r>
        <w:t xml:space="preserve"> means — </w:t>
      </w:r>
    </w:p>
    <w:p>
      <w:pPr>
        <w:pStyle w:val="Defpara"/>
      </w:pPr>
      <w:r>
        <w:tab/>
        <w:t>(a)</w:t>
      </w:r>
      <w:r>
        <w:tab/>
        <w:t>a block constituted as provided by section 27; or</w:t>
      </w:r>
    </w:p>
    <w:p>
      <w:pPr>
        <w:pStyle w:val="Defpara"/>
      </w:pPr>
      <w:r>
        <w:tab/>
        <w:t>(b)</w:t>
      </w:r>
      <w:r>
        <w:tab/>
        <w:t>if a graticular section is wholly within the area that was covered by the Commonwealth title concerned — the graticular section; or</w:t>
      </w:r>
    </w:p>
    <w:p>
      <w:pPr>
        <w:pStyle w:val="Defpara"/>
      </w:pPr>
      <w:r>
        <w:tab/>
        <w:t>(c)</w:t>
      </w:r>
      <w:r>
        <w:tab/>
        <w:t>if a part only of a graticular section is within the area that was covered by the Commonwealth title concerned — that part of the graticular section.</w:t>
      </w:r>
    </w:p>
    <w:p>
      <w:pPr>
        <w:pStyle w:val="PermNoteHeading"/>
      </w:pPr>
      <w:r>
        <w:tab/>
        <w:t>Note for this definition:</w:t>
      </w:r>
    </w:p>
    <w:p>
      <w:pPr>
        <w:pStyle w:val="PermNoteText"/>
      </w:pPr>
      <w:r>
        <w:tab/>
      </w:r>
      <w:r>
        <w:tab/>
        <w:t>See also subsection (14).</w:t>
      </w:r>
    </w:p>
    <w:p>
      <w:pPr>
        <w:pStyle w:val="Subsection"/>
        <w:keepNext/>
      </w:pPr>
      <w:r>
        <w:tab/>
        <w:t>(2)</w:t>
      </w:r>
      <w:r>
        <w:tab/>
        <w:t xml:space="preserve">This section applies if — </w:t>
      </w:r>
    </w:p>
    <w:p>
      <w:pPr>
        <w:pStyle w:val="Indenta"/>
      </w:pPr>
      <w:r>
        <w:tab/>
        <w:t>(a)</w:t>
      </w:r>
      <w:r>
        <w:tab/>
        <w:t xml:space="preserve">a Commonwealth title has been granted on the basis that an area (the </w:t>
      </w:r>
      <w:r>
        <w:rPr>
          <w:rStyle w:val="CharDefText"/>
        </w:rPr>
        <w:t>relevant area</w:t>
      </w:r>
      <w:r>
        <w:t>) is within the offshore area; and</w:t>
      </w:r>
    </w:p>
    <w:p>
      <w:pPr>
        <w:pStyle w:val="Indenta"/>
      </w:pPr>
      <w:r>
        <w:tab/>
        <w:t>(b)</w:t>
      </w:r>
      <w:r>
        <w:tab/>
        <w:t xml:space="preserve">as a result of a change to the boundary of the offshore area, the relevant area — </w:t>
      </w:r>
    </w:p>
    <w:p>
      <w:pPr>
        <w:pStyle w:val="Indenti"/>
      </w:pPr>
      <w:r>
        <w:tab/>
        <w:t>(i)</w:t>
      </w:r>
      <w:r>
        <w:tab/>
        <w:t>ceases to be within the offshore area; and</w:t>
      </w:r>
    </w:p>
    <w:p>
      <w:pPr>
        <w:pStyle w:val="Indenti"/>
      </w:pPr>
      <w:r>
        <w:tab/>
        <w:t>(ii)</w:t>
      </w:r>
      <w:r>
        <w:tab/>
        <w:t>falls within the inshore area;</w:t>
      </w:r>
    </w:p>
    <w:p>
      <w:pPr>
        <w:pStyle w:val="Indenta"/>
      </w:pPr>
      <w:r>
        <w:tab/>
      </w:r>
      <w:r>
        <w:tab/>
        <w:t>and</w:t>
      </w:r>
    </w:p>
    <w:p>
      <w:pPr>
        <w:pStyle w:val="Indenta"/>
      </w:pPr>
      <w:r>
        <w:tab/>
        <w:t>(c)</w:t>
      </w:r>
      <w:r>
        <w:tab/>
        <w:t xml:space="preserve">either — </w:t>
      </w:r>
    </w:p>
    <w:p>
      <w:pPr>
        <w:pStyle w:val="Indenti"/>
      </w:pPr>
      <w:r>
        <w:tab/>
        <w:t>(i)</w:t>
      </w:r>
      <w:r>
        <w:tab/>
        <w:t>the conditions set out in subsection (3) are satisfied; or</w:t>
      </w:r>
    </w:p>
    <w:p>
      <w:pPr>
        <w:pStyle w:val="Indenti"/>
      </w:pPr>
      <w:r>
        <w:tab/>
        <w:t>(ii)</w:t>
      </w:r>
      <w:r>
        <w:tab/>
        <w:t>the conditions set out in subsection (4) are satisfied;</w:t>
      </w:r>
    </w:p>
    <w:p>
      <w:pPr>
        <w:pStyle w:val="Indenta"/>
      </w:pPr>
      <w:r>
        <w:tab/>
      </w:r>
      <w:r>
        <w:tab/>
        <w:t>and</w:t>
      </w:r>
    </w:p>
    <w:p>
      <w:pPr>
        <w:pStyle w:val="Indenta"/>
      </w:pPr>
      <w:r>
        <w:tab/>
        <w:t>(d)</w:t>
      </w:r>
      <w:r>
        <w:tab/>
        <w:t xml:space="preserve">immediately before the relevant time mentioned in whichever of subsection (3) or (4) is applicable — </w:t>
      </w:r>
    </w:p>
    <w:p>
      <w:pPr>
        <w:pStyle w:val="Indenti"/>
      </w:pPr>
      <w:r>
        <w:tab/>
        <w:t>(i)</w:t>
      </w:r>
      <w:r>
        <w:tab/>
        <w:t>the Commonwealth title was held by the registered holder of a petroleum title that corresponds to the Commonwealth title; and</w:t>
      </w:r>
    </w:p>
    <w:p>
      <w:pPr>
        <w:pStyle w:val="Indenti"/>
      </w:pPr>
      <w:r>
        <w:tab/>
        <w:t>(ii)</w:t>
      </w:r>
      <w:r>
        <w:tab/>
        <w:t>at least one section 27 block covered by the petroleum title immediately adjoined at least one other section 27 block that was covered by the Commonwealth title and that is in the relevant area;</w:t>
      </w:r>
    </w:p>
    <w:p>
      <w:pPr>
        <w:pStyle w:val="Indenta"/>
      </w:pPr>
      <w:r>
        <w:tab/>
      </w:r>
      <w:r>
        <w:tab/>
        <w:t>and</w:t>
      </w:r>
    </w:p>
    <w:p>
      <w:pPr>
        <w:pStyle w:val="Indenta"/>
      </w:pPr>
      <w:r>
        <w:tab/>
        <w:t>(e)</w:t>
      </w:r>
      <w:r>
        <w:tab/>
        <w:t xml:space="preserve">before the relevant time mentioned in whichever of subsection (3) or (4) is applicable — </w:t>
      </w:r>
    </w:p>
    <w:p>
      <w:pPr>
        <w:pStyle w:val="Indenti"/>
      </w:pPr>
      <w:r>
        <w:tab/>
        <w:t>(i)</w:t>
      </w:r>
      <w:r>
        <w:tab/>
        <w:t>the registered holder of the Commonwealth title; and</w:t>
      </w:r>
    </w:p>
    <w:p>
      <w:pPr>
        <w:pStyle w:val="Indenti"/>
      </w:pPr>
      <w:r>
        <w:tab/>
        <w:t>(ii)</w:t>
      </w:r>
      <w:r>
        <w:tab/>
        <w:t>the registered holder of the petroleum title,</w:t>
      </w:r>
    </w:p>
    <w:p>
      <w:pPr>
        <w:pStyle w:val="Indenta"/>
      </w:pPr>
      <w:r>
        <w:tab/>
      </w:r>
      <w:r>
        <w:tab/>
        <w:t>gave the Minister a written notice electing to accept the variation under this section of the petroleum title.</w:t>
      </w:r>
    </w:p>
    <w:p>
      <w:pPr>
        <w:pStyle w:val="PermNoteHeading"/>
      </w:pPr>
      <w:r>
        <w:tab/>
        <w:t>Note for this subsection:</w:t>
      </w:r>
    </w:p>
    <w:p>
      <w:pPr>
        <w:pStyle w:val="PermNoteText"/>
      </w:pPr>
      <w:r>
        <w:tab/>
      </w:r>
      <w:r>
        <w:tab/>
        <w:t>For when a petroleum title corresponds to a Commonwealth title, see subsection (13).</w:t>
      </w:r>
    </w:p>
    <w:p>
      <w:pPr>
        <w:pStyle w:val="Subsection"/>
      </w:pPr>
      <w:r>
        <w:tab/>
        <w:t>(3)</w:t>
      </w:r>
      <w:r>
        <w:tab/>
        <w:t xml:space="preserve">The conditions mentioned in subsection (2)(c)(i) are — </w:t>
      </w:r>
    </w:p>
    <w:p>
      <w:pPr>
        <w:pStyle w:val="Indenta"/>
      </w:pPr>
      <w:r>
        <w:tab/>
        <w:t>(a)</w:t>
      </w:r>
      <w:r>
        <w:tab/>
        <w:t>one or more, but not 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 that are in the offshore area; and</w:t>
      </w:r>
    </w:p>
    <w:p>
      <w:pPr>
        <w:pStyle w:val="Indenti"/>
      </w:pPr>
      <w:r>
        <w:tab/>
        <w:t>(ii)</w:t>
      </w:r>
      <w:r>
        <w:tab/>
        <w:t>otherwise than as the result of the cancellation or surrender of the Commonwealth title.</w:t>
      </w:r>
    </w:p>
    <w:p>
      <w:pPr>
        <w:pStyle w:val="Subsection"/>
      </w:pPr>
      <w:r>
        <w:tab/>
        <w:t>(4)</w:t>
      </w:r>
      <w:r>
        <w:tab/>
        <w:t xml:space="preserve">The conditions mentioned in subsection (2)(c)(ii) are — </w:t>
      </w:r>
    </w:p>
    <w:p>
      <w:pPr>
        <w:pStyle w:val="Indenta"/>
      </w:pPr>
      <w:r>
        <w:tab/>
        <w:t>(a)</w:t>
      </w:r>
      <w:r>
        <w:tab/>
        <w:t>all of the section 27 blocks that were covered by the Commonwealth title immediately before the change are in the relevant area; and</w:t>
      </w:r>
    </w:p>
    <w:p>
      <w:pPr>
        <w:pStyle w:val="Indenta"/>
      </w:pPr>
      <w:r>
        <w:tab/>
        <w:t>(b)</w:t>
      </w:r>
      <w:r>
        <w:tab/>
        <w:t xml:space="preserve">the Commonwealth title subsequently ceases to be in force at the same time (the </w:t>
      </w:r>
      <w:r>
        <w:rPr>
          <w:rStyle w:val="CharDefText"/>
        </w:rPr>
        <w:t>relevant time</w:t>
      </w:r>
      <w:r>
        <w:t xml:space="preserve">) — </w:t>
      </w:r>
    </w:p>
    <w:p>
      <w:pPr>
        <w:pStyle w:val="Indenti"/>
      </w:pPr>
      <w:r>
        <w:tab/>
        <w:t>(i)</w:t>
      </w:r>
      <w:r>
        <w:tab/>
        <w:t>as to all of the section 27 blocks that were covered by the Commonwealth title immediately before the change; and</w:t>
      </w:r>
    </w:p>
    <w:p>
      <w:pPr>
        <w:pStyle w:val="Indenti"/>
      </w:pPr>
      <w:r>
        <w:tab/>
        <w:t>(ii)</w:t>
      </w:r>
      <w:r>
        <w:tab/>
        <w:t>otherwise than as the result of the cancellation or surrender of the Commonwealth title.</w:t>
      </w:r>
    </w:p>
    <w:p>
      <w:pPr>
        <w:pStyle w:val="Subsection"/>
      </w:pPr>
      <w:r>
        <w:tab/>
        <w:t>(5)</w:t>
      </w:r>
      <w:r>
        <w:tab/>
        <w:t xml:space="preserve">If the conditions set out in subsection (2)(d) and (e) are met in relation to only one petroleum title, that petroleum title is the </w:t>
      </w:r>
      <w:r>
        <w:rPr>
          <w:rStyle w:val="CharDefText"/>
        </w:rPr>
        <w:t>relevant petroleum title</w:t>
      </w:r>
      <w:r>
        <w:t xml:space="preserve"> for the purposes of this section.</w:t>
      </w:r>
    </w:p>
    <w:p>
      <w:pPr>
        <w:pStyle w:val="Subsection"/>
      </w:pPr>
      <w:r>
        <w:tab/>
        <w:t>(6)</w:t>
      </w:r>
      <w:r>
        <w:tab/>
        <w:t xml:space="preserve">If the conditions set out in subsection (2)(d) and (e) would, apart from this subsection, be met in relation to 2 or more petroleum titles that have the same registered holder, the Minister must, by written notice given to the registered holder, declare that one of those petroleum titles is the </w:t>
      </w:r>
      <w:r>
        <w:rPr>
          <w:rStyle w:val="CharDefText"/>
        </w:rPr>
        <w:t>relevant petroleum title</w:t>
      </w:r>
      <w:r>
        <w:t xml:space="preserve"> for the purposes of this section.</w:t>
      </w:r>
    </w:p>
    <w:p>
      <w:pPr>
        <w:pStyle w:val="Subsection"/>
      </w:pPr>
      <w:r>
        <w:tab/>
        <w:t>(7)</w:t>
      </w:r>
      <w:r>
        <w:tab/>
        <w:t xml:space="preserve">If the relevant petroleum title is a petroleum exploration permit — </w:t>
      </w:r>
    </w:p>
    <w:p>
      <w:pPr>
        <w:pStyle w:val="Indenta"/>
      </w:pPr>
      <w:r>
        <w:tab/>
        <w:t>(a)</w:t>
      </w:r>
      <w:r>
        <w:tab/>
        <w:t xml:space="preserve">the Minister must, by written notice given to the permittee, vary the permit to include in the permit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permit area because of the variation are, for the remainder of the term of the permit, blocks in relation to which the permit is in force.</w:t>
      </w:r>
    </w:p>
    <w:p>
      <w:pPr>
        <w:pStyle w:val="Subsection"/>
      </w:pPr>
      <w:r>
        <w:tab/>
        <w:t>(8)</w:t>
      </w:r>
      <w:r>
        <w:tab/>
        <w:t xml:space="preserve">If the relevant petroleum title is a petroleum retention lease — </w:t>
      </w:r>
    </w:p>
    <w:p>
      <w:pPr>
        <w:pStyle w:val="Indenta"/>
      </w:pPr>
      <w:r>
        <w:tab/>
        <w:t>(a)</w:t>
      </w:r>
      <w:r>
        <w:tab/>
        <w:t xml:space="preserve">the Minister must, by written notice given to the lessee, vary the lease to include in the lease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lease area because of the variation are, for the remainder of the term of the lease, blocks in relation to which the lease is in force.</w:t>
      </w:r>
    </w:p>
    <w:p>
      <w:pPr>
        <w:pStyle w:val="Subsection"/>
      </w:pPr>
      <w:r>
        <w:tab/>
        <w:t>(9)</w:t>
      </w:r>
      <w:r>
        <w:tab/>
        <w:t xml:space="preserve">If the relevant petroleum title is a petroleum production licence — </w:t>
      </w:r>
    </w:p>
    <w:p>
      <w:pPr>
        <w:pStyle w:val="Indenta"/>
      </w:pPr>
      <w:r>
        <w:tab/>
        <w:t>(a)</w:t>
      </w:r>
      <w:r>
        <w:tab/>
        <w:t xml:space="preserve">the Minister must, by written notice given to the licensee, vary the licence to include in the licence area all of the section 27 blocks that — </w:t>
      </w:r>
    </w:p>
    <w:p>
      <w:pPr>
        <w:pStyle w:val="Indenti"/>
      </w:pPr>
      <w:r>
        <w:tab/>
        <w:t>(i)</w:t>
      </w:r>
      <w:r>
        <w:tab/>
        <w:t>correspond to the section 27 blocks that were covered by the Commonwealth title immediately before the change; and</w:t>
      </w:r>
    </w:p>
    <w:p>
      <w:pPr>
        <w:pStyle w:val="Indenti"/>
      </w:pPr>
      <w:r>
        <w:tab/>
        <w:t>(ii)</w:t>
      </w:r>
      <w:r>
        <w:tab/>
        <w:t>are in the inshore area;</w:t>
      </w:r>
    </w:p>
    <w:p>
      <w:pPr>
        <w:pStyle w:val="Indenta"/>
      </w:pPr>
      <w:r>
        <w:tab/>
      </w:r>
      <w:r>
        <w:tab/>
        <w:t>and</w:t>
      </w:r>
    </w:p>
    <w:p>
      <w:pPr>
        <w:pStyle w:val="Indenta"/>
      </w:pPr>
      <w:r>
        <w:tab/>
        <w:t>(b)</w:t>
      </w:r>
      <w:r>
        <w:tab/>
        <w:t>the section 27 blocks included in the licence area because of the variation are, for the remainder of the term of the licence, blocks in relation to which the licence is in force.</w:t>
      </w:r>
    </w:p>
    <w:p>
      <w:pPr>
        <w:pStyle w:val="Subsection"/>
      </w:pPr>
      <w:r>
        <w:tab/>
        <w:t>(10)</w:t>
      </w:r>
      <w:r>
        <w:tab/>
        <w:t>Subsections (7)(b), (8)(b) and (9)(b) have effect subject to this Part.</w:t>
      </w:r>
    </w:p>
    <w:p>
      <w:pPr>
        <w:pStyle w:val="Subsection"/>
      </w:pPr>
      <w:r>
        <w:tab/>
        <w:t>(11)</w:t>
      </w:r>
      <w:r>
        <w:tab/>
        <w:t>A variation mentioned in subsection (7)(a), (8)(a) or (9)(a) takes effect immediately after the relevant time mentioned in whichever of subsection (3) or (4) is applicable.</w:t>
      </w:r>
    </w:p>
    <w:p>
      <w:pPr>
        <w:pStyle w:val="Subsection"/>
      </w:pPr>
      <w:r>
        <w:tab/>
        <w:t>(12)</w:t>
      </w:r>
      <w:r>
        <w:tab/>
        <w:t xml:space="preserve">For the purposes of this section, a section 27 block immediately adjoins another section 27 block if — </w:t>
      </w:r>
    </w:p>
    <w:p>
      <w:pPr>
        <w:pStyle w:val="Indenta"/>
      </w:pPr>
      <w:r>
        <w:tab/>
        <w:t>(a)</w:t>
      </w:r>
      <w:r>
        <w:tab/>
        <w:t xml:space="preserve">the graticular section that constitutes or includes that section 27 block and the graticular section that constitutes or includes that other section 27 block — </w:t>
      </w:r>
    </w:p>
    <w:p>
      <w:pPr>
        <w:pStyle w:val="Indenti"/>
      </w:pPr>
      <w:r>
        <w:tab/>
        <w:t>(i)</w:t>
      </w:r>
      <w:r>
        <w:tab/>
        <w:t>have a side in common; or</w:t>
      </w:r>
    </w:p>
    <w:p>
      <w:pPr>
        <w:pStyle w:val="Indenti"/>
      </w:pPr>
      <w:r>
        <w:tab/>
        <w:t>(ii)</w:t>
      </w:r>
      <w:r>
        <w:tab/>
        <w:t>are joined together at one point only;</w:t>
      </w:r>
    </w:p>
    <w:p>
      <w:pPr>
        <w:pStyle w:val="Indenta"/>
      </w:pPr>
      <w:r>
        <w:tab/>
      </w:r>
      <w:r>
        <w:tab/>
        <w:t>or</w:t>
      </w:r>
    </w:p>
    <w:p>
      <w:pPr>
        <w:pStyle w:val="Indenta"/>
      </w:pPr>
      <w:r>
        <w:tab/>
        <w:t>(b)</w:t>
      </w:r>
      <w:r>
        <w:tab/>
        <w:t>that section 27 block and that other section 27 block are in the same graticular section.</w:t>
      </w:r>
    </w:p>
    <w:p>
      <w:pPr>
        <w:pStyle w:val="Subsection"/>
      </w:pPr>
      <w:r>
        <w:tab/>
        <w:t>(13)</w:t>
      </w:r>
      <w:r>
        <w:tab/>
        <w:t xml:space="preserve">For the purposes of this section — </w:t>
      </w:r>
    </w:p>
    <w:p>
      <w:pPr>
        <w:pStyle w:val="Indenta"/>
      </w:pPr>
      <w:r>
        <w:tab/>
        <w:t>(a)</w:t>
      </w:r>
      <w:r>
        <w:tab/>
        <w:t>a petroleum exploration permit granted otherwise than by way of renewal corresponds to a Commonwealth permit granted otherwise than by way of renewal; and</w:t>
      </w:r>
    </w:p>
    <w:p>
      <w:pPr>
        <w:pStyle w:val="Indenta"/>
      </w:pPr>
      <w:r>
        <w:tab/>
        <w:t>(b)</w:t>
      </w:r>
      <w:r>
        <w:tab/>
        <w:t>a petroleum retention lease corresponds to a Commonwealth lease; and</w:t>
      </w:r>
    </w:p>
    <w:p>
      <w:pPr>
        <w:pStyle w:val="Indenta"/>
      </w:pPr>
      <w:r>
        <w:tab/>
        <w:t>(c)</w:t>
      </w:r>
      <w:r>
        <w:tab/>
        <w:t>a fixed</w:t>
      </w:r>
      <w:r>
        <w:noBreakHyphen/>
        <w:t>term WA petroleum production licence granted otherwise than by way of renewal corresponds to a Commonwealth licence granted otherwise than by way of renewal; and</w:t>
      </w:r>
    </w:p>
    <w:p>
      <w:pPr>
        <w:pStyle w:val="Indenta"/>
      </w:pPr>
      <w:r>
        <w:tab/>
        <w:t>(d)</w:t>
      </w:r>
      <w:r>
        <w:tab/>
        <w:t>a petroleum exploration permit granted by way of first renewal corresponds to a Commonwealth permit granted by way of first renewal; and</w:t>
      </w:r>
    </w:p>
    <w:p>
      <w:pPr>
        <w:pStyle w:val="Indenta"/>
      </w:pPr>
      <w:r>
        <w:tab/>
        <w:t>(e)</w:t>
      </w:r>
      <w:r>
        <w:tab/>
        <w:t>a fixed</w:t>
      </w:r>
      <w:r>
        <w:noBreakHyphen/>
        <w:t>term WA petroleum production licence granted by way of first renewal corresponds to a Commonwealth licence granted by way of first renewal; and</w:t>
      </w:r>
    </w:p>
    <w:p>
      <w:pPr>
        <w:pStyle w:val="Indenta"/>
      </w:pPr>
      <w:r>
        <w:tab/>
        <w:t>(f)</w:t>
      </w:r>
      <w:r>
        <w:tab/>
        <w:t>a petroleum exploration permit granted by way of second renewal corresponds to a Commonwealth permit granted by way of second renewal; and</w:t>
      </w:r>
    </w:p>
    <w:p>
      <w:pPr>
        <w:pStyle w:val="Indenta"/>
      </w:pPr>
      <w:r>
        <w:tab/>
        <w:t>(g)</w:t>
      </w:r>
      <w:r>
        <w:tab/>
        <w:t>a fixed</w:t>
      </w:r>
      <w:r>
        <w:noBreakHyphen/>
        <w:t>term WA petroleum production licence granted by way of second or subsequent renewal corresponds to a fixed</w:t>
      </w:r>
      <w:r>
        <w:noBreakHyphen/>
        <w:t>term petroleum production licence, as defined in the Commonwealth Act section 7, granted by way of second or subsequent renewal.</w:t>
      </w:r>
    </w:p>
    <w:p>
      <w:pPr>
        <w:pStyle w:val="Subsection"/>
      </w:pPr>
      <w:r>
        <w:tab/>
        <w:t>(14)</w:t>
      </w:r>
      <w:r>
        <w:tab/>
        <w:t xml:space="preserve">If, after the change to the boundary of the offshore area — </w:t>
      </w:r>
    </w:p>
    <w:p>
      <w:pPr>
        <w:pStyle w:val="Indenta"/>
      </w:pPr>
      <w:r>
        <w:tab/>
        <w:t>(a)</w:t>
      </w:r>
      <w:r>
        <w:tab/>
        <w:t>a part of a section 27 block that was covered by the Commonwealth title immediately before the change is in the offshore area; and</w:t>
      </w:r>
    </w:p>
    <w:p>
      <w:pPr>
        <w:pStyle w:val="Indenta"/>
      </w:pPr>
      <w:r>
        <w:tab/>
        <w:t>(b)</w:t>
      </w:r>
      <w:r>
        <w:tab/>
        <w:t>the remaining part of the section 27 block is in the inshore area,</w:t>
      </w:r>
    </w:p>
    <w:p>
      <w:pPr>
        <w:pStyle w:val="Subsection"/>
      </w:pPr>
      <w:r>
        <w:tab/>
      </w:r>
      <w:r>
        <w:tab/>
        <w:t>then, for the purposes of this section (other than this subsection), each of those parts is taken to constitute, and to have always constituted, a section 27 block.</w:t>
      </w:r>
    </w:p>
    <w:p>
      <w:pPr>
        <w:pStyle w:val="Footnotesection"/>
        <w:ind w:left="890" w:hanging="890"/>
      </w:pPr>
      <w:r>
        <w:tab/>
        <w:t>[Section 97A inserted: No. 7 of 2017 s. 24.]</w:t>
      </w:r>
    </w:p>
    <w:p>
      <w:pPr>
        <w:pStyle w:val="Heading5"/>
        <w:spacing w:before="240"/>
        <w:rPr>
          <w:snapToGrid w:val="0"/>
        </w:rPr>
      </w:pPr>
      <w:bookmarkStart w:id="168" w:name="_Toc33609193"/>
      <w:r>
        <w:rPr>
          <w:rStyle w:val="CharSectno"/>
        </w:rPr>
        <w:t>98</w:t>
      </w:r>
      <w:r>
        <w:rPr>
          <w:snapToGrid w:val="0"/>
        </w:rPr>
        <w:t>.</w:t>
      </w:r>
      <w:r>
        <w:rPr>
          <w:snapToGrid w:val="0"/>
        </w:rPr>
        <w:tab/>
        <w:t>Surrender of permits etc.</w:t>
      </w:r>
      <w:bookmarkEnd w:id="168"/>
    </w:p>
    <w:p>
      <w:pPr>
        <w:pStyle w:val="Subsection"/>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spacing w:before="120"/>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spacing w:before="120"/>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spacing w:before="120"/>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spacing w:before="120"/>
        <w:rPr>
          <w:snapToGrid w:val="0"/>
        </w:rPr>
      </w:pPr>
      <w:r>
        <w:rPr>
          <w:snapToGrid w:val="0"/>
        </w:rPr>
        <w:tab/>
        <w:t>(5)</w:t>
      </w:r>
      <w:r>
        <w:rPr>
          <w:snapToGrid w:val="0"/>
        </w:rPr>
        <w:tab/>
        <w:t>In this section,</w:t>
      </w:r>
      <w:r>
        <w:t xml:space="preserve"> the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spacing w:before="80"/>
        <w:ind w:left="890" w:hanging="890"/>
      </w:pPr>
      <w:r>
        <w:tab/>
        <w:t>[Section 98 amended: No. 12 of 1990 s. 79; No. 78 of 1990 s. 7.]</w:t>
      </w:r>
    </w:p>
    <w:p>
      <w:pPr>
        <w:pStyle w:val="Heading5"/>
        <w:spacing w:before="180"/>
        <w:rPr>
          <w:snapToGrid w:val="0"/>
        </w:rPr>
      </w:pPr>
      <w:bookmarkStart w:id="169" w:name="_Toc33609194"/>
      <w:r>
        <w:rPr>
          <w:rStyle w:val="CharSectno"/>
        </w:rPr>
        <w:t>99</w:t>
      </w:r>
      <w:r>
        <w:rPr>
          <w:snapToGrid w:val="0"/>
        </w:rPr>
        <w:t>.</w:t>
      </w:r>
      <w:r>
        <w:rPr>
          <w:snapToGrid w:val="0"/>
        </w:rPr>
        <w:tab/>
        <w:t>Cancellation of permits etc.</w:t>
      </w:r>
      <w:bookmarkEnd w:id="169"/>
    </w:p>
    <w:p>
      <w:pPr>
        <w:pStyle w:val="Subsection"/>
        <w:spacing w:before="120"/>
        <w:rPr>
          <w:snapToGrid w:val="0"/>
        </w:rPr>
      </w:pPr>
      <w:r>
        <w:rPr>
          <w:snapToGrid w:val="0"/>
        </w:rPr>
        <w:tab/>
        <w:t>(1)</w:t>
      </w:r>
      <w:r>
        <w:rPr>
          <w:snapToGrid w:val="0"/>
        </w:rPr>
        <w:tab/>
        <w:t>Where a permittee, holder of a drilling reservation, lessee or licensee —</w:t>
      </w:r>
    </w:p>
    <w:p>
      <w:pPr>
        <w:pStyle w:val="Indenta"/>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ind w:left="890" w:hanging="890"/>
      </w:pPr>
      <w:r>
        <w:tab/>
        <w:t>[Section 99 amended: No. 12 of 1990 s. 80; No. 78 of 1990 s. 7.]</w:t>
      </w:r>
    </w:p>
    <w:p>
      <w:pPr>
        <w:pStyle w:val="Heading5"/>
        <w:keepNext w:val="0"/>
        <w:keepLines w:val="0"/>
        <w:rPr>
          <w:snapToGrid w:val="0"/>
        </w:rPr>
      </w:pPr>
      <w:bookmarkStart w:id="170" w:name="_Toc33609195"/>
      <w:r>
        <w:rPr>
          <w:rStyle w:val="CharSectno"/>
        </w:rPr>
        <w:t>100</w:t>
      </w:r>
      <w:r>
        <w:rPr>
          <w:snapToGrid w:val="0"/>
        </w:rPr>
        <w:t>.</w:t>
      </w:r>
      <w:r>
        <w:rPr>
          <w:snapToGrid w:val="0"/>
        </w:rPr>
        <w:tab/>
        <w:t>Cancellation of permit etc. not affected by other provisions</w:t>
      </w:r>
      <w:bookmarkEnd w:id="170"/>
    </w:p>
    <w:p>
      <w:pPr>
        <w:pStyle w:val="Subsection"/>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ind w:left="890" w:hanging="890"/>
      </w:pPr>
      <w:r>
        <w:tab/>
        <w:t>[Section 100 amended: No. 12 of 1990 s. 81; No. 78 of 1990 s. 7.]</w:t>
      </w:r>
    </w:p>
    <w:p>
      <w:pPr>
        <w:pStyle w:val="Heading5"/>
        <w:rPr>
          <w:snapToGrid w:val="0"/>
        </w:rPr>
      </w:pPr>
      <w:bookmarkStart w:id="171" w:name="_Toc33609196"/>
      <w:r>
        <w:rPr>
          <w:rStyle w:val="CharSectno"/>
        </w:rPr>
        <w:t>101</w:t>
      </w:r>
      <w:r>
        <w:rPr>
          <w:snapToGrid w:val="0"/>
        </w:rPr>
        <w:t>.</w:t>
      </w:r>
      <w:r>
        <w:rPr>
          <w:snapToGrid w:val="0"/>
        </w:rPr>
        <w:tab/>
        <w:t>Removal of property etc. by permittee etc.</w:t>
      </w:r>
      <w:bookmarkEnd w:id="171"/>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No. 12 of 1990 s. 82; No. 78 of 1990 s. 7; No. 42 of 2010 s. 62(10).]</w:t>
      </w:r>
    </w:p>
    <w:p>
      <w:pPr>
        <w:pStyle w:val="Heading5"/>
        <w:rPr>
          <w:snapToGrid w:val="0"/>
        </w:rPr>
      </w:pPr>
      <w:bookmarkStart w:id="172" w:name="_Toc33609197"/>
      <w:r>
        <w:rPr>
          <w:rStyle w:val="CharSectno"/>
        </w:rPr>
        <w:t>102</w:t>
      </w:r>
      <w:r>
        <w:rPr>
          <w:snapToGrid w:val="0"/>
        </w:rPr>
        <w:t>.</w:t>
      </w:r>
      <w:r>
        <w:rPr>
          <w:snapToGrid w:val="0"/>
        </w:rPr>
        <w:tab/>
        <w:t>Removal of property etc. by Minister</w:t>
      </w:r>
      <w:bookmarkEnd w:id="172"/>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No. 12 of 1990 s. 83; No. 78 of 1990 s. 7.]</w:t>
      </w:r>
    </w:p>
    <w:p>
      <w:pPr>
        <w:pStyle w:val="Ednotesection"/>
      </w:pPr>
      <w:r>
        <w:t>[</w:t>
      </w:r>
      <w:r>
        <w:rPr>
          <w:b/>
        </w:rPr>
        <w:t>103, 104.</w:t>
      </w:r>
      <w:r>
        <w:tab/>
        <w:t>Deleted: No. 42 of 2010 s. 47.]</w:t>
      </w:r>
    </w:p>
    <w:p>
      <w:pPr>
        <w:pStyle w:val="Heading5"/>
        <w:rPr>
          <w:snapToGrid w:val="0"/>
        </w:rPr>
      </w:pPr>
      <w:bookmarkStart w:id="173" w:name="_Toc33609198"/>
      <w:r>
        <w:rPr>
          <w:rStyle w:val="CharSectno"/>
        </w:rPr>
        <w:t>105</w:t>
      </w:r>
      <w:r>
        <w:rPr>
          <w:snapToGrid w:val="0"/>
        </w:rPr>
        <w:t>.</w:t>
      </w:r>
      <w:r>
        <w:rPr>
          <w:snapToGrid w:val="0"/>
        </w:rPr>
        <w:tab/>
        <w:t>Special prospecting authorities</w:t>
      </w:r>
      <w:bookmarkEnd w:id="173"/>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No. 12 of 1990 s. 85; No. 28 of 1994 s. 45; No. 13 of 2005 s. 16(2); No. 35 of 2007 s. 66; No. 42 of 2010 s. 48 and 62(15).]</w:t>
      </w:r>
    </w:p>
    <w:p>
      <w:pPr>
        <w:pStyle w:val="Heading5"/>
        <w:rPr>
          <w:snapToGrid w:val="0"/>
        </w:rPr>
      </w:pPr>
      <w:bookmarkStart w:id="174" w:name="_Toc33609199"/>
      <w:r>
        <w:rPr>
          <w:rStyle w:val="CharSectno"/>
        </w:rPr>
        <w:t>106</w:t>
      </w:r>
      <w:r>
        <w:rPr>
          <w:snapToGrid w:val="0"/>
        </w:rPr>
        <w:t>.</w:t>
      </w:r>
      <w:r>
        <w:rPr>
          <w:snapToGrid w:val="0"/>
        </w:rPr>
        <w:tab/>
        <w:t>Access authorities</w:t>
      </w:r>
      <w:bookmarkEnd w:id="174"/>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Northern Territory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Northern Territory to explore for, or to recover, petroleum.</w:t>
      </w:r>
    </w:p>
    <w:p>
      <w:pPr>
        <w:pStyle w:val="Footnotesection"/>
      </w:pPr>
      <w:r>
        <w:tab/>
        <w:t>[Section 106 amended: No. 12 of 1990 s. 86; No. 78 of 1990 s. 7; No. 28 of 1994 s. 46; No. 13 of 2005 s. 16(2); No. 35 of 2007 s. 67; No. 42 of 2010 s. 49 and 62(15).]</w:t>
      </w:r>
    </w:p>
    <w:p>
      <w:pPr>
        <w:pStyle w:val="Heading5"/>
        <w:rPr>
          <w:snapToGrid w:val="0"/>
        </w:rPr>
      </w:pPr>
      <w:bookmarkStart w:id="175" w:name="_Toc33609200"/>
      <w:r>
        <w:rPr>
          <w:rStyle w:val="CharSectno"/>
        </w:rPr>
        <w:t>107</w:t>
      </w:r>
      <w:r>
        <w:rPr>
          <w:snapToGrid w:val="0"/>
        </w:rPr>
        <w:t>.</w:t>
      </w:r>
      <w:r>
        <w:rPr>
          <w:snapToGrid w:val="0"/>
        </w:rPr>
        <w:tab/>
        <w:t>Removal, disposal or sale of property</w:t>
      </w:r>
      <w:bookmarkEnd w:id="175"/>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spacing w:before="120"/>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spacing w:before="120"/>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spacing w:before="120"/>
        <w:rPr>
          <w:snapToGrid w:val="0"/>
        </w:rPr>
      </w:pPr>
      <w:r>
        <w:rPr>
          <w:snapToGrid w:val="0"/>
        </w:rPr>
        <w:tab/>
      </w:r>
      <w:r>
        <w:rPr>
          <w:snapToGrid w:val="0"/>
        </w:rPr>
        <w:tab/>
        <w:t>and, to the extent to which they are not recovered under subsection (2), are recoverable in a court of competent jurisdiction.</w:t>
      </w:r>
    </w:p>
    <w:p>
      <w:pPr>
        <w:pStyle w:val="Subsection"/>
        <w:spacing w:before="120"/>
        <w:rPr>
          <w:snapToGrid w:val="0"/>
        </w:rPr>
      </w:pPr>
      <w:r>
        <w:rPr>
          <w:snapToGrid w:val="0"/>
        </w:rPr>
        <w:tab/>
        <w:t>(4)</w:t>
      </w:r>
      <w:r>
        <w:rPr>
          <w:snapToGrid w:val="0"/>
        </w:rPr>
        <w:tab/>
        <w:t>Subject to subsection (3), no action lies in respect of the removal, disposal or sale of property under this section.</w:t>
      </w:r>
    </w:p>
    <w:p>
      <w:pPr>
        <w:pStyle w:val="Footnotesection"/>
        <w:spacing w:before="80"/>
        <w:ind w:left="890" w:hanging="890"/>
      </w:pPr>
      <w:r>
        <w:tab/>
        <w:t>[Section 107 amended: No. 12 of 1990 s. 87; No. 78 of 1990 s. 7.]</w:t>
      </w:r>
    </w:p>
    <w:p>
      <w:pPr>
        <w:pStyle w:val="Ednotesection"/>
      </w:pPr>
      <w:r>
        <w:t>[</w:t>
      </w:r>
      <w:r>
        <w:rPr>
          <w:b/>
        </w:rPr>
        <w:t>108.</w:t>
      </w:r>
      <w:r>
        <w:tab/>
        <w:t>Deleted: No. 28 of 1994 s. 47.]</w:t>
      </w:r>
    </w:p>
    <w:p>
      <w:pPr>
        <w:pStyle w:val="Heading5"/>
        <w:rPr>
          <w:snapToGrid w:val="0"/>
        </w:rPr>
      </w:pPr>
      <w:bookmarkStart w:id="176" w:name="_Toc33609201"/>
      <w:r>
        <w:rPr>
          <w:rStyle w:val="CharSectno"/>
        </w:rPr>
        <w:t>109</w:t>
      </w:r>
      <w:r>
        <w:rPr>
          <w:snapToGrid w:val="0"/>
        </w:rPr>
        <w:t>.</w:t>
      </w:r>
      <w:r>
        <w:rPr>
          <w:snapToGrid w:val="0"/>
        </w:rPr>
        <w:tab/>
        <w:t>Minister etc. may require information to be furnished etc.</w:t>
      </w:r>
      <w:bookmarkEnd w:id="176"/>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No. 35 of 2007 s. 68; No. 42 of 2010 s. 50.]</w:t>
      </w:r>
    </w:p>
    <w:p>
      <w:pPr>
        <w:pStyle w:val="Heading5"/>
        <w:rPr>
          <w:snapToGrid w:val="0"/>
        </w:rPr>
      </w:pPr>
      <w:bookmarkStart w:id="177" w:name="_Toc33609202"/>
      <w:r>
        <w:rPr>
          <w:rStyle w:val="CharSectno"/>
        </w:rPr>
        <w:t>110</w:t>
      </w:r>
      <w:r>
        <w:rPr>
          <w:snapToGrid w:val="0"/>
        </w:rPr>
        <w:t>.</w:t>
      </w:r>
      <w:r>
        <w:rPr>
          <w:snapToGrid w:val="0"/>
        </w:rPr>
        <w:tab/>
        <w:t>Power to examine on oath</w:t>
      </w:r>
      <w:bookmarkEnd w:id="177"/>
    </w:p>
    <w:p>
      <w:pPr>
        <w:pStyle w:val="Subsection"/>
        <w:spacing w:before="120"/>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spacing w:before="120"/>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spacing w:before="120"/>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78" w:name="_Toc33609203"/>
      <w:r>
        <w:rPr>
          <w:rStyle w:val="CharSectno"/>
        </w:rPr>
        <w:t>111</w:t>
      </w:r>
      <w:r>
        <w:rPr>
          <w:snapToGrid w:val="0"/>
        </w:rPr>
        <w:t>.</w:t>
      </w:r>
      <w:r>
        <w:rPr>
          <w:snapToGrid w:val="0"/>
        </w:rPr>
        <w:tab/>
        <w:t>Failing to furnish information etc.</w:t>
      </w:r>
      <w:bookmarkEnd w:id="178"/>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spacing w:before="80"/>
        <w:ind w:left="890" w:hanging="890"/>
      </w:pPr>
      <w:r>
        <w:tab/>
        <w:t>[Section 111 amended: No. 12 of 1990 s. 89; No. 42 of 2010 s. 62(15).]</w:t>
      </w:r>
    </w:p>
    <w:p>
      <w:pPr>
        <w:pStyle w:val="Ednotesection"/>
        <w:spacing w:before="160"/>
        <w:ind w:left="890" w:hanging="890"/>
      </w:pPr>
      <w:r>
        <w:t>[</w:t>
      </w:r>
      <w:r>
        <w:rPr>
          <w:b/>
        </w:rPr>
        <w:t>112.</w:t>
      </w:r>
      <w:r>
        <w:tab/>
        <w:t>Deleted: No. 42 of 2010 s. 51.]</w:t>
      </w:r>
    </w:p>
    <w:p>
      <w:pPr>
        <w:pStyle w:val="Heading5"/>
        <w:spacing w:before="160"/>
        <w:rPr>
          <w:snapToGrid w:val="0"/>
        </w:rPr>
      </w:pPr>
      <w:bookmarkStart w:id="179" w:name="_Toc33609204"/>
      <w:r>
        <w:rPr>
          <w:rStyle w:val="CharSectno"/>
        </w:rPr>
        <w:t>112A</w:t>
      </w:r>
      <w:r>
        <w:rPr>
          <w:snapToGrid w:val="0"/>
        </w:rPr>
        <w:t>.</w:t>
      </w:r>
      <w:r>
        <w:rPr>
          <w:snapToGrid w:val="0"/>
        </w:rPr>
        <w:tab/>
        <w:t>Safety zones</w:t>
      </w:r>
      <w:bookmarkEnd w:id="179"/>
    </w:p>
    <w:p>
      <w:pPr>
        <w:pStyle w:val="Subsection"/>
        <w:spacing w:before="120"/>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spacing w:before="60"/>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No. 28 of 1994 s. 49; amended: No. 42 of 2010 s. 62(11).]</w:t>
      </w:r>
    </w:p>
    <w:p>
      <w:pPr>
        <w:pStyle w:val="Heading5"/>
        <w:rPr>
          <w:snapToGrid w:val="0"/>
        </w:rPr>
      </w:pPr>
      <w:bookmarkStart w:id="180" w:name="_Toc33609205"/>
      <w:r>
        <w:rPr>
          <w:rStyle w:val="CharSectno"/>
        </w:rPr>
        <w:t>113</w:t>
      </w:r>
      <w:r>
        <w:rPr>
          <w:snapToGrid w:val="0"/>
        </w:rPr>
        <w:t>.</w:t>
      </w:r>
      <w:r>
        <w:rPr>
          <w:snapToGrid w:val="0"/>
        </w:rPr>
        <w:tab/>
        <w:t>Discovery of water to be notified</w:t>
      </w:r>
      <w:bookmarkEnd w:id="180"/>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No. 12 of 1990 s. 91; No. 78 of 1990 s. 7; No. 28 of 1994 s. 50; No. 35 of 2007 s. 70; No. 42 of 2010 s. 62(15).]</w:t>
      </w:r>
    </w:p>
    <w:p>
      <w:pPr>
        <w:pStyle w:val="Ednotesection"/>
      </w:pPr>
      <w:r>
        <w:t>[</w:t>
      </w:r>
      <w:r>
        <w:rPr>
          <w:b/>
        </w:rPr>
        <w:t>114</w:t>
      </w:r>
      <w:r>
        <w:t>.</w:t>
      </w:r>
      <w:r>
        <w:tab/>
        <w:t>Deleted: No. 42 of 2010 s. 52.]</w:t>
      </w:r>
    </w:p>
    <w:p>
      <w:pPr>
        <w:pStyle w:val="Heading5"/>
        <w:rPr>
          <w:snapToGrid w:val="0"/>
        </w:rPr>
      </w:pPr>
      <w:bookmarkStart w:id="181" w:name="_Toc33609206"/>
      <w:r>
        <w:rPr>
          <w:rStyle w:val="CharSectno"/>
        </w:rPr>
        <w:t>115</w:t>
      </w:r>
      <w:r>
        <w:rPr>
          <w:snapToGrid w:val="0"/>
        </w:rPr>
        <w:t>.</w:t>
      </w:r>
      <w:r>
        <w:rPr>
          <w:snapToGrid w:val="0"/>
        </w:rPr>
        <w:tab/>
        <w:t>Records etc. to be kept</w:t>
      </w:r>
      <w:bookmarkEnd w:id="181"/>
    </w:p>
    <w:p>
      <w:pPr>
        <w:pStyle w:val="Subsection"/>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No. 12 of 1990 s. 93; No. 78 of 1990 s. 7; No. 28 of 1994 s. 52; No. 42 of 2010 s. 62(12).]</w:t>
      </w:r>
    </w:p>
    <w:p>
      <w:pPr>
        <w:pStyle w:val="Heading5"/>
      </w:pPr>
      <w:bookmarkStart w:id="182" w:name="_Toc33609207"/>
      <w:r>
        <w:rPr>
          <w:rStyle w:val="CharSectno"/>
        </w:rPr>
        <w:t>116A</w:t>
      </w:r>
      <w:r>
        <w:t>.</w:t>
      </w:r>
      <w:r>
        <w:tab/>
        <w:t>Data management: regulations</w:t>
      </w:r>
      <w:bookmarkEnd w:id="182"/>
    </w:p>
    <w:p>
      <w:pPr>
        <w:pStyle w:val="Subsection"/>
      </w:pPr>
      <w:r>
        <w:tab/>
        <w:t>(1)</w:t>
      </w:r>
      <w:r>
        <w:tab/>
        <w:t xml:space="preserve">The regulations may make provision for and in relation to — </w:t>
      </w:r>
    </w:p>
    <w:p>
      <w:pPr>
        <w:pStyle w:val="Indenta"/>
      </w:pPr>
      <w:r>
        <w:tab/>
        <w:t>(a)</w:t>
      </w:r>
      <w:r>
        <w:tab/>
        <w:t xml:space="preserve">the keeping of accounts, records and other documents in connection with operations under — </w:t>
      </w:r>
    </w:p>
    <w:p>
      <w:pPr>
        <w:pStyle w:val="Indenti"/>
      </w:pPr>
      <w:r>
        <w:tab/>
        <w:t>(i)</w:t>
      </w:r>
      <w:r>
        <w:tab/>
        <w:t>a permit; or</w:t>
      </w:r>
    </w:p>
    <w:p>
      <w:pPr>
        <w:pStyle w:val="Indenti"/>
      </w:pPr>
      <w:r>
        <w:tab/>
        <w:t>(ii)</w:t>
      </w:r>
      <w:r>
        <w:tab/>
        <w:t>a drilling reservation; or</w:t>
      </w:r>
    </w:p>
    <w:p>
      <w:pPr>
        <w:pStyle w:val="Indenti"/>
      </w:pPr>
      <w:r>
        <w:tab/>
        <w:t>(iii)</w:t>
      </w:r>
      <w:r>
        <w:tab/>
        <w:t>a lease; or</w:t>
      </w:r>
    </w:p>
    <w:p>
      <w:pPr>
        <w:pStyle w:val="Indenti"/>
      </w:pPr>
      <w:r>
        <w:tab/>
        <w:t>(iv)</w:t>
      </w:r>
      <w:r>
        <w:tab/>
        <w:t>a licence; or</w:t>
      </w:r>
    </w:p>
    <w:p>
      <w:pPr>
        <w:pStyle w:val="Indenti"/>
      </w:pPr>
      <w:r>
        <w:tab/>
        <w:t>(v)</w:t>
      </w:r>
      <w:r>
        <w:tab/>
        <w:t>a special prospecting authority; or</w:t>
      </w:r>
    </w:p>
    <w:p>
      <w:pPr>
        <w:pStyle w:val="Indenti"/>
      </w:pPr>
      <w:r>
        <w:tab/>
        <w:t>(vi)</w:t>
      </w:r>
      <w:r>
        <w:tab/>
        <w:t>an access authority; or</w:t>
      </w:r>
    </w:p>
    <w:p>
      <w:pPr>
        <w:pStyle w:val="Indenti"/>
      </w:pPr>
      <w:r>
        <w:tab/>
        <w:t>(vii)</w:t>
      </w:r>
      <w:r>
        <w:tab/>
        <w:t xml:space="preserve">a consent under section 116; </w:t>
      </w:r>
    </w:p>
    <w:p>
      <w:pPr>
        <w:pStyle w:val="Indenta"/>
      </w:pPr>
      <w:r>
        <w:tab/>
      </w:r>
      <w:r>
        <w:tab/>
        <w:t>and</w:t>
      </w:r>
    </w:p>
    <w:p>
      <w:pPr>
        <w:pStyle w:val="Indenta"/>
      </w:pPr>
      <w:r>
        <w:tab/>
        <w:t>(b)</w:t>
      </w:r>
      <w:r>
        <w:tab/>
        <w:t>the collection and retention of cores, cuttings and samples in connection with those operations; and</w:t>
      </w:r>
    </w:p>
    <w:p>
      <w:pPr>
        <w:pStyle w:val="Indenta"/>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No. 42 of 2010 s. 53.]</w:t>
      </w:r>
    </w:p>
    <w:p>
      <w:pPr>
        <w:pStyle w:val="Heading5"/>
        <w:rPr>
          <w:snapToGrid w:val="0"/>
        </w:rPr>
      </w:pPr>
      <w:bookmarkStart w:id="183" w:name="_Toc33609208"/>
      <w:r>
        <w:rPr>
          <w:rStyle w:val="CharSectno"/>
        </w:rPr>
        <w:t>116</w:t>
      </w:r>
      <w:r>
        <w:rPr>
          <w:snapToGrid w:val="0"/>
        </w:rPr>
        <w:t>.</w:t>
      </w:r>
      <w:r>
        <w:rPr>
          <w:snapToGrid w:val="0"/>
        </w:rPr>
        <w:tab/>
        <w:t>Scientific investigations</w:t>
      </w:r>
      <w:bookmarkEnd w:id="183"/>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No. 35 of 2007 s. 71.]</w:t>
      </w:r>
    </w:p>
    <w:p>
      <w:pPr>
        <w:pStyle w:val="Heading5"/>
        <w:rPr>
          <w:snapToGrid w:val="0"/>
        </w:rPr>
      </w:pPr>
      <w:bookmarkStart w:id="184" w:name="_Toc33609209"/>
      <w:r>
        <w:rPr>
          <w:rStyle w:val="CharSectno"/>
        </w:rPr>
        <w:t>117</w:t>
      </w:r>
      <w:r>
        <w:rPr>
          <w:snapToGrid w:val="0"/>
        </w:rPr>
        <w:t>.</w:t>
      </w:r>
      <w:r>
        <w:rPr>
          <w:snapToGrid w:val="0"/>
        </w:rPr>
        <w:tab/>
        <w:t>Interference with other rights etc.</w:t>
      </w:r>
      <w:bookmarkEnd w:id="184"/>
    </w:p>
    <w:p>
      <w:pPr>
        <w:pStyle w:val="Subsection"/>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No. 12 of 1990 s. 94; No. 78 of 1990 s. 7; No. 35 of 2007 s. 72; No. 42 of 2010 s. 54 and 62(15).]</w:t>
      </w:r>
    </w:p>
    <w:p>
      <w:pPr>
        <w:pStyle w:val="Heading5"/>
        <w:spacing w:before="180"/>
      </w:pPr>
      <w:bookmarkStart w:id="185" w:name="_Toc33609210"/>
      <w:r>
        <w:rPr>
          <w:rStyle w:val="CharSectno"/>
        </w:rPr>
        <w:t>117A</w:t>
      </w:r>
      <w:r>
        <w:t>.</w:t>
      </w:r>
      <w:r>
        <w:tab/>
        <w:t>Interfering with petroleum operation or geothermal energy operation</w:t>
      </w:r>
      <w:bookmarkEnd w:id="185"/>
    </w:p>
    <w:p>
      <w:pPr>
        <w:pStyle w:val="Subsection"/>
      </w:pPr>
      <w:r>
        <w:tab/>
      </w:r>
      <w:r>
        <w:tab/>
        <w:t xml:space="preserve">A person must not intentionally or recklessly — </w:t>
      </w:r>
    </w:p>
    <w:p>
      <w:pPr>
        <w:pStyle w:val="Indenta"/>
      </w:pPr>
      <w:r>
        <w:tab/>
        <w:t>(a)</w:t>
      </w:r>
      <w:r>
        <w:tab/>
        <w:t>cause damage to, or interfere with, a well or any structure or vessel in the State that is, or is to be, used in a petroleum operation or geothermal energy operation; or</w:t>
      </w:r>
    </w:p>
    <w:p>
      <w:pPr>
        <w:pStyle w:val="Indenta"/>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No. 13 of 2005 s. 8; amended: No. 35 of 2007 s. 86.]</w:t>
      </w:r>
    </w:p>
    <w:p>
      <w:pPr>
        <w:pStyle w:val="Heading5"/>
        <w:spacing w:before="180"/>
        <w:rPr>
          <w:snapToGrid w:val="0"/>
        </w:rPr>
      </w:pPr>
      <w:bookmarkStart w:id="186" w:name="_Toc33609211"/>
      <w:r>
        <w:rPr>
          <w:rStyle w:val="CharSectno"/>
        </w:rPr>
        <w:t>118</w:t>
      </w:r>
      <w:r>
        <w:rPr>
          <w:snapToGrid w:val="0"/>
        </w:rPr>
        <w:t>.</w:t>
      </w:r>
      <w:r>
        <w:rPr>
          <w:snapToGrid w:val="0"/>
        </w:rPr>
        <w:tab/>
        <w:t>Inspectors</w:t>
      </w:r>
      <w:bookmarkEnd w:id="186"/>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ind w:left="890" w:hanging="890"/>
      </w:pPr>
      <w:r>
        <w:tab/>
        <w:t>[Section 118 amended: No. 12 of 1990 s. 95; No. 13 of 2005 s. 9; No. 42 of 2010 s. 62(13).]</w:t>
      </w:r>
    </w:p>
    <w:p>
      <w:pPr>
        <w:pStyle w:val="Heading5"/>
        <w:spacing w:before="180"/>
        <w:rPr>
          <w:snapToGrid w:val="0"/>
        </w:rPr>
      </w:pPr>
      <w:bookmarkStart w:id="187" w:name="_Toc33609212"/>
      <w:r>
        <w:rPr>
          <w:rStyle w:val="CharSectno"/>
        </w:rPr>
        <w:t>119</w:t>
      </w:r>
      <w:r>
        <w:rPr>
          <w:snapToGrid w:val="0"/>
        </w:rPr>
        <w:t>.</w:t>
      </w:r>
      <w:r>
        <w:rPr>
          <w:snapToGrid w:val="0"/>
        </w:rPr>
        <w:tab/>
        <w:t>Powers of inspectors</w:t>
      </w:r>
      <w:bookmarkEnd w:id="187"/>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No. 12 of 1990 s. 96; No. 13 of 2005 s. 10; No. 35 of 2007 s. 73; No. 42 of 2010 s. 62(14).]</w:t>
      </w:r>
    </w:p>
    <w:p>
      <w:pPr>
        <w:pStyle w:val="Heading5"/>
      </w:pPr>
      <w:bookmarkStart w:id="188" w:name="_Toc33609213"/>
      <w:r>
        <w:rPr>
          <w:rStyle w:val="CharSectno"/>
        </w:rPr>
        <w:t>119A</w:t>
      </w:r>
      <w:r>
        <w:t>.</w:t>
      </w:r>
      <w:r>
        <w:tab/>
        <w:t>Protection from liability for wrongdoing</w:t>
      </w:r>
      <w:bookmarkEnd w:id="18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ind w:left="890" w:hanging="890"/>
        <w:rPr>
          <w:b/>
          <w:i w:val="0"/>
        </w:rPr>
      </w:pPr>
      <w:r>
        <w:tab/>
        <w:t>[Section 119A inserted: No. 13 of 2005 s. 11.]</w:t>
      </w:r>
    </w:p>
    <w:p>
      <w:pPr>
        <w:pStyle w:val="Ednotesection"/>
        <w:ind w:left="890" w:hanging="890"/>
      </w:pPr>
      <w:r>
        <w:t>[</w:t>
      </w:r>
      <w:r>
        <w:rPr>
          <w:b/>
          <w:bCs/>
        </w:rPr>
        <w:t>120.</w:t>
      </w:r>
      <w:r>
        <w:tab/>
        <w:t>Deleted: No. 35 of 2007 s. 12(2).]</w:t>
      </w:r>
    </w:p>
    <w:p>
      <w:pPr>
        <w:pStyle w:val="Heading5"/>
        <w:rPr>
          <w:snapToGrid w:val="0"/>
        </w:rPr>
      </w:pPr>
      <w:bookmarkStart w:id="189" w:name="_Toc33609214"/>
      <w:r>
        <w:rPr>
          <w:rStyle w:val="CharSectno"/>
        </w:rPr>
        <w:t>121</w:t>
      </w:r>
      <w:r>
        <w:rPr>
          <w:snapToGrid w:val="0"/>
        </w:rPr>
        <w:t>.</w:t>
      </w:r>
      <w:r>
        <w:rPr>
          <w:snapToGrid w:val="0"/>
        </w:rPr>
        <w:tab/>
        <w:t>Continuing offences</w:t>
      </w:r>
      <w:bookmarkEnd w:id="18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No. 12 of 1990 s. 98; No. 13 of 2005 s. 16(1).]</w:t>
      </w:r>
    </w:p>
    <w:p>
      <w:pPr>
        <w:pStyle w:val="Heading5"/>
      </w:pPr>
      <w:bookmarkStart w:id="190" w:name="_Toc33609215"/>
      <w:r>
        <w:rPr>
          <w:rStyle w:val="CharSectno"/>
        </w:rPr>
        <w:t>122</w:t>
      </w:r>
      <w:r>
        <w:t>.</w:t>
      </w:r>
      <w:r>
        <w:tab/>
        <w:t>Crimes and other offences</w:t>
      </w:r>
      <w:bookmarkEnd w:id="190"/>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keepNext/>
      </w:pPr>
      <w:r>
        <w:tab/>
        <w:t>(3)</w:t>
      </w:r>
      <w:r>
        <w:tab/>
        <w:t>Unless the contrary intention appears, an offence under this Act, other than a crime, is punishable summarily.</w:t>
      </w:r>
    </w:p>
    <w:p>
      <w:pPr>
        <w:pStyle w:val="Footnotesection"/>
        <w:ind w:left="890" w:hanging="890"/>
      </w:pPr>
      <w:r>
        <w:tab/>
        <w:t>[Section 122 inserted: No. 4 of 2004 s. 58.]</w:t>
      </w:r>
    </w:p>
    <w:p>
      <w:pPr>
        <w:pStyle w:val="Heading5"/>
        <w:rPr>
          <w:snapToGrid w:val="0"/>
        </w:rPr>
      </w:pPr>
      <w:bookmarkStart w:id="191" w:name="_Toc33609216"/>
      <w:r>
        <w:rPr>
          <w:rStyle w:val="CharSectno"/>
        </w:rPr>
        <w:t>123</w:t>
      </w:r>
      <w:r>
        <w:rPr>
          <w:snapToGrid w:val="0"/>
        </w:rPr>
        <w:t>.</w:t>
      </w:r>
      <w:r>
        <w:rPr>
          <w:snapToGrid w:val="0"/>
        </w:rPr>
        <w:tab/>
        <w:t>Orders for forfeiture etc. in respect of certain offences</w:t>
      </w:r>
      <w:bookmarkEnd w:id="191"/>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keepNext/>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ind w:left="890" w:hanging="890"/>
      </w:pPr>
      <w:r>
        <w:tab/>
        <w:t>[Section 123 amended: No. 28 of 1994 s. 53; No. 35 of 2007 s. 74.]</w:t>
      </w:r>
    </w:p>
    <w:p>
      <w:pPr>
        <w:pStyle w:val="Heading5"/>
        <w:rPr>
          <w:snapToGrid w:val="0"/>
        </w:rPr>
      </w:pPr>
      <w:bookmarkStart w:id="192" w:name="_Toc33609217"/>
      <w:r>
        <w:rPr>
          <w:rStyle w:val="CharSectno"/>
        </w:rPr>
        <w:t>124</w:t>
      </w:r>
      <w:r>
        <w:rPr>
          <w:snapToGrid w:val="0"/>
        </w:rPr>
        <w:t>.</w:t>
      </w:r>
      <w:r>
        <w:rPr>
          <w:snapToGrid w:val="0"/>
        </w:rPr>
        <w:tab/>
        <w:t>Power of Attorney General to direct disposal of goods</w:t>
      </w:r>
      <w:bookmarkEnd w:id="192"/>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93" w:name="_Toc33609218"/>
      <w:r>
        <w:rPr>
          <w:rStyle w:val="CharSectno"/>
        </w:rPr>
        <w:t>125</w:t>
      </w:r>
      <w:r>
        <w:rPr>
          <w:snapToGrid w:val="0"/>
        </w:rPr>
        <w:t>.</w:t>
      </w:r>
      <w:r>
        <w:rPr>
          <w:snapToGrid w:val="0"/>
        </w:rPr>
        <w:tab/>
        <w:t>Time for bringing proceedings for offences</w:t>
      </w:r>
      <w:bookmarkEnd w:id="193"/>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ind w:left="890" w:hanging="890"/>
      </w:pPr>
      <w:r>
        <w:tab/>
        <w:t>[Section 125 amended: No. 13 of 2005 s. 12.]</w:t>
      </w:r>
    </w:p>
    <w:p>
      <w:pPr>
        <w:pStyle w:val="Heading5"/>
        <w:rPr>
          <w:snapToGrid w:val="0"/>
        </w:rPr>
      </w:pPr>
      <w:bookmarkStart w:id="194" w:name="_Toc33609219"/>
      <w:r>
        <w:rPr>
          <w:rStyle w:val="CharSectno"/>
        </w:rPr>
        <w:t>126</w:t>
      </w:r>
      <w:r>
        <w:rPr>
          <w:snapToGrid w:val="0"/>
        </w:rPr>
        <w:t>.</w:t>
      </w:r>
      <w:r>
        <w:rPr>
          <w:snapToGrid w:val="0"/>
        </w:rPr>
        <w:tab/>
        <w:t>Judicial notice</w:t>
      </w:r>
      <w:bookmarkEnd w:id="194"/>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95" w:name="_Toc33609220"/>
      <w:r>
        <w:rPr>
          <w:rStyle w:val="CharSectno"/>
        </w:rPr>
        <w:t>126A</w:t>
      </w:r>
      <w:r>
        <w:t>.</w:t>
      </w:r>
      <w:r>
        <w:tab/>
        <w:t>Evidentiary matters</w:t>
      </w:r>
      <w:bookmarkEnd w:id="195"/>
    </w:p>
    <w:p>
      <w:pPr>
        <w:pStyle w:val="Subsection"/>
        <w:spacing w:before="120"/>
      </w:pPr>
      <w:r>
        <w:tab/>
        <w:t>(1)</w:t>
      </w:r>
      <w:r>
        <w:tab/>
        <w:t xml:space="preserve">In a proceeding for an offence against this Act an averment in the charge of the offence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spacing w:before="120"/>
      </w:pPr>
      <w:r>
        <w:tab/>
      </w:r>
      <w:r>
        <w:tab/>
        <w:t>is to be taken to have been proved in the absence of evidence to the contrary.</w:t>
      </w:r>
    </w:p>
    <w:p>
      <w:pPr>
        <w:pStyle w:val="Subsection"/>
        <w:spacing w:before="120"/>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the authority of any person to institute a proceeding for an offence against this Act other than an offence against a listed OSH law;</w:t>
      </w:r>
    </w:p>
    <w:p>
      <w:pPr>
        <w:pStyle w:val="Indenta"/>
      </w:pPr>
      <w:r>
        <w:tab/>
        <w:t>(c)</w:t>
      </w:r>
      <w:r>
        <w:tab/>
        <w:t>the authority of an inspector to institute a proceeding for an offence against a listed OSH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an Australian/New Zealand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No. 13 of 2005 s. 13; amended: No. 35 of 2007 s. 86; No. 17 of 2014 s. 8.]</w:t>
      </w:r>
    </w:p>
    <w:p>
      <w:pPr>
        <w:pStyle w:val="Heading5"/>
        <w:spacing w:before="240"/>
        <w:rPr>
          <w:snapToGrid w:val="0"/>
        </w:rPr>
      </w:pPr>
      <w:bookmarkStart w:id="196" w:name="_Toc33609221"/>
      <w:r>
        <w:rPr>
          <w:rStyle w:val="CharSectno"/>
        </w:rPr>
        <w:t>127</w:t>
      </w:r>
      <w:r>
        <w:rPr>
          <w:snapToGrid w:val="0"/>
        </w:rPr>
        <w:t>.</w:t>
      </w:r>
      <w:r>
        <w:rPr>
          <w:snapToGrid w:val="0"/>
        </w:rPr>
        <w:tab/>
        <w:t>Service of documents</w:t>
      </w:r>
      <w:bookmarkEnd w:id="196"/>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No. 12 of 1990 s. 100.]</w:t>
      </w:r>
    </w:p>
    <w:p>
      <w:pPr>
        <w:pStyle w:val="Heading5"/>
        <w:spacing w:before="180"/>
        <w:rPr>
          <w:snapToGrid w:val="0"/>
        </w:rPr>
      </w:pPr>
      <w:bookmarkStart w:id="197" w:name="_Toc33609222"/>
      <w:r>
        <w:rPr>
          <w:rStyle w:val="CharSectno"/>
        </w:rPr>
        <w:t>127A</w:t>
      </w:r>
      <w:r>
        <w:rPr>
          <w:snapToGrid w:val="0"/>
        </w:rPr>
        <w:t>.</w:t>
      </w:r>
      <w:r>
        <w:rPr>
          <w:snapToGrid w:val="0"/>
        </w:rPr>
        <w:tab/>
        <w:t>Service of documents on 2 or more permittees etc.</w:t>
      </w:r>
      <w:bookmarkEnd w:id="197"/>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No. 12 of 1990 s. 101.]</w:t>
      </w:r>
    </w:p>
    <w:p>
      <w:pPr>
        <w:pStyle w:val="Heading3"/>
        <w:keepNext w:val="0"/>
        <w:pageBreakBefore/>
        <w:spacing w:before="0"/>
      </w:pPr>
      <w:bookmarkStart w:id="198" w:name="_Toc33608870"/>
      <w:bookmarkStart w:id="199" w:name="_Toc33609223"/>
      <w:r>
        <w:rPr>
          <w:rStyle w:val="CharDivNo"/>
        </w:rPr>
        <w:t>Division 6</w:t>
      </w:r>
      <w:r>
        <w:rPr>
          <w:snapToGrid w:val="0"/>
        </w:rPr>
        <w:t> — </w:t>
      </w:r>
      <w:r>
        <w:rPr>
          <w:rStyle w:val="CharDivText"/>
        </w:rPr>
        <w:t>Transitional provisions</w:t>
      </w:r>
      <w:bookmarkEnd w:id="198"/>
      <w:bookmarkEnd w:id="199"/>
    </w:p>
    <w:p>
      <w:pPr>
        <w:pStyle w:val="Heading5"/>
        <w:spacing w:before="180"/>
        <w:rPr>
          <w:snapToGrid w:val="0"/>
        </w:rPr>
      </w:pPr>
      <w:bookmarkStart w:id="200" w:name="_Toc33609224"/>
      <w:r>
        <w:rPr>
          <w:rStyle w:val="CharSectno"/>
        </w:rPr>
        <w:t>128</w:t>
      </w:r>
      <w:r>
        <w:rPr>
          <w:snapToGrid w:val="0"/>
        </w:rPr>
        <w:t>.</w:t>
      </w:r>
      <w:r>
        <w:rPr>
          <w:snapToGrid w:val="0"/>
        </w:rPr>
        <w:tab/>
        <w:t>Terms used</w:t>
      </w:r>
      <w:bookmarkEnd w:id="200"/>
    </w:p>
    <w:p>
      <w:pPr>
        <w:pStyle w:val="Subsection"/>
        <w:keepNext/>
        <w:spacing w:before="120"/>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1</w:t>
      </w:r>
      <w:r>
        <w:t>;</w:t>
      </w:r>
    </w:p>
    <w:p>
      <w:pPr>
        <w:pStyle w:val="Defstart"/>
        <w:keepNext/>
        <w:keepLines/>
      </w:pPr>
      <w:r>
        <w:rPr>
          <w:b/>
        </w:rPr>
        <w:tab/>
      </w:r>
      <w:r>
        <w:rPr>
          <w:rStyle w:val="CharDefText"/>
        </w:rPr>
        <w:t>lessee</w:t>
      </w:r>
      <w:r>
        <w:t xml:space="preserve"> means the lessee for the time being under the Barrow Island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spacing w:before="60"/>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spacing w:before="60"/>
      </w:pPr>
      <w:r>
        <w:rPr>
          <w:b/>
        </w:rPr>
        <w:tab/>
      </w:r>
      <w:r>
        <w:rPr>
          <w:rStyle w:val="CharDefText"/>
        </w:rPr>
        <w:t>variation agreement</w:t>
      </w:r>
      <w:r>
        <w:t xml:space="preserve"> means the agreement a copy of which is set forth in the Schedule to the </w:t>
      </w:r>
      <w:r>
        <w:rPr>
          <w:i/>
        </w:rPr>
        <w:t>Barrow Island Royalty Variation Agreement Act 1985</w:t>
      </w:r>
      <w:r>
        <w:t>.</w:t>
      </w:r>
    </w:p>
    <w:p>
      <w:pPr>
        <w:pStyle w:val="Footnotesection"/>
        <w:spacing w:before="80"/>
        <w:ind w:left="890" w:hanging="890"/>
      </w:pPr>
      <w:r>
        <w:tab/>
        <w:t>[Section 128 amended: No. 113 of 1985 s. 6; No. 90 of 1987 s. 5; No. 42 of 2010 s. 55.]</w:t>
      </w:r>
    </w:p>
    <w:p>
      <w:pPr>
        <w:pStyle w:val="Heading5"/>
        <w:spacing w:before="180"/>
        <w:rPr>
          <w:snapToGrid w:val="0"/>
        </w:rPr>
      </w:pPr>
      <w:bookmarkStart w:id="201" w:name="_Toc33609225"/>
      <w:r>
        <w:rPr>
          <w:rStyle w:val="CharSectno"/>
        </w:rPr>
        <w:t>129</w:t>
      </w:r>
      <w:r>
        <w:rPr>
          <w:snapToGrid w:val="0"/>
        </w:rPr>
        <w:t>.</w:t>
      </w:r>
      <w:r>
        <w:rPr>
          <w:snapToGrid w:val="0"/>
        </w:rPr>
        <w:tab/>
        <w:t>This Division prevails over other provisions</w:t>
      </w:r>
      <w:bookmarkEnd w:id="201"/>
    </w:p>
    <w:p>
      <w:pPr>
        <w:pStyle w:val="Subsection"/>
        <w:spacing w:before="120"/>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spacing w:before="60"/>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spacing w:before="120"/>
        <w:rPr>
          <w:snapToGrid w:val="0"/>
        </w:rPr>
      </w:pPr>
      <w:r>
        <w:rPr>
          <w:snapToGrid w:val="0"/>
        </w:rPr>
        <w:tab/>
      </w:r>
      <w:r>
        <w:rPr>
          <w:snapToGrid w:val="0"/>
        </w:rPr>
        <w:tab/>
        <w:t>and to and in relation to a permit or licence granted on such an application.</w:t>
      </w:r>
    </w:p>
    <w:p>
      <w:pPr>
        <w:pStyle w:val="Heading5"/>
        <w:spacing w:before="180"/>
        <w:rPr>
          <w:snapToGrid w:val="0"/>
        </w:rPr>
      </w:pPr>
      <w:bookmarkStart w:id="202" w:name="_Toc33609226"/>
      <w:r>
        <w:rPr>
          <w:rStyle w:val="CharSectno"/>
        </w:rPr>
        <w:t>130</w:t>
      </w:r>
      <w:r>
        <w:rPr>
          <w:snapToGrid w:val="0"/>
        </w:rPr>
        <w:t>.</w:t>
      </w:r>
      <w:r>
        <w:rPr>
          <w:snapToGrid w:val="0"/>
        </w:rPr>
        <w:tab/>
        <w:t>Cessation of operation of former provisions</w:t>
      </w:r>
      <w:bookmarkEnd w:id="202"/>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2</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180"/>
        <w:rPr>
          <w:snapToGrid w:val="0"/>
        </w:rPr>
      </w:pPr>
      <w:bookmarkStart w:id="203" w:name="_Toc33609227"/>
      <w:r>
        <w:rPr>
          <w:rStyle w:val="CharSectno"/>
        </w:rPr>
        <w:t>131</w:t>
      </w:r>
      <w:r>
        <w:rPr>
          <w:snapToGrid w:val="0"/>
        </w:rPr>
        <w:t>.</w:t>
      </w:r>
      <w:r>
        <w:rPr>
          <w:snapToGrid w:val="0"/>
        </w:rPr>
        <w:tab/>
        <w:t>Prohibition on granting of instruments under former provisions after commencing day</w:t>
      </w:r>
      <w:bookmarkEnd w:id="203"/>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spacing w:before="180"/>
        <w:rPr>
          <w:snapToGrid w:val="0"/>
        </w:rPr>
      </w:pPr>
      <w:bookmarkStart w:id="204" w:name="_Toc33609228"/>
      <w:r>
        <w:rPr>
          <w:rStyle w:val="CharSectno"/>
        </w:rPr>
        <w:t>132</w:t>
      </w:r>
      <w:r>
        <w:rPr>
          <w:snapToGrid w:val="0"/>
        </w:rPr>
        <w:t>.</w:t>
      </w:r>
      <w:r>
        <w:rPr>
          <w:snapToGrid w:val="0"/>
        </w:rPr>
        <w:tab/>
        <w:t>Rights of holders of existing prescribed instruments</w:t>
      </w:r>
      <w:bookmarkEnd w:id="204"/>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spacing w:before="180"/>
        <w:rPr>
          <w:snapToGrid w:val="0"/>
        </w:rPr>
      </w:pPr>
      <w:bookmarkStart w:id="205" w:name="_Toc33609229"/>
      <w:r>
        <w:rPr>
          <w:rStyle w:val="CharSectno"/>
        </w:rPr>
        <w:t>133</w:t>
      </w:r>
      <w:r>
        <w:rPr>
          <w:snapToGrid w:val="0"/>
        </w:rPr>
        <w:t>.</w:t>
      </w:r>
      <w:r>
        <w:rPr>
          <w:snapToGrid w:val="0"/>
        </w:rPr>
        <w:tab/>
        <w:t>Holders of existing instruments may be granted permits under this Part</w:t>
      </w:r>
      <w:bookmarkEnd w:id="205"/>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b/>
          <w:i/>
        </w:rPr>
        <w:t xml:space="preserve"> </w:t>
      </w:r>
      <w:r>
        <w:rPr>
          <w:rStyle w:val="CharDefText"/>
        </w:rPr>
        <w:t>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ind w:left="890" w:hanging="890"/>
      </w:pPr>
      <w:r>
        <w:tab/>
        <w:t>[Section 133 amended: No. 69 of 1981 s. 34.]</w:t>
      </w:r>
    </w:p>
    <w:p>
      <w:pPr>
        <w:pStyle w:val="Heading5"/>
        <w:keepNext w:val="0"/>
        <w:keepLines w:val="0"/>
        <w:rPr>
          <w:snapToGrid w:val="0"/>
        </w:rPr>
      </w:pPr>
      <w:bookmarkStart w:id="206" w:name="_Toc33609230"/>
      <w:r>
        <w:rPr>
          <w:rStyle w:val="CharSectno"/>
        </w:rPr>
        <w:t>134</w:t>
      </w:r>
      <w:r>
        <w:rPr>
          <w:snapToGrid w:val="0"/>
        </w:rPr>
        <w:t>.</w:t>
      </w:r>
      <w:r>
        <w:rPr>
          <w:snapToGrid w:val="0"/>
        </w:rPr>
        <w:tab/>
        <w:t>Transitional provisions relating to Barrow Island lease</w:t>
      </w:r>
      <w:bookmarkEnd w:id="206"/>
    </w:p>
    <w:p>
      <w:pPr>
        <w:pStyle w:val="Subsection"/>
        <w:rPr>
          <w:snapToGrid w:val="0"/>
        </w:rPr>
      </w:pPr>
      <w:r>
        <w:rPr>
          <w:snapToGrid w:val="0"/>
        </w:rPr>
        <w:tab/>
      </w:r>
      <w:r>
        <w:rPr>
          <w:snapToGrid w:val="0"/>
        </w:rPr>
        <w:tab/>
        <w:t>Notwithstanding the repeal effected by section 3, the former provisions shall, by force of this section, be deemed to subsist and enure in their application to or in relation to the Barrow Island lease and to any renewal thereof.</w:t>
      </w:r>
    </w:p>
    <w:p>
      <w:pPr>
        <w:pStyle w:val="Heading5"/>
        <w:keepLines w:val="0"/>
        <w:rPr>
          <w:snapToGrid w:val="0"/>
        </w:rPr>
      </w:pPr>
      <w:bookmarkStart w:id="207" w:name="_Toc33609231"/>
      <w:r>
        <w:rPr>
          <w:rStyle w:val="CharSectno"/>
        </w:rPr>
        <w:t>134A</w:t>
      </w:r>
      <w:r>
        <w:rPr>
          <w:snapToGrid w:val="0"/>
        </w:rPr>
        <w:t>.</w:t>
      </w:r>
      <w:r>
        <w:rPr>
          <w:snapToGrid w:val="0"/>
        </w:rPr>
        <w:tab/>
        <w:t>Application of former provisions after coming into operation of variation agreement</w:t>
      </w:r>
      <w:bookmarkEnd w:id="207"/>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BlankOpen"/>
      </w:pPr>
    </w:p>
    <w:p>
      <w:pPr>
        <w:pStyle w:val="zDefstart"/>
        <w:ind w:left="1588" w:hanging="1021"/>
      </w:pPr>
      <w:r>
        <w:tab/>
      </w:r>
      <w:r>
        <w:rPr>
          <w:b/>
          <w:i/>
        </w:rPr>
        <w:t xml:space="preserve">Minister </w:t>
      </w:r>
      <w:r>
        <w:t xml:space="preserve">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BlankOpen"/>
      </w:pPr>
    </w:p>
    <w:p>
      <w:pPr>
        <w:pStyle w:val="zDefstart"/>
        <w:ind w:left="1588" w:hanging="1021"/>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zHeading5"/>
      </w:pPr>
      <w:bookmarkStart w:id="208" w:name="_Toc33609232"/>
      <w:r>
        <w:rPr>
          <w:snapToGrid w:val="0"/>
        </w:rPr>
        <w:t>71.</w:t>
      </w:r>
      <w:r>
        <w:rPr>
          <w:snapToGrid w:val="0"/>
        </w:rPr>
        <w:tab/>
        <w:t>Interpretation</w:t>
      </w:r>
      <w:bookmarkEnd w:id="208"/>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bookmarkStart w:id="209" w:name="_Toc33609233"/>
      <w:r>
        <w:rPr>
          <w:snapToGrid w:val="0"/>
        </w:rPr>
        <w:t xml:space="preserve">72. </w:t>
      </w:r>
      <w:r>
        <w:rPr>
          <w:snapToGrid w:val="0"/>
        </w:rPr>
        <w:tab/>
        <w:t>Statements, information and records</w:t>
      </w:r>
      <w:bookmarkEnd w:id="209"/>
    </w:p>
    <w:p>
      <w:pPr>
        <w:pStyle w:val="zSubsection"/>
        <w:rPr>
          <w:snapToGrid w:val="0"/>
        </w:rPr>
      </w:pPr>
      <w:r>
        <w:rPr>
          <w:snapToGrid w:val="0"/>
        </w:rPr>
        <w:tab/>
      </w:r>
      <w:r>
        <w:rPr>
          <w:snapToGrid w:val="0"/>
        </w:rPr>
        <w:tab/>
        <w:t>The lessee of the Barrow Island lease shall furnish statements, supply information and keep books and records in accordance with the royalty provisions.</w:t>
      </w:r>
    </w:p>
    <w:p>
      <w:pPr>
        <w:pStyle w:val="zHeading5"/>
        <w:spacing w:before="180"/>
        <w:rPr>
          <w:snapToGrid w:val="0"/>
        </w:rPr>
      </w:pPr>
      <w:bookmarkStart w:id="210" w:name="_Toc33609234"/>
      <w:r>
        <w:rPr>
          <w:snapToGrid w:val="0"/>
        </w:rPr>
        <w:t>73.</w:t>
      </w:r>
      <w:r>
        <w:rPr>
          <w:snapToGrid w:val="0"/>
        </w:rPr>
        <w:tab/>
        <w:t>Powers of officers</w:t>
      </w:r>
      <w:bookmarkEnd w:id="210"/>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spacing w:before="180"/>
        <w:rPr>
          <w:snapToGrid w:val="0"/>
        </w:rPr>
      </w:pPr>
      <w:bookmarkStart w:id="211" w:name="_Toc33609235"/>
      <w:r>
        <w:rPr>
          <w:snapToGrid w:val="0"/>
        </w:rPr>
        <w:t>74.</w:t>
      </w:r>
      <w:r>
        <w:rPr>
          <w:snapToGrid w:val="0"/>
        </w:rPr>
        <w:tab/>
        <w:t>Royalty a debt due to the State</w:t>
      </w:r>
      <w:bookmarkEnd w:id="211"/>
    </w:p>
    <w:p>
      <w:pPr>
        <w:pStyle w:val="zSubsection"/>
        <w:spacing w:before="120"/>
        <w:rPr>
          <w:snapToGrid w:val="0"/>
        </w:rPr>
      </w:pPr>
      <w:r>
        <w:rPr>
          <w:snapToGrid w:val="0"/>
        </w:rPr>
        <w:tab/>
      </w:r>
      <w:r>
        <w:rPr>
          <w:snapToGrid w:val="0"/>
        </w:rPr>
        <w:tab/>
        <w:t>The amount of royalty due under the Barrow Island lease shall, until paid or recovered under the royalty provisions, be a debt due from the lessee of the lease to the State.</w:t>
      </w:r>
    </w:p>
    <w:p>
      <w:pPr>
        <w:pStyle w:val="zHeading5"/>
        <w:spacing w:before="180"/>
        <w:rPr>
          <w:snapToGrid w:val="0"/>
        </w:rPr>
      </w:pPr>
      <w:bookmarkStart w:id="212" w:name="_Toc33609236"/>
      <w:r>
        <w:rPr>
          <w:snapToGrid w:val="0"/>
        </w:rPr>
        <w:t>75.</w:t>
      </w:r>
      <w:r>
        <w:rPr>
          <w:snapToGrid w:val="0"/>
        </w:rPr>
        <w:tab/>
        <w:t>Offences</w:t>
      </w:r>
      <w:bookmarkEnd w:id="212"/>
    </w:p>
    <w:p>
      <w:pPr>
        <w:pStyle w:val="zSubsection"/>
        <w:spacing w:before="120"/>
        <w:rPr>
          <w:snapToGrid w:val="0"/>
        </w:rPr>
      </w:pPr>
      <w:r>
        <w:rPr>
          <w:snapToGrid w:val="0"/>
        </w:rPr>
        <w:tab/>
        <w:t>(1)</w:t>
      </w:r>
      <w:r>
        <w:rPr>
          <w:snapToGrid w:val="0"/>
        </w:rPr>
        <w:tab/>
        <w:t>Where the lessee of the Barrow Island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spacing w:before="120"/>
        <w:ind w:left="1610" w:hanging="1610"/>
        <w:rPr>
          <w:snapToGrid w:val="0"/>
        </w:rPr>
      </w:pPr>
      <w:r>
        <w:rPr>
          <w:snapToGrid w:val="0"/>
        </w:rPr>
        <w:tab/>
        <w:t>(c)</w:t>
      </w:r>
      <w:r>
        <w:rPr>
          <w:snapToGrid w:val="0"/>
        </w:rPr>
        <w:tab/>
        <w:t>by adding after section 116 a section as follows —</w:t>
      </w:r>
    </w:p>
    <w:p>
      <w:pPr>
        <w:pStyle w:val="BlankOpen"/>
        <w:rPr>
          <w:snapToGrid w:val="0"/>
        </w:rPr>
      </w:pPr>
    </w:p>
    <w:p>
      <w:pPr>
        <w:pStyle w:val="zHeading5"/>
        <w:spacing w:before="180"/>
        <w:rPr>
          <w:snapToGrid w:val="0"/>
        </w:rPr>
      </w:pPr>
      <w:bookmarkStart w:id="213" w:name="_Toc33609237"/>
      <w:r>
        <w:rPr>
          <w:snapToGrid w:val="0"/>
        </w:rPr>
        <w:t>117.</w:t>
      </w:r>
      <w:r>
        <w:rPr>
          <w:snapToGrid w:val="0"/>
        </w:rPr>
        <w:tab/>
        <w:t>Application of regulations to Barrow Island lease</w:t>
      </w:r>
      <w:bookmarkEnd w:id="213"/>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2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Barrow Island lease as a petroleum lease under the </w:t>
      </w:r>
      <w:r>
        <w:rPr>
          <w:i/>
          <w:snapToGrid w:val="0"/>
        </w:rPr>
        <w:t>Petroleum Act 1936</w:t>
      </w:r>
      <w:r>
        <w:rPr>
          <w:snapToGrid w:val="0"/>
        </w:rPr>
        <w:t xml:space="preserve"> </w:t>
      </w:r>
      <w:r>
        <w:rPr>
          <w:snapToGrid w:val="0"/>
          <w:vertAlign w:val="superscript"/>
        </w:rPr>
        <w:t>1</w:t>
      </w:r>
      <w:r>
        <w:rPr>
          <w:snapToGrid w:val="0"/>
        </w:rPr>
        <w:t xml:space="preserve"> but notwithstanding anything in that Act the following provisions apply —</w:t>
      </w:r>
    </w:p>
    <w:p>
      <w:pPr>
        <w:pStyle w:val="Indenti"/>
        <w:spacing w:before="6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60"/>
        <w:rPr>
          <w:snapToGrid w:val="0"/>
        </w:rPr>
      </w:pPr>
      <w:r>
        <w:rPr>
          <w:snapToGrid w:val="0"/>
        </w:rPr>
        <w:tab/>
        <w:t>(ii)</w:t>
      </w:r>
      <w:r>
        <w:rPr>
          <w:snapToGrid w:val="0"/>
        </w:rPr>
        <w:tab/>
        <w:t>with respect to the term of any renewal of the lease section 63(b) and (c) applies;</w:t>
      </w:r>
    </w:p>
    <w:p>
      <w:pPr>
        <w:pStyle w:val="Indenti"/>
        <w:spacing w:before="60"/>
        <w:rPr>
          <w:snapToGrid w:val="0"/>
        </w:rPr>
      </w:pPr>
      <w:r>
        <w:rPr>
          <w:snapToGrid w:val="0"/>
        </w:rPr>
        <w:tab/>
        <w:t>(iii)</w:t>
      </w:r>
      <w:r>
        <w:rPr>
          <w:snapToGrid w:val="0"/>
        </w:rPr>
        <w:tab/>
        <w:t>section 64(1) and (2)(d) applies with respect to the application fee to be paid;</w:t>
      </w:r>
    </w:p>
    <w:p>
      <w:pPr>
        <w:pStyle w:val="Indenti"/>
        <w:spacing w:before="60"/>
        <w:rPr>
          <w:snapToGrid w:val="0"/>
        </w:rPr>
      </w:pPr>
      <w:r>
        <w:rPr>
          <w:snapToGrid w:val="0"/>
        </w:rPr>
        <w:tab/>
        <w:t>(iv)</w:t>
      </w:r>
      <w:r>
        <w:rPr>
          <w:snapToGrid w:val="0"/>
        </w:rPr>
        <w:tab/>
        <w:t>section 65 applies with respect to the renewal;</w:t>
      </w:r>
    </w:p>
    <w:p>
      <w:pPr>
        <w:pStyle w:val="Indenti"/>
        <w:spacing w:before="60"/>
        <w:rPr>
          <w:snapToGrid w:val="0"/>
        </w:rPr>
      </w:pPr>
      <w:r>
        <w:rPr>
          <w:snapToGrid w:val="0"/>
        </w:rPr>
        <w:tab/>
        <w:t>(v)</w:t>
      </w:r>
      <w:r>
        <w:rPr>
          <w:snapToGrid w:val="0"/>
        </w:rPr>
        <w:tab/>
        <w:t>section 91A applies to and in relation to the insurance to be maintained by the lessee;</w:t>
      </w:r>
    </w:p>
    <w:p>
      <w:pPr>
        <w:pStyle w:val="Indenti"/>
        <w:spacing w:before="60"/>
        <w:rPr>
          <w:snapToGrid w:val="0"/>
        </w:rPr>
      </w:pPr>
      <w:r>
        <w:rPr>
          <w:snapToGrid w:val="0"/>
        </w:rPr>
        <w:tab/>
        <w:t>(vi)</w:t>
      </w:r>
      <w:r>
        <w:rPr>
          <w:snapToGrid w:val="0"/>
        </w:rPr>
        <w:tab/>
        <w:t>section 138 applies as to the fee payable,</w:t>
      </w:r>
    </w:p>
    <w:p>
      <w:pPr>
        <w:pStyle w:val="Indenta"/>
        <w:spacing w:before="12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spacing w:before="60"/>
        <w:ind w:left="890" w:hanging="890"/>
      </w:pPr>
      <w:r>
        <w:tab/>
        <w:t>[Section 134A inserted: No. 113 of 1985 s. 7; amended: No. 90 of 1987 s. 6; No. 28 of 1994 s. 54; No. 42 of 2010 s. 56 and 62(15).]</w:t>
      </w:r>
    </w:p>
    <w:p>
      <w:pPr>
        <w:pStyle w:val="Ednotesection"/>
      </w:pPr>
      <w:r>
        <w:t>[</w:t>
      </w:r>
      <w:r>
        <w:rPr>
          <w:b/>
        </w:rPr>
        <w:t>134B.</w:t>
      </w:r>
      <w:r>
        <w:tab/>
        <w:t>Deleted: No. 28 of 1994 s. 55.]</w:t>
      </w:r>
    </w:p>
    <w:p>
      <w:pPr>
        <w:pStyle w:val="Heading5"/>
        <w:rPr>
          <w:snapToGrid w:val="0"/>
        </w:rPr>
      </w:pPr>
      <w:bookmarkStart w:id="214" w:name="_Toc33609238"/>
      <w:r>
        <w:rPr>
          <w:rStyle w:val="CharSectno"/>
        </w:rPr>
        <w:t>135</w:t>
      </w:r>
      <w:r>
        <w:rPr>
          <w:snapToGrid w:val="0"/>
        </w:rPr>
        <w:t>.</w:t>
      </w:r>
      <w:r>
        <w:rPr>
          <w:snapToGrid w:val="0"/>
        </w:rPr>
        <w:tab/>
        <w:t>Certain portions of blocks to be blocks</w:t>
      </w:r>
      <w:bookmarkEnd w:id="214"/>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No. 12 of 1990 s. 102; No. 78 of 1990 s. 7.]</w:t>
      </w:r>
    </w:p>
    <w:p>
      <w:pPr>
        <w:pStyle w:val="Heading5"/>
        <w:rPr>
          <w:snapToGrid w:val="0"/>
        </w:rPr>
      </w:pPr>
      <w:bookmarkStart w:id="215" w:name="_Toc33609239"/>
      <w:r>
        <w:rPr>
          <w:rStyle w:val="CharSectno"/>
        </w:rPr>
        <w:t>136</w:t>
      </w:r>
      <w:r>
        <w:rPr>
          <w:snapToGrid w:val="0"/>
        </w:rPr>
        <w:t>.</w:t>
      </w:r>
      <w:r>
        <w:rPr>
          <w:snapToGrid w:val="0"/>
        </w:rPr>
        <w:tab/>
        <w:t>Certain petroleum exploration or recovery activities not prohibited by s. 29 or 49</w:t>
      </w:r>
      <w:bookmarkEnd w:id="215"/>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section 49 for the lessee to carry on operations for the recovery of petroleum in the State before the coming into operation of clause 6 of the variation agreement in accordance with the Barrow Island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No. 113 of 1985 s. 8.]</w:t>
      </w:r>
    </w:p>
    <w:p>
      <w:pPr>
        <w:pStyle w:val="Heading3"/>
      </w:pPr>
      <w:bookmarkStart w:id="216" w:name="_Toc33608887"/>
      <w:bookmarkStart w:id="217" w:name="_Toc33609240"/>
      <w:r>
        <w:rPr>
          <w:rStyle w:val="CharDivNo"/>
        </w:rPr>
        <w:t>Division 7</w:t>
      </w:r>
      <w:r>
        <w:rPr>
          <w:snapToGrid w:val="0"/>
        </w:rPr>
        <w:t> — </w:t>
      </w:r>
      <w:r>
        <w:rPr>
          <w:rStyle w:val="CharDivText"/>
        </w:rPr>
        <w:t>Fees and royalties</w:t>
      </w:r>
      <w:bookmarkEnd w:id="216"/>
      <w:bookmarkEnd w:id="217"/>
    </w:p>
    <w:p>
      <w:pPr>
        <w:pStyle w:val="Heading5"/>
        <w:rPr>
          <w:snapToGrid w:val="0"/>
        </w:rPr>
      </w:pPr>
      <w:bookmarkStart w:id="218" w:name="_Toc33609241"/>
      <w:r>
        <w:rPr>
          <w:rStyle w:val="CharSectno"/>
        </w:rPr>
        <w:t>137</w:t>
      </w:r>
      <w:r>
        <w:rPr>
          <w:snapToGrid w:val="0"/>
        </w:rPr>
        <w:t>.</w:t>
      </w:r>
      <w:r>
        <w:rPr>
          <w:snapToGrid w:val="0"/>
        </w:rPr>
        <w:tab/>
        <w:t>Permit and drilling reservation fees</w:t>
      </w:r>
      <w:bookmarkEnd w:id="218"/>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No. 69 of 1981 s. 34; No. 12 of 1990 s. 103; No. 78 of 1990 s. 7.]</w:t>
      </w:r>
    </w:p>
    <w:p>
      <w:pPr>
        <w:pStyle w:val="Heading5"/>
        <w:spacing w:before="180"/>
        <w:rPr>
          <w:snapToGrid w:val="0"/>
        </w:rPr>
      </w:pPr>
      <w:bookmarkStart w:id="219" w:name="_Toc33609242"/>
      <w:r>
        <w:rPr>
          <w:rStyle w:val="CharSectno"/>
        </w:rPr>
        <w:t>137A</w:t>
      </w:r>
      <w:r>
        <w:rPr>
          <w:snapToGrid w:val="0"/>
        </w:rPr>
        <w:t>.</w:t>
      </w:r>
      <w:r>
        <w:rPr>
          <w:snapToGrid w:val="0"/>
        </w:rPr>
        <w:tab/>
        <w:t>Lease fees</w:t>
      </w:r>
      <w:bookmarkEnd w:id="219"/>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No. 12 of 1990 s. 104.]</w:t>
      </w:r>
    </w:p>
    <w:p>
      <w:pPr>
        <w:pStyle w:val="Heading5"/>
        <w:spacing w:before="180"/>
        <w:rPr>
          <w:snapToGrid w:val="0"/>
        </w:rPr>
      </w:pPr>
      <w:bookmarkStart w:id="220" w:name="_Toc33609243"/>
      <w:r>
        <w:rPr>
          <w:rStyle w:val="CharSectno"/>
        </w:rPr>
        <w:t>138</w:t>
      </w:r>
      <w:r>
        <w:rPr>
          <w:snapToGrid w:val="0"/>
        </w:rPr>
        <w:t>.</w:t>
      </w:r>
      <w:r>
        <w:rPr>
          <w:snapToGrid w:val="0"/>
        </w:rPr>
        <w:tab/>
        <w:t>Licence fees</w:t>
      </w:r>
      <w:bookmarkEnd w:id="220"/>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No. 69 of 1981 s. 34; No. 12 of 1990 s. 105; No. 28 of 1994 s. 56.]</w:t>
      </w:r>
    </w:p>
    <w:p>
      <w:pPr>
        <w:pStyle w:val="Heading5"/>
        <w:spacing w:before="180"/>
        <w:rPr>
          <w:snapToGrid w:val="0"/>
        </w:rPr>
      </w:pPr>
      <w:bookmarkStart w:id="221" w:name="_Toc33609244"/>
      <w:r>
        <w:rPr>
          <w:rStyle w:val="CharSectno"/>
        </w:rPr>
        <w:t>139</w:t>
      </w:r>
      <w:r>
        <w:rPr>
          <w:snapToGrid w:val="0"/>
        </w:rPr>
        <w:t>.</w:t>
      </w:r>
      <w:r>
        <w:rPr>
          <w:snapToGrid w:val="0"/>
        </w:rPr>
        <w:tab/>
        <w:t>Time of payment of fees</w:t>
      </w:r>
      <w:bookmarkEnd w:id="221"/>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No. 12 of 1990 s. 106; No. 28 of 1994 s. 57.]</w:t>
      </w:r>
    </w:p>
    <w:p>
      <w:pPr>
        <w:pStyle w:val="Heading5"/>
        <w:rPr>
          <w:snapToGrid w:val="0"/>
        </w:rPr>
      </w:pPr>
      <w:bookmarkStart w:id="222" w:name="_Toc33609245"/>
      <w:r>
        <w:rPr>
          <w:rStyle w:val="CharSectno"/>
        </w:rPr>
        <w:t>140</w:t>
      </w:r>
      <w:r>
        <w:rPr>
          <w:snapToGrid w:val="0"/>
        </w:rPr>
        <w:t>.</w:t>
      </w:r>
      <w:r>
        <w:rPr>
          <w:snapToGrid w:val="0"/>
        </w:rPr>
        <w:tab/>
        <w:t>Penalty for late payment of fees</w:t>
      </w:r>
      <w:bookmarkEnd w:id="222"/>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No. 12 of 1990 s. 107; No. 28 of 1994 s. 58.]</w:t>
      </w:r>
    </w:p>
    <w:p>
      <w:pPr>
        <w:pStyle w:val="Heading5"/>
        <w:rPr>
          <w:snapToGrid w:val="0"/>
        </w:rPr>
      </w:pPr>
      <w:bookmarkStart w:id="223" w:name="_Toc33609246"/>
      <w:r>
        <w:rPr>
          <w:rStyle w:val="CharSectno"/>
        </w:rPr>
        <w:t>141</w:t>
      </w:r>
      <w:r>
        <w:rPr>
          <w:snapToGrid w:val="0"/>
        </w:rPr>
        <w:t>.</w:t>
      </w:r>
      <w:r>
        <w:rPr>
          <w:snapToGrid w:val="0"/>
        </w:rPr>
        <w:tab/>
        <w:t>Fees and penalties debts due to Crown</w:t>
      </w:r>
      <w:bookmarkEnd w:id="22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No. 12 of 1990 s. 108; No. 78 of 1990 s. 7.]</w:t>
      </w:r>
    </w:p>
    <w:p>
      <w:pPr>
        <w:pStyle w:val="Heading5"/>
        <w:rPr>
          <w:snapToGrid w:val="0"/>
        </w:rPr>
      </w:pPr>
      <w:bookmarkStart w:id="224" w:name="_Toc33609247"/>
      <w:r>
        <w:rPr>
          <w:rStyle w:val="CharSectno"/>
        </w:rPr>
        <w:t>142</w:t>
      </w:r>
      <w:r>
        <w:rPr>
          <w:snapToGrid w:val="0"/>
        </w:rPr>
        <w:t>.</w:t>
      </w:r>
      <w:r>
        <w:rPr>
          <w:snapToGrid w:val="0"/>
        </w:rPr>
        <w:tab/>
        <w:t>Royalty</w:t>
      </w:r>
      <w:bookmarkEnd w:id="224"/>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No. 12 of 1990 s. 109; No. 78 of 1990 s. 7; No. 11 of 1994 s. 5; No. 35 of 2007 s. 75.]</w:t>
      </w:r>
    </w:p>
    <w:p>
      <w:pPr>
        <w:pStyle w:val="Heading5"/>
        <w:rPr>
          <w:snapToGrid w:val="0"/>
        </w:rPr>
      </w:pPr>
      <w:bookmarkStart w:id="225" w:name="_Toc33609248"/>
      <w:r>
        <w:rPr>
          <w:rStyle w:val="CharSectno"/>
        </w:rPr>
        <w:t>143</w:t>
      </w:r>
      <w:r>
        <w:rPr>
          <w:snapToGrid w:val="0"/>
        </w:rPr>
        <w:t>.</w:t>
      </w:r>
      <w:r>
        <w:rPr>
          <w:snapToGrid w:val="0"/>
        </w:rPr>
        <w:tab/>
        <w:t>Reduction of royalty in certain cases</w:t>
      </w:r>
      <w:bookmarkEnd w:id="225"/>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No. 35 of 2007 s. 76.]</w:t>
      </w:r>
    </w:p>
    <w:p>
      <w:pPr>
        <w:pStyle w:val="Heading5"/>
        <w:rPr>
          <w:snapToGrid w:val="0"/>
        </w:rPr>
      </w:pPr>
      <w:bookmarkStart w:id="226" w:name="_Toc33609249"/>
      <w:r>
        <w:rPr>
          <w:rStyle w:val="CharSectno"/>
        </w:rPr>
        <w:t>144</w:t>
      </w:r>
      <w:r>
        <w:rPr>
          <w:snapToGrid w:val="0"/>
        </w:rPr>
        <w:t>.</w:t>
      </w:r>
      <w:r>
        <w:rPr>
          <w:snapToGrid w:val="0"/>
        </w:rPr>
        <w:tab/>
        <w:t>Royalty not payable in certain cases</w:t>
      </w:r>
      <w:bookmarkEnd w:id="226"/>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No. 12 of 1990 s. 110; No. 78 of 1990 s. 7; No. 28 of 1994 s. 59; No. 35 of 2007 s. 77.]</w:t>
      </w:r>
    </w:p>
    <w:p>
      <w:pPr>
        <w:pStyle w:val="Heading5"/>
        <w:rPr>
          <w:snapToGrid w:val="0"/>
        </w:rPr>
      </w:pPr>
      <w:bookmarkStart w:id="227" w:name="_Toc33609250"/>
      <w:r>
        <w:rPr>
          <w:rStyle w:val="CharSectno"/>
        </w:rPr>
        <w:t>144A</w:t>
      </w:r>
      <w:r>
        <w:rPr>
          <w:snapToGrid w:val="0"/>
        </w:rPr>
        <w:t>.</w:t>
      </w:r>
      <w:r>
        <w:rPr>
          <w:snapToGrid w:val="0"/>
        </w:rPr>
        <w:tab/>
        <w:t>Royalty value</w:t>
      </w:r>
      <w:bookmarkEnd w:id="227"/>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ind w:left="890" w:hanging="890"/>
      </w:pPr>
      <w:r>
        <w:tab/>
        <w:t>[Section 144A inserted: No. 11 of 1994 s. 6; amended: No. 35 of 2007 s. 78.]</w:t>
      </w:r>
    </w:p>
    <w:p>
      <w:pPr>
        <w:pStyle w:val="Heading5"/>
        <w:rPr>
          <w:snapToGrid w:val="0"/>
        </w:rPr>
      </w:pPr>
      <w:bookmarkStart w:id="228" w:name="_Toc33609251"/>
      <w:r>
        <w:rPr>
          <w:rStyle w:val="CharSectno"/>
        </w:rPr>
        <w:t>145</w:t>
      </w:r>
      <w:r>
        <w:rPr>
          <w:snapToGrid w:val="0"/>
        </w:rPr>
        <w:t>.</w:t>
      </w:r>
      <w:r>
        <w:rPr>
          <w:snapToGrid w:val="0"/>
        </w:rPr>
        <w:tab/>
        <w:t>Ascertainment of value of petroleum or geothermal energy</w:t>
      </w:r>
      <w:bookmarkEnd w:id="228"/>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No. 12 of 1990 s. 111; No. 78 of 1990 s. 7; No. 35 of 2007 s. 79.]</w:t>
      </w:r>
    </w:p>
    <w:p>
      <w:pPr>
        <w:pStyle w:val="Heading5"/>
        <w:rPr>
          <w:snapToGrid w:val="0"/>
        </w:rPr>
      </w:pPr>
      <w:bookmarkStart w:id="229" w:name="_Toc33609252"/>
      <w:r>
        <w:rPr>
          <w:rStyle w:val="CharSectno"/>
        </w:rPr>
        <w:t>146</w:t>
      </w:r>
      <w:r>
        <w:rPr>
          <w:snapToGrid w:val="0"/>
        </w:rPr>
        <w:t>.</w:t>
      </w:r>
      <w:r>
        <w:rPr>
          <w:snapToGrid w:val="0"/>
        </w:rPr>
        <w:tab/>
        <w:t>Ascertainment of well</w:t>
      </w:r>
      <w:r>
        <w:rPr>
          <w:snapToGrid w:val="0"/>
        </w:rPr>
        <w:noBreakHyphen/>
        <w:t>head</w:t>
      </w:r>
      <w:bookmarkEnd w:id="229"/>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No. 12 of 1990 s. 112; No. 78 of 1990 s. 7; No. 35 of 2007 s. 80.]</w:t>
      </w:r>
    </w:p>
    <w:p>
      <w:pPr>
        <w:pStyle w:val="Heading5"/>
        <w:rPr>
          <w:snapToGrid w:val="0"/>
        </w:rPr>
      </w:pPr>
      <w:bookmarkStart w:id="230" w:name="_Toc3360925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230"/>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ind w:left="890" w:hanging="890"/>
      </w:pPr>
      <w:r>
        <w:tab/>
        <w:t>[Section 147 amended: No. 12 of 1990 s. 113; No. 78 of 1990 s. 7; No. 35 of 2007 s. 81.]</w:t>
      </w:r>
    </w:p>
    <w:p>
      <w:pPr>
        <w:pStyle w:val="Heading5"/>
        <w:rPr>
          <w:snapToGrid w:val="0"/>
        </w:rPr>
      </w:pPr>
      <w:bookmarkStart w:id="231" w:name="_Toc33609254"/>
      <w:r>
        <w:rPr>
          <w:rStyle w:val="CharSectno"/>
        </w:rPr>
        <w:t>148</w:t>
      </w:r>
      <w:r>
        <w:rPr>
          <w:snapToGrid w:val="0"/>
        </w:rPr>
        <w:t>.</w:t>
      </w:r>
      <w:r>
        <w:rPr>
          <w:snapToGrid w:val="0"/>
        </w:rPr>
        <w:tab/>
        <w:t>Payment of royalty and penalty for late payment</w:t>
      </w:r>
      <w:bookmarkEnd w:id="231"/>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ind w:left="890" w:hanging="890"/>
      </w:pPr>
      <w:r>
        <w:tab/>
        <w:t>[Section 148 amended: No. 12 of 1990 s. 114; No. 78 of 1990 s. 7; No. 28 of 1994 s. 60; No. 35 of 2007 s. 82.]</w:t>
      </w:r>
    </w:p>
    <w:p>
      <w:pPr>
        <w:pStyle w:val="Heading5"/>
        <w:rPr>
          <w:snapToGrid w:val="0"/>
        </w:rPr>
      </w:pPr>
      <w:bookmarkStart w:id="232" w:name="_Toc33609255"/>
      <w:r>
        <w:rPr>
          <w:rStyle w:val="CharSectno"/>
        </w:rPr>
        <w:t>149</w:t>
      </w:r>
      <w:r>
        <w:rPr>
          <w:snapToGrid w:val="0"/>
        </w:rPr>
        <w:t>.</w:t>
      </w:r>
      <w:r>
        <w:rPr>
          <w:snapToGrid w:val="0"/>
        </w:rPr>
        <w:tab/>
        <w:t>Royalty or late payment amount is debt due to Crown</w:t>
      </w:r>
      <w:bookmarkEnd w:id="232"/>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No. 12 of 1990 s. 115; No. 78 of 1990 s. 7.]</w:t>
      </w:r>
    </w:p>
    <w:p>
      <w:pPr>
        <w:pStyle w:val="Heading2"/>
      </w:pPr>
      <w:bookmarkStart w:id="233" w:name="_Toc33608903"/>
      <w:bookmarkStart w:id="234" w:name="_Toc33609256"/>
      <w:r>
        <w:rPr>
          <w:rStyle w:val="CharPartNo"/>
        </w:rPr>
        <w:t>Part IIIA</w:t>
      </w:r>
      <w:r>
        <w:rPr>
          <w:rStyle w:val="CharDivNo"/>
        </w:rPr>
        <w:t> </w:t>
      </w:r>
      <w:r>
        <w:t>—</w:t>
      </w:r>
      <w:r>
        <w:rPr>
          <w:rStyle w:val="CharDivText"/>
        </w:rPr>
        <w:t> </w:t>
      </w:r>
      <w:r>
        <w:rPr>
          <w:rStyle w:val="CharPartText"/>
        </w:rPr>
        <w:t>Occupational safety and health</w:t>
      </w:r>
      <w:bookmarkEnd w:id="233"/>
      <w:bookmarkEnd w:id="234"/>
    </w:p>
    <w:p>
      <w:pPr>
        <w:pStyle w:val="Footnoteheading"/>
      </w:pPr>
      <w:r>
        <w:tab/>
        <w:t>[Heading inserted: No. 13 of 2005 s. 14.]</w:t>
      </w:r>
    </w:p>
    <w:p>
      <w:pPr>
        <w:pStyle w:val="Heading5"/>
        <w:spacing w:before="240"/>
      </w:pPr>
      <w:bookmarkStart w:id="235" w:name="_Toc33609257"/>
      <w:r>
        <w:rPr>
          <w:rStyle w:val="CharSectno"/>
        </w:rPr>
        <w:t>149A</w:t>
      </w:r>
      <w:r>
        <w:t>.</w:t>
      </w:r>
      <w:r>
        <w:tab/>
        <w:t>Occupational safety and health (Sch. 1)</w:t>
      </w:r>
      <w:bookmarkEnd w:id="235"/>
    </w:p>
    <w:p>
      <w:pPr>
        <w:pStyle w:val="Subsection"/>
        <w:spacing w:before="180"/>
      </w:pPr>
      <w:r>
        <w:tab/>
      </w:r>
      <w:r>
        <w:tab/>
        <w:t>Schedule 1 has effect.</w:t>
      </w:r>
    </w:p>
    <w:p>
      <w:pPr>
        <w:pStyle w:val="Footnotesection"/>
        <w:ind w:left="890" w:hanging="890"/>
      </w:pPr>
      <w:r>
        <w:tab/>
        <w:t>[Section 149A inserted: No. 13 of 2005 s. 14.]</w:t>
      </w:r>
    </w:p>
    <w:p>
      <w:pPr>
        <w:pStyle w:val="Heading5"/>
        <w:spacing w:before="240"/>
      </w:pPr>
      <w:bookmarkStart w:id="236" w:name="_Toc33609258"/>
      <w:r>
        <w:rPr>
          <w:rStyle w:val="CharSectno"/>
        </w:rPr>
        <w:t>149B</w:t>
      </w:r>
      <w:r>
        <w:t>.</w:t>
      </w:r>
      <w:r>
        <w:tab/>
        <w:t>Regulations relating to occupational safety and health</w:t>
      </w:r>
      <w:bookmarkEnd w:id="236"/>
    </w:p>
    <w:p>
      <w:pPr>
        <w:pStyle w:val="Subsection"/>
        <w:spacing w:before="180"/>
      </w:pPr>
      <w:r>
        <w:tab/>
        <w:t>(1)</w:t>
      </w:r>
      <w:r>
        <w:tab/>
        <w:t xml:space="preserve">The regulations may make provision in relation to — </w:t>
      </w:r>
    </w:p>
    <w:p>
      <w:pPr>
        <w:pStyle w:val="Indenta"/>
      </w:pPr>
      <w:r>
        <w:tab/>
        <w:t>(a)</w:t>
      </w:r>
      <w:r>
        <w:tab/>
        <w:t xml:space="preserve">the occupational safety and health of a person engaged in a petroleum operation or geothermal energy operation; or </w:t>
      </w:r>
    </w:p>
    <w:p>
      <w:pPr>
        <w:pStyle w:val="Indenta"/>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pPr>
      <w:r>
        <w:tab/>
        <w:t>(a)</w:t>
      </w:r>
      <w:r>
        <w:tab/>
        <w:t xml:space="preserve">require a person who is carrying on a petroleum operation or geothermal energy operation to establish and maintain a system of management to secure — </w:t>
      </w:r>
    </w:p>
    <w:p>
      <w:pPr>
        <w:pStyle w:val="Indenti"/>
      </w:pPr>
      <w:r>
        <w:tab/>
        <w:t>(i)</w:t>
      </w:r>
      <w:r>
        <w:tab/>
        <w:t xml:space="preserve">the occupational safety and health of a person engaged in a petroleum operation or geothermal energy operation; or </w:t>
      </w:r>
    </w:p>
    <w:p>
      <w:pPr>
        <w:pStyle w:val="Indenti"/>
      </w:pPr>
      <w:r>
        <w:tab/>
        <w:t>(ii)</w:t>
      </w:r>
      <w:r>
        <w:tab/>
        <w:t>the safety and health of any other protected person;</w:t>
      </w:r>
    </w:p>
    <w:p>
      <w:pPr>
        <w:pStyle w:val="Indenta"/>
      </w:pPr>
      <w:r>
        <w:tab/>
      </w:r>
      <w:r>
        <w:tab/>
        <w:t>and</w:t>
      </w:r>
    </w:p>
    <w:p>
      <w:pPr>
        <w:pStyle w:val="Indenta"/>
      </w:pPr>
      <w:r>
        <w:tab/>
        <w:t>(b)</w:t>
      </w:r>
      <w:r>
        <w:tab/>
        <w:t>specify requirements with which the system must comply.</w:t>
      </w:r>
    </w:p>
    <w:p>
      <w:pPr>
        <w:pStyle w:val="Footnotesection"/>
        <w:ind w:left="890" w:hanging="890"/>
      </w:pPr>
      <w:r>
        <w:tab/>
        <w:t>[Section 149B inserted: No. 13 of 2005 s. 14; amended: No. 35 of 2007 s. 86.]</w:t>
      </w:r>
    </w:p>
    <w:p>
      <w:pPr>
        <w:pStyle w:val="Heading5"/>
        <w:keepNext w:val="0"/>
        <w:keepLines w:val="0"/>
        <w:pageBreakBefore/>
        <w:spacing w:before="0"/>
      </w:pPr>
      <w:bookmarkStart w:id="237" w:name="_Toc33609259"/>
      <w:r>
        <w:rPr>
          <w:rStyle w:val="CharSectno"/>
        </w:rPr>
        <w:t>149C</w:t>
      </w:r>
      <w:r>
        <w:t>.</w:t>
      </w:r>
      <w:r>
        <w:tab/>
        <w:t>Minister’s occupational safety and health functions</w:t>
      </w:r>
      <w:bookmarkEnd w:id="237"/>
    </w:p>
    <w:p>
      <w:pPr>
        <w:pStyle w:val="Subsection"/>
        <w:spacing w:before="180"/>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No. 13 of 2005 s. 14; amended: No. 35 of 2007 s. 87.]</w:t>
      </w:r>
    </w:p>
    <w:p>
      <w:pPr>
        <w:pStyle w:val="Heading2"/>
      </w:pPr>
      <w:bookmarkStart w:id="238" w:name="_Toc33608907"/>
      <w:bookmarkStart w:id="239" w:name="_Toc33609260"/>
      <w:r>
        <w:rPr>
          <w:rStyle w:val="CharPartNo"/>
        </w:rPr>
        <w:t>Part IVA</w:t>
      </w:r>
      <w:r>
        <w:rPr>
          <w:b w:val="0"/>
        </w:rPr>
        <w:t> </w:t>
      </w:r>
      <w:r>
        <w:t>—</w:t>
      </w:r>
      <w:r>
        <w:rPr>
          <w:b w:val="0"/>
        </w:rPr>
        <w:t> </w:t>
      </w:r>
      <w:r>
        <w:rPr>
          <w:rStyle w:val="CharPartText"/>
        </w:rPr>
        <w:t>Release of information</w:t>
      </w:r>
      <w:bookmarkEnd w:id="238"/>
      <w:bookmarkEnd w:id="239"/>
    </w:p>
    <w:p>
      <w:pPr>
        <w:pStyle w:val="Footnoteheading"/>
        <w:spacing w:before="80"/>
      </w:pPr>
      <w:r>
        <w:tab/>
        <w:t>[Heading inserted: No. 42 of 2010 s. 57.]</w:t>
      </w:r>
    </w:p>
    <w:p>
      <w:pPr>
        <w:pStyle w:val="Heading3"/>
        <w:spacing w:before="180"/>
      </w:pPr>
      <w:bookmarkStart w:id="240" w:name="_Toc33608908"/>
      <w:bookmarkStart w:id="241" w:name="_Toc33609261"/>
      <w:r>
        <w:rPr>
          <w:rStyle w:val="CharDivNo"/>
        </w:rPr>
        <w:t>Division 1</w:t>
      </w:r>
      <w:r>
        <w:t> — </w:t>
      </w:r>
      <w:r>
        <w:rPr>
          <w:rStyle w:val="CharDivText"/>
        </w:rPr>
        <w:t>Preliminary</w:t>
      </w:r>
      <w:bookmarkEnd w:id="240"/>
      <w:bookmarkEnd w:id="241"/>
    </w:p>
    <w:p>
      <w:pPr>
        <w:pStyle w:val="Footnoteheading"/>
        <w:spacing w:before="80"/>
      </w:pPr>
      <w:r>
        <w:tab/>
        <w:t>[Heading inserted: No. 42 of 2010 s. 57.]</w:t>
      </w:r>
    </w:p>
    <w:p>
      <w:pPr>
        <w:pStyle w:val="Heading5"/>
        <w:spacing w:before="160"/>
      </w:pPr>
      <w:bookmarkStart w:id="242" w:name="_Toc33609262"/>
      <w:r>
        <w:rPr>
          <w:rStyle w:val="CharSectno"/>
        </w:rPr>
        <w:t>150A</w:t>
      </w:r>
      <w:r>
        <w:t>.</w:t>
      </w:r>
      <w:r>
        <w:tab/>
        <w:t>Terms used</w:t>
      </w:r>
      <w:bookmarkEnd w:id="242"/>
    </w:p>
    <w:p>
      <w:pPr>
        <w:pStyle w:val="Subsection"/>
        <w:spacing w:before="120"/>
      </w:pPr>
      <w:r>
        <w:tab/>
      </w:r>
      <w:r>
        <w:tab/>
        <w:t xml:space="preserve">In this Part, unless the contrary intention appears — </w:t>
      </w:r>
    </w:p>
    <w:p>
      <w:pPr>
        <w:pStyle w:val="Defstart"/>
      </w:pPr>
      <w:r>
        <w:tab/>
      </w:r>
      <w:r>
        <w:rPr>
          <w:rStyle w:val="CharDefText"/>
        </w:rPr>
        <w:t>applicable document</w:t>
      </w:r>
      <w:r>
        <w:t xml:space="preserve"> means — </w:t>
      </w:r>
    </w:p>
    <w:p>
      <w:pPr>
        <w:pStyle w:val="Defpara"/>
      </w:pPr>
      <w:r>
        <w:tab/>
        <w:t>(a)</w:t>
      </w:r>
      <w:r>
        <w:tab/>
        <w:t>an application made after the commencement to the Minister under this Act; or</w:t>
      </w:r>
    </w:p>
    <w:p>
      <w:pPr>
        <w:pStyle w:val="Defpara"/>
      </w:pPr>
      <w:r>
        <w:tab/>
        <w:t>(b)</w:t>
      </w:r>
      <w:r>
        <w:tab/>
        <w:t>a document accompanying an application so made; or</w:t>
      </w:r>
    </w:p>
    <w:p>
      <w:pPr>
        <w:pStyle w:val="Defpara"/>
      </w:pPr>
      <w:r>
        <w:tab/>
        <w:t>(c)</w:t>
      </w:r>
      <w:r>
        <w:tab/>
        <w:t xml:space="preserve">a report, return or other document relating to a block given after the commencement to the Minister under — </w:t>
      </w:r>
    </w:p>
    <w:p>
      <w:pPr>
        <w:pStyle w:val="Defsubpara"/>
        <w:keepLines w:val="0"/>
      </w:pPr>
      <w:r>
        <w:tab/>
        <w:t>(i)</w:t>
      </w:r>
      <w:r>
        <w:tab/>
        <w:t>this Act; or</w:t>
      </w:r>
    </w:p>
    <w:p>
      <w:pPr>
        <w:pStyle w:val="Defsubpara"/>
        <w:keepLines w:val="0"/>
      </w:pPr>
      <w:r>
        <w:tab/>
        <w:t>(ii)</w:t>
      </w:r>
      <w:r>
        <w:tab/>
        <w:t>regulations made for the purposes of section 116A;</w:t>
      </w:r>
    </w:p>
    <w:p>
      <w:pPr>
        <w:pStyle w:val="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Defstart"/>
      </w:pPr>
      <w:r>
        <w:rPr>
          <w:b/>
        </w:rPr>
        <w:tab/>
      </w:r>
      <w:r>
        <w:rPr>
          <w:rStyle w:val="CharDefText"/>
        </w:rPr>
        <w:t>documentary information</w:t>
      </w:r>
      <w:r>
        <w:t xml:space="preserve"> means information contained in an applicable document;</w:t>
      </w:r>
    </w:p>
    <w:p>
      <w:pPr>
        <w:pStyle w:val="Defstart"/>
      </w:pPr>
      <w:r>
        <w:tab/>
      </w:r>
      <w:r>
        <w:rPr>
          <w:rStyle w:val="CharDefText"/>
        </w:rPr>
        <w:t>mining sample</w:t>
      </w:r>
      <w:r>
        <w:t xml:space="preserve"> means — </w:t>
      </w:r>
    </w:p>
    <w:p>
      <w:pPr>
        <w:pStyle w:val="Defpara"/>
        <w:spacing w:before="60"/>
      </w:pPr>
      <w:r>
        <w:tab/>
        <w:t>(a)</w:t>
      </w:r>
      <w:r>
        <w:tab/>
        <w:t xml:space="preserve">a core or cutting from, or a sample of, the seabed or subsoil; or </w:t>
      </w:r>
    </w:p>
    <w:p>
      <w:pPr>
        <w:pStyle w:val="Defpara"/>
        <w:spacing w:before="60"/>
      </w:pPr>
      <w:r>
        <w:tab/>
        <w:t>(b)</w:t>
      </w:r>
      <w:r>
        <w:tab/>
        <w:t xml:space="preserve">a sample of petroleum recovered; or </w:t>
      </w:r>
    </w:p>
    <w:p>
      <w:pPr>
        <w:pStyle w:val="Defpara"/>
        <w:spacing w:before="60"/>
      </w:pPr>
      <w:r>
        <w:tab/>
        <w:t>(c)</w:t>
      </w:r>
      <w:r>
        <w:tab/>
        <w:t xml:space="preserve">a sample of fluid recovered (other than fluid petroleum), </w:t>
      </w:r>
    </w:p>
    <w:p>
      <w:pPr>
        <w:pStyle w:val="Defstart"/>
      </w:pPr>
      <w:r>
        <w:tab/>
        <w:t>that has been given at any time, whether before or after the commencement, to the Minister, and includes a portion of such a core, cutting or sample;</w:t>
      </w:r>
    </w:p>
    <w:p>
      <w:pPr>
        <w:pStyle w:val="Defstart"/>
      </w:pPr>
      <w:r>
        <w:rPr>
          <w:b/>
        </w:rPr>
        <w:tab/>
      </w:r>
      <w:r>
        <w:rPr>
          <w:rStyle w:val="CharDefText"/>
        </w:rPr>
        <w:t>Minister of another jurisdiction</w:t>
      </w:r>
      <w:r>
        <w:t xml:space="preserve"> means a Minister of the Commonwealth, a Minister of another State or a Minister of the Northern Territory.</w:t>
      </w:r>
    </w:p>
    <w:p>
      <w:pPr>
        <w:pStyle w:val="Footnotesection"/>
        <w:spacing w:before="60"/>
        <w:ind w:left="890" w:hanging="890"/>
      </w:pPr>
      <w:r>
        <w:tab/>
        <w:t>[Section 150A inserted: No. 42 of 2010 s. 57.]</w:t>
      </w:r>
    </w:p>
    <w:p>
      <w:pPr>
        <w:pStyle w:val="Heading3"/>
      </w:pPr>
      <w:bookmarkStart w:id="243" w:name="_Toc33608910"/>
      <w:bookmarkStart w:id="244" w:name="_Toc33609263"/>
      <w:r>
        <w:rPr>
          <w:rStyle w:val="CharDivNo"/>
        </w:rPr>
        <w:t>Division 2</w:t>
      </w:r>
      <w:r>
        <w:t> — </w:t>
      </w:r>
      <w:r>
        <w:rPr>
          <w:rStyle w:val="CharDivText"/>
        </w:rPr>
        <w:t>Protection of confidentiality of information and samples</w:t>
      </w:r>
      <w:bookmarkEnd w:id="243"/>
      <w:bookmarkEnd w:id="244"/>
    </w:p>
    <w:p>
      <w:pPr>
        <w:pStyle w:val="Footnoteheading"/>
        <w:spacing w:before="80"/>
      </w:pPr>
      <w:r>
        <w:tab/>
        <w:t>[Heading inserted: No. 42 of 2010 s. 57.]</w:t>
      </w:r>
    </w:p>
    <w:p>
      <w:pPr>
        <w:pStyle w:val="Heading4"/>
        <w:spacing w:before="180"/>
      </w:pPr>
      <w:bookmarkStart w:id="245" w:name="_Toc33608911"/>
      <w:bookmarkStart w:id="246" w:name="_Toc33609264"/>
      <w:r>
        <w:t>Subdivision 1 — Information and samples obtained by the Minister</w:t>
      </w:r>
      <w:bookmarkEnd w:id="245"/>
      <w:bookmarkEnd w:id="246"/>
    </w:p>
    <w:p>
      <w:pPr>
        <w:pStyle w:val="Footnoteheading"/>
        <w:spacing w:before="80"/>
      </w:pPr>
      <w:r>
        <w:tab/>
        <w:t>[Heading inserted: No. 42 of 2010 s. 57.]</w:t>
      </w:r>
    </w:p>
    <w:p>
      <w:pPr>
        <w:pStyle w:val="Heading5"/>
        <w:spacing w:before="180"/>
      </w:pPr>
      <w:bookmarkStart w:id="247" w:name="_Toc33609265"/>
      <w:r>
        <w:rPr>
          <w:rStyle w:val="CharSectno"/>
        </w:rPr>
        <w:t>150B</w:t>
      </w:r>
      <w:r>
        <w:t>.</w:t>
      </w:r>
      <w:r>
        <w:tab/>
        <w:t>Protection of confidentiality of information obtained by Minister</w:t>
      </w:r>
      <w:bookmarkEnd w:id="247"/>
    </w:p>
    <w:p>
      <w:pPr>
        <w:pStyle w:val="Subsection"/>
      </w:pPr>
      <w:r>
        <w:tab/>
        <w:t>(1)</w:t>
      </w:r>
      <w:r>
        <w:tab/>
        <w:t>This section restricts what the Minister may do with documentary information.</w:t>
      </w:r>
    </w:p>
    <w:p>
      <w:pPr>
        <w:pStyle w:val="Subsection"/>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150B inserted: No. 42 of 2010 s. 57.]</w:t>
      </w:r>
    </w:p>
    <w:p>
      <w:pPr>
        <w:pStyle w:val="Heading5"/>
        <w:spacing w:before="180"/>
      </w:pPr>
      <w:bookmarkStart w:id="248" w:name="_Toc33609266"/>
      <w:r>
        <w:rPr>
          <w:rStyle w:val="CharSectno"/>
        </w:rPr>
        <w:t>150C</w:t>
      </w:r>
      <w:r>
        <w:t>.</w:t>
      </w:r>
      <w:r>
        <w:tab/>
        <w:t>Protection of confidentiality of samples obtained by Minister</w:t>
      </w:r>
      <w:bookmarkEnd w:id="248"/>
    </w:p>
    <w:p>
      <w:pPr>
        <w:pStyle w:val="Subsection"/>
      </w:pPr>
      <w:r>
        <w:tab/>
        <w:t>(1)</w:t>
      </w:r>
      <w:r>
        <w:tab/>
        <w:t>This section restricts what the Minister may do with a mining sample.</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150C inserted: No. 42 of 2010 s. 57.]</w:t>
      </w:r>
    </w:p>
    <w:p>
      <w:pPr>
        <w:pStyle w:val="Heading5"/>
        <w:spacing w:before="240"/>
      </w:pPr>
      <w:bookmarkStart w:id="249" w:name="_Toc33609267"/>
      <w:r>
        <w:rPr>
          <w:rStyle w:val="CharSectno"/>
        </w:rPr>
        <w:t>150D</w:t>
      </w:r>
      <w:r>
        <w:t>.</w:t>
      </w:r>
      <w:r>
        <w:tab/>
        <w:t>Information or samples obtained by Minister can be made available to certain persons</w:t>
      </w:r>
      <w:bookmarkEnd w:id="249"/>
    </w:p>
    <w:p>
      <w:pPr>
        <w:pStyle w:val="Subsection"/>
        <w:spacing w:before="180"/>
      </w:pPr>
      <w:r>
        <w:tab/>
      </w:r>
      <w:r>
        <w:tab/>
        <w:t>The Minister may make documentary information or a mining sample available to another Minister or a Minister of another jurisdiction.</w:t>
      </w:r>
    </w:p>
    <w:p>
      <w:pPr>
        <w:pStyle w:val="Footnotesection"/>
        <w:spacing w:before="100"/>
        <w:ind w:left="890" w:hanging="890"/>
      </w:pPr>
      <w:r>
        <w:tab/>
        <w:t>[Section 150D inserted: No. 42 of 2010 s. 57.]</w:t>
      </w:r>
    </w:p>
    <w:p>
      <w:pPr>
        <w:pStyle w:val="Heading4"/>
        <w:spacing w:before="180"/>
      </w:pPr>
      <w:bookmarkStart w:id="250" w:name="_Toc33608915"/>
      <w:bookmarkStart w:id="251" w:name="_Toc33609268"/>
      <w:r>
        <w:t>Subdivision 2 — Information and samples obtained by another Minister</w:t>
      </w:r>
      <w:bookmarkEnd w:id="250"/>
      <w:bookmarkEnd w:id="251"/>
    </w:p>
    <w:p>
      <w:pPr>
        <w:pStyle w:val="Footnoteheading"/>
      </w:pPr>
      <w:r>
        <w:tab/>
        <w:t>[Heading inserted: No. 42 of 2010 s. 57.]</w:t>
      </w:r>
    </w:p>
    <w:p>
      <w:pPr>
        <w:pStyle w:val="Heading5"/>
        <w:spacing w:before="240"/>
      </w:pPr>
      <w:bookmarkStart w:id="252" w:name="_Toc33609269"/>
      <w:r>
        <w:rPr>
          <w:rStyle w:val="CharSectno"/>
        </w:rPr>
        <w:t>150E</w:t>
      </w:r>
      <w:r>
        <w:t>.</w:t>
      </w:r>
      <w:r>
        <w:tab/>
        <w:t>Protection of confidentiality of information obtained by another Minister</w:t>
      </w:r>
      <w:bookmarkEnd w:id="252"/>
    </w:p>
    <w:p>
      <w:pPr>
        <w:pStyle w:val="Subsection"/>
        <w:spacing w:before="180"/>
      </w:pPr>
      <w:r>
        <w:tab/>
        <w:t>(1)</w:t>
      </w:r>
      <w:r>
        <w:tab/>
        <w:t>This section restricts what a Minister may do with documentary information made available to that Minister under section 150D or 150G.</w:t>
      </w:r>
    </w:p>
    <w:p>
      <w:pPr>
        <w:pStyle w:val="Subsection"/>
        <w:spacing w:before="180"/>
      </w:pPr>
      <w:r>
        <w:tab/>
        <w:t>(2)</w:t>
      </w:r>
      <w:r>
        <w:tab/>
        <w:t xml:space="preserve">The Minister shall not — </w:t>
      </w:r>
    </w:p>
    <w:p>
      <w:pPr>
        <w:pStyle w:val="Indenta"/>
      </w:pPr>
      <w:r>
        <w:tab/>
        <w:t>(a)</w:t>
      </w:r>
      <w:r>
        <w:tab/>
        <w:t>make the information publicly known; or</w:t>
      </w:r>
    </w:p>
    <w:p>
      <w:pPr>
        <w:pStyle w:val="Indenta"/>
      </w:pPr>
      <w:r>
        <w:tab/>
        <w:t>(b)</w:t>
      </w:r>
      <w:r>
        <w:tab/>
        <w:t>make the information available to a person (other than another Minister or a Minister of another jurisdiction),</w:t>
      </w:r>
    </w:p>
    <w:p>
      <w:pPr>
        <w:pStyle w:val="Subsection"/>
        <w:spacing w:before="180"/>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ind w:left="890" w:hanging="890"/>
      </w:pPr>
      <w:r>
        <w:tab/>
        <w:t>[Section 150E inserted: No. 42 of 2010 s. 57.]</w:t>
      </w:r>
    </w:p>
    <w:p>
      <w:pPr>
        <w:pStyle w:val="Heading5"/>
        <w:keepNext w:val="0"/>
        <w:keepLines w:val="0"/>
        <w:pageBreakBefore/>
        <w:spacing w:before="0"/>
      </w:pPr>
      <w:bookmarkStart w:id="253" w:name="_Toc33609270"/>
      <w:r>
        <w:rPr>
          <w:rStyle w:val="CharSectno"/>
        </w:rPr>
        <w:t>150F</w:t>
      </w:r>
      <w:r>
        <w:t>.</w:t>
      </w:r>
      <w:r>
        <w:tab/>
        <w:t>Protection of confidentiality of samples obtained by another Minister</w:t>
      </w:r>
      <w:bookmarkEnd w:id="253"/>
    </w:p>
    <w:p>
      <w:pPr>
        <w:pStyle w:val="Subsection"/>
        <w:spacing w:before="120"/>
      </w:pPr>
      <w:r>
        <w:tab/>
        <w:t>(1)</w:t>
      </w:r>
      <w:r>
        <w:tab/>
        <w:t>This section restricts what a Minister may do with a mining sample made available to that Minister under section 150D or 150G.</w:t>
      </w:r>
    </w:p>
    <w:p>
      <w:pPr>
        <w:pStyle w:val="Subsection"/>
      </w:pPr>
      <w:r>
        <w:tab/>
        <w:t>(2)</w:t>
      </w:r>
      <w:r>
        <w:tab/>
        <w:t xml:space="preserve">The Minister shall not — </w:t>
      </w:r>
    </w:p>
    <w:p>
      <w:pPr>
        <w:pStyle w:val="Indenta"/>
      </w:pPr>
      <w:r>
        <w:tab/>
        <w:t>(a)</w:t>
      </w:r>
      <w:r>
        <w:tab/>
        <w:t>make publicly known any details of the sample; or</w:t>
      </w:r>
    </w:p>
    <w:p>
      <w:pPr>
        <w:pStyle w:val="Indenta"/>
      </w:pPr>
      <w:r>
        <w:tab/>
        <w:t>(b)</w:t>
      </w:r>
      <w:r>
        <w:tab/>
        <w:t>permit a person (other than another Minister or a Minister of another jurisdiction) to inspect the sample,</w:t>
      </w:r>
    </w:p>
    <w:p>
      <w:pPr>
        <w:pStyle w:val="Subsection"/>
      </w:pPr>
      <w:r>
        <w:tab/>
      </w:r>
      <w:r>
        <w:tab/>
        <w:t xml:space="preserve">unless the Minister does so — </w:t>
      </w:r>
    </w:p>
    <w:p>
      <w:pPr>
        <w:pStyle w:val="Indenta"/>
      </w:pPr>
      <w:r>
        <w:tab/>
        <w:t>(c)</w:t>
      </w:r>
      <w:r>
        <w:tab/>
        <w:t>in accordance with regulations made for the purposes of this paragraph; or</w:t>
      </w:r>
    </w:p>
    <w:p>
      <w:pPr>
        <w:pStyle w:val="Indenta"/>
      </w:pPr>
      <w:r>
        <w:tab/>
        <w:t>(d)</w:t>
      </w:r>
      <w:r>
        <w:tab/>
        <w:t>for the purposes of the administration of this Act.</w:t>
      </w:r>
    </w:p>
    <w:p>
      <w:pPr>
        <w:pStyle w:val="Footnotesection"/>
      </w:pPr>
      <w:r>
        <w:tab/>
        <w:t>[Section 150F inserted: No. 42 of 2010 s. 57.]</w:t>
      </w:r>
    </w:p>
    <w:p>
      <w:pPr>
        <w:pStyle w:val="Heading5"/>
      </w:pPr>
      <w:bookmarkStart w:id="254" w:name="_Toc33609271"/>
      <w:r>
        <w:rPr>
          <w:rStyle w:val="CharSectno"/>
        </w:rPr>
        <w:t>150G</w:t>
      </w:r>
      <w:r>
        <w:t>.</w:t>
      </w:r>
      <w:r>
        <w:tab/>
        <w:t>Information or samples obtained by another Minister can be made available to certain persons</w:t>
      </w:r>
      <w:bookmarkEnd w:id="254"/>
    </w:p>
    <w:p>
      <w:pPr>
        <w:pStyle w:val="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Footnotesection"/>
      </w:pPr>
      <w:r>
        <w:tab/>
        <w:t>[Section 150G inserted: No. 42 of 2010 s. 57.]</w:t>
      </w:r>
    </w:p>
    <w:p>
      <w:pPr>
        <w:pStyle w:val="Heading4"/>
      </w:pPr>
      <w:bookmarkStart w:id="255" w:name="_Toc33608919"/>
      <w:bookmarkStart w:id="256" w:name="_Toc33609272"/>
      <w:r>
        <w:t>Subdivision 3 — Miscellaneous</w:t>
      </w:r>
      <w:bookmarkEnd w:id="255"/>
      <w:bookmarkEnd w:id="256"/>
    </w:p>
    <w:p>
      <w:pPr>
        <w:pStyle w:val="Footnoteheading"/>
      </w:pPr>
      <w:r>
        <w:tab/>
        <w:t>[Heading inserted: No. 42 of 2010 s. 57.]</w:t>
      </w:r>
    </w:p>
    <w:p>
      <w:pPr>
        <w:pStyle w:val="Heading5"/>
      </w:pPr>
      <w:bookmarkStart w:id="257" w:name="_Toc33609273"/>
      <w:r>
        <w:rPr>
          <w:rStyle w:val="CharSectno"/>
        </w:rPr>
        <w:t>150H</w:t>
      </w:r>
      <w:r>
        <w:t>.</w:t>
      </w:r>
      <w:r>
        <w:tab/>
        <w:t>Fees</w:t>
      </w:r>
      <w:bookmarkEnd w:id="257"/>
    </w:p>
    <w:p>
      <w:pPr>
        <w:pStyle w:val="Subsection"/>
      </w:pPr>
      <w:r>
        <w:tab/>
        <w:t>(1)</w:t>
      </w:r>
      <w:r>
        <w:tab/>
        <w:t xml:space="preserve">This section applies to regulations made for the purposes of any of the following — </w:t>
      </w:r>
    </w:p>
    <w:p>
      <w:pPr>
        <w:pStyle w:val="Indenta"/>
      </w:pPr>
      <w:r>
        <w:tab/>
        <w:t>(a)</w:t>
      </w:r>
      <w:r>
        <w:tab/>
        <w:t>section 150B(2)(c);</w:t>
      </w:r>
    </w:p>
    <w:p>
      <w:pPr>
        <w:pStyle w:val="Indenta"/>
      </w:pPr>
      <w:r>
        <w:tab/>
        <w:t>(b)</w:t>
      </w:r>
      <w:r>
        <w:tab/>
        <w:t>section 150C(2)(c);</w:t>
      </w:r>
    </w:p>
    <w:p>
      <w:pPr>
        <w:pStyle w:val="Indenta"/>
      </w:pPr>
      <w:r>
        <w:tab/>
        <w:t>(c)</w:t>
      </w:r>
      <w:r>
        <w:tab/>
        <w:t>section 150E(2)(c);</w:t>
      </w:r>
    </w:p>
    <w:p>
      <w:pPr>
        <w:pStyle w:val="Indenta"/>
      </w:pPr>
      <w:r>
        <w:tab/>
        <w:t>(d)</w:t>
      </w:r>
      <w:r>
        <w:tab/>
        <w:t>section 150F(2)(c).</w:t>
      </w:r>
    </w:p>
    <w:p>
      <w:pPr>
        <w:pStyle w:val="Subsection"/>
      </w:pPr>
      <w:r>
        <w:tab/>
        <w:t>(2)</w:t>
      </w:r>
      <w:r>
        <w:tab/>
        <w:t xml:space="preserve">The regulations may make provision for fees relating to — </w:t>
      </w:r>
    </w:p>
    <w:p>
      <w:pPr>
        <w:pStyle w:val="Indenta"/>
      </w:pPr>
      <w:r>
        <w:tab/>
        <w:t>(a)</w:t>
      </w:r>
      <w:r>
        <w:tab/>
        <w:t>making information available to a person; or</w:t>
      </w:r>
    </w:p>
    <w:p>
      <w:pPr>
        <w:pStyle w:val="Indenta"/>
      </w:pPr>
      <w:r>
        <w:tab/>
        <w:t>(b)</w:t>
      </w:r>
      <w:r>
        <w:tab/>
        <w:t>permitting a person to inspect a sample.</w:t>
      </w:r>
    </w:p>
    <w:p>
      <w:pPr>
        <w:pStyle w:val="Footnotesection"/>
      </w:pPr>
      <w:r>
        <w:tab/>
        <w:t>[Section 150H inserted: No. 42 of 2010 s. 57.]</w:t>
      </w:r>
    </w:p>
    <w:p>
      <w:pPr>
        <w:pStyle w:val="Heading2"/>
      </w:pPr>
      <w:bookmarkStart w:id="258" w:name="_Toc33608921"/>
      <w:bookmarkStart w:id="259" w:name="_Toc33609274"/>
      <w:r>
        <w:rPr>
          <w:rStyle w:val="CharPartNo"/>
        </w:rPr>
        <w:t>Part IV</w:t>
      </w:r>
      <w:r>
        <w:rPr>
          <w:rStyle w:val="CharDivNo"/>
        </w:rPr>
        <w:t> </w:t>
      </w:r>
      <w:r>
        <w:t>—</w:t>
      </w:r>
      <w:r>
        <w:rPr>
          <w:rStyle w:val="CharDivText"/>
        </w:rPr>
        <w:t> </w:t>
      </w:r>
      <w:r>
        <w:rPr>
          <w:rStyle w:val="CharPartText"/>
        </w:rPr>
        <w:t>Miscellaneous</w:t>
      </w:r>
      <w:bookmarkEnd w:id="258"/>
      <w:bookmarkEnd w:id="259"/>
    </w:p>
    <w:p>
      <w:pPr>
        <w:pStyle w:val="Heading5"/>
        <w:rPr>
          <w:snapToGrid w:val="0"/>
        </w:rPr>
      </w:pPr>
      <w:bookmarkStart w:id="260" w:name="_Toc33609275"/>
      <w:r>
        <w:rPr>
          <w:rStyle w:val="CharSectno"/>
        </w:rPr>
        <w:t>150</w:t>
      </w:r>
      <w:r>
        <w:rPr>
          <w:snapToGrid w:val="0"/>
        </w:rPr>
        <w:t>.</w:t>
      </w:r>
      <w:r>
        <w:rPr>
          <w:snapToGrid w:val="0"/>
        </w:rPr>
        <w:tab/>
        <w:t>Jurisdiction of Magistrates Court</w:t>
      </w:r>
      <w:bookmarkEnd w:id="260"/>
    </w:p>
    <w:p>
      <w:pPr>
        <w:pStyle w:val="Subsection"/>
        <w:rPr>
          <w:snapToGrid w:val="0"/>
        </w:rPr>
      </w:pPr>
      <w:r>
        <w:rPr>
          <w:snapToGrid w:val="0"/>
        </w:rPr>
        <w:tab/>
        <w:t>(1)</w:t>
      </w:r>
      <w:r>
        <w:rPr>
          <w:snapToGrid w:val="0"/>
        </w:rPr>
        <w:tab/>
        <w:t xml:space="preserve">In any action brought before </w:t>
      </w:r>
      <w:r>
        <w:t xml:space="preserve">the Magistrates Court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Magistrates Court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No. 59 of 2004 s. 141.]</w:t>
      </w:r>
    </w:p>
    <w:p>
      <w:pPr>
        <w:pStyle w:val="Heading5"/>
        <w:rPr>
          <w:snapToGrid w:val="0"/>
        </w:rPr>
      </w:pPr>
      <w:bookmarkStart w:id="261" w:name="_Toc33609276"/>
      <w:r>
        <w:rPr>
          <w:rStyle w:val="CharSectno"/>
        </w:rPr>
        <w:t>151</w:t>
      </w:r>
      <w:r>
        <w:rPr>
          <w:snapToGrid w:val="0"/>
        </w:rPr>
        <w:t>.</w:t>
      </w:r>
      <w:r>
        <w:rPr>
          <w:snapToGrid w:val="0"/>
        </w:rPr>
        <w:tab/>
        <w:t>Special case may be reserved for Supreme Court</w:t>
      </w:r>
      <w:bookmarkEnd w:id="261"/>
    </w:p>
    <w:p>
      <w:pPr>
        <w:pStyle w:val="Subsection"/>
        <w:rPr>
          <w:snapToGrid w:val="0"/>
        </w:rPr>
      </w:pPr>
      <w:r>
        <w:rPr>
          <w:snapToGrid w:val="0"/>
        </w:rPr>
        <w:tab/>
      </w:r>
      <w:r>
        <w:rPr>
          <w:snapToGrid w:val="0"/>
        </w:rPr>
        <w:tab/>
        <w:t xml:space="preserve">At any stage of any civil proceedings before it </w:t>
      </w:r>
      <w:r>
        <w:t xml:space="preserve">the Magistrates Court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Magistrates Court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Magistrates Court </w:t>
      </w:r>
      <w:r>
        <w:rPr>
          <w:snapToGrid w:val="0"/>
        </w:rPr>
        <w:t xml:space="preserve">shall act in accordance therewith, and in the meantime no judgment or order of </w:t>
      </w:r>
      <w:r>
        <w:t xml:space="preserve">the Magistrates Court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No. 12 of 1990 s. 116; No. 59 of 2004 s. 141.]</w:t>
      </w:r>
    </w:p>
    <w:p>
      <w:pPr>
        <w:pStyle w:val="Heading5"/>
      </w:pPr>
      <w:bookmarkStart w:id="262" w:name="_Toc33609277"/>
      <w:r>
        <w:rPr>
          <w:rStyle w:val="CharSectno"/>
        </w:rPr>
        <w:t>152</w:t>
      </w:r>
      <w:r>
        <w:t>.</w:t>
      </w:r>
      <w:r>
        <w:tab/>
        <w:t xml:space="preserve">Certain things are not personal property for purposes of </w:t>
      </w:r>
      <w:r>
        <w:rPr>
          <w:i/>
          <w:iCs/>
        </w:rPr>
        <w:t>Personal Property Securities Act 2009</w:t>
      </w:r>
      <w:r>
        <w:t xml:space="preserve"> (Commonwealth)</w:t>
      </w:r>
      <w:bookmarkEnd w:id="262"/>
    </w:p>
    <w:p>
      <w:pPr>
        <w:pStyle w:val="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Indenta"/>
      </w:pPr>
      <w:r>
        <w:tab/>
        <w:t>(a)</w:t>
      </w:r>
      <w:r>
        <w:tab/>
        <w:t>a petroleum exploration permit or a geothermal exploration permit granted under section 37;</w:t>
      </w:r>
    </w:p>
    <w:p>
      <w:pPr>
        <w:pStyle w:val="Indenta"/>
      </w:pPr>
      <w:r>
        <w:tab/>
        <w:t>(b)</w:t>
      </w:r>
      <w:r>
        <w:tab/>
        <w:t>a drilling reservation granted under section 43C(4);</w:t>
      </w:r>
    </w:p>
    <w:p>
      <w:pPr>
        <w:pStyle w:val="Indenta"/>
      </w:pPr>
      <w:r>
        <w:tab/>
        <w:t>(c)</w:t>
      </w:r>
      <w:r>
        <w:tab/>
        <w:t>a petroleum retention lease or geothermal retention lease granted under section 48B(5);</w:t>
      </w:r>
    </w:p>
    <w:p>
      <w:pPr>
        <w:pStyle w:val="Indenta"/>
      </w:pPr>
      <w:r>
        <w:tab/>
        <w:t>(d)</w:t>
      </w:r>
      <w:r>
        <w:tab/>
        <w:t>a petroleum production licence or geothermal production licence granted under section 61(4).</w:t>
      </w:r>
    </w:p>
    <w:p>
      <w:pPr>
        <w:pStyle w:val="Footnotesection"/>
      </w:pPr>
      <w:r>
        <w:tab/>
        <w:t>[Section 152 inserted: No. 42 of 2011 s. 87.]</w:t>
      </w:r>
    </w:p>
    <w:p>
      <w:pPr>
        <w:pStyle w:val="Ednotesection"/>
      </w:pPr>
      <w:r>
        <w:t>[</w:t>
      </w:r>
      <w:r>
        <w:rPr>
          <w:b/>
        </w:rPr>
        <w:t>152A, 152B.</w:t>
      </w:r>
      <w:r>
        <w:tab/>
        <w:t>Deleted: No. 28 of 1994 s. 61.]</w:t>
      </w:r>
    </w:p>
    <w:p>
      <w:pPr>
        <w:pStyle w:val="Heading5"/>
        <w:spacing w:before="180"/>
        <w:rPr>
          <w:snapToGrid w:val="0"/>
        </w:rPr>
      </w:pPr>
      <w:bookmarkStart w:id="263" w:name="_Toc33609278"/>
      <w:r>
        <w:rPr>
          <w:rStyle w:val="CharSectno"/>
        </w:rPr>
        <w:t>153</w:t>
      </w:r>
      <w:r>
        <w:rPr>
          <w:snapToGrid w:val="0"/>
        </w:rPr>
        <w:t>.</w:t>
      </w:r>
      <w:r>
        <w:rPr>
          <w:snapToGrid w:val="0"/>
        </w:rPr>
        <w:tab/>
        <w:t>Regulations</w:t>
      </w:r>
      <w:bookmarkEnd w:id="263"/>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No. 12 of 1990 s. 118; No. 78 of 1990 s. 7; No. 28 of 1994 s. 62; No. 13 of 2005 s. 15; No. 35 of 2007 s. 83 and 87; No. 42 of 2010 s. 58.]</w:t>
      </w:r>
    </w:p>
    <w:p>
      <w:pPr>
        <w:pStyle w:val="Heading5"/>
      </w:pPr>
      <w:bookmarkStart w:id="264" w:name="_Toc33609279"/>
      <w:r>
        <w:rPr>
          <w:rStyle w:val="CharSectno"/>
        </w:rPr>
        <w:t>154</w:t>
      </w:r>
      <w:r>
        <w:t>.</w:t>
      </w:r>
      <w:r>
        <w:tab/>
        <w:t>Further transitional provisions</w:t>
      </w:r>
      <w:bookmarkEnd w:id="264"/>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No. 42 of 2010 s. 59.]</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65" w:name="_Toc33608927"/>
      <w:bookmarkStart w:id="266" w:name="_Toc33609280"/>
      <w:r>
        <w:rPr>
          <w:rStyle w:val="CharSchNo"/>
        </w:rPr>
        <w:t>Schedule 1</w:t>
      </w:r>
      <w:r>
        <w:t> — </w:t>
      </w:r>
      <w:r>
        <w:rPr>
          <w:rStyle w:val="CharSchText"/>
        </w:rPr>
        <w:t>Occupational safety and health</w:t>
      </w:r>
      <w:bookmarkEnd w:id="265"/>
      <w:bookmarkEnd w:id="266"/>
    </w:p>
    <w:p>
      <w:pPr>
        <w:pStyle w:val="yShoulderClause"/>
      </w:pPr>
      <w:r>
        <w:t>[s. 149A]</w:t>
      </w:r>
    </w:p>
    <w:p>
      <w:pPr>
        <w:pStyle w:val="yFootnoteheading"/>
      </w:pPr>
      <w:r>
        <w:tab/>
        <w:t>[Heading inserted: No. 13 of 2005 s. 17.]</w:t>
      </w:r>
    </w:p>
    <w:p>
      <w:pPr>
        <w:pStyle w:val="yHeading3"/>
      </w:pPr>
      <w:bookmarkStart w:id="267" w:name="_Toc33608928"/>
      <w:bookmarkStart w:id="268" w:name="_Toc33609281"/>
      <w:r>
        <w:rPr>
          <w:rStyle w:val="CharSDivNo"/>
        </w:rPr>
        <w:t>Division 1</w:t>
      </w:r>
      <w:r>
        <w:rPr>
          <w:b w:val="0"/>
        </w:rPr>
        <w:t> — </w:t>
      </w:r>
      <w:r>
        <w:rPr>
          <w:rStyle w:val="CharSDivText"/>
        </w:rPr>
        <w:t>Introduction</w:t>
      </w:r>
      <w:bookmarkEnd w:id="267"/>
      <w:bookmarkEnd w:id="268"/>
    </w:p>
    <w:p>
      <w:pPr>
        <w:pStyle w:val="yFootnoteheading"/>
      </w:pPr>
      <w:r>
        <w:tab/>
        <w:t>[Heading inserted: No. 13 of 2005 s. 17.]</w:t>
      </w:r>
    </w:p>
    <w:p>
      <w:pPr>
        <w:pStyle w:val="yHeading5"/>
      </w:pPr>
      <w:bookmarkStart w:id="269" w:name="_Toc33609282"/>
      <w:r>
        <w:rPr>
          <w:rStyle w:val="CharSClsNo"/>
        </w:rPr>
        <w:t>1</w:t>
      </w:r>
      <w:r>
        <w:t>.</w:t>
      </w:r>
      <w:r>
        <w:rPr>
          <w:b w:val="0"/>
        </w:rPr>
        <w:tab/>
      </w:r>
      <w:r>
        <w:t>Objects</w:t>
      </w:r>
      <w:bookmarkEnd w:id="269"/>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No. 13 of 2005 s. 17; amended: No. 35 of 2007 s. 87.]</w:t>
      </w:r>
    </w:p>
    <w:p>
      <w:pPr>
        <w:pStyle w:val="yHeading5"/>
      </w:pPr>
      <w:bookmarkStart w:id="270" w:name="_Toc33609283"/>
      <w:r>
        <w:rPr>
          <w:rStyle w:val="CharSClsNo"/>
        </w:rPr>
        <w:t>2</w:t>
      </w:r>
      <w:r>
        <w:t>.</w:t>
      </w:r>
      <w:r>
        <w:rPr>
          <w:b w:val="0"/>
        </w:rPr>
        <w:tab/>
      </w:r>
      <w:r>
        <w:t>Simplified outline</w:t>
      </w:r>
      <w:bookmarkEnd w:id="270"/>
    </w:p>
    <w:p>
      <w:pPr>
        <w:pStyle w:val="ySubsection"/>
      </w:pPr>
      <w:r>
        <w:tab/>
      </w:r>
      <w:r>
        <w:tab/>
        <w:t xml:space="preserve">The following is a simplified outline of this Schedule — </w:t>
      </w:r>
    </w:p>
    <w:p>
      <w:pPr>
        <w:pStyle w:val="ySubsection"/>
        <w:numPr>
          <w:ilvl w:val="1"/>
          <w:numId w:val="1"/>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1"/>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1"/>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1"/>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1"/>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1"/>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to ascertain whether a listed OSH law is being complied with; or</w:t>
      </w:r>
    </w:p>
    <w:p>
      <w:pPr>
        <w:pStyle w:val="yIndenta"/>
        <w:tabs>
          <w:tab w:val="clear" w:pos="1332"/>
          <w:tab w:val="clear" w:pos="1616"/>
          <w:tab w:val="right" w:pos="1680"/>
          <w:tab w:val="left" w:pos="2040"/>
        </w:tabs>
        <w:ind w:left="2040"/>
      </w:pPr>
      <w:r>
        <w:tab/>
        <w:t>(b)</w:t>
      </w:r>
      <w:r>
        <w:tab/>
        <w:t>concerning a contravention or a possible contravention of a listed OSH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keepLines/>
        <w:numPr>
          <w:ilvl w:val="1"/>
          <w:numId w:val="1"/>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No. 13 of 2005 s. 17; amended: No. 35 of 2007 s. 86 and 87.]</w:t>
      </w:r>
    </w:p>
    <w:p>
      <w:pPr>
        <w:pStyle w:val="yHeading5"/>
      </w:pPr>
      <w:bookmarkStart w:id="271" w:name="_Toc33609284"/>
      <w:r>
        <w:rPr>
          <w:rStyle w:val="CharSClsNo"/>
        </w:rPr>
        <w:t>3</w:t>
      </w:r>
      <w:r>
        <w:t>.</w:t>
      </w:r>
      <w:r>
        <w:rPr>
          <w:b w:val="0"/>
        </w:rPr>
        <w:tab/>
      </w:r>
      <w:r>
        <w:t>Terms used</w:t>
      </w:r>
      <w:bookmarkEnd w:id="271"/>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b/>
          <w:i/>
        </w:rPr>
        <w:tab/>
      </w:r>
      <w:r>
        <w:rPr>
          <w:rStyle w:val="CharDefText"/>
        </w:rPr>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No. 13 of 2005 s. 17; amended: No. 35 of 2007 s. 86.]</w:t>
      </w:r>
    </w:p>
    <w:p>
      <w:pPr>
        <w:pStyle w:val="yHeading5"/>
      </w:pPr>
      <w:bookmarkStart w:id="272" w:name="_Toc33609285"/>
      <w:r>
        <w:rPr>
          <w:rStyle w:val="CharSClsNo"/>
        </w:rPr>
        <w:t>4</w:t>
      </w:r>
      <w:r>
        <w:t>.</w:t>
      </w:r>
      <w:r>
        <w:rPr>
          <w:b w:val="0"/>
        </w:rPr>
        <w:tab/>
      </w:r>
      <w:r>
        <w:t>Operator must ensure presence of operator’s representative</w:t>
      </w:r>
      <w:bookmarkEnd w:id="272"/>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No. 13 of 2005 s. 17; amended: No. 35 of 2007 s. 86; No. 42 of 2010 s. 60(6).]</w:t>
      </w:r>
    </w:p>
    <w:p>
      <w:pPr>
        <w:pStyle w:val="yHeading5"/>
      </w:pPr>
      <w:bookmarkStart w:id="273" w:name="_Toc33609286"/>
      <w:r>
        <w:rPr>
          <w:rStyle w:val="CharSClsNo"/>
        </w:rPr>
        <w:t>5</w:t>
      </w:r>
      <w:r>
        <w:t>.</w:t>
      </w:r>
      <w:r>
        <w:rPr>
          <w:b w:val="0"/>
        </w:rPr>
        <w:tab/>
      </w:r>
      <w:r>
        <w:t>Safety and health of persons using accommodation amenity</w:t>
      </w:r>
      <w:bookmarkEnd w:id="273"/>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No. 13 of 2005 s. 17; amended: No. 35 of 2007 s. 86.]</w:t>
      </w:r>
    </w:p>
    <w:p>
      <w:pPr>
        <w:pStyle w:val="yHeading5"/>
      </w:pPr>
      <w:bookmarkStart w:id="274" w:name="_Toc33609287"/>
      <w:r>
        <w:rPr>
          <w:rStyle w:val="CharSClsNo"/>
        </w:rPr>
        <w:t>6</w:t>
      </w:r>
      <w:r>
        <w:t>.</w:t>
      </w:r>
      <w:r>
        <w:rPr>
          <w:b w:val="0"/>
        </w:rPr>
        <w:tab/>
      </w:r>
      <w:r>
        <w:t>Contractor</w:t>
      </w:r>
      <w:bookmarkEnd w:id="274"/>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No. 13 of 2005 s. 17; amended: No. 35 of 2007 s. 86.]</w:t>
      </w:r>
    </w:p>
    <w:p>
      <w:pPr>
        <w:pStyle w:val="yHeading3"/>
        <w:keepNext w:val="0"/>
        <w:pageBreakBefore/>
        <w:spacing w:before="0"/>
      </w:pPr>
      <w:bookmarkStart w:id="275" w:name="_Toc33608935"/>
      <w:bookmarkStart w:id="276" w:name="_Toc33609288"/>
      <w:r>
        <w:rPr>
          <w:rStyle w:val="CharSDivNo"/>
        </w:rPr>
        <w:t>Division 2</w:t>
      </w:r>
      <w:r>
        <w:rPr>
          <w:b w:val="0"/>
        </w:rPr>
        <w:t> — </w:t>
      </w:r>
      <w:r>
        <w:rPr>
          <w:rStyle w:val="CharSDivText"/>
        </w:rPr>
        <w:t>Occupational safety and health</w:t>
      </w:r>
      <w:bookmarkEnd w:id="275"/>
      <w:bookmarkEnd w:id="276"/>
    </w:p>
    <w:p>
      <w:pPr>
        <w:pStyle w:val="yFootnoteheading"/>
        <w:keepNext/>
        <w:keepLines/>
      </w:pPr>
      <w:r>
        <w:tab/>
        <w:t>[Heading inserted: No. 13 of 2005 s. 17.]</w:t>
      </w:r>
    </w:p>
    <w:p>
      <w:pPr>
        <w:pStyle w:val="yHeading4"/>
      </w:pPr>
      <w:bookmarkStart w:id="277" w:name="_Toc33608936"/>
      <w:bookmarkStart w:id="278" w:name="_Toc33609289"/>
      <w:r>
        <w:t>Subdivision </w:t>
      </w:r>
      <w:r>
        <w:rPr>
          <w:bCs/>
        </w:rPr>
        <w:t>1</w:t>
      </w:r>
      <w:r>
        <w:rPr>
          <w:b w:val="0"/>
        </w:rPr>
        <w:t> — </w:t>
      </w:r>
      <w:r>
        <w:rPr>
          <w:bCs/>
        </w:rPr>
        <w:t xml:space="preserve">Duties </w:t>
      </w:r>
      <w:r>
        <w:t>relating to occupational safety and health</w:t>
      </w:r>
      <w:bookmarkEnd w:id="277"/>
      <w:bookmarkEnd w:id="278"/>
    </w:p>
    <w:p>
      <w:pPr>
        <w:pStyle w:val="yFootnoteheading"/>
      </w:pPr>
      <w:r>
        <w:tab/>
        <w:t>[Heading inserted: No. 13 of 2005 s. 17.]</w:t>
      </w:r>
    </w:p>
    <w:p>
      <w:pPr>
        <w:pStyle w:val="yHeading5"/>
      </w:pPr>
      <w:bookmarkStart w:id="279" w:name="_Toc33609290"/>
      <w:r>
        <w:rPr>
          <w:rStyle w:val="CharSClsNo"/>
        </w:rPr>
        <w:t>7</w:t>
      </w:r>
      <w:r>
        <w:t>.</w:t>
      </w:r>
      <w:r>
        <w:rPr>
          <w:b w:val="0"/>
        </w:rPr>
        <w:tab/>
      </w:r>
      <w:r>
        <w:t>Duties of operator</w:t>
      </w:r>
      <w:bookmarkEnd w:id="279"/>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No. 13 of 2005 s. 17; amended: No. 35 of 2007 s. 86; No. 42 of 2010 s. 60(6).]</w:t>
      </w:r>
    </w:p>
    <w:p>
      <w:pPr>
        <w:pStyle w:val="yHeading5"/>
      </w:pPr>
      <w:bookmarkStart w:id="280" w:name="_Toc33609291"/>
      <w:r>
        <w:rPr>
          <w:rStyle w:val="CharSClsNo"/>
        </w:rPr>
        <w:t>8</w:t>
      </w:r>
      <w:r>
        <w:t>.</w:t>
      </w:r>
      <w:r>
        <w:rPr>
          <w:b w:val="0"/>
        </w:rPr>
        <w:tab/>
      </w:r>
      <w:r>
        <w:t>Duties of persons in control of parts of petroleum operation or geothermal energy operation</w:t>
      </w:r>
      <w:bookmarkEnd w:id="280"/>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No. 13 of 2005 s. 17; amended: No. 35 of 2007 s. 86; No. 42 of 2010 s. 60(6).]</w:t>
      </w:r>
    </w:p>
    <w:p>
      <w:pPr>
        <w:pStyle w:val="yHeading5"/>
      </w:pPr>
      <w:bookmarkStart w:id="281" w:name="_Toc33609292"/>
      <w:r>
        <w:rPr>
          <w:rStyle w:val="CharSClsNo"/>
        </w:rPr>
        <w:t>9</w:t>
      </w:r>
      <w:r>
        <w:t>.</w:t>
      </w:r>
      <w:r>
        <w:rPr>
          <w:b w:val="0"/>
        </w:rPr>
        <w:tab/>
      </w:r>
      <w:r>
        <w:t>Duties of employers</w:t>
      </w:r>
      <w:bookmarkEnd w:id="281"/>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keepNext/>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No. 13 of 2005 s. 17; amended: No. 35 of 2007 s. 86; No. 42 of 2010 s. 60(6).]</w:t>
      </w:r>
    </w:p>
    <w:p>
      <w:pPr>
        <w:pStyle w:val="yHeading5"/>
        <w:spacing w:before="180"/>
      </w:pPr>
      <w:bookmarkStart w:id="282" w:name="_Toc33609293"/>
      <w:r>
        <w:rPr>
          <w:rStyle w:val="CharSClsNo"/>
        </w:rPr>
        <w:t>10</w:t>
      </w:r>
      <w:r>
        <w:t>.</w:t>
      </w:r>
      <w:r>
        <w:rPr>
          <w:b w:val="0"/>
        </w:rPr>
        <w:tab/>
      </w:r>
      <w:r>
        <w:t>Duties of manufacturers in relation to plant and substances</w:t>
      </w:r>
      <w:bookmarkEnd w:id="282"/>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plant or a substance is imported into Australia by a person who is not its manufacturer; and</w:t>
      </w:r>
    </w:p>
    <w:p>
      <w:pPr>
        <w:pStyle w:val="yIndenta"/>
      </w:pPr>
      <w:r>
        <w:tab/>
        <w:t>(b)</w:t>
      </w:r>
      <w:r>
        <w:tab/>
        <w:t>at the time of the importation, the manufacturer of the plant or substance does not have a place of business in Australia,</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No. 13 of 2005 s. 17; amended: No. 35 of 2007 s. 86; No. 42 of 2010 s. 60(6).]</w:t>
      </w:r>
    </w:p>
    <w:p>
      <w:pPr>
        <w:pStyle w:val="yHeading5"/>
      </w:pPr>
      <w:bookmarkStart w:id="283" w:name="_Toc33609294"/>
      <w:r>
        <w:rPr>
          <w:rStyle w:val="CharSClsNo"/>
        </w:rPr>
        <w:t>11</w:t>
      </w:r>
      <w:r>
        <w:t>.</w:t>
      </w:r>
      <w:r>
        <w:rPr>
          <w:b w:val="0"/>
        </w:rPr>
        <w:tab/>
      </w:r>
      <w:r>
        <w:t>Duties of suppliers of facilities, plant and substances</w:t>
      </w:r>
      <w:bookmarkEnd w:id="283"/>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No. 13 of 2005 s. 17; amended: No. 35 of 2007 s. 86; No. 42 of 2010 s. 60(6).]</w:t>
      </w:r>
    </w:p>
    <w:p>
      <w:pPr>
        <w:pStyle w:val="yHeading5"/>
      </w:pPr>
      <w:bookmarkStart w:id="284" w:name="_Toc33609295"/>
      <w:r>
        <w:rPr>
          <w:rStyle w:val="CharSClsNo"/>
        </w:rPr>
        <w:t>12</w:t>
      </w:r>
      <w:r>
        <w:t>.</w:t>
      </w:r>
      <w:r>
        <w:rPr>
          <w:b w:val="0"/>
        </w:rPr>
        <w:tab/>
      </w:r>
      <w:r>
        <w:t>Duties of persons erecting facilities or installing plant</w:t>
      </w:r>
      <w:bookmarkEnd w:id="284"/>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No. 13 of 2005 s. 17; amended: No. 35 of 2007 s. 86; No. 42 of 2010 s. 60(6).]</w:t>
      </w:r>
    </w:p>
    <w:p>
      <w:pPr>
        <w:pStyle w:val="yHeading5"/>
        <w:spacing w:before="180"/>
      </w:pPr>
      <w:bookmarkStart w:id="285" w:name="_Toc33609296"/>
      <w:r>
        <w:rPr>
          <w:rStyle w:val="CharSClsNo"/>
        </w:rPr>
        <w:t>13</w:t>
      </w:r>
      <w:r>
        <w:t>.</w:t>
      </w:r>
      <w:r>
        <w:rPr>
          <w:b w:val="0"/>
        </w:rPr>
        <w:tab/>
      </w:r>
      <w:r>
        <w:t>Duties of persons in relation to occupational safety and health</w:t>
      </w:r>
      <w:bookmarkEnd w:id="285"/>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No. 13 of 2005 s. 17; amended: No. 35 of 2007 s. 86; No. 42 of 2010 s. 60(6).]</w:t>
      </w:r>
    </w:p>
    <w:p>
      <w:pPr>
        <w:pStyle w:val="yHeading5"/>
      </w:pPr>
      <w:bookmarkStart w:id="286" w:name="_Toc33609297"/>
      <w:r>
        <w:rPr>
          <w:rStyle w:val="CharSClsNo"/>
        </w:rPr>
        <w:t>14</w:t>
      </w:r>
      <w:r>
        <w:t>.</w:t>
      </w:r>
      <w:r>
        <w:rPr>
          <w:b w:val="0"/>
        </w:rPr>
        <w:tab/>
      </w:r>
      <w:r>
        <w:t>Reliance on information supplied or results of research</w:t>
      </w:r>
      <w:bookmarkEnd w:id="286"/>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keepNext/>
        <w:spacing w:before="140"/>
      </w:pPr>
      <w:r>
        <w:tab/>
        <w:t>(4)</w:t>
      </w:r>
      <w:r>
        <w:tab/>
        <w:t>Nothing in this clause limits the generality of what constitutes reasonably practicable steps as required by clause 7, 8, 9, 10, 11 or 12.</w:t>
      </w:r>
    </w:p>
    <w:p>
      <w:pPr>
        <w:pStyle w:val="yFootnotesection"/>
      </w:pPr>
      <w:r>
        <w:tab/>
        <w:t>[Clause 14 inserted: No. 13 of 2005 s. 17; amended: No. 35 of 2007 s. 86.]</w:t>
      </w:r>
    </w:p>
    <w:p>
      <w:pPr>
        <w:pStyle w:val="yHeading4"/>
      </w:pPr>
      <w:bookmarkStart w:id="287" w:name="_Toc33608945"/>
      <w:bookmarkStart w:id="288" w:name="_Toc33609298"/>
      <w:r>
        <w:t>Subdivision </w:t>
      </w:r>
      <w:r>
        <w:rPr>
          <w:bCs/>
        </w:rPr>
        <w:t>2</w:t>
      </w:r>
      <w:r>
        <w:rPr>
          <w:b w:val="0"/>
        </w:rPr>
        <w:t> — </w:t>
      </w:r>
      <w:r>
        <w:rPr>
          <w:bCs/>
        </w:rPr>
        <w:t>Regulations</w:t>
      </w:r>
      <w:r>
        <w:t xml:space="preserve"> relating to occupational safety and health</w:t>
      </w:r>
      <w:bookmarkEnd w:id="287"/>
      <w:bookmarkEnd w:id="288"/>
    </w:p>
    <w:p>
      <w:pPr>
        <w:pStyle w:val="yFootnoteheading"/>
      </w:pPr>
      <w:r>
        <w:tab/>
        <w:t>[Heading inserted: No. 13 of 2005 s. 17.]</w:t>
      </w:r>
    </w:p>
    <w:p>
      <w:pPr>
        <w:pStyle w:val="yHeading5"/>
        <w:spacing w:before="240"/>
      </w:pPr>
      <w:bookmarkStart w:id="289" w:name="_Toc33609299"/>
      <w:r>
        <w:rPr>
          <w:rStyle w:val="CharSClsNo"/>
        </w:rPr>
        <w:t>15</w:t>
      </w:r>
      <w:r>
        <w:t>.</w:t>
      </w:r>
      <w:r>
        <w:rPr>
          <w:b w:val="0"/>
        </w:rPr>
        <w:tab/>
      </w:r>
      <w:r>
        <w:t>Regulations relating to occupational safety and health</w:t>
      </w:r>
      <w:bookmarkEnd w:id="289"/>
    </w:p>
    <w:p>
      <w:pPr>
        <w:pStyle w:val="ySubsection"/>
        <w:spacing w:before="180"/>
      </w:pPr>
      <w:r>
        <w:tab/>
        <w:t>(1)</w:t>
      </w:r>
      <w:r>
        <w:tab/>
        <w:t>The regulations may make provision relating to any matter affecting, or likely to affect, the occupational safety and health of persons engaged in a petroleum operation or geothermal energy operation.</w:t>
      </w:r>
    </w:p>
    <w:p>
      <w:pPr>
        <w:pStyle w:val="ySubsection"/>
        <w:spacing w:before="180"/>
      </w:pPr>
      <w:r>
        <w:tab/>
        <w:t>(2)</w:t>
      </w:r>
      <w:r>
        <w:tab/>
        <w:t xml:space="preserve">Regulations made for the purposes of subclause (1) may make provision for any or all of the following — </w:t>
      </w:r>
    </w:p>
    <w:p>
      <w:pPr>
        <w:pStyle w:val="yIndenta"/>
      </w:pPr>
      <w:r>
        <w:tab/>
        <w:t>(a)</w:t>
      </w:r>
      <w:r>
        <w:tab/>
        <w:t>prohibiting or restricting the performance of all work or specified work in relation to a petroleum operation or geothermal energy operation;</w:t>
      </w:r>
    </w:p>
    <w:p>
      <w:pPr>
        <w:pStyle w:val="yIndenta"/>
      </w:pPr>
      <w:r>
        <w:tab/>
        <w:t>(b)</w:t>
      </w:r>
      <w:r>
        <w:tab/>
        <w:t>prohibiting or restricting the use of all plant or specified plant in a petroleum operation or geothermal energy operation;</w:t>
      </w:r>
    </w:p>
    <w:p>
      <w:pPr>
        <w:pStyle w:val="yIndenta"/>
      </w:pPr>
      <w:r>
        <w:tab/>
        <w:t>(c)</w:t>
      </w:r>
      <w:r>
        <w:tab/>
        <w:t>prohibiting or restricting the carrying out of all processes or a specified process in a petroleum operation or geothermal energy operation;</w:t>
      </w:r>
    </w:p>
    <w:p>
      <w:pPr>
        <w:pStyle w:val="yIndenta"/>
      </w:pPr>
      <w:r>
        <w:tab/>
        <w:t>(d)</w:t>
      </w:r>
      <w:r>
        <w:tab/>
        <w:t>prohibiting or restricting the storage or use of all substances or specified substances in a petroleum operation or geothermal energy operation;</w:t>
      </w:r>
    </w:p>
    <w:p>
      <w:pPr>
        <w:pStyle w:val="yIndenta"/>
      </w:pPr>
      <w:r>
        <w:tab/>
        <w:t>(e)</w:t>
      </w:r>
      <w:r>
        <w:tab/>
        <w:t>specifying the form in which information required to be made available under clause 10(1)(c) or 11(1)(c) is to be so made available;</w:t>
      </w:r>
    </w:p>
    <w:p>
      <w:pPr>
        <w:pStyle w:val="yIndenta"/>
      </w:pPr>
      <w:r>
        <w:tab/>
        <w:t>(f)</w:t>
      </w:r>
      <w:r>
        <w:tab/>
        <w:t>prohibiting, except in accordance with licences granted under the regulations, the use of specified plant or specified substances in a petroleum operation or geothermal energy operation;</w:t>
      </w:r>
    </w:p>
    <w:p>
      <w:pPr>
        <w:pStyle w:val="yIndenta"/>
      </w:pPr>
      <w:r>
        <w:tab/>
        <w:t>(g)</w:t>
      </w:r>
      <w:r>
        <w:tab/>
        <w:t xml:space="preserve">providing for — </w:t>
      </w:r>
    </w:p>
    <w:p>
      <w:pPr>
        <w:pStyle w:val="yIndenti0"/>
      </w:pPr>
      <w:r>
        <w:tab/>
        <w:t>(i)</w:t>
      </w:r>
      <w:r>
        <w:tab/>
        <w:t>the issue, variation, renewal, transfer, suspension and cancellation of those licences; and</w:t>
      </w:r>
    </w:p>
    <w:p>
      <w:pPr>
        <w:pStyle w:val="yIndenti0"/>
      </w:pPr>
      <w:r>
        <w:tab/>
        <w:t>(ii)</w:t>
      </w:r>
      <w:r>
        <w:tab/>
        <w:t>the conditions to which the licences may be subject;</w:t>
      </w:r>
    </w:p>
    <w:p>
      <w:pPr>
        <w:pStyle w:val="yIndenta"/>
      </w:pPr>
      <w:r>
        <w:tab/>
        <w:t>(h)</w:t>
      </w:r>
      <w:r>
        <w:tab/>
        <w:t>regulating the maintenance and testing of plant for use in a petroleum operation or geothermal energy operation;</w:t>
      </w:r>
    </w:p>
    <w:p>
      <w:pPr>
        <w:pStyle w:val="yIndenta"/>
      </w:pPr>
      <w:r>
        <w:tab/>
        <w:t>(i)</w:t>
      </w:r>
      <w:r>
        <w:tab/>
        <w:t>regulating the labelling or marking of substances for use in a petroleum operation or geothermal energy operation;</w:t>
      </w:r>
    </w:p>
    <w:p>
      <w:pPr>
        <w:pStyle w:val="yIndenta"/>
      </w:pPr>
      <w:r>
        <w:tab/>
        <w:t>(j)</w:t>
      </w:r>
      <w:r>
        <w:tab/>
        <w:t>regulating the transport of specified plant or specified substances for use in a petroleum operation or geothermal energy operation;</w:t>
      </w:r>
    </w:p>
    <w:p>
      <w:pPr>
        <w:pStyle w:val="yIndenta"/>
      </w:pPr>
      <w:r>
        <w:tab/>
        <w:t>(k)</w:t>
      </w:r>
      <w:r>
        <w:tab/>
        <w:t xml:space="preserve">prohibiting the performance, in relation to a petroleum operation or geothermal energy operation, of specified activities or work except — </w:t>
      </w:r>
    </w:p>
    <w:p>
      <w:pPr>
        <w:pStyle w:val="yIndenti0"/>
      </w:pPr>
      <w:r>
        <w:tab/>
        <w:t>(i)</w:t>
      </w:r>
      <w:r>
        <w:tab/>
        <w:t>by persons who satisfy requirements of the regulations as to qualifications, training or experience; or</w:t>
      </w:r>
    </w:p>
    <w:p>
      <w:pPr>
        <w:pStyle w:val="yIndenti0"/>
      </w:pPr>
      <w:r>
        <w:tab/>
        <w:t>(ii)</w:t>
      </w:r>
      <w:r>
        <w:tab/>
        <w:t>under the supervision specified in the regulations;</w:t>
      </w:r>
    </w:p>
    <w:p>
      <w:pPr>
        <w:pStyle w:val="yIndenta"/>
      </w:pPr>
      <w:r>
        <w:tab/>
        <w:t>(l)</w:t>
      </w:r>
      <w:r>
        <w:tab/>
        <w:t>requiring specified action to avoid accidents or dangerous occurrences;</w:t>
      </w:r>
    </w:p>
    <w:p>
      <w:pPr>
        <w:pStyle w:val="yIndenta"/>
      </w:pPr>
      <w:r>
        <w:tab/>
        <w:t>(m)</w:t>
      </w:r>
      <w:r>
        <w:tab/>
        <w:t>providing for, or prohibiting, specified action in the event of accidents or dangerous occurrences;</w:t>
      </w:r>
    </w:p>
    <w:p>
      <w:pPr>
        <w:pStyle w:val="yIndenta"/>
      </w:pPr>
      <w:r>
        <w:tab/>
        <w:t>(n)</w:t>
      </w:r>
      <w:r>
        <w:tab/>
        <w:t>providing for the employment of persons to perform specified duties relating to the maintenance of occupational safety and health in relation to a petroleum operation or geothermal energy operation;</w:t>
      </w:r>
    </w:p>
    <w:p>
      <w:pPr>
        <w:pStyle w:val="yIndenta"/>
      </w:pPr>
      <w:r>
        <w:tab/>
        <w:t>(o)</w:t>
      </w:r>
      <w:r>
        <w:tab/>
        <w:t>regulating the provision and use, in a petroleum operation or geothermal energy operation, of protective clothing and equipment, safety equipment and rescue equipment;</w:t>
      </w:r>
    </w:p>
    <w:p>
      <w:pPr>
        <w:pStyle w:val="yIndenta"/>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r>
        <w:tab/>
        <w:t>[Clause 15 inserted: No. 13 of 2005 s. 17; amended: No. 35 of 2007 s. 86.]</w:t>
      </w:r>
    </w:p>
    <w:p>
      <w:pPr>
        <w:pStyle w:val="yHeading3"/>
        <w:keepLines/>
      </w:pPr>
      <w:bookmarkStart w:id="290" w:name="_Toc33608947"/>
      <w:bookmarkStart w:id="291" w:name="_Toc33609300"/>
      <w:r>
        <w:rPr>
          <w:rStyle w:val="CharSDivNo"/>
        </w:rPr>
        <w:t>Division 3</w:t>
      </w:r>
      <w:r>
        <w:rPr>
          <w:b w:val="0"/>
        </w:rPr>
        <w:t> — </w:t>
      </w:r>
      <w:r>
        <w:rPr>
          <w:rStyle w:val="CharSDivText"/>
        </w:rPr>
        <w:t>Workplace arrangements</w:t>
      </w:r>
      <w:bookmarkEnd w:id="290"/>
      <w:bookmarkEnd w:id="291"/>
    </w:p>
    <w:p>
      <w:pPr>
        <w:pStyle w:val="yFootnoteheading"/>
        <w:keepNext/>
        <w:keepLines/>
      </w:pPr>
      <w:r>
        <w:tab/>
        <w:t>[Heading inserted: No. 13 of 2005 s. 17.]</w:t>
      </w:r>
    </w:p>
    <w:p>
      <w:pPr>
        <w:pStyle w:val="yHeading4"/>
      </w:pPr>
      <w:bookmarkStart w:id="292" w:name="_Toc33608948"/>
      <w:bookmarkStart w:id="293" w:name="_Toc33609301"/>
      <w:r>
        <w:t>Subdivision </w:t>
      </w:r>
      <w:r>
        <w:rPr>
          <w:bCs/>
        </w:rPr>
        <w:t>1</w:t>
      </w:r>
      <w:r>
        <w:rPr>
          <w:b w:val="0"/>
        </w:rPr>
        <w:t> — </w:t>
      </w:r>
      <w:r>
        <w:rPr>
          <w:bCs/>
        </w:rPr>
        <w:t>Introduction</w:t>
      </w:r>
      <w:bookmarkEnd w:id="292"/>
      <w:bookmarkEnd w:id="293"/>
    </w:p>
    <w:p>
      <w:pPr>
        <w:pStyle w:val="yFootnoteheading"/>
      </w:pPr>
      <w:r>
        <w:tab/>
        <w:t>[Heading inserted: No. 13 of 2005 s. 17.]</w:t>
      </w:r>
    </w:p>
    <w:p>
      <w:pPr>
        <w:pStyle w:val="yHeading5"/>
      </w:pPr>
      <w:bookmarkStart w:id="294" w:name="_Toc33609302"/>
      <w:r>
        <w:rPr>
          <w:rStyle w:val="CharSClsNo"/>
        </w:rPr>
        <w:t>16</w:t>
      </w:r>
      <w:r>
        <w:t>.</w:t>
      </w:r>
      <w:r>
        <w:rPr>
          <w:b w:val="0"/>
        </w:rPr>
        <w:tab/>
      </w:r>
      <w:r>
        <w:t>Simplified outline</w:t>
      </w:r>
      <w:bookmarkEnd w:id="294"/>
    </w:p>
    <w:p>
      <w:pPr>
        <w:pStyle w:val="ySubsection"/>
      </w:pPr>
      <w:r>
        <w:tab/>
      </w:r>
      <w:r>
        <w:tab/>
        <w:t xml:space="preserve">The following is a simplified outline of this Subdivision — </w:t>
      </w:r>
    </w:p>
    <w:p>
      <w:pPr>
        <w:pStyle w:val="ySubsection"/>
        <w:numPr>
          <w:ilvl w:val="1"/>
          <w:numId w:val="1"/>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1"/>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1"/>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1"/>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1"/>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r>
        <w:tab/>
        <w:t>[Clause 16 inserted: No. 13 of 2005 s. 17; amended: No. 35 of 2007 s. 86.]</w:t>
      </w:r>
    </w:p>
    <w:p>
      <w:pPr>
        <w:pStyle w:val="yHeading4"/>
        <w:keepLines/>
      </w:pPr>
      <w:bookmarkStart w:id="295" w:name="_Toc33608950"/>
      <w:bookmarkStart w:id="296" w:name="_Toc33609303"/>
      <w:r>
        <w:t>Subdivision </w:t>
      </w:r>
      <w:r>
        <w:rPr>
          <w:bCs/>
        </w:rPr>
        <w:t>2</w:t>
      </w:r>
      <w:r>
        <w:rPr>
          <w:b w:val="0"/>
        </w:rPr>
        <w:t> — </w:t>
      </w:r>
      <w:r>
        <w:rPr>
          <w:bCs/>
        </w:rPr>
        <w:t xml:space="preserve">Designated </w:t>
      </w:r>
      <w:r>
        <w:t>work groups</w:t>
      </w:r>
      <w:bookmarkEnd w:id="295"/>
      <w:bookmarkEnd w:id="296"/>
    </w:p>
    <w:p>
      <w:pPr>
        <w:pStyle w:val="yFootnoteheading"/>
        <w:keepNext/>
        <w:keepLines/>
      </w:pPr>
      <w:r>
        <w:tab/>
        <w:t>[Heading inserted: No. 13 of 2005 s. 17.]</w:t>
      </w:r>
    </w:p>
    <w:p>
      <w:pPr>
        <w:pStyle w:val="yHeading5"/>
        <w:spacing w:before="240"/>
      </w:pPr>
      <w:bookmarkStart w:id="297" w:name="_Toc33609304"/>
      <w:r>
        <w:rPr>
          <w:rStyle w:val="CharSClsNo"/>
        </w:rPr>
        <w:t>17</w:t>
      </w:r>
      <w:r>
        <w:t>.</w:t>
      </w:r>
      <w:r>
        <w:rPr>
          <w:b w:val="0"/>
        </w:rPr>
        <w:tab/>
      </w:r>
      <w:r>
        <w:t>Establishment of designated work groups by request</w:t>
      </w:r>
      <w:bookmarkEnd w:id="297"/>
    </w:p>
    <w:p>
      <w:pPr>
        <w:pStyle w:val="ySubsection"/>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pPr>
      <w:r>
        <w:tab/>
      </w:r>
      <w:r>
        <w:tab/>
        <w:t>and</w:t>
      </w:r>
    </w:p>
    <w:p>
      <w:pPr>
        <w:pStyle w:val="yIndenta"/>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No. 13 of 2005 s. 17; amended: No. 35 of 2007 s. 86.]</w:t>
      </w:r>
    </w:p>
    <w:p>
      <w:pPr>
        <w:pStyle w:val="yHeading5"/>
        <w:spacing w:before="240"/>
      </w:pPr>
      <w:bookmarkStart w:id="298" w:name="_Toc33609305"/>
      <w:r>
        <w:rPr>
          <w:rStyle w:val="CharSClsNo"/>
        </w:rPr>
        <w:t>18</w:t>
      </w:r>
      <w:r>
        <w:t>.</w:t>
      </w:r>
      <w:r>
        <w:rPr>
          <w:b w:val="0"/>
        </w:rPr>
        <w:tab/>
      </w:r>
      <w:r>
        <w:t>Establishment of designated work groups at initiative of operator</w:t>
      </w:r>
      <w:bookmarkEnd w:id="298"/>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No. 13 of 2005 s. 17; amended: No. 35 of 2007 s. 86.]</w:t>
      </w:r>
    </w:p>
    <w:p>
      <w:pPr>
        <w:pStyle w:val="yHeading5"/>
        <w:spacing w:before="240"/>
      </w:pPr>
      <w:bookmarkStart w:id="299" w:name="_Toc33609306"/>
      <w:r>
        <w:rPr>
          <w:rStyle w:val="CharSClsNo"/>
        </w:rPr>
        <w:t>19</w:t>
      </w:r>
      <w:r>
        <w:t>.</w:t>
      </w:r>
      <w:r>
        <w:rPr>
          <w:b w:val="0"/>
        </w:rPr>
        <w:tab/>
      </w:r>
      <w:r>
        <w:t>Variation of designated work groups by request</w:t>
      </w:r>
      <w:bookmarkEnd w:id="299"/>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keepNext/>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No. 13 of 2005 s. 17; amended: No. 35 of 2007 s. 86.]</w:t>
      </w:r>
    </w:p>
    <w:p>
      <w:pPr>
        <w:pStyle w:val="yHeading5"/>
      </w:pPr>
      <w:bookmarkStart w:id="300" w:name="_Toc33609307"/>
      <w:r>
        <w:rPr>
          <w:rStyle w:val="CharSClsNo"/>
        </w:rPr>
        <w:t>20</w:t>
      </w:r>
      <w:r>
        <w:t>.</w:t>
      </w:r>
      <w:r>
        <w:rPr>
          <w:b w:val="0"/>
        </w:rPr>
        <w:tab/>
      </w:r>
      <w:r>
        <w:t>Variation of designated work groups at initiative of operator</w:t>
      </w:r>
      <w:bookmarkEnd w:id="300"/>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No. 13 of 2005 s. 17; amended: No. 35 of 2007 s. 86.]</w:t>
      </w:r>
    </w:p>
    <w:p>
      <w:pPr>
        <w:pStyle w:val="yHeading5"/>
      </w:pPr>
      <w:bookmarkStart w:id="301" w:name="_Toc33609308"/>
      <w:r>
        <w:rPr>
          <w:rStyle w:val="CharSClsNo"/>
        </w:rPr>
        <w:t>21</w:t>
      </w:r>
      <w:r>
        <w:t>.</w:t>
      </w:r>
      <w:r>
        <w:rPr>
          <w:b w:val="0"/>
        </w:rPr>
        <w:tab/>
      </w:r>
      <w:r>
        <w:t>Referral of disagreement to reviewing authority</w:t>
      </w:r>
      <w:bookmarkEnd w:id="301"/>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keepNext/>
        <w:keepLines/>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spacing w:before="80"/>
      </w:pPr>
      <w:r>
        <w:tab/>
        <w:t>[Clause 21 inserted: No. 13 of 2005 s. 17.]</w:t>
      </w:r>
    </w:p>
    <w:p>
      <w:pPr>
        <w:pStyle w:val="yHeading5"/>
        <w:spacing w:before="180"/>
      </w:pPr>
      <w:bookmarkStart w:id="302" w:name="_Toc33609309"/>
      <w:r>
        <w:rPr>
          <w:rStyle w:val="CharSClsNo"/>
        </w:rPr>
        <w:t>22</w:t>
      </w:r>
      <w:r>
        <w:t>.</w:t>
      </w:r>
      <w:r>
        <w:rPr>
          <w:b w:val="0"/>
        </w:rPr>
        <w:tab/>
      </w:r>
      <w:r>
        <w:t>Manner of grouping members of workforce</w:t>
      </w:r>
      <w:bookmarkEnd w:id="302"/>
    </w:p>
    <w:p>
      <w:pPr>
        <w:pStyle w:val="ySubsection"/>
        <w:spacing w:before="120"/>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spacing w:before="120"/>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spacing w:before="120"/>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spacing w:before="120"/>
      </w:pPr>
      <w:r>
        <w:tab/>
        <w:t>(4)</w:t>
      </w:r>
      <w:r>
        <w:tab/>
        <w:t>All the members of the workforce engaged in a petroleum operation or geothermal energy operation may be in one designated work group.</w:t>
      </w:r>
    </w:p>
    <w:p>
      <w:pPr>
        <w:pStyle w:val="yFootnotesection"/>
        <w:spacing w:before="80"/>
      </w:pPr>
      <w:r>
        <w:tab/>
        <w:t>[Clause 22 inserted: No. 13 of 2005 s. 17; amended: No. 35 of 2007 s. 86.]</w:t>
      </w:r>
    </w:p>
    <w:p>
      <w:pPr>
        <w:pStyle w:val="yHeading4"/>
        <w:keepLines/>
      </w:pPr>
      <w:bookmarkStart w:id="303" w:name="_Toc33608957"/>
      <w:bookmarkStart w:id="304" w:name="_Toc33609310"/>
      <w:r>
        <w:t>Subdivision </w:t>
      </w:r>
      <w:r>
        <w:rPr>
          <w:bCs/>
        </w:rPr>
        <w:t>3</w:t>
      </w:r>
      <w:r>
        <w:rPr>
          <w:b w:val="0"/>
        </w:rPr>
        <w:t> — </w:t>
      </w:r>
      <w:r>
        <w:rPr>
          <w:bCs/>
        </w:rPr>
        <w:t>Safety and health</w:t>
      </w:r>
      <w:r>
        <w:t xml:space="preserve"> representatives</w:t>
      </w:r>
      <w:bookmarkEnd w:id="303"/>
      <w:bookmarkEnd w:id="304"/>
    </w:p>
    <w:p>
      <w:pPr>
        <w:pStyle w:val="yFootnoteheading"/>
        <w:keepNext/>
        <w:keepLines/>
      </w:pPr>
      <w:r>
        <w:tab/>
        <w:t>[Heading inserted: No. 13 of 2005 s. 17.]</w:t>
      </w:r>
    </w:p>
    <w:p>
      <w:pPr>
        <w:pStyle w:val="yHeading5"/>
      </w:pPr>
      <w:bookmarkStart w:id="305" w:name="_Toc33609311"/>
      <w:r>
        <w:rPr>
          <w:rStyle w:val="CharSClsNo"/>
        </w:rPr>
        <w:t>23</w:t>
      </w:r>
      <w:r>
        <w:t>.</w:t>
      </w:r>
      <w:r>
        <w:rPr>
          <w:b w:val="0"/>
        </w:rPr>
        <w:tab/>
      </w:r>
      <w:r>
        <w:t>Selection of safety and health representatives</w:t>
      </w:r>
      <w:bookmarkEnd w:id="30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No. 13 of 2005 s. 17.]</w:t>
      </w:r>
    </w:p>
    <w:p>
      <w:pPr>
        <w:pStyle w:val="yHeading5"/>
        <w:spacing w:before="240"/>
      </w:pPr>
      <w:bookmarkStart w:id="306" w:name="_Toc33609312"/>
      <w:r>
        <w:rPr>
          <w:rStyle w:val="CharSClsNo"/>
        </w:rPr>
        <w:t>24</w:t>
      </w:r>
      <w:r>
        <w:t>.</w:t>
      </w:r>
      <w:r>
        <w:rPr>
          <w:b w:val="0"/>
        </w:rPr>
        <w:tab/>
      </w:r>
      <w:r>
        <w:t>Election of safety and health representatives</w:t>
      </w:r>
      <w:bookmarkEnd w:id="306"/>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No. 13 of 2005 s. 17; amended: No. 35 of 2007 s. 86.]</w:t>
      </w:r>
    </w:p>
    <w:p>
      <w:pPr>
        <w:pStyle w:val="yHeading5"/>
      </w:pPr>
      <w:bookmarkStart w:id="307" w:name="_Toc33609313"/>
      <w:r>
        <w:rPr>
          <w:rStyle w:val="CharSClsNo"/>
        </w:rPr>
        <w:t>25</w:t>
      </w:r>
      <w:r>
        <w:t>.</w:t>
      </w:r>
      <w:r>
        <w:rPr>
          <w:b w:val="0"/>
        </w:rPr>
        <w:tab/>
      </w:r>
      <w:r>
        <w:t>List of safety and health representatives</w:t>
      </w:r>
      <w:bookmarkEnd w:id="307"/>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keepNext/>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No. 13 of 2005 s. 17; amended: No. 35 of 2007 s. 86.]</w:t>
      </w:r>
    </w:p>
    <w:p>
      <w:pPr>
        <w:pStyle w:val="yHeading5"/>
      </w:pPr>
      <w:bookmarkStart w:id="308" w:name="_Toc33609314"/>
      <w:r>
        <w:rPr>
          <w:rStyle w:val="CharSClsNo"/>
        </w:rPr>
        <w:t>26</w:t>
      </w:r>
      <w:r>
        <w:t>.</w:t>
      </w:r>
      <w:r>
        <w:tab/>
        <w:t>Members of designated work group must be notified of selection etc. of safety and health representative</w:t>
      </w:r>
      <w:bookmarkEnd w:id="308"/>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No. 13 of 2005 s. 17; amended: No. 35 of 2007 s. 86.]</w:t>
      </w:r>
    </w:p>
    <w:p>
      <w:pPr>
        <w:pStyle w:val="yHeading5"/>
        <w:spacing w:before="180"/>
      </w:pPr>
      <w:bookmarkStart w:id="309" w:name="_Toc33609315"/>
      <w:r>
        <w:rPr>
          <w:rStyle w:val="CharSClsNo"/>
        </w:rPr>
        <w:t>27</w:t>
      </w:r>
      <w:r>
        <w:t>.</w:t>
      </w:r>
      <w:r>
        <w:rPr>
          <w:b w:val="0"/>
        </w:rPr>
        <w:tab/>
      </w:r>
      <w:r>
        <w:t>Term of office</w:t>
      </w:r>
      <w:bookmarkEnd w:id="309"/>
    </w:p>
    <w:p>
      <w:pPr>
        <w:pStyle w:val="ySubsection"/>
        <w:spacing w:before="120"/>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spacing w:before="120"/>
      </w:pPr>
      <w:r>
        <w:tab/>
        <w:t>(2)</w:t>
      </w:r>
      <w:r>
        <w:tab/>
        <w:t>The term of office of a safety and health representative begins at the start of the day on which he or she was selected.</w:t>
      </w:r>
    </w:p>
    <w:p>
      <w:pPr>
        <w:pStyle w:val="ySubsection"/>
        <w:keepNext/>
        <w:spacing w:before="120"/>
      </w:pPr>
      <w:r>
        <w:tab/>
        <w:t>(3)</w:t>
      </w:r>
      <w:r>
        <w:tab/>
        <w:t>Nothing in this clause prevents a safety and health representative from being selected for further terms of office.</w:t>
      </w:r>
    </w:p>
    <w:p>
      <w:pPr>
        <w:pStyle w:val="yFootnotesection"/>
      </w:pPr>
      <w:r>
        <w:tab/>
        <w:t>[Clause 27 inserted: No. 13 of 2005 s. 17.]</w:t>
      </w:r>
    </w:p>
    <w:p>
      <w:pPr>
        <w:pStyle w:val="yHeading5"/>
        <w:spacing w:before="180"/>
      </w:pPr>
      <w:bookmarkStart w:id="310" w:name="_Toc33609316"/>
      <w:r>
        <w:rPr>
          <w:rStyle w:val="CharSClsNo"/>
        </w:rPr>
        <w:t>28</w:t>
      </w:r>
      <w:r>
        <w:t>.</w:t>
      </w:r>
      <w:r>
        <w:rPr>
          <w:b w:val="0"/>
        </w:rPr>
        <w:tab/>
      </w:r>
      <w:r>
        <w:t>Training of safety and health representatives</w:t>
      </w:r>
      <w:bookmarkEnd w:id="310"/>
    </w:p>
    <w:p>
      <w:pPr>
        <w:pStyle w:val="ySubsection"/>
        <w:spacing w:before="12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2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pPr>
      <w:r>
        <w:tab/>
        <w:t>[Clause 28 inserted: No. 13 of 2005 s. 17; amended: No. 35 of 2007 s. 86.]</w:t>
      </w:r>
    </w:p>
    <w:p>
      <w:pPr>
        <w:pStyle w:val="yHeading5"/>
        <w:spacing w:before="180"/>
      </w:pPr>
      <w:bookmarkStart w:id="311" w:name="_Toc33609317"/>
      <w:r>
        <w:rPr>
          <w:rStyle w:val="CharSClsNo"/>
        </w:rPr>
        <w:t>29</w:t>
      </w:r>
      <w:r>
        <w:t>.</w:t>
      </w:r>
      <w:r>
        <w:rPr>
          <w:b w:val="0"/>
        </w:rPr>
        <w:tab/>
      </w:r>
      <w:r>
        <w:t>Resignation etc. of safety and health representatives</w:t>
      </w:r>
      <w:bookmarkEnd w:id="311"/>
    </w:p>
    <w:p>
      <w:pPr>
        <w:pStyle w:val="ySubsection"/>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pPr>
      <w:r>
        <w:tab/>
        <w:t>(2)</w:t>
      </w:r>
      <w:r>
        <w:tab/>
        <w:t>A person may resign as the safety and health representative for a designated work group by notice in writing delivered to the operator and to each work group employer.</w:t>
      </w:r>
    </w:p>
    <w:p>
      <w:pPr>
        <w:pStyle w:val="ySubsection"/>
      </w:pPr>
      <w:r>
        <w:tab/>
        <w:t>(3)</w:t>
      </w:r>
      <w:r>
        <w:tab/>
        <w:t>If a person resigns as the safety and health representative for a designated work group, the person must notify the resignation to the group members.</w:t>
      </w:r>
    </w:p>
    <w:p>
      <w:pPr>
        <w:pStyle w:val="ySubsection"/>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pPr>
      <w:r>
        <w:tab/>
      </w:r>
      <w:r>
        <w:tab/>
        <w:t>that the person has ceased to be the safety and health representative for that designated work group.</w:t>
      </w:r>
    </w:p>
    <w:p>
      <w:pPr>
        <w:pStyle w:val="yFootnotesection"/>
      </w:pPr>
      <w:r>
        <w:tab/>
        <w:t>[Clause 29 inserted: No. 13 of 2005 s. 17.]</w:t>
      </w:r>
    </w:p>
    <w:p>
      <w:pPr>
        <w:pStyle w:val="yHeading5"/>
        <w:spacing w:before="240"/>
      </w:pPr>
      <w:bookmarkStart w:id="312" w:name="_Toc33609318"/>
      <w:r>
        <w:rPr>
          <w:rStyle w:val="CharSClsNo"/>
        </w:rPr>
        <w:t>30</w:t>
      </w:r>
      <w:r>
        <w:t>.</w:t>
      </w:r>
      <w:r>
        <w:rPr>
          <w:b w:val="0"/>
        </w:rPr>
        <w:tab/>
      </w:r>
      <w:r>
        <w:t>Disqualification of safety and health representatives</w:t>
      </w:r>
      <w:bookmarkEnd w:id="312"/>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No. 13 of 2005 s. 17.]</w:t>
      </w:r>
    </w:p>
    <w:p>
      <w:pPr>
        <w:pStyle w:val="yHeading5"/>
        <w:keepLines w:val="0"/>
      </w:pPr>
      <w:bookmarkStart w:id="313" w:name="_Toc33609319"/>
      <w:r>
        <w:rPr>
          <w:rStyle w:val="CharSClsNo"/>
        </w:rPr>
        <w:t>31</w:t>
      </w:r>
      <w:r>
        <w:t>.</w:t>
      </w:r>
      <w:r>
        <w:rPr>
          <w:b w:val="0"/>
        </w:rPr>
        <w:tab/>
      </w:r>
      <w:r>
        <w:t>Deputy safety and health representatives</w:t>
      </w:r>
      <w:bookmarkEnd w:id="313"/>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No. 13 of 2005 s. 17.]</w:t>
      </w:r>
    </w:p>
    <w:p>
      <w:pPr>
        <w:pStyle w:val="yHeading5"/>
      </w:pPr>
      <w:bookmarkStart w:id="314" w:name="_Toc33609320"/>
      <w:r>
        <w:rPr>
          <w:rStyle w:val="CharSClsNo"/>
        </w:rPr>
        <w:t>32</w:t>
      </w:r>
      <w:r>
        <w:t>.</w:t>
      </w:r>
      <w:r>
        <w:rPr>
          <w:b w:val="0"/>
        </w:rPr>
        <w:tab/>
      </w:r>
      <w:r>
        <w:t>Powers of safety and health representatives</w:t>
      </w:r>
      <w:bookmarkEnd w:id="314"/>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pPr>
      <w:r>
        <w:tab/>
        <w:t>(iv)</w:t>
      </w:r>
      <w:r>
        <w:tab/>
        <w:t>accompany an inspector during any inspection at the workplace by the inspector (whether or not the inspection is being conducted as a result of a request made by the safety and health representative);</w:t>
      </w:r>
    </w:p>
    <w:p>
      <w:pPr>
        <w:pStyle w:val="yIndenti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pPr>
      <w:r>
        <w:tab/>
      </w:r>
      <w:r>
        <w:tab/>
        <w:t>and</w:t>
      </w:r>
    </w:p>
    <w:p>
      <w:pPr>
        <w:pStyle w:val="yIndenta"/>
        <w:keepLines/>
      </w:pPr>
      <w:r>
        <w:tab/>
        <w:t>(b)</w:t>
      </w:r>
      <w:r>
        <w:tab/>
        <w:t>investigate complaints made by any group member to the safety and health representative about the safety and health of any of the members of the workforce (whether in the group or not); and</w:t>
      </w:r>
    </w:p>
    <w:p>
      <w:pPr>
        <w:pStyle w:val="yIndenta"/>
      </w:pPr>
      <w:r>
        <w:tab/>
        <w:t>(c)</w:t>
      </w:r>
      <w:r>
        <w:tab/>
        <w:t xml:space="preserve">with the consent of a group member, be present at any interview about safety and health at work between that member and — </w:t>
      </w:r>
    </w:p>
    <w:p>
      <w:pPr>
        <w:pStyle w:val="yIndenti0"/>
      </w:pPr>
      <w:r>
        <w:tab/>
        <w:t>(i)</w:t>
      </w:r>
      <w:r>
        <w:tab/>
        <w:t>an inspector; or</w:t>
      </w:r>
    </w:p>
    <w:p>
      <w:pPr>
        <w:pStyle w:val="yIndenti0"/>
      </w:pPr>
      <w:r>
        <w:tab/>
        <w:t>(ii)</w:t>
      </w:r>
      <w:r>
        <w:tab/>
        <w:t>the operator or a person representing the operator; or</w:t>
      </w:r>
    </w:p>
    <w:p>
      <w:pPr>
        <w:pStyle w:val="yIndenti0"/>
        <w:keepLines/>
      </w:pPr>
      <w:r>
        <w:tab/>
        <w:t>(iii)</w:t>
      </w:r>
      <w:r>
        <w:tab/>
        <w:t xml:space="preserve">a work group employer or a person representing that employer; </w:t>
      </w:r>
    </w:p>
    <w:p>
      <w:pPr>
        <w:pStyle w:val="yIndenta"/>
        <w:keepLines/>
      </w:pPr>
      <w:r>
        <w:tab/>
      </w:r>
      <w:r>
        <w:tab/>
        <w:t>and</w:t>
      </w:r>
    </w:p>
    <w:p>
      <w:pPr>
        <w:pStyle w:val="yIndenta"/>
      </w:pPr>
      <w:r>
        <w:tab/>
        <w:t>(d)</w:t>
      </w:r>
      <w:r>
        <w:tab/>
        <w:t xml:space="preserve">obtain access to any information under the control of the operator or any work group employer — </w:t>
      </w:r>
    </w:p>
    <w:p>
      <w:pPr>
        <w:pStyle w:val="yIndenti0"/>
      </w:pPr>
      <w:r>
        <w:tab/>
        <w:t>(i)</w:t>
      </w:r>
      <w:r>
        <w:tab/>
        <w:t>relating to risks to the safety and health of any group member; and</w:t>
      </w:r>
    </w:p>
    <w:p>
      <w:pPr>
        <w:pStyle w:val="yIndenti0"/>
      </w:pPr>
      <w:r>
        <w:tab/>
        <w:t>(ii)</w:t>
      </w:r>
      <w:r>
        <w:tab/>
        <w:t xml:space="preserve">relating to the safety and health of any group member; </w:t>
      </w:r>
    </w:p>
    <w:p>
      <w:pPr>
        <w:pStyle w:val="yIndenta"/>
      </w:pPr>
      <w:r>
        <w:tab/>
      </w:r>
      <w:r>
        <w:tab/>
        <w:t>and</w:t>
      </w:r>
    </w:p>
    <w:p>
      <w:pPr>
        <w:pStyle w:val="yIndenta"/>
      </w:pPr>
      <w:r>
        <w:tab/>
        <w:t>(e)</w:t>
      </w:r>
      <w:r>
        <w:tab/>
        <w:t>issue provisional improvement notices in accordance with clause 36.</w:t>
      </w:r>
    </w:p>
    <w:p>
      <w:pPr>
        <w:pStyle w:val="ySubsection"/>
        <w:spacing w:before="180"/>
      </w:pPr>
      <w:r>
        <w:tab/>
        <w:t>(2)</w:t>
      </w:r>
      <w:r>
        <w:tab/>
        <w:t>Subclause (1)(d)(ii) has effect subject to clause 34.</w:t>
      </w:r>
    </w:p>
    <w:p>
      <w:pPr>
        <w:pStyle w:val="yFootnotesection"/>
      </w:pPr>
      <w:r>
        <w:tab/>
        <w:t>[Clause 32 inserted: No. 13 of 2005 s. 17; amended: No. 35 of 2007 s. 86.]</w:t>
      </w:r>
    </w:p>
    <w:p>
      <w:pPr>
        <w:pStyle w:val="yHeading5"/>
        <w:spacing w:before="240"/>
      </w:pPr>
      <w:bookmarkStart w:id="315" w:name="_Toc33609321"/>
      <w:r>
        <w:rPr>
          <w:rStyle w:val="CharSClsNo"/>
        </w:rPr>
        <w:t>33</w:t>
      </w:r>
      <w:r>
        <w:t>.</w:t>
      </w:r>
      <w:r>
        <w:rPr>
          <w:b w:val="0"/>
        </w:rPr>
        <w:tab/>
      </w:r>
      <w:r>
        <w:t>Assistance by consultant</w:t>
      </w:r>
      <w:bookmarkEnd w:id="315"/>
    </w:p>
    <w:p>
      <w:pPr>
        <w:pStyle w:val="ySubsection"/>
      </w:pPr>
      <w:r>
        <w:tab/>
        <w:t>(1)</w:t>
      </w:r>
      <w:r>
        <w:tab/>
        <w:t>A safety and health representative for a designated work group is entitled, in the exercise of his or her powers, to be assisted by a consultant.</w:t>
      </w:r>
    </w:p>
    <w:p>
      <w:pPr>
        <w:pStyle w:val="ySubsection"/>
        <w:keepNext/>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keepNext/>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pPr>
      <w:r>
        <w:tab/>
        <w:t>(b)</w:t>
      </w:r>
      <w:r>
        <w:tab/>
        <w:t>the operator or any work group employer or a person representing the operator or that employer,</w:t>
      </w:r>
    </w:p>
    <w:p>
      <w:pPr>
        <w:pStyle w:val="ySubsection"/>
        <w:spacing w:before="180"/>
      </w:pPr>
      <w:r>
        <w:tab/>
      </w:r>
      <w:r>
        <w:tab/>
        <w:t>if, and only if, the group member consents to the presence of the consultant.</w:t>
      </w:r>
    </w:p>
    <w:p>
      <w:pPr>
        <w:pStyle w:val="yFootnotesection"/>
      </w:pPr>
      <w:r>
        <w:tab/>
        <w:t>[Clause 33 inserted: No. 13 of 2005 s. 17.]</w:t>
      </w:r>
    </w:p>
    <w:p>
      <w:pPr>
        <w:pStyle w:val="yHeading5"/>
        <w:spacing w:before="240"/>
      </w:pPr>
      <w:bookmarkStart w:id="316" w:name="_Toc33609322"/>
      <w:r>
        <w:rPr>
          <w:rStyle w:val="CharSClsNo"/>
        </w:rPr>
        <w:t>34</w:t>
      </w:r>
      <w:r>
        <w:t>.</w:t>
      </w:r>
      <w:r>
        <w:rPr>
          <w:b w:val="0"/>
        </w:rPr>
        <w:tab/>
      </w:r>
      <w:r>
        <w:rPr>
          <w:bCs/>
        </w:rPr>
        <w:t>Access to information</w:t>
      </w:r>
      <w:bookmarkEnd w:id="316"/>
    </w:p>
    <w:p>
      <w:pPr>
        <w:pStyle w:val="ySubsection"/>
        <w:spacing w:before="180"/>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spacing w:before="180"/>
      </w:pPr>
      <w:r>
        <w:tab/>
      </w:r>
      <w:r>
        <w:tab/>
        <w:t>is entitled, under clause 32(1)(d)(ii), to have access to information in respect of which a group member is entitled to claim, and does claim, legal professional privilege.</w:t>
      </w:r>
    </w:p>
    <w:p>
      <w:pPr>
        <w:pStyle w:val="ySubsection"/>
        <w:spacing w:before="180"/>
      </w:pPr>
      <w:r>
        <w:tab/>
        <w:t>(2)</w:t>
      </w:r>
      <w:r>
        <w:tab/>
        <w:t xml:space="preserve">Neither — </w:t>
      </w:r>
    </w:p>
    <w:p>
      <w:pPr>
        <w:pStyle w:val="yIndenta"/>
      </w:pPr>
      <w:r>
        <w:tab/>
        <w:t>(a)</w:t>
      </w:r>
      <w:r>
        <w:tab/>
        <w:t>a safety and health representative; nor</w:t>
      </w:r>
    </w:p>
    <w:p>
      <w:pPr>
        <w:pStyle w:val="yIndenta"/>
      </w:pPr>
      <w:r>
        <w:tab/>
        <w:t>(b)</w:t>
      </w:r>
      <w:r>
        <w:tab/>
        <w:t>a consultant assisting a safety and health representative,</w:t>
      </w:r>
    </w:p>
    <w:p>
      <w:pPr>
        <w:pStyle w:val="ySubsection"/>
        <w:spacing w:before="180"/>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No. 13 of 2005 s. 17.]</w:t>
      </w:r>
    </w:p>
    <w:p>
      <w:pPr>
        <w:pStyle w:val="yHeading5"/>
        <w:keepNext w:val="0"/>
        <w:keepLines w:val="0"/>
        <w:pageBreakBefore/>
        <w:spacing w:before="0"/>
      </w:pPr>
      <w:bookmarkStart w:id="317" w:name="_Toc33609323"/>
      <w:r>
        <w:rPr>
          <w:rStyle w:val="CharSClsNo"/>
        </w:rPr>
        <w:t>35</w:t>
      </w:r>
      <w:r>
        <w:t>.</w:t>
      </w:r>
      <w:r>
        <w:rPr>
          <w:b w:val="0"/>
        </w:rPr>
        <w:tab/>
      </w:r>
      <w:r>
        <w:t>Obligations and liabilities of safety and health representatives</w:t>
      </w:r>
      <w:bookmarkEnd w:id="317"/>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No. 13 of 2005 s. 17.]</w:t>
      </w:r>
    </w:p>
    <w:p>
      <w:pPr>
        <w:pStyle w:val="yHeading5"/>
        <w:spacing w:before="180"/>
      </w:pPr>
      <w:bookmarkStart w:id="318" w:name="_Toc33609324"/>
      <w:r>
        <w:rPr>
          <w:rStyle w:val="CharSClsNo"/>
        </w:rPr>
        <w:t>36</w:t>
      </w:r>
      <w:r>
        <w:t>.</w:t>
      </w:r>
      <w:r>
        <w:rPr>
          <w:b w:val="0"/>
        </w:rPr>
        <w:tab/>
      </w:r>
      <w:r>
        <w:t>Provisional improvement notices</w:t>
      </w:r>
      <w:bookmarkEnd w:id="318"/>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is contravening a listed OSH law; or</w:t>
      </w:r>
    </w:p>
    <w:p>
      <w:pPr>
        <w:pStyle w:val="yIndenti0"/>
      </w:pPr>
      <w:r>
        <w:tab/>
        <w:t>(ii)</w:t>
      </w:r>
      <w:r>
        <w:tab/>
        <w:t>has contravened a provision of a listed OSH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No. 13 of 2005 s. 17.]</w:t>
      </w:r>
    </w:p>
    <w:p>
      <w:pPr>
        <w:pStyle w:val="yHeading5"/>
        <w:keepNext w:val="0"/>
        <w:keepLines w:val="0"/>
        <w:pageBreakBefore/>
        <w:spacing w:before="0"/>
      </w:pPr>
      <w:bookmarkStart w:id="319" w:name="_Toc33609325"/>
      <w:r>
        <w:rPr>
          <w:rStyle w:val="CharSClsNo"/>
        </w:rPr>
        <w:t>37</w:t>
      </w:r>
      <w:r>
        <w:t>.</w:t>
      </w:r>
      <w:r>
        <w:rPr>
          <w:b w:val="0"/>
        </w:rPr>
        <w:tab/>
      </w:r>
      <w:r>
        <w:t>Effect of provisional improvement notice</w:t>
      </w:r>
      <w:bookmarkEnd w:id="319"/>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keepNext/>
        <w:keepLines/>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No. 13 of 2005 s. 17.]</w:t>
      </w:r>
    </w:p>
    <w:p>
      <w:pPr>
        <w:pStyle w:val="yHeading5"/>
      </w:pPr>
      <w:bookmarkStart w:id="320" w:name="_Toc33609326"/>
      <w:r>
        <w:rPr>
          <w:rStyle w:val="CharSClsNo"/>
        </w:rPr>
        <w:t>38</w:t>
      </w:r>
      <w:r>
        <w:t>.</w:t>
      </w:r>
      <w:r>
        <w:rPr>
          <w:b w:val="0"/>
        </w:rPr>
        <w:tab/>
      </w:r>
      <w:r>
        <w:t>Duties of operator and other employers in relation to safety and health representatives</w:t>
      </w:r>
      <w:bookmarkEnd w:id="320"/>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spacing w:before="120"/>
      </w:pPr>
      <w:r>
        <w:tab/>
        <w:t>(4)</w:t>
      </w:r>
      <w:r>
        <w:tab/>
        <w:t>The operator is not required to give a safety and health representative access to any information in respect of which the operator is entitled to claim, and does claim, legal professional privilege.</w:t>
      </w:r>
    </w:p>
    <w:p>
      <w:pPr>
        <w:pStyle w:val="ySubsection"/>
        <w:spacing w:before="120"/>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spacing w:before="80"/>
      </w:pPr>
      <w:r>
        <w:tab/>
        <w:t>[Clause 38 inserted: No. 13 of 2005 s. 17; amended: No. 35 of 2007 s. 86.]</w:t>
      </w:r>
    </w:p>
    <w:p>
      <w:pPr>
        <w:pStyle w:val="yHeading4"/>
        <w:spacing w:before="180"/>
      </w:pPr>
      <w:bookmarkStart w:id="321" w:name="_Toc33608974"/>
      <w:bookmarkStart w:id="322" w:name="_Toc33609327"/>
      <w:r>
        <w:t>Subdivision </w:t>
      </w:r>
      <w:r>
        <w:rPr>
          <w:bCs/>
        </w:rPr>
        <w:t>4</w:t>
      </w:r>
      <w:r>
        <w:rPr>
          <w:b w:val="0"/>
        </w:rPr>
        <w:t> — </w:t>
      </w:r>
      <w:r>
        <w:rPr>
          <w:bCs/>
        </w:rPr>
        <w:t>Safety and health</w:t>
      </w:r>
      <w:r>
        <w:t xml:space="preserve"> committees</w:t>
      </w:r>
      <w:bookmarkEnd w:id="321"/>
      <w:bookmarkEnd w:id="322"/>
    </w:p>
    <w:p>
      <w:pPr>
        <w:pStyle w:val="yFootnoteheading"/>
        <w:spacing w:before="80"/>
      </w:pPr>
      <w:r>
        <w:tab/>
        <w:t>[Heading inserted: No. 13 of 2005 s. 17.]</w:t>
      </w:r>
    </w:p>
    <w:p>
      <w:pPr>
        <w:pStyle w:val="yHeading5"/>
        <w:spacing w:before="180"/>
      </w:pPr>
      <w:bookmarkStart w:id="323" w:name="_Toc33609328"/>
      <w:r>
        <w:rPr>
          <w:rStyle w:val="CharSClsNo"/>
        </w:rPr>
        <w:t>39</w:t>
      </w:r>
      <w:r>
        <w:t>.</w:t>
      </w:r>
      <w:r>
        <w:rPr>
          <w:b w:val="0"/>
        </w:rPr>
        <w:tab/>
      </w:r>
      <w:r>
        <w:t>Safety and health committees</w:t>
      </w:r>
      <w:bookmarkEnd w:id="323"/>
    </w:p>
    <w:p>
      <w:pPr>
        <w:pStyle w:val="ySubsection"/>
        <w:spacing w:before="120"/>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spacing w:before="120"/>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spacing w:before="120"/>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spacing w:before="120"/>
      </w:pPr>
      <w:r>
        <w:tab/>
        <w:t>(5)</w:t>
      </w:r>
      <w:r>
        <w:tab/>
        <w:t>A safety and health committee must hold a meeting at least once every 3 months.</w:t>
      </w:r>
    </w:p>
    <w:p>
      <w:pPr>
        <w:pStyle w:val="ySubsection"/>
        <w:spacing w:before="120"/>
      </w:pPr>
      <w:r>
        <w:tab/>
        <w:t>(6)</w:t>
      </w:r>
      <w:r>
        <w:tab/>
        <w:t>The procedure at meetings of a safety and health committee must, except to the extent provided for by the regulations, be the procedure agreed upon by the committee.</w:t>
      </w:r>
    </w:p>
    <w:p>
      <w:pPr>
        <w:pStyle w:val="ySubsection"/>
        <w:spacing w:before="120"/>
      </w:pPr>
      <w:r>
        <w:tab/>
        <w:t>(7)</w:t>
      </w:r>
      <w:r>
        <w:tab/>
        <w:t>A safety and health committee must cause minutes of its meetings to be kept, and must retain those minutes for a period of not less than 3 years.</w:t>
      </w:r>
    </w:p>
    <w:p>
      <w:pPr>
        <w:pStyle w:val="ySubsection"/>
        <w:spacing w:before="120"/>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No. 13 of 2005 s. 17; amended: No. 35 of 2007 s. 86.]</w:t>
      </w:r>
    </w:p>
    <w:p>
      <w:pPr>
        <w:pStyle w:val="yHeading5"/>
        <w:spacing w:before="180"/>
      </w:pPr>
      <w:bookmarkStart w:id="324" w:name="_Toc33609329"/>
      <w:r>
        <w:rPr>
          <w:rStyle w:val="CharSClsNo"/>
        </w:rPr>
        <w:t>40</w:t>
      </w:r>
      <w:r>
        <w:t>.</w:t>
      </w:r>
      <w:r>
        <w:rPr>
          <w:b w:val="0"/>
        </w:rPr>
        <w:tab/>
      </w:r>
      <w:r>
        <w:t>Functions of safety and health committees</w:t>
      </w:r>
      <w:bookmarkEnd w:id="324"/>
    </w:p>
    <w:p>
      <w:pPr>
        <w:pStyle w:val="ySubsection"/>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No. 13 of 2005 s. 17; amended: No. 35 of 2007 s. 86.]</w:t>
      </w:r>
    </w:p>
    <w:p>
      <w:pPr>
        <w:pStyle w:val="yHeading5"/>
        <w:spacing w:before="180"/>
      </w:pPr>
      <w:bookmarkStart w:id="325" w:name="_Toc33609330"/>
      <w:r>
        <w:rPr>
          <w:rStyle w:val="CharSClsNo"/>
        </w:rPr>
        <w:t>41</w:t>
      </w:r>
      <w:r>
        <w:t>.</w:t>
      </w:r>
      <w:r>
        <w:rPr>
          <w:b w:val="0"/>
        </w:rPr>
        <w:tab/>
      </w:r>
      <w:r>
        <w:t>Duties of operator and other employers in relation to safety and health committees</w:t>
      </w:r>
      <w:bookmarkEnd w:id="325"/>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r>
        <w:tab/>
        <w:t>[Clause 41 inserted: No. 13 of 2005 s. 17.]</w:t>
      </w:r>
    </w:p>
    <w:p>
      <w:pPr>
        <w:pStyle w:val="yHeading4"/>
        <w:spacing w:before="180"/>
      </w:pPr>
      <w:bookmarkStart w:id="326" w:name="_Toc33608978"/>
      <w:bookmarkStart w:id="327" w:name="_Toc33609331"/>
      <w:r>
        <w:t>Subdivision </w:t>
      </w:r>
      <w:r>
        <w:rPr>
          <w:bCs/>
        </w:rPr>
        <w:t>5</w:t>
      </w:r>
      <w:r>
        <w:rPr>
          <w:b w:val="0"/>
        </w:rPr>
        <w:t> — </w:t>
      </w:r>
      <w:r>
        <w:rPr>
          <w:bCs/>
        </w:rPr>
        <w:t>Emergency</w:t>
      </w:r>
      <w:r>
        <w:t xml:space="preserve"> procedures</w:t>
      </w:r>
      <w:bookmarkEnd w:id="326"/>
      <w:bookmarkEnd w:id="327"/>
    </w:p>
    <w:p>
      <w:pPr>
        <w:pStyle w:val="yFootnoteheading"/>
        <w:spacing w:before="80"/>
      </w:pPr>
      <w:r>
        <w:tab/>
        <w:t>[Heading inserted: No. 13 of 2005 s. 17.]</w:t>
      </w:r>
    </w:p>
    <w:p>
      <w:pPr>
        <w:pStyle w:val="yHeading5"/>
        <w:spacing w:before="180"/>
      </w:pPr>
      <w:bookmarkStart w:id="328" w:name="_Toc33609332"/>
      <w:r>
        <w:rPr>
          <w:rStyle w:val="CharSClsNo"/>
        </w:rPr>
        <w:t>42</w:t>
      </w:r>
      <w:r>
        <w:t>.</w:t>
      </w:r>
      <w:r>
        <w:rPr>
          <w:b w:val="0"/>
        </w:rPr>
        <w:tab/>
      </w:r>
      <w:r>
        <w:t>Action by safety and health representatives</w:t>
      </w:r>
      <w:bookmarkEnd w:id="328"/>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pPr>
      <w:r>
        <w:tab/>
      </w:r>
      <w:r>
        <w:tab/>
        <w:t>the representative or the supervisor may request an inspector that an inspection be conducted of the work that is the subject of the direction.</w:t>
      </w:r>
    </w:p>
    <w:p>
      <w:pPr>
        <w:pStyle w:val="ySubsection"/>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No. 13 of 2005 s. 17; amended: No. 35 of 2007 s. 86.]</w:t>
      </w:r>
    </w:p>
    <w:p>
      <w:pPr>
        <w:pStyle w:val="yHeading5"/>
        <w:spacing w:before="180"/>
      </w:pPr>
      <w:bookmarkStart w:id="329" w:name="_Toc33609333"/>
      <w:r>
        <w:rPr>
          <w:rStyle w:val="CharSClsNo"/>
        </w:rPr>
        <w:t>43</w:t>
      </w:r>
      <w:r>
        <w:t>.</w:t>
      </w:r>
      <w:r>
        <w:rPr>
          <w:b w:val="0"/>
        </w:rPr>
        <w:tab/>
      </w:r>
      <w:r>
        <w:t>Directions to perform other work</w:t>
      </w:r>
      <w:bookmarkEnd w:id="329"/>
    </w:p>
    <w:p>
      <w:pPr>
        <w:pStyle w:val="ySubsection"/>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80"/>
      </w:pPr>
      <w:r>
        <w:tab/>
        <w:t>[Clause 43 inserted: No. 13 of 2005 s. 17.]</w:t>
      </w:r>
    </w:p>
    <w:p>
      <w:pPr>
        <w:pStyle w:val="yHeading4"/>
      </w:pPr>
      <w:bookmarkStart w:id="330" w:name="_Toc33608981"/>
      <w:bookmarkStart w:id="331" w:name="_Toc33609334"/>
      <w:r>
        <w:t>Subdivision </w:t>
      </w:r>
      <w:r>
        <w:rPr>
          <w:bCs/>
        </w:rPr>
        <w:t>6 — Exemptions</w:t>
      </w:r>
      <w:bookmarkEnd w:id="330"/>
      <w:bookmarkEnd w:id="331"/>
    </w:p>
    <w:p>
      <w:pPr>
        <w:pStyle w:val="yFootnoteheading"/>
      </w:pPr>
      <w:r>
        <w:tab/>
        <w:t>[Heading inserted: No. 13 of 2005 s. 17.]</w:t>
      </w:r>
    </w:p>
    <w:p>
      <w:pPr>
        <w:pStyle w:val="yHeading5"/>
      </w:pPr>
      <w:bookmarkStart w:id="332" w:name="_Toc33609335"/>
      <w:r>
        <w:rPr>
          <w:rStyle w:val="CharSClsNo"/>
        </w:rPr>
        <w:t>44</w:t>
      </w:r>
      <w:r>
        <w:t>.</w:t>
      </w:r>
      <w:r>
        <w:rPr>
          <w:b w:val="0"/>
        </w:rPr>
        <w:tab/>
      </w:r>
      <w:r>
        <w:t>Exemptions</w:t>
      </w:r>
      <w:bookmarkEnd w:id="332"/>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spacing w:before="80"/>
      </w:pPr>
      <w:r>
        <w:tab/>
        <w:t>[Clause 44 inserted: No. 13 of 2005 s. 17.]</w:t>
      </w:r>
    </w:p>
    <w:p>
      <w:pPr>
        <w:pStyle w:val="yHeading3"/>
        <w:spacing w:before="180"/>
      </w:pPr>
      <w:bookmarkStart w:id="333" w:name="_Toc33608983"/>
      <w:bookmarkStart w:id="334" w:name="_Toc33609336"/>
      <w:r>
        <w:rPr>
          <w:rStyle w:val="CharSDivNo"/>
        </w:rPr>
        <w:t>Division 4</w:t>
      </w:r>
      <w:r>
        <w:rPr>
          <w:b w:val="0"/>
        </w:rPr>
        <w:t> — </w:t>
      </w:r>
      <w:r>
        <w:rPr>
          <w:rStyle w:val="CharSDivText"/>
        </w:rPr>
        <w:t>Inspections</w:t>
      </w:r>
      <w:bookmarkEnd w:id="333"/>
      <w:bookmarkEnd w:id="334"/>
    </w:p>
    <w:p>
      <w:pPr>
        <w:pStyle w:val="yFootnoteheading"/>
        <w:spacing w:before="80"/>
      </w:pPr>
      <w:r>
        <w:tab/>
        <w:t>[Heading inserted: No. 13 of 2005 s. 17.]</w:t>
      </w:r>
    </w:p>
    <w:p>
      <w:pPr>
        <w:pStyle w:val="yHeading4"/>
        <w:spacing w:before="180"/>
      </w:pPr>
      <w:bookmarkStart w:id="335" w:name="_Toc33608984"/>
      <w:bookmarkStart w:id="336" w:name="_Toc33609337"/>
      <w:r>
        <w:t>Subdivision 1</w:t>
      </w:r>
      <w:r>
        <w:rPr>
          <w:b w:val="0"/>
        </w:rPr>
        <w:t> — </w:t>
      </w:r>
      <w:r>
        <w:t>Introduction</w:t>
      </w:r>
      <w:bookmarkEnd w:id="335"/>
      <w:bookmarkEnd w:id="336"/>
    </w:p>
    <w:p>
      <w:pPr>
        <w:pStyle w:val="yFootnoteheading"/>
        <w:spacing w:before="80"/>
      </w:pPr>
      <w:r>
        <w:tab/>
        <w:t>[Heading inserted: No. 13 of 2005 s. 17.]</w:t>
      </w:r>
    </w:p>
    <w:p>
      <w:pPr>
        <w:pStyle w:val="yHeading5"/>
        <w:spacing w:before="180"/>
      </w:pPr>
      <w:bookmarkStart w:id="337" w:name="_Toc33609338"/>
      <w:r>
        <w:rPr>
          <w:rStyle w:val="CharSClsNo"/>
        </w:rPr>
        <w:t>45</w:t>
      </w:r>
      <w:r>
        <w:t>.</w:t>
      </w:r>
      <w:r>
        <w:rPr>
          <w:b w:val="0"/>
        </w:rPr>
        <w:tab/>
      </w:r>
      <w:r>
        <w:t>Simplified outline</w:t>
      </w:r>
      <w:bookmarkEnd w:id="337"/>
    </w:p>
    <w:p>
      <w:pPr>
        <w:pStyle w:val="ySubsection"/>
        <w:spacing w:before="120"/>
      </w:pPr>
      <w:r>
        <w:tab/>
      </w:r>
      <w:r>
        <w:tab/>
        <w:t xml:space="preserve">The following is a simplified outline of this Division — </w:t>
      </w:r>
    </w:p>
    <w:p>
      <w:pPr>
        <w:pStyle w:val="ySubsection"/>
        <w:numPr>
          <w:ilvl w:val="1"/>
          <w:numId w:val="1"/>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to ascertain whether a listed OSH law is being complied with; or</w:t>
      </w:r>
    </w:p>
    <w:p>
      <w:pPr>
        <w:pStyle w:val="yIndenta"/>
        <w:tabs>
          <w:tab w:val="clear" w:pos="1332"/>
          <w:tab w:val="right" w:pos="1800"/>
        </w:tabs>
        <w:ind w:left="2160" w:hanging="2160"/>
      </w:pPr>
      <w:r>
        <w:tab/>
        <w:t>(b)</w:t>
      </w:r>
      <w:r>
        <w:tab/>
        <w:t>concerning a contravention or a possible contravention of a listed OSH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1"/>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1"/>
        </w:numPr>
        <w:tabs>
          <w:tab w:val="clear" w:pos="1440"/>
          <w:tab w:val="num" w:pos="1288"/>
        </w:tabs>
        <w:spacing w:before="80"/>
        <w:ind w:left="1287" w:hanging="391"/>
      </w:pPr>
      <w:r>
        <w:t>An inspector may issue an improvement notice specifying action that is to be taken to prevent contravention of a listed OSH law.</w:t>
      </w:r>
    </w:p>
    <w:p>
      <w:pPr>
        <w:pStyle w:val="ySubsection"/>
        <w:numPr>
          <w:ilvl w:val="1"/>
          <w:numId w:val="1"/>
        </w:numPr>
        <w:tabs>
          <w:tab w:val="clear" w:pos="1440"/>
          <w:tab w:val="num" w:pos="1288"/>
        </w:tabs>
        <w:spacing w:before="80"/>
        <w:ind w:left="1287" w:hanging="391"/>
      </w:pPr>
      <w:r>
        <w:t>An inspector must prepare a report about an inspection and give the report to the Minister.</w:t>
      </w:r>
    </w:p>
    <w:p>
      <w:pPr>
        <w:pStyle w:val="yFootnotesection"/>
        <w:spacing w:before="80"/>
      </w:pPr>
      <w:r>
        <w:tab/>
        <w:t>[Clause 45 inserted: No. 13 of 2005 s. 17; amended: No. 35 of 2007 s. 86.]</w:t>
      </w:r>
    </w:p>
    <w:p>
      <w:pPr>
        <w:pStyle w:val="yHeading5"/>
        <w:spacing w:before="180"/>
      </w:pPr>
      <w:bookmarkStart w:id="338" w:name="_Toc33609339"/>
      <w:r>
        <w:rPr>
          <w:rStyle w:val="CharSClsNo"/>
        </w:rPr>
        <w:t>46</w:t>
      </w:r>
      <w:r>
        <w:t>.</w:t>
      </w:r>
      <w:r>
        <w:rPr>
          <w:b w:val="0"/>
        </w:rPr>
        <w:tab/>
      </w:r>
      <w:r>
        <w:t>Powers, functions and duties of inspectors</w:t>
      </w:r>
      <w:bookmarkEnd w:id="338"/>
    </w:p>
    <w:p>
      <w:pPr>
        <w:pStyle w:val="ySubsection"/>
        <w:spacing w:before="120"/>
      </w:pPr>
      <w:r>
        <w:tab/>
        <w:t>(1)</w:t>
      </w:r>
      <w:r>
        <w:tab/>
        <w:t>An inspector has the powers, functions and duties conferred or imposed by each listed OSH law.</w:t>
      </w:r>
    </w:p>
    <w:p>
      <w:pPr>
        <w:pStyle w:val="ySubsection"/>
        <w:spacing w:before="120"/>
      </w:pPr>
      <w:r>
        <w:tab/>
        <w:t>(2)</w:t>
      </w:r>
      <w:r>
        <w:tab/>
        <w:t>The Minister may give written directions specifying the manner in which, and the conditions subject to which, powers conferred on inspectors by a listed OSH law are to be exercised. If the Minister does so, the powers of inspectors must be exercised in accordance with those directions.</w:t>
      </w:r>
    </w:p>
    <w:p>
      <w:pPr>
        <w:pStyle w:val="ySubsection"/>
      </w:pPr>
      <w:r>
        <w:tab/>
        <w:t>(3)</w:t>
      </w:r>
      <w:r>
        <w:tab/>
        <w:t>The Minister may, by notice in writing, impose restrictions, not inconsistent with any direction in force under subclause (2), on the powers that are conferred on a particular inspector by a listed OSH law.  If the Minister does so, the powers of the inspector are taken to have been restricted accordingly.</w:t>
      </w:r>
    </w:p>
    <w:p>
      <w:pPr>
        <w:pStyle w:val="yFootnotesection"/>
      </w:pPr>
      <w:r>
        <w:tab/>
        <w:t>[Clause 46 inserted: No. 13 of 2005 s. 17.]</w:t>
      </w:r>
    </w:p>
    <w:p>
      <w:pPr>
        <w:pStyle w:val="yHeading4"/>
        <w:spacing w:before="200"/>
      </w:pPr>
      <w:bookmarkStart w:id="339" w:name="_Toc33608987"/>
      <w:bookmarkStart w:id="340" w:name="_Toc33609340"/>
      <w:r>
        <w:t>Subdivision 2</w:t>
      </w:r>
      <w:r>
        <w:rPr>
          <w:b w:val="0"/>
        </w:rPr>
        <w:t> — </w:t>
      </w:r>
      <w:r>
        <w:t>Inspections</w:t>
      </w:r>
      <w:bookmarkEnd w:id="339"/>
      <w:bookmarkEnd w:id="340"/>
    </w:p>
    <w:p>
      <w:pPr>
        <w:pStyle w:val="yFootnoteheading"/>
      </w:pPr>
      <w:r>
        <w:tab/>
        <w:t>[Heading inserted: No. 13 of 2005 s. 17.]</w:t>
      </w:r>
    </w:p>
    <w:p>
      <w:pPr>
        <w:pStyle w:val="yHeading5"/>
      </w:pPr>
      <w:bookmarkStart w:id="341" w:name="_Toc33609341"/>
      <w:r>
        <w:rPr>
          <w:rStyle w:val="CharSClsNo"/>
        </w:rPr>
        <w:t>47</w:t>
      </w:r>
      <w:r>
        <w:t>.</w:t>
      </w:r>
      <w:r>
        <w:rPr>
          <w:b w:val="0"/>
        </w:rPr>
        <w:tab/>
      </w:r>
      <w:r>
        <w:t>Inspections</w:t>
      </w:r>
      <w:bookmarkEnd w:id="341"/>
    </w:p>
    <w:p>
      <w:pPr>
        <w:pStyle w:val="ySubsection"/>
      </w:pPr>
      <w:r>
        <w:tab/>
        <w:t>(1)</w:t>
      </w:r>
      <w:r>
        <w:tab/>
        <w:t xml:space="preserve">An inspector may, at any time, conduct an inspection — </w:t>
      </w:r>
    </w:p>
    <w:p>
      <w:pPr>
        <w:pStyle w:val="yIndenta"/>
      </w:pPr>
      <w:r>
        <w:tab/>
        <w:t>(a)</w:t>
      </w:r>
      <w:r>
        <w:tab/>
        <w:t>to ascertain whether a requirement of, or any requirement properly made under, a listed OSH law is being complied with; or</w:t>
      </w:r>
    </w:p>
    <w:p>
      <w:pPr>
        <w:pStyle w:val="yIndenta"/>
      </w:pPr>
      <w:r>
        <w:tab/>
        <w:t>(b)</w:t>
      </w:r>
      <w:r>
        <w:tab/>
        <w:t>concerning a contravention or a possible contravention of a listed OSH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to ascertain whether a requirement of, or any requirement properly made under, a listed OSH law is being complied with; or</w:t>
      </w:r>
    </w:p>
    <w:p>
      <w:pPr>
        <w:pStyle w:val="yIndenta"/>
        <w:spacing w:before="60"/>
      </w:pPr>
      <w:r>
        <w:tab/>
        <w:t>(b)</w:t>
      </w:r>
      <w:r>
        <w:tab/>
        <w:t>concerning a contravention or a possible contravention of a listed OSH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spacing w:before="80"/>
      </w:pPr>
      <w:r>
        <w:tab/>
        <w:t>[Clause 47 inserted: No. 13 of 2005 s. 17; amended: No. 35 of 2007 s. 86.]</w:t>
      </w:r>
    </w:p>
    <w:p>
      <w:pPr>
        <w:pStyle w:val="yHeading4"/>
      </w:pPr>
      <w:bookmarkStart w:id="342" w:name="_Toc33608989"/>
      <w:bookmarkStart w:id="343" w:name="_Toc33609342"/>
      <w:r>
        <w:t>Subdivision </w:t>
      </w:r>
      <w:r>
        <w:rPr>
          <w:bCs/>
        </w:rPr>
        <w:t xml:space="preserve">3 — Powers </w:t>
      </w:r>
      <w:r>
        <w:t>of inspectors in relation to the conduct of inspections</w:t>
      </w:r>
      <w:bookmarkEnd w:id="342"/>
      <w:bookmarkEnd w:id="343"/>
    </w:p>
    <w:p>
      <w:pPr>
        <w:pStyle w:val="yFootnoteheading"/>
      </w:pPr>
      <w:r>
        <w:tab/>
        <w:t>[Heading inserted: No. 13 of 2005 s. 17.]</w:t>
      </w:r>
    </w:p>
    <w:p>
      <w:pPr>
        <w:pStyle w:val="yHeading5"/>
        <w:spacing w:before="180"/>
      </w:pPr>
      <w:bookmarkStart w:id="344" w:name="_Toc33609343"/>
      <w:r>
        <w:rPr>
          <w:rStyle w:val="CharSClsNo"/>
        </w:rPr>
        <w:t>48</w:t>
      </w:r>
      <w:r>
        <w:t>.</w:t>
      </w:r>
      <w:r>
        <w:rPr>
          <w:b w:val="0"/>
        </w:rPr>
        <w:tab/>
      </w:r>
      <w:r>
        <w:t>Powers of entry and search — places at which petroleum operations or geothermal energy operations are carried on</w:t>
      </w:r>
      <w:bookmarkEnd w:id="344"/>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No. 13 of 2005 s. 17; amended: No. 35 of 2007 s. 86.]</w:t>
      </w:r>
    </w:p>
    <w:p>
      <w:pPr>
        <w:pStyle w:val="yHeading5"/>
      </w:pPr>
      <w:bookmarkStart w:id="345" w:name="_Toc33609344"/>
      <w:r>
        <w:rPr>
          <w:rStyle w:val="CharSClsNo"/>
        </w:rPr>
        <w:t>49</w:t>
      </w:r>
      <w:r>
        <w:t>.</w:t>
      </w:r>
      <w:r>
        <w:rPr>
          <w:b w:val="0"/>
        </w:rPr>
        <w:tab/>
      </w:r>
      <w:r>
        <w:t>Powers of entry and search — regulated business premises (other than places where petroleum operations or geothermal energy operations carried on)</w:t>
      </w:r>
      <w:bookmarkEnd w:id="345"/>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No. 13 of 2005 s. 17; amended: No. 35 of 2007 s. 86.]</w:t>
      </w:r>
    </w:p>
    <w:p>
      <w:pPr>
        <w:pStyle w:val="yHeading5"/>
      </w:pPr>
      <w:bookmarkStart w:id="346" w:name="_Toc33609345"/>
      <w:r>
        <w:rPr>
          <w:rStyle w:val="CharSClsNo"/>
        </w:rPr>
        <w:t>50</w:t>
      </w:r>
      <w:r>
        <w:t>.</w:t>
      </w:r>
      <w:r>
        <w:rPr>
          <w:b w:val="0"/>
        </w:rPr>
        <w:tab/>
      </w:r>
      <w:r>
        <w:t>Powers of entry and search — premises (other than regulated business premises)</w:t>
      </w:r>
      <w:bookmarkEnd w:id="346"/>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keepNext/>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keepNext/>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No. 13 of 2005 s. 17; amended: No. 35 of 2007 s. 86.]</w:t>
      </w:r>
    </w:p>
    <w:p>
      <w:pPr>
        <w:pStyle w:val="yHeading5"/>
      </w:pPr>
      <w:bookmarkStart w:id="347" w:name="_Toc33609346"/>
      <w:r>
        <w:rPr>
          <w:rStyle w:val="CharSClsNo"/>
        </w:rPr>
        <w:t>51</w:t>
      </w:r>
      <w:r>
        <w:t>.</w:t>
      </w:r>
      <w:r>
        <w:rPr>
          <w:b w:val="0"/>
        </w:rPr>
        <w:tab/>
      </w:r>
      <w:r>
        <w:t>Warrant to enter premises (other than regulated business premises)</w:t>
      </w:r>
      <w:bookmarkEnd w:id="347"/>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spacing w:before="80"/>
      </w:pPr>
      <w:r>
        <w:tab/>
        <w:t>[Clause 51 inserted: No. 13 of 2005 s. 17.]</w:t>
      </w:r>
    </w:p>
    <w:p>
      <w:pPr>
        <w:pStyle w:val="yHeading5"/>
        <w:spacing w:before="180"/>
      </w:pPr>
      <w:bookmarkStart w:id="348" w:name="_Toc33609347"/>
      <w:r>
        <w:rPr>
          <w:rStyle w:val="CharSClsNo"/>
        </w:rPr>
        <w:t>52</w:t>
      </w:r>
      <w:r>
        <w:t>.</w:t>
      </w:r>
      <w:r>
        <w:rPr>
          <w:b w:val="0"/>
        </w:rPr>
        <w:tab/>
      </w:r>
      <w:r>
        <w:t>Obstructing or hindering inspector</w:t>
      </w:r>
      <w:bookmarkEnd w:id="348"/>
    </w:p>
    <w:p>
      <w:pPr>
        <w:pStyle w:val="ySubsection"/>
        <w:spacing w:before="120"/>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spacing w:before="80"/>
      </w:pPr>
      <w:r>
        <w:tab/>
        <w:t>[Clause 52 inserted: No. 13 of 2005 s. 17; amended: No. 42 of 2010 s. 60(6).]</w:t>
      </w:r>
    </w:p>
    <w:p>
      <w:pPr>
        <w:pStyle w:val="yHeading5"/>
        <w:spacing w:before="180"/>
      </w:pPr>
      <w:bookmarkStart w:id="349" w:name="_Toc33609348"/>
      <w:r>
        <w:rPr>
          <w:rStyle w:val="CharSClsNo"/>
        </w:rPr>
        <w:t>53</w:t>
      </w:r>
      <w:r>
        <w:t>.</w:t>
      </w:r>
      <w:r>
        <w:rPr>
          <w:b w:val="0"/>
        </w:rPr>
        <w:tab/>
      </w:r>
      <w:r>
        <w:t>Power to require assistance and information</w:t>
      </w:r>
      <w:bookmarkEnd w:id="349"/>
    </w:p>
    <w:p>
      <w:pPr>
        <w:pStyle w:val="ySubsection"/>
        <w:spacing w:before="120"/>
      </w:pPr>
      <w:r>
        <w:tab/>
        <w:t>(1)</w:t>
      </w:r>
      <w:r>
        <w:tab/>
        <w:t xml:space="preserve">An inspector may, to the extent that it is reasonably necessary to do so in connection with the conduct of an inspection, require — </w:t>
      </w:r>
    </w:p>
    <w:p>
      <w:pPr>
        <w:pStyle w:val="yIndenta"/>
        <w:spacing w:before="60"/>
      </w:pPr>
      <w:r>
        <w:tab/>
        <w:t>(a)</w:t>
      </w:r>
      <w:r>
        <w:tab/>
        <w:t>the operator of a petroleum operation or geothermal energy operation; or</w:t>
      </w:r>
    </w:p>
    <w:p>
      <w:pPr>
        <w:pStyle w:val="yIndenta"/>
        <w:spacing w:before="60"/>
      </w:pPr>
      <w:r>
        <w:tab/>
        <w:t>(b)</w:t>
      </w:r>
      <w:r>
        <w:tab/>
        <w:t>the person in charge of a petroleum operation or geothermal energy operation; or</w:t>
      </w:r>
    </w:p>
    <w:p>
      <w:pPr>
        <w:pStyle w:val="yIndenta"/>
        <w:spacing w:before="60"/>
      </w:pPr>
      <w:r>
        <w:tab/>
        <w:t>(c)</w:t>
      </w:r>
      <w:r>
        <w:tab/>
        <w:t>a member of the workforce engaged in a petroleum operation or geothermal energy operation; or</w:t>
      </w:r>
    </w:p>
    <w:p>
      <w:pPr>
        <w:pStyle w:val="yIndenta"/>
        <w:spacing w:before="60"/>
      </w:pPr>
      <w:r>
        <w:tab/>
        <w:t>(d)</w:t>
      </w:r>
      <w:r>
        <w:tab/>
        <w:t>any person representing a person referred to in paragraph (a) or (b),</w:t>
      </w:r>
    </w:p>
    <w:p>
      <w:pPr>
        <w:pStyle w:val="ySubsection"/>
        <w:spacing w:before="120"/>
      </w:pPr>
      <w:r>
        <w:tab/>
      </w:r>
      <w:r>
        <w:tab/>
        <w:t xml:space="preserve">to provide the inspector with reasonable assistance and amenities — </w:t>
      </w:r>
    </w:p>
    <w:p>
      <w:pPr>
        <w:pStyle w:val="yIndenta"/>
        <w:spacing w:before="60"/>
      </w:pPr>
      <w:r>
        <w:tab/>
        <w:t>(e)</w:t>
      </w:r>
      <w:r>
        <w:tab/>
        <w:t>that is or are reasonably connected with the conduct of the inspection in relation to the petroleum operation or geothermal energy operation; or</w:t>
      </w:r>
    </w:p>
    <w:p>
      <w:pPr>
        <w:pStyle w:val="yIndenta"/>
        <w:spacing w:before="60"/>
      </w:pPr>
      <w:r>
        <w:tab/>
        <w:t>(f)</w:t>
      </w:r>
      <w:r>
        <w:tab/>
        <w:t>for the effective exercise of the inspector’s powers under this Schedule in connection with the conduct of the inspection in relation to the petroleum operation or geothermal energy operation.</w:t>
      </w:r>
    </w:p>
    <w:p>
      <w:pPr>
        <w:pStyle w:val="ySubsection"/>
        <w:spacing w:before="120"/>
      </w:pPr>
      <w:r>
        <w:tab/>
        <w:t>(2)</w:t>
      </w:r>
      <w:r>
        <w:tab/>
        <w:t xml:space="preserve">The reasonable assistance referred to in subclause (1) includes, so far as the operator of a petroleum operation or geothermal energy operation is concerned — </w:t>
      </w:r>
    </w:p>
    <w:p>
      <w:pPr>
        <w:pStyle w:val="yIndenta"/>
        <w:spacing w:before="60"/>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No. 13 of 2005 s. 17; amended: No. 35 of 2007 s. 86; No. 42 of 2010 s. 60(1).]</w:t>
      </w:r>
    </w:p>
    <w:p>
      <w:pPr>
        <w:pStyle w:val="yHeading5"/>
      </w:pPr>
      <w:bookmarkStart w:id="350" w:name="_Toc33609349"/>
      <w:r>
        <w:rPr>
          <w:rStyle w:val="CharSClsNo"/>
        </w:rPr>
        <w:t>54</w:t>
      </w:r>
      <w:r>
        <w:t>.</w:t>
      </w:r>
      <w:r>
        <w:rPr>
          <w:b w:val="0"/>
        </w:rPr>
        <w:tab/>
      </w:r>
      <w:r>
        <w:t>Power to require answering of questions and production of documents or articles</w:t>
      </w:r>
      <w:bookmarkEnd w:id="350"/>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keepNext/>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keepNext/>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No. 13 of 2005 s. 17; amended: No. 35 of 2007 s. 86; No. 42 of 2010 s. 60(2).]</w:t>
      </w:r>
    </w:p>
    <w:p>
      <w:pPr>
        <w:pStyle w:val="yHeading5"/>
        <w:spacing w:before="180"/>
      </w:pPr>
      <w:bookmarkStart w:id="351" w:name="_Toc33609350"/>
      <w:r>
        <w:rPr>
          <w:rStyle w:val="CharSClsNo"/>
        </w:rPr>
        <w:t>55</w:t>
      </w:r>
      <w:r>
        <w:t>.</w:t>
      </w:r>
      <w:r>
        <w:rPr>
          <w:b w:val="0"/>
        </w:rPr>
        <w:tab/>
      </w:r>
      <w:r>
        <w:t>Privilege against self</w:t>
      </w:r>
      <w:r>
        <w:noBreakHyphen/>
        <w:t>incrimination</w:t>
      </w:r>
      <w:bookmarkEnd w:id="351"/>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No. 13 of 2005 s. 17.]</w:t>
      </w:r>
    </w:p>
    <w:p>
      <w:pPr>
        <w:pStyle w:val="yHeading5"/>
        <w:keepNext w:val="0"/>
        <w:keepLines w:val="0"/>
      </w:pPr>
      <w:bookmarkStart w:id="352" w:name="_Toc33609351"/>
      <w:r>
        <w:rPr>
          <w:rStyle w:val="CharSClsNo"/>
        </w:rPr>
        <w:t>56</w:t>
      </w:r>
      <w:r>
        <w:t>.</w:t>
      </w:r>
      <w:r>
        <w:rPr>
          <w:b w:val="0"/>
        </w:rPr>
        <w:tab/>
      </w:r>
      <w:r>
        <w:t>Power to take possession of plant, take samples of substances etc.</w:t>
      </w:r>
      <w:bookmarkEnd w:id="352"/>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keepLines/>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No. 13 of 2005 s. 17; amended: No. 35 of 2007 s. 86.]</w:t>
      </w:r>
    </w:p>
    <w:p>
      <w:pPr>
        <w:pStyle w:val="yHeading5"/>
      </w:pPr>
      <w:bookmarkStart w:id="353" w:name="_Toc33609352"/>
      <w:r>
        <w:rPr>
          <w:rStyle w:val="CharSClsNo"/>
        </w:rPr>
        <w:t>57</w:t>
      </w:r>
      <w:r>
        <w:t>.</w:t>
      </w:r>
      <w:r>
        <w:rPr>
          <w:b w:val="0"/>
        </w:rPr>
        <w:tab/>
      </w:r>
      <w:r>
        <w:t>Power to direct that workplace etc. not be disturbed</w:t>
      </w:r>
      <w:bookmarkEnd w:id="353"/>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pPr>
      <w:r>
        <w:tab/>
      </w:r>
      <w:r>
        <w:tab/>
        <w:t>not be disturbed for a period specified in the direction.</w:t>
      </w:r>
    </w:p>
    <w:p>
      <w:pPr>
        <w:pStyle w:val="ySubsection"/>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pPr>
      <w:r>
        <w:tab/>
        <w:t>(4)</w:t>
      </w:r>
      <w:r>
        <w:tab/>
        <w:t>The direction may be renewed by another direction in the same terms.</w:t>
      </w:r>
    </w:p>
    <w:p>
      <w:pPr>
        <w:pStyle w:val="ySubsection"/>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pPr>
      <w:r>
        <w:tab/>
      </w:r>
      <w:r>
        <w:tab/>
        <w:t>of the direction and the reasons for giving it.</w:t>
      </w:r>
    </w:p>
    <w:p>
      <w:pPr>
        <w:pStyle w:val="ySubsection"/>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No. 13 of 2005 s. 17; amended: No. 35 of 2007 s. 86; No. 42 of 2010 s. 60(6).]</w:t>
      </w:r>
    </w:p>
    <w:p>
      <w:pPr>
        <w:pStyle w:val="yHeading5"/>
        <w:spacing w:before="180"/>
      </w:pPr>
      <w:bookmarkStart w:id="354" w:name="_Toc33609353"/>
      <w:r>
        <w:rPr>
          <w:rStyle w:val="CharSClsNo"/>
        </w:rPr>
        <w:t>58</w:t>
      </w:r>
      <w:r>
        <w:t>.</w:t>
      </w:r>
      <w:r>
        <w:rPr>
          <w:b w:val="0"/>
        </w:rPr>
        <w:tab/>
      </w:r>
      <w:r>
        <w:t>Power to issue prohibition notices</w:t>
      </w:r>
      <w:bookmarkEnd w:id="354"/>
    </w:p>
    <w:p>
      <w:pPr>
        <w:pStyle w:val="ySubsection"/>
        <w:spacing w:before="120"/>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spacing w:before="120"/>
      </w:pPr>
      <w:r>
        <w:tab/>
        <w:t>(2)</w:t>
      </w:r>
      <w:r>
        <w:tab/>
        <w:t>The notice must be issued to the operator by giving it to the operator’s representative.</w:t>
      </w:r>
    </w:p>
    <w:p>
      <w:pPr>
        <w:pStyle w:val="ySubsection"/>
        <w:spacing w:before="120"/>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No. 13 of 2005 s. 17; amended: No. 35 of 2007 s. 86.]</w:t>
      </w:r>
    </w:p>
    <w:p>
      <w:pPr>
        <w:pStyle w:val="yHeading5"/>
      </w:pPr>
      <w:bookmarkStart w:id="355" w:name="_Toc33609354"/>
      <w:r>
        <w:rPr>
          <w:rStyle w:val="CharSClsNo"/>
        </w:rPr>
        <w:t>59</w:t>
      </w:r>
      <w:r>
        <w:t>.</w:t>
      </w:r>
      <w:r>
        <w:rPr>
          <w:b w:val="0"/>
        </w:rPr>
        <w:tab/>
      </w:r>
      <w:r>
        <w:t>Compliance with prohibition notice</w:t>
      </w:r>
      <w:bookmarkEnd w:id="355"/>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No. 13 of 2005 s. 17; amended: No. 42 of 2010 s. 60(6).]</w:t>
      </w:r>
    </w:p>
    <w:p>
      <w:pPr>
        <w:pStyle w:val="yHeading5"/>
        <w:spacing w:before="180"/>
      </w:pPr>
      <w:bookmarkStart w:id="356" w:name="_Toc33609355"/>
      <w:r>
        <w:rPr>
          <w:rStyle w:val="CharSClsNo"/>
        </w:rPr>
        <w:t>60</w:t>
      </w:r>
      <w:r>
        <w:t>.</w:t>
      </w:r>
      <w:r>
        <w:rPr>
          <w:b w:val="0"/>
        </w:rPr>
        <w:tab/>
      </w:r>
      <w:r>
        <w:t>Power to issue improvement notices</w:t>
      </w:r>
      <w:bookmarkEnd w:id="356"/>
    </w:p>
    <w:p>
      <w:pPr>
        <w:pStyle w:val="ySubsection"/>
      </w:pPr>
      <w:r>
        <w:tab/>
        <w:t>(1)</w:t>
      </w:r>
      <w:r>
        <w:tab/>
        <w:t xml:space="preserve">If, in conducting an inspection, an inspector believes on reasonable grounds that a person — </w:t>
      </w:r>
    </w:p>
    <w:p>
      <w:pPr>
        <w:pStyle w:val="yIndenta"/>
      </w:pPr>
      <w:r>
        <w:tab/>
        <w:t>(a)</w:t>
      </w:r>
      <w:r>
        <w:tab/>
        <w:t>is contravening a listed OSH law; or</w:t>
      </w:r>
    </w:p>
    <w:p>
      <w:pPr>
        <w:pStyle w:val="yIndenta"/>
      </w:pPr>
      <w:r>
        <w:tab/>
        <w:t>(b)</w:t>
      </w:r>
      <w:r>
        <w:tab/>
        <w:t>has contravened a provision of a listed OSH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spacing w:before="120"/>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OSH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No. 13 of 2005 s. 17; amended: No. 35 of 2007 s. 86.]</w:t>
      </w:r>
    </w:p>
    <w:p>
      <w:pPr>
        <w:pStyle w:val="yHeading5"/>
      </w:pPr>
      <w:bookmarkStart w:id="357" w:name="_Toc33609356"/>
      <w:r>
        <w:rPr>
          <w:rStyle w:val="CharSClsNo"/>
        </w:rPr>
        <w:t>61</w:t>
      </w:r>
      <w:r>
        <w:t>.</w:t>
      </w:r>
      <w:r>
        <w:rPr>
          <w:b w:val="0"/>
        </w:rPr>
        <w:tab/>
      </w:r>
      <w:r>
        <w:t>Compliance with improvement notice</w:t>
      </w:r>
      <w:bookmarkEnd w:id="357"/>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No. 13 of 2005 s. 17; amended: No. 42 of 2010 s. 60(6).]</w:t>
      </w:r>
    </w:p>
    <w:p>
      <w:pPr>
        <w:pStyle w:val="yHeading5"/>
      </w:pPr>
      <w:bookmarkStart w:id="358" w:name="_Toc33609357"/>
      <w:r>
        <w:rPr>
          <w:rStyle w:val="CharSClsNo"/>
        </w:rPr>
        <w:t>62</w:t>
      </w:r>
      <w:r>
        <w:t>.</w:t>
      </w:r>
      <w:r>
        <w:rPr>
          <w:b w:val="0"/>
        </w:rPr>
        <w:tab/>
      </w:r>
      <w:r>
        <w:t>Notices not to be tampered with or removed</w:t>
      </w:r>
      <w:bookmarkEnd w:id="358"/>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r>
        <w:tab/>
        <w:t>Penalty for an offence under subclause (1), (2) or (3): a fine of $11 000.</w:t>
      </w:r>
    </w:p>
    <w:p>
      <w:pPr>
        <w:pStyle w:val="yFootnotesection"/>
      </w:pPr>
      <w:r>
        <w:tab/>
        <w:t>[Clause 62 inserted: No. 13 of 2005 s. 17; amended: No. 42 of 2010 s. 60(3).]</w:t>
      </w:r>
    </w:p>
    <w:p>
      <w:pPr>
        <w:pStyle w:val="yHeading4"/>
      </w:pPr>
      <w:bookmarkStart w:id="359" w:name="_Toc33609005"/>
      <w:bookmarkStart w:id="360" w:name="_Toc33609358"/>
      <w:r>
        <w:t>Subdivision </w:t>
      </w:r>
      <w:r>
        <w:rPr>
          <w:bCs/>
        </w:rPr>
        <w:t>4 — Reports</w:t>
      </w:r>
      <w:r>
        <w:t xml:space="preserve"> on inspections</w:t>
      </w:r>
      <w:bookmarkEnd w:id="359"/>
      <w:bookmarkEnd w:id="360"/>
    </w:p>
    <w:p>
      <w:pPr>
        <w:pStyle w:val="yFootnoteheading"/>
      </w:pPr>
      <w:r>
        <w:tab/>
        <w:t>[Heading inserted: No. 13 of 2005 s. 17.]</w:t>
      </w:r>
    </w:p>
    <w:p>
      <w:pPr>
        <w:pStyle w:val="yHeading5"/>
      </w:pPr>
      <w:bookmarkStart w:id="361" w:name="_Toc33609359"/>
      <w:r>
        <w:rPr>
          <w:rStyle w:val="CharSClsNo"/>
        </w:rPr>
        <w:t>63</w:t>
      </w:r>
      <w:r>
        <w:t>.</w:t>
      </w:r>
      <w:r>
        <w:rPr>
          <w:b w:val="0"/>
        </w:rPr>
        <w:tab/>
      </w:r>
      <w:r>
        <w:t>Reports on inspections</w:t>
      </w:r>
      <w:bookmarkEnd w:id="361"/>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keepLines/>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r>
        <w:tab/>
        <w:t>[Clause 63 inserted: No. 13 of 2005 s. 17; amended: No. 35 of 2007 s. 86.]</w:t>
      </w:r>
    </w:p>
    <w:p>
      <w:pPr>
        <w:pStyle w:val="yHeading4"/>
      </w:pPr>
      <w:bookmarkStart w:id="362" w:name="_Toc33609007"/>
      <w:bookmarkStart w:id="363" w:name="_Toc33609360"/>
      <w:r>
        <w:t>Subdivision </w:t>
      </w:r>
      <w:r>
        <w:rPr>
          <w:bCs/>
        </w:rPr>
        <w:t>5 — Reviews of inspectors’ decisions</w:t>
      </w:r>
      <w:bookmarkEnd w:id="362"/>
      <w:bookmarkEnd w:id="363"/>
    </w:p>
    <w:p>
      <w:pPr>
        <w:pStyle w:val="yFootnoteheading"/>
      </w:pPr>
      <w:r>
        <w:tab/>
        <w:t>[Heading inserted: No. 13 of 2005 s. 17.]</w:t>
      </w:r>
    </w:p>
    <w:p>
      <w:pPr>
        <w:pStyle w:val="yHeading5"/>
      </w:pPr>
      <w:bookmarkStart w:id="364" w:name="_Toc33609361"/>
      <w:r>
        <w:rPr>
          <w:rStyle w:val="CharSClsNo"/>
        </w:rPr>
        <w:t>64</w:t>
      </w:r>
      <w:r>
        <w:t>.</w:t>
      </w:r>
      <w:r>
        <w:rPr>
          <w:b w:val="0"/>
        </w:rPr>
        <w:tab/>
      </w:r>
      <w:r>
        <w:rPr>
          <w:bCs/>
        </w:rPr>
        <w:t>Reviews of inspectors’ decisions</w:t>
      </w:r>
      <w:bookmarkEnd w:id="364"/>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keepNext/>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spacing w:before="120"/>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spacing w:before="120"/>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No. 13 of 2005 s. 17; amended: No. 35 of 2007 s. 86; No. 42 of 2010 s. 60(6).]</w:t>
      </w:r>
    </w:p>
    <w:p>
      <w:pPr>
        <w:pStyle w:val="yHeading5"/>
      </w:pPr>
      <w:bookmarkStart w:id="365" w:name="_Toc33609362"/>
      <w:r>
        <w:rPr>
          <w:rStyle w:val="CharSClsNo"/>
        </w:rPr>
        <w:t>65</w:t>
      </w:r>
      <w:r>
        <w:t>.</w:t>
      </w:r>
      <w:r>
        <w:rPr>
          <w:b w:val="0"/>
        </w:rPr>
        <w:tab/>
      </w:r>
      <w:r>
        <w:t>Powers of reviewing authority on review</w:t>
      </w:r>
      <w:bookmarkEnd w:id="365"/>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r>
        <w:tab/>
        <w:t>[Clause 65 inserted: No. 13 of 2005 s. 17.]</w:t>
      </w:r>
    </w:p>
    <w:p>
      <w:pPr>
        <w:pStyle w:val="yHeading3"/>
      </w:pPr>
      <w:bookmarkStart w:id="366" w:name="_Toc33609010"/>
      <w:bookmarkStart w:id="367" w:name="_Toc33609363"/>
      <w:r>
        <w:rPr>
          <w:rStyle w:val="CharSDivNo"/>
        </w:rPr>
        <w:t>Division 5</w:t>
      </w:r>
      <w:r>
        <w:rPr>
          <w:b w:val="0"/>
        </w:rPr>
        <w:t> — </w:t>
      </w:r>
      <w:r>
        <w:rPr>
          <w:rStyle w:val="CharSDivText"/>
        </w:rPr>
        <w:t>Referrals to the Tribunal</w:t>
      </w:r>
      <w:bookmarkEnd w:id="366"/>
      <w:bookmarkEnd w:id="367"/>
    </w:p>
    <w:p>
      <w:pPr>
        <w:pStyle w:val="yFootnoteheading"/>
      </w:pPr>
      <w:r>
        <w:tab/>
        <w:t>[Heading inserted: No. 13 of 2005 s. 17.]</w:t>
      </w:r>
    </w:p>
    <w:p>
      <w:pPr>
        <w:pStyle w:val="yHeading5"/>
      </w:pPr>
      <w:bookmarkStart w:id="368" w:name="_Toc33609364"/>
      <w:r>
        <w:rPr>
          <w:rStyle w:val="CharSClsNo"/>
        </w:rPr>
        <w:t>66</w:t>
      </w:r>
      <w:r>
        <w:t>.</w:t>
      </w:r>
      <w:r>
        <w:rPr>
          <w:b w:val="0"/>
        </w:rPr>
        <w:tab/>
      </w:r>
      <w:r>
        <w:rPr>
          <w:bCs/>
        </w:rPr>
        <w:t>Decision may be referred to Tribunal</w:t>
      </w:r>
      <w:bookmarkEnd w:id="368"/>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No. 13 of 2005 s. 17; amended: No. 35 of 2007 s. 86; No. 42 of 2010 s. 60(4).]</w:t>
      </w:r>
    </w:p>
    <w:p>
      <w:pPr>
        <w:pStyle w:val="yHeading5"/>
      </w:pPr>
      <w:bookmarkStart w:id="369" w:name="_Toc33609365"/>
      <w:r>
        <w:rPr>
          <w:rStyle w:val="CharSClsNo"/>
        </w:rPr>
        <w:t>67</w:t>
      </w:r>
      <w:r>
        <w:t>.</w:t>
      </w:r>
      <w:r>
        <w:rPr>
          <w:b w:val="0"/>
        </w:rPr>
        <w:tab/>
      </w:r>
      <w:r>
        <w:t>Determination by Tribunal</w:t>
      </w:r>
      <w:bookmarkEnd w:id="369"/>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No. 13 of 2005 s. 17; amended: No. 35 of 2007 s. 86.]</w:t>
      </w:r>
    </w:p>
    <w:p>
      <w:pPr>
        <w:pStyle w:val="yHeading5"/>
      </w:pPr>
      <w:bookmarkStart w:id="370" w:name="_Toc33609366"/>
      <w:r>
        <w:rPr>
          <w:rStyle w:val="CharSClsNo"/>
        </w:rPr>
        <w:t>68</w:t>
      </w:r>
      <w:r>
        <w:t>.</w:t>
      </w:r>
      <w:r>
        <w:rPr>
          <w:b w:val="0"/>
        </w:rPr>
        <w:tab/>
      </w:r>
      <w:r>
        <w:t>Effect of pending review by Tribunal</w:t>
      </w:r>
      <w:bookmarkEnd w:id="370"/>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No. 13 of 2005 s. 17.]</w:t>
      </w:r>
    </w:p>
    <w:p>
      <w:pPr>
        <w:pStyle w:val="yHeading5"/>
      </w:pPr>
      <w:bookmarkStart w:id="371" w:name="_Toc33609367"/>
      <w:r>
        <w:rPr>
          <w:rStyle w:val="CharSClsNo"/>
        </w:rPr>
        <w:t>69</w:t>
      </w:r>
      <w:r>
        <w:t>.</w:t>
      </w:r>
      <w:r>
        <w:rPr>
          <w:b w:val="0"/>
        </w:rPr>
        <w:tab/>
      </w:r>
      <w:r>
        <w:t>Jurisdiction of Tribunal</w:t>
      </w:r>
      <w:bookmarkEnd w:id="371"/>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r>
        <w:tab/>
        <w:t>[Clause 69 inserted: No. 13 of 2005 s. 17.]</w:t>
      </w:r>
    </w:p>
    <w:p>
      <w:pPr>
        <w:pStyle w:val="yHeading3"/>
        <w:spacing w:before="200"/>
      </w:pPr>
      <w:bookmarkStart w:id="372" w:name="_Toc33609015"/>
      <w:bookmarkStart w:id="373" w:name="_Toc33609368"/>
      <w:r>
        <w:rPr>
          <w:rStyle w:val="CharSDivNo"/>
        </w:rPr>
        <w:t>Division 6</w:t>
      </w:r>
      <w:r>
        <w:rPr>
          <w:b w:val="0"/>
        </w:rPr>
        <w:t> — </w:t>
      </w:r>
      <w:r>
        <w:rPr>
          <w:rStyle w:val="CharSDivText"/>
        </w:rPr>
        <w:t>General</w:t>
      </w:r>
      <w:bookmarkEnd w:id="372"/>
      <w:bookmarkEnd w:id="373"/>
    </w:p>
    <w:p>
      <w:pPr>
        <w:pStyle w:val="yFootnoteheading"/>
        <w:spacing w:before="100"/>
      </w:pPr>
      <w:r>
        <w:tab/>
        <w:t>[Heading inserted: No. 13 of 2005 s. 17.]</w:t>
      </w:r>
    </w:p>
    <w:p>
      <w:pPr>
        <w:pStyle w:val="yHeading5"/>
        <w:spacing w:before="180"/>
      </w:pPr>
      <w:bookmarkStart w:id="374" w:name="_Toc33609369"/>
      <w:r>
        <w:rPr>
          <w:rStyle w:val="CharSClsNo"/>
        </w:rPr>
        <w:t>70</w:t>
      </w:r>
      <w:r>
        <w:t>.</w:t>
      </w:r>
      <w:r>
        <w:rPr>
          <w:b w:val="0"/>
        </w:rPr>
        <w:tab/>
      </w:r>
      <w:r>
        <w:t>Notifying and reporting accidents and dangerous occurrences</w:t>
      </w:r>
      <w:bookmarkEnd w:id="374"/>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keepNext/>
      </w:pPr>
      <w:r>
        <w:tab/>
        <w:t>(3)</w:t>
      </w:r>
      <w:r>
        <w:tab/>
        <w:t>Subclause (2) does not limit regulations that may be made for the purposes of subclause (1).</w:t>
      </w:r>
    </w:p>
    <w:p>
      <w:pPr>
        <w:pStyle w:val="yFootnotesection"/>
      </w:pPr>
      <w:r>
        <w:tab/>
        <w:t>[Clause 70 inserted: No. 13 of 2005 s. 17; amended: No. 35 of 2007 s. 86; No. 42 of 2010 s. 60(6).]</w:t>
      </w:r>
    </w:p>
    <w:p>
      <w:pPr>
        <w:pStyle w:val="yHeading5"/>
        <w:spacing w:before="180"/>
      </w:pPr>
      <w:bookmarkStart w:id="375" w:name="_Toc33609370"/>
      <w:r>
        <w:rPr>
          <w:rStyle w:val="CharSClsNo"/>
        </w:rPr>
        <w:t>71</w:t>
      </w:r>
      <w:r>
        <w:t>.</w:t>
      </w:r>
      <w:r>
        <w:rPr>
          <w:b w:val="0"/>
        </w:rPr>
        <w:tab/>
      </w:r>
      <w:r>
        <w:t>Records of accidents and dangerous occurrences to be kept</w:t>
      </w:r>
      <w:bookmarkEnd w:id="375"/>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No. 13 of 2005 s. 17; amended: No. 35 of 2007 s. 86; No. 42 of 2010 s. 60(5).]</w:t>
      </w:r>
    </w:p>
    <w:p>
      <w:pPr>
        <w:pStyle w:val="yHeading5"/>
        <w:spacing w:before="180"/>
      </w:pPr>
      <w:bookmarkStart w:id="376" w:name="_Toc33609371"/>
      <w:r>
        <w:rPr>
          <w:rStyle w:val="CharSClsNo"/>
        </w:rPr>
        <w:t>72</w:t>
      </w:r>
      <w:r>
        <w:rPr>
          <w:bCs/>
        </w:rPr>
        <w:t>.</w:t>
      </w:r>
      <w:r>
        <w:rPr>
          <w:b w:val="0"/>
          <w:bCs/>
        </w:rPr>
        <w:tab/>
      </w:r>
      <w:r>
        <w:rPr>
          <w:bCs/>
        </w:rPr>
        <w:t>Codes</w:t>
      </w:r>
      <w:r>
        <w:t xml:space="preserve"> of practice</w:t>
      </w:r>
      <w:bookmarkEnd w:id="376"/>
    </w:p>
    <w:p>
      <w:pPr>
        <w:pStyle w:val="ySubsection"/>
        <w:spacing w:before="120"/>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spacing w:before="120"/>
      </w:pPr>
      <w:r>
        <w:tab/>
        <w:t>(2)</w:t>
      </w:r>
      <w:r>
        <w:tab/>
        <w:t>A person is not liable in any civil or criminal proceedings for contravening a code of practice.</w:t>
      </w:r>
    </w:p>
    <w:p>
      <w:pPr>
        <w:pStyle w:val="yFootnotesection"/>
      </w:pPr>
      <w:r>
        <w:tab/>
        <w:t>[Clause 72 inserted: No. 13 of 2005 s. 17; amended: No. 35 of 2007 s. 87.]</w:t>
      </w:r>
    </w:p>
    <w:p>
      <w:pPr>
        <w:pStyle w:val="yHeading5"/>
        <w:keepNext w:val="0"/>
        <w:keepLines w:val="0"/>
        <w:spacing w:before="180"/>
      </w:pPr>
      <w:bookmarkStart w:id="377" w:name="_Toc33609372"/>
      <w:r>
        <w:rPr>
          <w:rStyle w:val="CharSClsNo"/>
        </w:rPr>
        <w:t>73</w:t>
      </w:r>
      <w:r>
        <w:t>.</w:t>
      </w:r>
      <w:r>
        <w:rPr>
          <w:b w:val="0"/>
        </w:rPr>
        <w:tab/>
      </w:r>
      <w:r>
        <w:t>Use of codes of practice in proceedings</w:t>
      </w:r>
      <w:bookmarkEnd w:id="377"/>
    </w:p>
    <w:p>
      <w:pPr>
        <w:pStyle w:val="ySubsection"/>
        <w:spacing w:before="120"/>
      </w:pPr>
      <w:r>
        <w:tab/>
        <w:t>(1)</w:t>
      </w:r>
      <w:r>
        <w:tab/>
        <w:t>This clause applies if, in any proceedings for an offence against a listed OSH law, it is alleged that a person contravened a provision of a listed OSH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that matter is treated as proved unless the court is satisfied that in respect of that matter the person complied with that provision of the listed OSH law otherwise than by complying with the code of practice.</w:t>
      </w:r>
    </w:p>
    <w:p>
      <w:pPr>
        <w:pStyle w:val="yFootnotesection"/>
      </w:pPr>
      <w:r>
        <w:tab/>
        <w:t>[Clause 73 inserted: No. 13 of 2005 s. 17.]</w:t>
      </w:r>
    </w:p>
    <w:p>
      <w:pPr>
        <w:pStyle w:val="yHeading5"/>
      </w:pPr>
      <w:bookmarkStart w:id="378" w:name="_Toc33609373"/>
      <w:r>
        <w:rPr>
          <w:rStyle w:val="CharSClsNo"/>
        </w:rPr>
        <w:t>74</w:t>
      </w:r>
      <w:r>
        <w:t>.</w:t>
      </w:r>
      <w:r>
        <w:rPr>
          <w:b w:val="0"/>
        </w:rPr>
        <w:tab/>
      </w:r>
      <w:r>
        <w:t>Interference etc. with equipment etc.</w:t>
      </w:r>
      <w:bookmarkEnd w:id="378"/>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No. 13 of 2005 s. 17; amended: No. 35 of 2007 s. 86; No. 42 of 2010 s. 60(6).]</w:t>
      </w:r>
    </w:p>
    <w:p>
      <w:pPr>
        <w:pStyle w:val="yHeading5"/>
      </w:pPr>
      <w:bookmarkStart w:id="379" w:name="_Toc33609374"/>
      <w:r>
        <w:rPr>
          <w:rStyle w:val="CharSClsNo"/>
        </w:rPr>
        <w:t>75</w:t>
      </w:r>
      <w:r>
        <w:t>.</w:t>
      </w:r>
      <w:r>
        <w:rPr>
          <w:b w:val="0"/>
        </w:rPr>
        <w:tab/>
      </w:r>
      <w:r>
        <w:t>No charges to be levied on members of workforce</w:t>
      </w:r>
      <w:bookmarkEnd w:id="379"/>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No. 13 of 2005 s. 17; amended: No. 35 of 2007 s. 86; No. 42 of 2010 s. 60(6).]</w:t>
      </w:r>
    </w:p>
    <w:p>
      <w:pPr>
        <w:pStyle w:val="yHeading5"/>
      </w:pPr>
      <w:bookmarkStart w:id="380" w:name="_Toc33609375"/>
      <w:r>
        <w:rPr>
          <w:rStyle w:val="CharSClsNo"/>
        </w:rPr>
        <w:t>76</w:t>
      </w:r>
      <w:r>
        <w:t>.</w:t>
      </w:r>
      <w:r>
        <w:rPr>
          <w:b w:val="0"/>
        </w:rPr>
        <w:tab/>
      </w:r>
      <w:r>
        <w:t>Victimisation</w:t>
      </w:r>
      <w:bookmarkEnd w:id="380"/>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No. 13 of 2005 s. 17; amended: No. 42 of 2010 s. 60(6)</w:t>
      </w:r>
      <w:r>
        <w:rPr>
          <w:spacing w:val="-4"/>
        </w:rPr>
        <w:t>; No. 47 of 2011 s.</w:t>
      </w:r>
      <w:r>
        <w:t> 15.]</w:t>
      </w:r>
    </w:p>
    <w:p>
      <w:pPr>
        <w:pStyle w:val="yHeading5"/>
      </w:pPr>
      <w:bookmarkStart w:id="381" w:name="_Toc33609376"/>
      <w:r>
        <w:rPr>
          <w:rStyle w:val="CharSClsNo"/>
        </w:rPr>
        <w:t>77</w:t>
      </w:r>
      <w:r>
        <w:t>.</w:t>
      </w:r>
      <w:r>
        <w:rPr>
          <w:b w:val="0"/>
        </w:rPr>
        <w:tab/>
      </w:r>
      <w:r>
        <w:t>Institution of prosecutions</w:t>
      </w:r>
      <w:bookmarkEnd w:id="381"/>
    </w:p>
    <w:p>
      <w:pPr>
        <w:pStyle w:val="ySubsection"/>
      </w:pPr>
      <w:r>
        <w:tab/>
        <w:t>(1)</w:t>
      </w:r>
      <w:r>
        <w:tab/>
        <w:t>Proceedings for an offence against a listed OSH law may be instituted by an inspector but an inspector is not to be personally responsible for any costs incurred by or awarded against the inspector in connection with any proceeding for an offence against a listed OSH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safety and health representative considers that the occurrence of the act or omission constitutes an offence against a listed OSH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the workforce representative considers that the occurrence of the act or omission constitutes an offence against a listed OSH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No. 13 of 2005 s. 17.]</w:t>
      </w:r>
    </w:p>
    <w:p>
      <w:pPr>
        <w:pStyle w:val="yHeading5"/>
      </w:pPr>
      <w:bookmarkStart w:id="382" w:name="_Toc33609377"/>
      <w:r>
        <w:rPr>
          <w:rStyle w:val="CharSClsNo"/>
        </w:rPr>
        <w:t>78</w:t>
      </w:r>
      <w:r>
        <w:t>.</w:t>
      </w:r>
      <w:r>
        <w:rPr>
          <w:b w:val="0"/>
        </w:rPr>
        <w:tab/>
      </w:r>
      <w:r>
        <w:t>Conduct of directors, employees and agents</w:t>
      </w:r>
      <w:bookmarkEnd w:id="382"/>
    </w:p>
    <w:p>
      <w:pPr>
        <w:pStyle w:val="ySubsection"/>
      </w:pPr>
      <w:r>
        <w:tab/>
        <w:t>(1)</w:t>
      </w:r>
      <w:r>
        <w:tab/>
        <w:t>This clause has effect for the purposes of a proceeding for an offence against a listed OSH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keepNext/>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No. 13 of 2005 s. 17.]</w:t>
      </w:r>
    </w:p>
    <w:p>
      <w:pPr>
        <w:pStyle w:val="yHeading5"/>
      </w:pPr>
      <w:bookmarkStart w:id="383" w:name="_Toc33609378"/>
      <w:r>
        <w:rPr>
          <w:rStyle w:val="CharSClsNo"/>
        </w:rPr>
        <w:t>79</w:t>
      </w:r>
      <w:r>
        <w:t>.</w:t>
      </w:r>
      <w:r>
        <w:rPr>
          <w:b w:val="0"/>
        </w:rPr>
        <w:tab/>
      </w:r>
      <w:r>
        <w:t>Act not to give rise to other liabilities etc.</w:t>
      </w:r>
      <w:bookmarkEnd w:id="383"/>
    </w:p>
    <w:p>
      <w:pPr>
        <w:pStyle w:val="ySubsection"/>
      </w:pPr>
      <w:r>
        <w:tab/>
      </w:r>
      <w:r>
        <w:tab/>
        <w:t xml:space="preserve">This Schedule does not — </w:t>
      </w:r>
    </w:p>
    <w:p>
      <w:pPr>
        <w:pStyle w:val="yIndenta"/>
      </w:pPr>
      <w:r>
        <w:tab/>
        <w:t>(a)</w:t>
      </w:r>
      <w:r>
        <w:tab/>
        <w:t>confer a right of action in any civil proceeding in respect of any contravention of a listed OSH law; or</w:t>
      </w:r>
    </w:p>
    <w:p>
      <w:pPr>
        <w:pStyle w:val="yIndenta"/>
      </w:pPr>
      <w:r>
        <w:tab/>
        <w:t>(b)</w:t>
      </w:r>
      <w:r>
        <w:tab/>
        <w:t>confer a defence to an action in any civil proceeding or otherwise affect a right of action in any civil proceeding.</w:t>
      </w:r>
    </w:p>
    <w:p>
      <w:pPr>
        <w:pStyle w:val="yFootnotesection"/>
      </w:pPr>
      <w:r>
        <w:tab/>
        <w:t>[Clause 79 inserted: No. 13 of 2005 s. 17.]</w:t>
      </w:r>
    </w:p>
    <w:p>
      <w:pPr>
        <w:pStyle w:val="yHeading5"/>
      </w:pPr>
      <w:bookmarkStart w:id="384" w:name="_Toc33609379"/>
      <w:r>
        <w:rPr>
          <w:rStyle w:val="CharSClsNo"/>
        </w:rPr>
        <w:t>80</w:t>
      </w:r>
      <w:r>
        <w:t>.</w:t>
      </w:r>
      <w:r>
        <w:rPr>
          <w:b w:val="0"/>
        </w:rPr>
        <w:tab/>
      </w:r>
      <w:r>
        <w:t>Circumstances preventing compliance may be defence to prosecution</w:t>
      </w:r>
      <w:bookmarkEnd w:id="384"/>
    </w:p>
    <w:p>
      <w:pPr>
        <w:pStyle w:val="ySubsection"/>
      </w:pPr>
      <w:r>
        <w:tab/>
      </w:r>
      <w:r>
        <w:tab/>
        <w:t>It is a defence to a prosecution for a contravention of a listed OSH law if the accused proves that it was not practicable to comply with it because of an emergency prevailing at the relevant time.</w:t>
      </w:r>
    </w:p>
    <w:p>
      <w:pPr>
        <w:pStyle w:val="yFootnotesection"/>
      </w:pPr>
      <w:r>
        <w:tab/>
        <w:t>[Clause 80 inserted: No. 13 of 2005 s. 17</w:t>
      </w:r>
      <w:r>
        <w:rPr>
          <w:spacing w:val="-4"/>
        </w:rPr>
        <w:t>; amended: No. 47 of 2011 s.</w:t>
      </w:r>
      <w:r>
        <w:t> 15.]</w:t>
      </w:r>
    </w:p>
    <w:p>
      <w:pPr>
        <w:pStyle w:val="yHeading5"/>
      </w:pPr>
      <w:bookmarkStart w:id="385" w:name="_Toc33609380"/>
      <w:r>
        <w:rPr>
          <w:rStyle w:val="CharSClsNo"/>
        </w:rPr>
        <w:t>81</w:t>
      </w:r>
      <w:r>
        <w:t>.</w:t>
      </w:r>
      <w:r>
        <w:rPr>
          <w:b w:val="0"/>
        </w:rPr>
        <w:tab/>
      </w:r>
      <w:r>
        <w:t>Regulations — general</w:t>
      </w:r>
      <w:bookmarkEnd w:id="385"/>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No. 13 of 2005 s. 17; amended: No. 35 of 2007 s. 86.]</w:t>
      </w:r>
    </w:p>
    <w:p>
      <w:pPr>
        <w:pStyle w:val="yScheduleHeading"/>
      </w:pPr>
      <w:bookmarkStart w:id="386" w:name="_Toc33609028"/>
      <w:bookmarkStart w:id="387" w:name="_Toc33609381"/>
      <w:r>
        <w:rPr>
          <w:rStyle w:val="CharSchNo"/>
        </w:rPr>
        <w:t>Schedule 2</w:t>
      </w:r>
      <w:r>
        <w:t> — </w:t>
      </w:r>
      <w:r>
        <w:rPr>
          <w:rStyle w:val="CharSchText"/>
        </w:rPr>
        <w:t>Further transitional provisions</w:t>
      </w:r>
      <w:bookmarkEnd w:id="386"/>
      <w:bookmarkEnd w:id="387"/>
    </w:p>
    <w:p>
      <w:pPr>
        <w:pStyle w:val="yShoulderClause"/>
      </w:pPr>
      <w:r>
        <w:t>[s. 154]</w:t>
      </w:r>
    </w:p>
    <w:p>
      <w:pPr>
        <w:pStyle w:val="yFootnoteheading"/>
      </w:pPr>
      <w:r>
        <w:tab/>
        <w:t>[Heading inserted: No. 42 of 2010 s. 61.]</w:t>
      </w:r>
    </w:p>
    <w:p>
      <w:pPr>
        <w:pStyle w:val="yHeading3"/>
      </w:pPr>
      <w:bookmarkStart w:id="388" w:name="_Toc33609029"/>
      <w:bookmarkStart w:id="389" w:name="_Toc33609382"/>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388"/>
      <w:bookmarkEnd w:id="389"/>
    </w:p>
    <w:p>
      <w:pPr>
        <w:pStyle w:val="yFootnoteheading"/>
      </w:pPr>
      <w:r>
        <w:tab/>
        <w:t>[Heading inserted: No. 42 of 2010 s. 61.]</w:t>
      </w:r>
    </w:p>
    <w:p>
      <w:pPr>
        <w:pStyle w:val="yHeading5"/>
      </w:pPr>
      <w:bookmarkStart w:id="390" w:name="_Toc33609383"/>
      <w:r>
        <w:rPr>
          <w:rStyle w:val="CharSClsNo"/>
        </w:rPr>
        <w:t>1</w:t>
      </w:r>
      <w:r>
        <w:t>.</w:t>
      </w:r>
      <w:r>
        <w:tab/>
        <w:t>Terms used</w:t>
      </w:r>
      <w:bookmarkEnd w:id="390"/>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p>
    <w:p>
      <w:pPr>
        <w:pStyle w:val="yFootnotesection"/>
      </w:pPr>
      <w:r>
        <w:tab/>
        <w:t>[Clause 1 inserted: No. 42 of 2010 s. 61.]</w:t>
      </w:r>
    </w:p>
    <w:p>
      <w:pPr>
        <w:pStyle w:val="yHeading5"/>
      </w:pPr>
      <w:bookmarkStart w:id="391" w:name="_Toc33609384"/>
      <w:r>
        <w:rPr>
          <w:rStyle w:val="CharSClsNo"/>
        </w:rPr>
        <w:t>2</w:t>
      </w:r>
      <w:r>
        <w:t>.</w:t>
      </w:r>
      <w:r>
        <w:tab/>
        <w:t>Section 41(5) (permit renewals)</w:t>
      </w:r>
      <w:bookmarkEnd w:id="391"/>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No. 42 of 2010 s. 61.]</w:t>
      </w:r>
    </w:p>
    <w:p>
      <w:pPr>
        <w:pStyle w:val="yHeading5"/>
      </w:pPr>
      <w:bookmarkStart w:id="392" w:name="_Toc33609385"/>
      <w:r>
        <w:rPr>
          <w:rStyle w:val="CharSClsNo"/>
        </w:rPr>
        <w:t>3</w:t>
      </w:r>
      <w:r>
        <w:t>.</w:t>
      </w:r>
      <w:r>
        <w:tab/>
        <w:t>Section 112 (release of information)</w:t>
      </w:r>
      <w:bookmarkEnd w:id="392"/>
    </w:p>
    <w:p>
      <w:pPr>
        <w:pStyle w:val="ySubsection"/>
      </w:pPr>
      <w:r>
        <w:tab/>
        <w:t>(1)</w:t>
      </w:r>
      <w:r>
        <w:tab/>
        <w:t>This clause has effect despite the deletion of section 112 by section 51 of the amending Act.</w:t>
      </w:r>
    </w:p>
    <w:p>
      <w:pPr>
        <w:pStyle w:val="ySubsection"/>
      </w:pPr>
      <w:r>
        <w:tab/>
        <w:t>(2)</w:t>
      </w:r>
      <w:r>
        <w:tab/>
        <w:t>Section 112 as in force immediately before it was deleted continues to apply in respect of information given to the Minister before the commencement of section 51 of the amending Act.</w:t>
      </w:r>
    </w:p>
    <w:p>
      <w:pPr>
        <w:pStyle w:val="ySubsection"/>
        <w:keepNext/>
      </w:pPr>
      <w:r>
        <w:tab/>
        <w:t>(3)</w:t>
      </w:r>
      <w:r>
        <w:tab/>
        <w:t xml:space="preserve">Regulation 3 as in force immediately before the deletion of section 112 — </w:t>
      </w:r>
    </w:p>
    <w:p>
      <w:pPr>
        <w:pStyle w:val="yIndenta"/>
      </w:pPr>
      <w:r>
        <w:tab/>
        <w:t>(a)</w:t>
      </w:r>
      <w:r>
        <w:tab/>
        <w:t>continues in force for the purposes of that section as it continues to apply under subclause (1); and</w:t>
      </w:r>
    </w:p>
    <w:p>
      <w:pPr>
        <w:pStyle w:val="yIndenta"/>
      </w:pPr>
      <w:r>
        <w:tab/>
        <w:t>(b)</w:t>
      </w:r>
      <w:r>
        <w:tab/>
        <w:t>also separately continues in force on and after the commencement of section 57 of the amending Act as if it had been made for the purposes of Part IVB.</w:t>
      </w:r>
    </w:p>
    <w:p>
      <w:pPr>
        <w:pStyle w:val="ySubsection"/>
      </w:pPr>
      <w:r>
        <w:tab/>
        <w:t>(4)</w:t>
      </w:r>
      <w:r>
        <w:tab/>
        <w:t>Regulation 3 as continued in force under subclause (3)(a) or (b) may, for the purposes of its application under subclause (3)(a) or (b), be amended or deleted by regulations.</w:t>
      </w:r>
    </w:p>
    <w:p>
      <w:pPr>
        <w:pStyle w:val="yFootnotesection"/>
      </w:pPr>
      <w:r>
        <w:tab/>
        <w:t>[Clause 3 inserted: No. 42 of 2010 s. 61.]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sectPr>
          <w:headerReference w:type="even" r:id="rId25"/>
          <w:headerReference w:type="default" r:id="rId26"/>
          <w:headerReference w:type="first" r:id="rId27"/>
          <w:type w:val="continuous"/>
          <w:pgSz w:w="11907" w:h="16840" w:code="9"/>
          <w:pgMar w:top="2376" w:right="2404" w:bottom="3544" w:left="2404" w:header="720" w:footer="3380" w:gutter="0"/>
          <w:cols w:space="720"/>
          <w:noEndnote/>
          <w:docGrid w:linePitch="326"/>
        </w:sectPr>
      </w:pPr>
    </w:p>
    <w:p>
      <w:pPr>
        <w:pStyle w:val="nHeading2"/>
      </w:pPr>
      <w:bookmarkStart w:id="394" w:name="_Toc33609033"/>
      <w:bookmarkStart w:id="395" w:name="_Toc33609386"/>
      <w:r>
        <w:t>Notes</w:t>
      </w:r>
      <w:bookmarkEnd w:id="394"/>
      <w:bookmarkEnd w:id="395"/>
    </w:p>
    <w:p>
      <w:pPr>
        <w:pStyle w:val="nStatement"/>
      </w:pPr>
      <w:r>
        <w:t xml:space="preserve">This is a compilation of the </w:t>
      </w:r>
      <w:r>
        <w:rPr>
          <w:i/>
          <w:noProof/>
        </w:rPr>
        <w:t>Petroleum and Geothermal Energy Resources Act 1967</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396" w:name="_Toc33609387"/>
      <w:r>
        <w:t>Compilation table</w:t>
      </w:r>
      <w:bookmarkEnd w:id="39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7"/>
      </w:tblGrid>
      <w:tr>
        <w:trPr>
          <w:gridAfter w:val="1"/>
          <w:wAfter w:w="27"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Petroleum Act 1967</w:t>
            </w:r>
            <w:r>
              <w:rPr>
                <w:iCs/>
              </w:rPr>
              <w:t xml:space="preserve"> </w:t>
            </w:r>
            <w:r>
              <w:rPr>
                <w:iCs/>
                <w:vertAlign w:val="superscript"/>
              </w:rPr>
              <w:t>4</w:t>
            </w:r>
          </w:p>
        </w:tc>
        <w:tc>
          <w:tcPr>
            <w:tcW w:w="1134" w:type="dxa"/>
            <w:gridSpan w:val="2"/>
          </w:tcPr>
          <w:p>
            <w:pPr>
              <w:pStyle w:val="nTable"/>
              <w:spacing w:after="40"/>
            </w:pPr>
            <w:r>
              <w:t>72 of 1967</w:t>
            </w:r>
          </w:p>
        </w:tc>
        <w:tc>
          <w:tcPr>
            <w:tcW w:w="1134" w:type="dxa"/>
            <w:gridSpan w:val="2"/>
          </w:tcPr>
          <w:p>
            <w:pPr>
              <w:pStyle w:val="nTable"/>
              <w:spacing w:after="40"/>
            </w:pPr>
            <w:r>
              <w:t>11 Dec 1967</w:t>
            </w:r>
          </w:p>
        </w:tc>
        <w:tc>
          <w:tcPr>
            <w:tcW w:w="2551" w:type="dxa"/>
            <w:gridSpan w:val="2"/>
          </w:tcPr>
          <w:p>
            <w:pPr>
              <w:pStyle w:val="nTable"/>
              <w:spacing w:after="40"/>
            </w:pPr>
            <w:r>
              <w:t xml:space="preserve">5 Sep 1969 (see s. 2 and </w:t>
            </w:r>
            <w:r>
              <w:rPr>
                <w:i/>
              </w:rPr>
              <w:t>Gazette</w:t>
            </w:r>
            <w:r>
              <w:t xml:space="preserve"> 5 Sep 1969 p. 2540)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rPr>
            </w:pPr>
            <w:r>
              <w:rPr>
                <w:i/>
              </w:rPr>
              <w:t>Metric Conversion Act 1972</w:t>
            </w:r>
            <w:r>
              <w:rPr>
                <w:iCs/>
              </w:rPr>
              <w:t xml:space="preserve"> s. 4</w:t>
            </w:r>
          </w:p>
        </w:tc>
        <w:tc>
          <w:tcPr>
            <w:tcW w:w="1134" w:type="dxa"/>
            <w:gridSpan w:val="2"/>
          </w:tcPr>
          <w:p>
            <w:pPr>
              <w:pStyle w:val="nTable"/>
              <w:spacing w:after="40"/>
            </w:pPr>
            <w:r>
              <w:t>94 of 1972</w:t>
            </w:r>
            <w:r>
              <w:br/>
              <w:t>(as amended by No. 19 of 1973 s. 8)</w:t>
            </w:r>
          </w:p>
        </w:tc>
        <w:tc>
          <w:tcPr>
            <w:tcW w:w="1134" w:type="dxa"/>
            <w:gridSpan w:val="2"/>
          </w:tcPr>
          <w:p>
            <w:pPr>
              <w:pStyle w:val="nTable"/>
              <w:spacing w:after="40"/>
            </w:pPr>
            <w:r>
              <w:t>4 Dec 1972</w:t>
            </w:r>
          </w:p>
        </w:tc>
        <w:tc>
          <w:tcPr>
            <w:tcW w:w="2551" w:type="dxa"/>
            <w:gridSpan w:val="2"/>
          </w:tcPr>
          <w:p>
            <w:pPr>
              <w:pStyle w:val="nTable"/>
              <w:spacing w:after="40"/>
            </w:pPr>
            <w:r>
              <w:t>Relevant amendments (see First Sch.</w:t>
            </w:r>
            <w:r>
              <w:rPr>
                <w:vertAlign w:val="superscript"/>
              </w:rPr>
              <w:t> 5</w:t>
            </w:r>
            <w:r>
              <w:t xml:space="preserve">) took effect on 1 Jan 1973 (see s. 4(2) and </w:t>
            </w:r>
            <w:r>
              <w:rPr>
                <w:i/>
              </w:rPr>
              <w:t>Gazette</w:t>
            </w:r>
            <w:r>
              <w:t xml:space="preserve"> 29 Dec 1972 p. 4811)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(Mining) Act 1981</w:t>
            </w:r>
            <w:r>
              <w:t xml:space="preserve"> Pt. III</w:t>
            </w:r>
            <w:r>
              <w:rPr>
                <w:vertAlign w:val="superscript"/>
              </w:rPr>
              <w:t> 6</w:t>
            </w:r>
          </w:p>
        </w:tc>
        <w:tc>
          <w:tcPr>
            <w:tcW w:w="1134" w:type="dxa"/>
            <w:gridSpan w:val="2"/>
          </w:tcPr>
          <w:p>
            <w:pPr>
              <w:pStyle w:val="nTable"/>
              <w:spacing w:after="40"/>
            </w:pPr>
            <w:r>
              <w:t>69 of 1981</w:t>
            </w:r>
          </w:p>
        </w:tc>
        <w:tc>
          <w:tcPr>
            <w:tcW w:w="1134" w:type="dxa"/>
            <w:gridSpan w:val="2"/>
          </w:tcPr>
          <w:p>
            <w:pPr>
              <w:pStyle w:val="nTable"/>
              <w:spacing w:after="40"/>
            </w:pPr>
            <w:r>
              <w:t>30 Oct 1981</w:t>
            </w:r>
          </w:p>
        </w:tc>
        <w:tc>
          <w:tcPr>
            <w:tcW w:w="2551" w:type="dxa"/>
            <w:gridSpan w:val="2"/>
          </w:tcPr>
          <w:p>
            <w:pPr>
              <w:pStyle w:val="nTable"/>
              <w:spacing w:after="40"/>
            </w:pPr>
            <w:r>
              <w:t>30 Oct 1981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approved 20 Sep 1982</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(Aboriginal Affairs Planning Authority) Act 1982</w:t>
            </w:r>
            <w:r>
              <w:t xml:space="preserve"> Pt. III</w:t>
            </w:r>
          </w:p>
        </w:tc>
        <w:tc>
          <w:tcPr>
            <w:tcW w:w="1134" w:type="dxa"/>
            <w:gridSpan w:val="2"/>
          </w:tcPr>
          <w:p>
            <w:pPr>
              <w:pStyle w:val="nTable"/>
              <w:spacing w:after="40"/>
            </w:pPr>
            <w:r>
              <w:t>107 of 1982</w:t>
            </w:r>
          </w:p>
        </w:tc>
        <w:tc>
          <w:tcPr>
            <w:tcW w:w="1134" w:type="dxa"/>
            <w:gridSpan w:val="2"/>
          </w:tcPr>
          <w:p>
            <w:pPr>
              <w:pStyle w:val="nTable"/>
              <w:spacing w:after="40"/>
            </w:pPr>
            <w:r>
              <w:t>7 Dec 1982</w:t>
            </w:r>
          </w:p>
        </w:tc>
        <w:tc>
          <w:tcPr>
            <w:tcW w:w="2551" w:type="dxa"/>
            <w:gridSpan w:val="2"/>
          </w:tcPr>
          <w:p>
            <w:pPr>
              <w:pStyle w:val="nTable"/>
              <w:spacing w:after="40"/>
            </w:pPr>
            <w:r>
              <w:t>7 Dec 1982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 xml:space="preserve">Barrow Island Royalty Variation Agreement Act 1985 </w:t>
            </w:r>
            <w:r>
              <w:t>Pt. III</w:t>
            </w:r>
          </w:p>
        </w:tc>
        <w:tc>
          <w:tcPr>
            <w:tcW w:w="1134" w:type="dxa"/>
            <w:gridSpan w:val="2"/>
          </w:tcPr>
          <w:p>
            <w:pPr>
              <w:pStyle w:val="nTable"/>
              <w:spacing w:after="40"/>
            </w:pPr>
            <w:r>
              <w:t>113 of 1985</w:t>
            </w:r>
          </w:p>
        </w:tc>
        <w:tc>
          <w:tcPr>
            <w:tcW w:w="1134" w:type="dxa"/>
            <w:gridSpan w:val="2"/>
          </w:tcPr>
          <w:p>
            <w:pPr>
              <w:pStyle w:val="nTable"/>
              <w:spacing w:after="40"/>
            </w:pPr>
            <w:r>
              <w:t>7 Jan 1986</w:t>
            </w:r>
          </w:p>
        </w:tc>
        <w:tc>
          <w:tcPr>
            <w:tcW w:w="2551" w:type="dxa"/>
            <w:gridSpan w:val="2"/>
          </w:tcPr>
          <w:p>
            <w:pPr>
              <w:pStyle w:val="nTable"/>
              <w:spacing w:after="40"/>
            </w:pPr>
            <w:r>
              <w:t>7 Jan 1986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Amendment Act 1987</w:t>
            </w:r>
          </w:p>
        </w:tc>
        <w:tc>
          <w:tcPr>
            <w:tcW w:w="1134" w:type="dxa"/>
            <w:gridSpan w:val="2"/>
          </w:tcPr>
          <w:p>
            <w:pPr>
              <w:pStyle w:val="nTable"/>
              <w:spacing w:after="40"/>
            </w:pPr>
            <w:r>
              <w:t>90 of 1987</w:t>
            </w:r>
          </w:p>
        </w:tc>
        <w:tc>
          <w:tcPr>
            <w:tcW w:w="1134" w:type="dxa"/>
            <w:gridSpan w:val="2"/>
          </w:tcPr>
          <w:p>
            <w:pPr>
              <w:pStyle w:val="nTable"/>
              <w:spacing w:after="40"/>
            </w:pPr>
            <w:r>
              <w:t>9 Dec 1987</w:t>
            </w:r>
          </w:p>
        </w:tc>
        <w:tc>
          <w:tcPr>
            <w:tcW w:w="2551" w:type="dxa"/>
            <w:gridSpan w:val="2"/>
          </w:tcPr>
          <w:p>
            <w:pPr>
              <w:pStyle w:val="nTable"/>
              <w:spacing w:after="40"/>
            </w:pPr>
            <w:r>
              <w:t>Act other than s. 6: 14 Feb 1983 (see s. 2(1));</w:t>
            </w:r>
            <w:r>
              <w:br/>
              <w:t>s. 6: 9 Dec 1987 (see s. 2(2))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1990</w:t>
            </w:r>
            <w:r>
              <w:t xml:space="preserve"> Pt. II</w:t>
            </w:r>
            <w:r>
              <w:rPr>
                <w:vertAlign w:val="superscript"/>
              </w:rPr>
              <w:t> 7</w:t>
            </w:r>
            <w:r>
              <w:rPr>
                <w:vertAlign w:val="superscript"/>
              </w:rPr>
              <w:noBreakHyphen/>
              <w:t>13</w:t>
            </w:r>
          </w:p>
        </w:tc>
        <w:tc>
          <w:tcPr>
            <w:tcW w:w="1134" w:type="dxa"/>
            <w:gridSpan w:val="2"/>
          </w:tcPr>
          <w:p>
            <w:pPr>
              <w:pStyle w:val="nTable"/>
              <w:keepNext/>
              <w:spacing w:after="40"/>
            </w:pPr>
            <w:r>
              <w:t>12 of 1990</w:t>
            </w:r>
          </w:p>
        </w:tc>
        <w:tc>
          <w:tcPr>
            <w:tcW w:w="1134" w:type="dxa"/>
            <w:gridSpan w:val="2"/>
          </w:tcPr>
          <w:p>
            <w:pPr>
              <w:pStyle w:val="nTable"/>
              <w:keepNext/>
              <w:spacing w:after="40"/>
            </w:pPr>
            <w:r>
              <w:t>31 Jul 1990</w:t>
            </w:r>
          </w:p>
        </w:tc>
        <w:tc>
          <w:tcPr>
            <w:tcW w:w="2551" w:type="dxa"/>
            <w:gridSpan w:val="2"/>
          </w:tcPr>
          <w:p>
            <w:pPr>
              <w:pStyle w:val="nTable"/>
              <w:keepNext/>
              <w:spacing w:after="40"/>
            </w:pPr>
            <w:r>
              <w:t xml:space="preserve">1 Oct 1990 (see s. 2(1)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(Drilling Reservations) Amendment Act 1990</w:t>
            </w:r>
          </w:p>
        </w:tc>
        <w:tc>
          <w:tcPr>
            <w:tcW w:w="1134" w:type="dxa"/>
            <w:gridSpan w:val="2"/>
          </w:tcPr>
          <w:p>
            <w:pPr>
              <w:pStyle w:val="nTable"/>
              <w:spacing w:after="40"/>
            </w:pPr>
            <w:r>
              <w:t>78 of 1990</w:t>
            </w:r>
          </w:p>
        </w:tc>
        <w:tc>
          <w:tcPr>
            <w:tcW w:w="1134" w:type="dxa"/>
            <w:gridSpan w:val="2"/>
          </w:tcPr>
          <w:p>
            <w:pPr>
              <w:pStyle w:val="nTable"/>
              <w:spacing w:after="40"/>
            </w:pPr>
            <w:r>
              <w:t>22 Dec 1990</w:t>
            </w:r>
          </w:p>
        </w:tc>
        <w:tc>
          <w:tcPr>
            <w:tcW w:w="2551" w:type="dxa"/>
            <w:gridSpan w:val="2"/>
          </w:tcPr>
          <w:p>
            <w:pPr>
              <w:pStyle w:val="nTable"/>
              <w:spacing w:after="40"/>
            </w:pPr>
            <w:r>
              <w:t>s. 1 and 2: 22 Dec 1990;</w:t>
            </w:r>
            <w:r>
              <w:br/>
              <w:t xml:space="preserve">Act other than s. 1 and 2: 1 Mar 1991 (see s. 2 and </w:t>
            </w:r>
            <w:r>
              <w:rPr>
                <w:i/>
              </w:rPr>
              <w:t>Gazette</w:t>
            </w:r>
            <w:r>
              <w:t xml:space="preserve"> 22 Feb 1991 p. 868)</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17 Dec 1992</w:t>
            </w:r>
            <w:r>
              <w:t xml:space="preserve"> (erratum in </w:t>
            </w:r>
            <w:r>
              <w:rPr>
                <w:i/>
                <w:iCs/>
              </w:rPr>
              <w:t>Gazette</w:t>
            </w:r>
            <w:r>
              <w:t xml:space="preserve"> 26 Feb 1993 p. 1362)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Land (Titles and Traditional Usage) Act 1993</w:t>
            </w:r>
            <w:r>
              <w:t xml:space="preserve"> s. 45</w:t>
            </w:r>
          </w:p>
        </w:tc>
        <w:tc>
          <w:tcPr>
            <w:tcW w:w="1134" w:type="dxa"/>
            <w:gridSpan w:val="2"/>
          </w:tcPr>
          <w:p>
            <w:pPr>
              <w:pStyle w:val="nTable"/>
              <w:spacing w:after="40"/>
            </w:pPr>
            <w:r>
              <w:t>21 of 1993</w:t>
            </w:r>
          </w:p>
        </w:tc>
        <w:tc>
          <w:tcPr>
            <w:tcW w:w="1134" w:type="dxa"/>
            <w:gridSpan w:val="2"/>
          </w:tcPr>
          <w:p>
            <w:pPr>
              <w:pStyle w:val="nTable"/>
              <w:spacing w:after="40"/>
            </w:pPr>
            <w:r>
              <w:t>2 Dec 1993</w:t>
            </w:r>
          </w:p>
        </w:tc>
        <w:tc>
          <w:tcPr>
            <w:tcW w:w="2551" w:type="dxa"/>
            <w:gridSpan w:val="2"/>
          </w:tcPr>
          <w:p>
            <w:pPr>
              <w:pStyle w:val="nTable"/>
              <w:spacing w:after="40"/>
            </w:pPr>
            <w:r>
              <w:t>2 Dec 1993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Petroleum Royalties Legislation Amendment Act 1994</w:t>
            </w:r>
            <w:r>
              <w:t xml:space="preserve"> Pt. 2</w:t>
            </w:r>
          </w:p>
        </w:tc>
        <w:tc>
          <w:tcPr>
            <w:tcW w:w="1134" w:type="dxa"/>
            <w:gridSpan w:val="2"/>
          </w:tcPr>
          <w:p>
            <w:pPr>
              <w:pStyle w:val="nTable"/>
              <w:spacing w:after="40"/>
            </w:pPr>
            <w:r>
              <w:t>11 of 1994</w:t>
            </w:r>
          </w:p>
        </w:tc>
        <w:tc>
          <w:tcPr>
            <w:tcW w:w="1134" w:type="dxa"/>
            <w:gridSpan w:val="2"/>
          </w:tcPr>
          <w:p>
            <w:pPr>
              <w:pStyle w:val="nTable"/>
              <w:spacing w:after="40"/>
            </w:pPr>
            <w:r>
              <w:t>15 Apr 1994</w:t>
            </w:r>
          </w:p>
        </w:tc>
        <w:tc>
          <w:tcPr>
            <w:tcW w:w="2551" w:type="dxa"/>
            <w:gridSpan w:val="2"/>
          </w:tcPr>
          <w:p>
            <w:pPr>
              <w:pStyle w:val="nTable"/>
              <w:spacing w:after="40"/>
            </w:pPr>
            <w:r>
              <w:t>1 Mar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(Petroleum) Act 1994</w:t>
            </w:r>
            <w:r>
              <w:t xml:space="preserve"> Pt. 3</w:t>
            </w:r>
            <w:r>
              <w:rPr>
                <w:vertAlign w:val="superscript"/>
              </w:rPr>
              <w:t> 14-16</w:t>
            </w:r>
          </w:p>
        </w:tc>
        <w:tc>
          <w:tcPr>
            <w:tcW w:w="1134" w:type="dxa"/>
            <w:gridSpan w:val="2"/>
          </w:tcPr>
          <w:p>
            <w:pPr>
              <w:pStyle w:val="nTable"/>
              <w:spacing w:after="40"/>
            </w:pPr>
            <w:r>
              <w:t>28 of 1994</w:t>
            </w:r>
          </w:p>
        </w:tc>
        <w:tc>
          <w:tcPr>
            <w:tcW w:w="1134" w:type="dxa"/>
            <w:gridSpan w:val="2"/>
          </w:tcPr>
          <w:p>
            <w:pPr>
              <w:pStyle w:val="nTable"/>
              <w:spacing w:after="40"/>
            </w:pPr>
            <w:r>
              <w:t>29 Jun 1994</w:t>
            </w:r>
          </w:p>
        </w:tc>
        <w:tc>
          <w:tcPr>
            <w:tcW w:w="2551" w:type="dxa"/>
            <w:gridSpan w:val="2"/>
          </w:tcPr>
          <w:p>
            <w:pPr>
              <w:pStyle w:val="nTable"/>
              <w:spacing w:after="40"/>
            </w:pPr>
            <w:r>
              <w:t xml:space="preserve">22 Jul 1994 (see s.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and Repeal (Native Title) Act 1995</w:t>
            </w:r>
            <w:r>
              <w:t xml:space="preserve"> Pt. 7</w:t>
            </w:r>
          </w:p>
        </w:tc>
        <w:tc>
          <w:tcPr>
            <w:tcW w:w="1134" w:type="dxa"/>
            <w:gridSpan w:val="2"/>
          </w:tcPr>
          <w:p>
            <w:pPr>
              <w:pStyle w:val="nTable"/>
              <w:spacing w:after="40"/>
            </w:pPr>
            <w:r>
              <w:t>52 of 1995</w:t>
            </w:r>
          </w:p>
        </w:tc>
        <w:tc>
          <w:tcPr>
            <w:tcW w:w="1134" w:type="dxa"/>
            <w:gridSpan w:val="2"/>
          </w:tcPr>
          <w:p>
            <w:pPr>
              <w:pStyle w:val="nTable"/>
              <w:spacing w:after="40"/>
            </w:pPr>
            <w:r>
              <w:t>24 Nov 1995</w:t>
            </w:r>
          </w:p>
        </w:tc>
        <w:tc>
          <w:tcPr>
            <w:tcW w:w="2551" w:type="dxa"/>
            <w:gridSpan w:val="2"/>
          </w:tcPr>
          <w:p>
            <w:pPr>
              <w:pStyle w:val="nTable"/>
              <w:spacing w:after="40"/>
            </w:pPr>
            <w:r>
              <w:t xml:space="preserve">9 Dec 1995 (see s. 2 and </w:t>
            </w:r>
            <w:r>
              <w:rPr>
                <w:i/>
              </w:rPr>
              <w:t>Gazette</w:t>
            </w:r>
            <w:r>
              <w:t xml:space="preserve"> 8 Dec 1995 p. 5935)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Local Government (Consequential Amendments) Act 1996</w:t>
            </w:r>
            <w:r>
              <w:t xml:space="preserve"> s. 4</w:t>
            </w:r>
          </w:p>
        </w:tc>
        <w:tc>
          <w:tcPr>
            <w:tcW w:w="1134" w:type="dxa"/>
            <w:gridSpan w:val="2"/>
          </w:tcPr>
          <w:p>
            <w:pPr>
              <w:pStyle w:val="nTable"/>
              <w:spacing w:after="40"/>
            </w:pPr>
            <w:r>
              <w:t>14 of 1996</w:t>
            </w:r>
          </w:p>
        </w:tc>
        <w:tc>
          <w:tcPr>
            <w:tcW w:w="1134" w:type="dxa"/>
            <w:gridSpan w:val="2"/>
          </w:tcPr>
          <w:p>
            <w:pPr>
              <w:pStyle w:val="nTable"/>
              <w:spacing w:after="40"/>
            </w:pPr>
            <w:r>
              <w:t>28 Jun 1996</w:t>
            </w:r>
          </w:p>
        </w:tc>
        <w:tc>
          <w:tcPr>
            <w:tcW w:w="2551" w:type="dxa"/>
            <w:gridSpan w:val="2"/>
          </w:tcPr>
          <w:p>
            <w:pPr>
              <w:pStyle w:val="nTable"/>
              <w:spacing w:after="40"/>
            </w:pPr>
            <w:r>
              <w:t>1 Jul 1996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(Marine Reserves) Act 1997</w:t>
            </w:r>
            <w:r>
              <w:t xml:space="preserve"> Pt. 4</w:t>
            </w:r>
          </w:p>
        </w:tc>
        <w:tc>
          <w:tcPr>
            <w:tcW w:w="1134" w:type="dxa"/>
            <w:gridSpan w:val="2"/>
          </w:tcPr>
          <w:p>
            <w:pPr>
              <w:pStyle w:val="nTable"/>
              <w:spacing w:after="40"/>
            </w:pPr>
            <w:r>
              <w:t>5 of 1997</w:t>
            </w:r>
          </w:p>
        </w:tc>
        <w:tc>
          <w:tcPr>
            <w:tcW w:w="1134" w:type="dxa"/>
            <w:gridSpan w:val="2"/>
          </w:tcPr>
          <w:p>
            <w:pPr>
              <w:pStyle w:val="nTable"/>
              <w:spacing w:after="40"/>
            </w:pPr>
            <w:r>
              <w:t>10 Jun 1997</w:t>
            </w:r>
          </w:p>
        </w:tc>
        <w:tc>
          <w:tcPr>
            <w:tcW w:w="2551" w:type="dxa"/>
            <w:gridSpan w:val="2"/>
          </w:tcPr>
          <w:p>
            <w:pPr>
              <w:pStyle w:val="nTable"/>
              <w:spacing w:after="40"/>
            </w:pPr>
            <w:r>
              <w:t xml:space="preserve">29 Aug 1997 (see s. 2 and </w:t>
            </w:r>
            <w:r>
              <w:rPr>
                <w:i/>
              </w:rPr>
              <w:t>Gazette</w:t>
            </w:r>
            <w:r>
              <w:t xml:space="preserve"> 29 Aug 1997 p. 4867)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Act 1997</w:t>
            </w:r>
            <w:r>
              <w:t xml:space="preserve"> Pt. 49 and 68</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1" w:type="dxa"/>
            <w:gridSpan w:val="2"/>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(Land Administration, Mining and Petroleum) Act 1998</w:t>
            </w:r>
            <w:r>
              <w:t xml:space="preserve"> Pt. 4</w:t>
            </w:r>
          </w:p>
        </w:tc>
        <w:tc>
          <w:tcPr>
            <w:tcW w:w="1134" w:type="dxa"/>
            <w:gridSpan w:val="2"/>
          </w:tcPr>
          <w:p>
            <w:pPr>
              <w:pStyle w:val="nTable"/>
              <w:spacing w:after="40"/>
            </w:pPr>
            <w:r>
              <w:t>61 of 1998</w:t>
            </w:r>
          </w:p>
        </w:tc>
        <w:tc>
          <w:tcPr>
            <w:tcW w:w="1134" w:type="dxa"/>
            <w:gridSpan w:val="2"/>
          </w:tcPr>
          <w:p>
            <w:pPr>
              <w:pStyle w:val="nTable"/>
              <w:spacing w:after="40"/>
            </w:pPr>
            <w:r>
              <w:t>11 Jan 1999</w:t>
            </w:r>
          </w:p>
        </w:tc>
        <w:tc>
          <w:tcPr>
            <w:tcW w:w="2551" w:type="dxa"/>
            <w:gridSpan w:val="2"/>
          </w:tcPr>
          <w:p>
            <w:pPr>
              <w:pStyle w:val="nTable"/>
              <w:spacing w:after="40"/>
            </w:pPr>
            <w:r>
              <w:t>11 Jan 1999 (see s. 2(1))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vertAlign w:val="superscript"/>
              </w:rPr>
            </w:pPr>
            <w:r>
              <w:rPr>
                <w:i/>
              </w:rPr>
              <w:t>Acts Amendment (Mining and Petroleum) Act 1999</w:t>
            </w:r>
            <w:r>
              <w:t xml:space="preserve"> Pt. 3</w:t>
            </w:r>
            <w:r>
              <w:rPr>
                <w:vertAlign w:val="superscript"/>
              </w:rPr>
              <w:t> 17, 18</w:t>
            </w:r>
          </w:p>
        </w:tc>
        <w:tc>
          <w:tcPr>
            <w:tcW w:w="1134" w:type="dxa"/>
            <w:gridSpan w:val="2"/>
          </w:tcPr>
          <w:p>
            <w:pPr>
              <w:pStyle w:val="nTable"/>
              <w:spacing w:after="40"/>
            </w:pPr>
            <w:r>
              <w:t>17 of 1999</w:t>
            </w:r>
          </w:p>
        </w:tc>
        <w:tc>
          <w:tcPr>
            <w:tcW w:w="1134" w:type="dxa"/>
            <w:gridSpan w:val="2"/>
          </w:tcPr>
          <w:p>
            <w:pPr>
              <w:pStyle w:val="nTable"/>
              <w:spacing w:after="40"/>
            </w:pPr>
            <w:r>
              <w:t>15 Jun 1999</w:t>
            </w:r>
          </w:p>
        </w:tc>
        <w:tc>
          <w:tcPr>
            <w:tcW w:w="2551" w:type="dxa"/>
            <w:gridSpan w:val="2"/>
          </w:tcPr>
          <w:p>
            <w:pPr>
              <w:pStyle w:val="nTable"/>
              <w:spacing w:after="40"/>
            </w:pPr>
            <w:r>
              <w:t xml:space="preserve">24 Jul 1999 (see s. 2 and </w:t>
            </w:r>
            <w:r>
              <w:rPr>
                <w:i/>
              </w:rPr>
              <w:t>Gazette</w:t>
            </w:r>
            <w:r>
              <w:t xml:space="preserve"> 23 Jul 1999 p. 3385)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of the </w:t>
            </w:r>
            <w:r>
              <w:rPr>
                <w:b/>
                <w:bCs/>
                <w:i/>
              </w:rPr>
              <w:t>Petroleum Act 1967</w:t>
            </w:r>
            <w:r>
              <w:rPr>
                <w:b/>
                <w:bCs/>
              </w:rPr>
              <w:t xml:space="preserve"> as at 14 Jan 2000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pPr>
            <w:r>
              <w:rPr>
                <w:i/>
              </w:rPr>
              <w:t>Acts Amendment (Australian Datum) Act 2000</w:t>
            </w:r>
            <w:r>
              <w:t xml:space="preserve"> s. 7</w:t>
            </w:r>
          </w:p>
        </w:tc>
        <w:tc>
          <w:tcPr>
            <w:tcW w:w="1134" w:type="dxa"/>
            <w:gridSpan w:val="2"/>
          </w:tcPr>
          <w:p>
            <w:pPr>
              <w:pStyle w:val="nTable"/>
              <w:spacing w:after="40"/>
            </w:pPr>
            <w:r>
              <w:t>54 of 2000</w:t>
            </w:r>
          </w:p>
        </w:tc>
        <w:tc>
          <w:tcPr>
            <w:tcW w:w="1134" w:type="dxa"/>
            <w:gridSpan w:val="2"/>
          </w:tcPr>
          <w:p>
            <w:pPr>
              <w:pStyle w:val="nTable"/>
              <w:spacing w:after="40"/>
            </w:pPr>
            <w:r>
              <w:t>28 Nov 2000</w:t>
            </w:r>
          </w:p>
        </w:tc>
        <w:tc>
          <w:tcPr>
            <w:tcW w:w="2551" w:type="dxa"/>
            <w:gridSpan w:val="2"/>
          </w:tcPr>
          <w:p>
            <w:pPr>
              <w:pStyle w:val="nTable"/>
              <w:spacing w:after="40"/>
            </w:pPr>
            <w:r>
              <w:t xml:space="preserve">16 Dec 2000 (see s. 2 and </w:t>
            </w:r>
            <w:r>
              <w:rPr>
                <w:i/>
              </w:rPr>
              <w:t>Gazette</w:t>
            </w:r>
            <w:r>
              <w:t xml:space="preserve"> 15 Dec 2000 p. 7201)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Corporations (Consequential Amendments) Act (No. 2) 2003</w:t>
            </w:r>
            <w:r>
              <w:t xml:space="preserve"> Pt. 15</w:t>
            </w:r>
          </w:p>
        </w:tc>
        <w:tc>
          <w:tcPr>
            <w:tcW w:w="1134" w:type="dxa"/>
            <w:gridSpan w:val="2"/>
          </w:tcPr>
          <w:p>
            <w:pPr>
              <w:pStyle w:val="nTable"/>
              <w:spacing w:after="40"/>
            </w:pPr>
            <w:r>
              <w:t>20 of 2003</w:t>
            </w:r>
          </w:p>
        </w:tc>
        <w:tc>
          <w:tcPr>
            <w:tcW w:w="1134"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snapToGrid w:val="0"/>
              </w:rPr>
              <w:t xml:space="preserve">Criminal Code Amendment Act 2004 </w:t>
            </w:r>
            <w:r>
              <w:rPr>
                <w:snapToGrid w:val="0"/>
              </w:rPr>
              <w:t>s. 58</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rPr>
            </w:pPr>
            <w:r>
              <w:rPr>
                <w:i/>
              </w:rPr>
              <w:t>Courts</w:t>
            </w:r>
          </w:p>
          <w:p>
            <w:pPr>
              <w:pStyle w:val="nTable"/>
              <w:spacing w:after="40"/>
              <w:ind w:right="113"/>
              <w:rPr>
                <w:i/>
                <w:snapToGrid w:val="0"/>
              </w:rPr>
            </w:pPr>
            <w:r>
              <w:rPr>
                <w:i/>
              </w:rPr>
              <w:t xml:space="preserve"> Legislation Amendment and Repeal Act 2004</w:t>
            </w:r>
            <w:r>
              <w:t xml:space="preserve"> s. 141</w:t>
            </w:r>
          </w:p>
        </w:tc>
        <w:tc>
          <w:tcPr>
            <w:tcW w:w="1134" w:type="dxa"/>
            <w:gridSpan w:val="2"/>
          </w:tcPr>
          <w:p>
            <w:pPr>
              <w:pStyle w:val="nTable"/>
              <w:spacing w:after="40"/>
            </w:pPr>
            <w: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iCs/>
              </w:rPr>
              <w:t>State Administrative Tribunal (Conferral of Jurisdiction) Amendment and Repeal Act 2004</w:t>
            </w:r>
            <w:r>
              <w:t xml:space="preserve"> Pt. 2 Div. 98</w:t>
            </w:r>
            <w:r>
              <w:rPr>
                <w:vertAlign w:val="superscript"/>
              </w:rPr>
              <w:t> 19</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iCs/>
              </w:rPr>
            </w:pPr>
            <w:r>
              <w:rPr>
                <w:i/>
                <w:snapToGrid w:val="0"/>
              </w:rPr>
              <w:t>Petroleum Legislation Amendment and Repeal Act 2005</w:t>
            </w:r>
            <w:r>
              <w:rPr>
                <w:iCs/>
                <w:snapToGrid w:val="0"/>
              </w:rPr>
              <w:t xml:space="preserve"> Pt. 2</w:t>
            </w:r>
          </w:p>
        </w:tc>
        <w:tc>
          <w:tcPr>
            <w:tcW w:w="1134" w:type="dxa"/>
            <w:gridSpan w:val="2"/>
          </w:tcPr>
          <w:p>
            <w:pPr>
              <w:pStyle w:val="nTable"/>
              <w:spacing w:after="40"/>
            </w:pPr>
            <w:r>
              <w:t>13 of 2005</w:t>
            </w:r>
          </w:p>
        </w:tc>
        <w:tc>
          <w:tcPr>
            <w:tcW w:w="1134" w:type="dxa"/>
            <w:gridSpan w:val="2"/>
          </w:tcPr>
          <w:p>
            <w:pPr>
              <w:pStyle w:val="nTable"/>
              <w:spacing w:after="40"/>
            </w:pPr>
            <w:r>
              <w:t>1 Sep 2005</w:t>
            </w:r>
          </w:p>
        </w:tc>
        <w:tc>
          <w:tcPr>
            <w:tcW w:w="2551" w:type="dxa"/>
            <w:gridSpan w:val="2"/>
          </w:tcPr>
          <w:p>
            <w:pPr>
              <w:pStyle w:val="nTable"/>
              <w:spacing w:after="40"/>
            </w:pPr>
            <w:r>
              <w:t xml:space="preserve">15 May 2010 (see s. 2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4: The </w:t>
            </w:r>
            <w:r>
              <w:rPr>
                <w:b/>
                <w:bCs/>
                <w:i/>
              </w:rPr>
              <w:t>Petroleum Act 1967</w:t>
            </w:r>
            <w:r>
              <w:rPr>
                <w:b/>
                <w:bCs/>
              </w:rPr>
              <w:t xml:space="preserve"> as at 13 Apr 2007</w:t>
            </w:r>
            <w:r>
              <w:t xml:space="preserve"> (includes amendments listed above except those in the </w:t>
            </w:r>
            <w:r>
              <w:rPr>
                <w:i/>
                <w:iCs/>
              </w:rPr>
              <w:t>Petroleum Legislation Amendment and Repeal Act 2005</w:t>
            </w:r>
            <w:r>
              <w:t>)</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vertAlign w:val="superscript"/>
              </w:rPr>
            </w:pPr>
            <w:r>
              <w:rPr>
                <w:i/>
                <w:snapToGrid w:val="0"/>
              </w:rPr>
              <w:t>Petroleum Amendment Act 2007</w:t>
            </w:r>
            <w:r>
              <w:rPr>
                <w:iCs/>
                <w:snapToGrid w:val="0"/>
              </w:rPr>
              <w:t xml:space="preserve"> Pt.</w:t>
            </w:r>
            <w:r>
              <w:t> 2</w:t>
            </w:r>
          </w:p>
        </w:tc>
        <w:tc>
          <w:tcPr>
            <w:tcW w:w="1134" w:type="dxa"/>
            <w:gridSpan w:val="2"/>
          </w:tcPr>
          <w:p>
            <w:pPr>
              <w:pStyle w:val="nTable"/>
              <w:spacing w:after="40"/>
            </w:pPr>
            <w:r>
              <w:t>35 of 2007</w:t>
            </w:r>
          </w:p>
        </w:tc>
        <w:tc>
          <w:tcPr>
            <w:tcW w:w="1134" w:type="dxa"/>
            <w:gridSpan w:val="2"/>
          </w:tcPr>
          <w:p>
            <w:pPr>
              <w:pStyle w:val="nTable"/>
              <w:spacing w:after="40"/>
            </w:pPr>
            <w:r>
              <w:t>21 Dec 2007</w:t>
            </w:r>
          </w:p>
        </w:tc>
        <w:tc>
          <w:tcPr>
            <w:tcW w:w="2551" w:type="dxa"/>
            <w:gridSpan w:val="2"/>
          </w:tcPr>
          <w:p>
            <w:pPr>
              <w:pStyle w:val="nTable"/>
              <w:spacing w:after="40"/>
            </w:pPr>
            <w:r>
              <w:t xml:space="preserve">Div. 1: 19 Jan 2008 (see s. 2(b) and </w:t>
            </w:r>
            <w:r>
              <w:rPr>
                <w:i/>
                <w:iCs/>
              </w:rPr>
              <w:t>Gazette</w:t>
            </w:r>
            <w:r>
              <w:t xml:space="preserve"> 18 Jan 2008 p. 147);</w:t>
            </w:r>
            <w:r>
              <w:br/>
              <w:t xml:space="preserve">Div. 2: 15 May 2010 (see s. 2(b) and </w:t>
            </w:r>
            <w:r>
              <w:rPr>
                <w:i/>
                <w:iCs/>
              </w:rPr>
              <w:t>Gazette</w:t>
            </w:r>
            <w:r>
              <w:t xml:space="preserve"> 14 May 2010 p. 2015)</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5: The </w:t>
            </w:r>
            <w:r>
              <w:rPr>
                <w:b/>
                <w:bCs/>
                <w:i/>
              </w:rPr>
              <w:t xml:space="preserve">Petroleum </w:t>
            </w:r>
            <w:r>
              <w:rPr>
                <w:b/>
                <w:bCs/>
                <w:i/>
                <w:noProof/>
                <w:snapToGrid w:val="0"/>
              </w:rPr>
              <w:t xml:space="preserve">and Geothermal Energy Resources </w:t>
            </w:r>
            <w:r>
              <w:rPr>
                <w:b/>
                <w:bCs/>
                <w:i/>
              </w:rPr>
              <w:t>Act 1967</w:t>
            </w:r>
            <w:r>
              <w:rPr>
                <w:b/>
                <w:bCs/>
              </w:rPr>
              <w:t xml:space="preserve"> as at 2 May 2008</w:t>
            </w:r>
            <w:r>
              <w:t xml:space="preserve"> (includes amendments listed above except those in the </w:t>
            </w:r>
            <w:r>
              <w:rPr>
                <w:i/>
                <w:iCs/>
              </w:rPr>
              <w:t>Petroleum Legislation Amendment and Repeal Act 2005</w:t>
            </w:r>
            <w:r>
              <w:t xml:space="preserve"> and the </w:t>
            </w:r>
            <w:r>
              <w:rPr>
                <w:i/>
                <w:iCs/>
              </w:rPr>
              <w:t>Petroleum Amendment Act 2007</w:t>
            </w:r>
            <w:r>
              <w:t xml:space="preserve"> Pt. 2 Div. 2) (correction in </w:t>
            </w:r>
            <w:r>
              <w:rPr>
                <w:i/>
                <w:iCs/>
              </w:rPr>
              <w:t>Gazette</w:t>
            </w:r>
            <w:r>
              <w:t xml:space="preserve"> 23 Jun 2009 p. 2470)</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Revenue Laws Amendment Act (No. 2) 2008</w:t>
            </w:r>
            <w:r>
              <w:rPr>
                <w:iCs/>
                <w:snapToGrid w:val="0"/>
              </w:rPr>
              <w:t xml:space="preserve"> s. 34</w:t>
            </w:r>
          </w:p>
        </w:tc>
        <w:tc>
          <w:tcPr>
            <w:tcW w:w="1134" w:type="dxa"/>
            <w:gridSpan w:val="2"/>
          </w:tcPr>
          <w:p>
            <w:pPr>
              <w:pStyle w:val="nTable"/>
              <w:spacing w:after="40"/>
            </w:pPr>
            <w:r>
              <w:t>31 of 2008</w:t>
            </w:r>
          </w:p>
        </w:tc>
        <w:tc>
          <w:tcPr>
            <w:tcW w:w="1134" w:type="dxa"/>
            <w:gridSpan w:val="2"/>
          </w:tcPr>
          <w:p>
            <w:pPr>
              <w:pStyle w:val="nTable"/>
              <w:spacing w:after="40"/>
            </w:pPr>
            <w:r>
              <w:t>27 Jun 2008</w:t>
            </w:r>
          </w:p>
        </w:tc>
        <w:tc>
          <w:tcPr>
            <w:tcW w:w="2551" w:type="dxa"/>
            <w:gridSpan w:val="2"/>
          </w:tcPr>
          <w:p>
            <w:pPr>
              <w:pStyle w:val="nTable"/>
              <w:spacing w:after="40"/>
            </w:pPr>
            <w:r>
              <w:t>28 Jun 2008 (see s. 2(b))</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pPr>
            <w:r>
              <w:rPr>
                <w:b/>
                <w:bCs/>
              </w:rPr>
              <w:t xml:space="preserve">Reprint 6: The </w:t>
            </w:r>
            <w:r>
              <w:rPr>
                <w:b/>
                <w:bCs/>
                <w:i/>
              </w:rPr>
              <w:t xml:space="preserve">Petroleum </w:t>
            </w:r>
            <w:r>
              <w:rPr>
                <w:b/>
                <w:bCs/>
                <w:i/>
                <w:noProof/>
                <w:snapToGrid w:val="0"/>
              </w:rPr>
              <w:t xml:space="preserve">and Geothermal Energy Resources </w:t>
            </w:r>
            <w:r>
              <w:rPr>
                <w:b/>
                <w:bCs/>
                <w:i/>
              </w:rPr>
              <w:t>Act 1967</w:t>
            </w:r>
            <w:r>
              <w:rPr>
                <w:b/>
                <w:bCs/>
              </w:rPr>
              <w:t xml:space="preserve"> as at 22 Oct 2010</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Petroleum and Energy Legislation Amendment Act 2010</w:t>
            </w:r>
            <w:r>
              <w:rPr>
                <w:snapToGrid w:val="0"/>
              </w:rPr>
              <w:t xml:space="preserve"> Pt. 2</w:t>
            </w:r>
          </w:p>
        </w:tc>
        <w:tc>
          <w:tcPr>
            <w:tcW w:w="1134" w:type="dxa"/>
            <w:gridSpan w:val="2"/>
          </w:tcPr>
          <w:p>
            <w:pPr>
              <w:pStyle w:val="nTable"/>
              <w:spacing w:after="40"/>
            </w:pPr>
            <w:r>
              <w:t>42 of 2010</w:t>
            </w:r>
          </w:p>
        </w:tc>
        <w:tc>
          <w:tcPr>
            <w:tcW w:w="1134" w:type="dxa"/>
            <w:gridSpan w:val="2"/>
          </w:tcPr>
          <w:p>
            <w:pPr>
              <w:pStyle w:val="nTable"/>
              <w:spacing w:after="40"/>
            </w:pPr>
            <w:r>
              <w:t>28 Oct 2010</w:t>
            </w:r>
          </w:p>
        </w:tc>
        <w:tc>
          <w:tcPr>
            <w:tcW w:w="2551" w:type="dxa"/>
            <w:gridSpan w:val="2"/>
          </w:tcPr>
          <w:p>
            <w:pPr>
              <w:pStyle w:val="nTable"/>
              <w:spacing w:after="40"/>
            </w:pPr>
            <w:r>
              <w:rPr>
                <w:snapToGrid w:val="0"/>
              </w:rPr>
              <w:t xml:space="preserve">Pt. 2 other than s. 51, 57, 58(b) (to the extent that it inserts s. 153(2)(lc)), 61 (to the extent that it inserts Sch. 2 cl. 3): 25 May 2011 (see s. 2(b) and </w:t>
            </w:r>
            <w:r>
              <w:rPr>
                <w:i/>
                <w:snapToGrid w:val="0"/>
              </w:rPr>
              <w:t>Gazette</w:t>
            </w:r>
            <w:r>
              <w:rPr>
                <w:snapToGrid w:val="0"/>
              </w:rPr>
              <w:t xml:space="preserve"> 24 May 2011 p. 1892);</w:t>
            </w:r>
            <w:r>
              <w:rPr>
                <w:snapToGrid w:val="0"/>
              </w:rPr>
              <w:br/>
            </w:r>
            <w:r>
              <w:rPr>
                <w:iCs/>
                <w:snapToGrid w:val="0"/>
              </w:rPr>
              <w:t>s</w:t>
            </w:r>
            <w:r>
              <w:rPr>
                <w:snapToGrid w:val="0"/>
              </w:rPr>
              <w:t xml:space="preserve">. 51, 57, 58(b) (to the extent that it inserts s. 153(2)(lc)), 61 (to the extent that it inserts Sch. 2 cl. 3): 1 Jul 2015 (see s. 2(b) and </w:t>
            </w:r>
            <w:r>
              <w:rPr>
                <w:i/>
                <w:snapToGrid w:val="0"/>
              </w:rPr>
              <w:t>Gazette</w:t>
            </w:r>
            <w:r>
              <w:rPr>
                <w:snapToGrid w:val="0"/>
              </w:rPr>
              <w:t xml:space="preserve"> 30 Jun 2015 p. 2321)</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tcPr>
          <w:p>
            <w:pPr>
              <w:pStyle w:val="nTable"/>
              <w:spacing w:after="40"/>
              <w:rPr>
                <w:snapToGrid w:val="0"/>
              </w:rPr>
            </w:pPr>
            <w:r>
              <w:rPr>
                <w:b/>
                <w:bCs/>
              </w:rPr>
              <w:t xml:space="preserve">Reprint 7: The </w:t>
            </w:r>
            <w:r>
              <w:rPr>
                <w:b/>
                <w:bCs/>
                <w:i/>
              </w:rPr>
              <w:t xml:space="preserve">Petroleum </w:t>
            </w:r>
            <w:r>
              <w:rPr>
                <w:b/>
                <w:bCs/>
                <w:i/>
                <w:noProof/>
                <w:snapToGrid w:val="0"/>
              </w:rPr>
              <w:t xml:space="preserve">and Geothermal Energy Resources </w:t>
            </w:r>
            <w:r>
              <w:rPr>
                <w:b/>
                <w:bCs/>
                <w:i/>
              </w:rPr>
              <w:t>Act 1967</w:t>
            </w:r>
            <w:r>
              <w:rPr>
                <w:b/>
                <w:bCs/>
              </w:rPr>
              <w:t xml:space="preserve"> as at 5 Aug 2011</w:t>
            </w:r>
            <w:r>
              <w:t xml:space="preserve"> (includes amendments listed above except those in the</w:t>
            </w:r>
            <w:r>
              <w:rPr>
                <w:i/>
                <w:snapToGrid w:val="0"/>
              </w:rPr>
              <w:t xml:space="preserve"> Petroleum and Energy Legislation Amendment Act 2010 </w:t>
            </w:r>
            <w:r>
              <w:rPr>
                <w:snapToGrid w:val="0"/>
              </w:rPr>
              <w:t>s. </w:t>
            </w:r>
            <w:r>
              <w:t>51, 57, 58(b) (to the extent that it inserts s. 153(2)(lc)) and 61 (to the extent that it inserts Sch. 2 cl. 3)</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Personal Property Securities (Consequential Repeals and Amendments) Act 2011</w:t>
            </w:r>
            <w:r>
              <w:rPr>
                <w:snapToGrid w:val="0"/>
              </w:rPr>
              <w:t xml:space="preserve"> Pt. 9 Div. 3</w:t>
            </w:r>
          </w:p>
        </w:tc>
        <w:tc>
          <w:tcPr>
            <w:tcW w:w="1134" w:type="dxa"/>
            <w:gridSpan w:val="2"/>
          </w:tcPr>
          <w:p>
            <w:pPr>
              <w:pStyle w:val="nTable"/>
              <w:spacing w:after="40"/>
            </w:pPr>
            <w:r>
              <w:rPr>
                <w:snapToGrid w:val="0"/>
              </w:rPr>
              <w:t>42 of 2011</w:t>
            </w:r>
          </w:p>
        </w:tc>
        <w:tc>
          <w:tcPr>
            <w:tcW w:w="1134" w:type="dxa"/>
            <w:gridSpan w:val="2"/>
          </w:tcPr>
          <w:p>
            <w:pPr>
              <w:pStyle w:val="nTable"/>
              <w:spacing w:after="40"/>
            </w:pPr>
            <w:r>
              <w:t>4 Oct 2011</w:t>
            </w:r>
          </w:p>
        </w:tc>
        <w:tc>
          <w:tcPr>
            <w:tcW w:w="2551" w:type="dxa"/>
            <w:gridSpan w:val="2"/>
          </w:tcPr>
          <w:p>
            <w:pPr>
              <w:pStyle w:val="nTable"/>
              <w:spacing w:after="40"/>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Cs/>
                <w:snapToGrid w:val="0"/>
                <w:vertAlign w:val="superscript"/>
              </w:rPr>
            </w:pPr>
            <w:r>
              <w:rPr>
                <w:i/>
                <w:snapToGrid w:val="0"/>
              </w:rPr>
              <w:t>Statutes (Repeals and Minor Amendments) Act 2011</w:t>
            </w:r>
            <w:r>
              <w:rPr>
                <w:snapToGrid w:val="0"/>
              </w:rPr>
              <w:t xml:space="preserve"> s. 15</w:t>
            </w:r>
          </w:p>
        </w:tc>
        <w:tc>
          <w:tcPr>
            <w:tcW w:w="1134" w:type="dxa"/>
            <w:gridSpan w:val="2"/>
          </w:tcPr>
          <w:p>
            <w:pPr>
              <w:pStyle w:val="nTable"/>
              <w:spacing w:after="40"/>
            </w:pPr>
            <w:r>
              <w:rPr>
                <w:snapToGrid w:val="0"/>
              </w:rPr>
              <w:t>47 of 2011</w:t>
            </w:r>
          </w:p>
        </w:tc>
        <w:tc>
          <w:tcPr>
            <w:tcW w:w="1134" w:type="dxa"/>
            <w:gridSpan w:val="2"/>
          </w:tcPr>
          <w:p>
            <w:pPr>
              <w:pStyle w:val="nTable"/>
              <w:spacing w:after="40"/>
            </w:pPr>
            <w:r>
              <w:rPr>
                <w:snapToGrid w:val="0"/>
              </w:rPr>
              <w:t>25 Oct 2011</w:t>
            </w:r>
          </w:p>
        </w:tc>
        <w:tc>
          <w:tcPr>
            <w:tcW w:w="2551" w:type="dxa"/>
            <w:gridSpan w:val="2"/>
          </w:tcPr>
          <w:p>
            <w:pPr>
              <w:pStyle w:val="nTable"/>
              <w:spacing w:after="40"/>
            </w:pPr>
            <w:r>
              <w:rPr>
                <w:snapToGrid w:val="0"/>
              </w:rPr>
              <w:t>26 Oct 2011 (see s. 2(b))</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Pr>
          <w:p>
            <w:pPr>
              <w:pStyle w:val="nTable"/>
              <w:spacing w:after="40"/>
              <w:ind w:right="113"/>
              <w:rPr>
                <w:i/>
                <w:snapToGrid w:val="0"/>
              </w:rPr>
            </w:pPr>
            <w:r>
              <w:rPr>
                <w:i/>
                <w:snapToGrid w:val="0"/>
              </w:rPr>
              <w:t>Commercial Arbitration Act 2012</w:t>
            </w:r>
            <w:r>
              <w:rPr>
                <w:snapToGrid w:val="0"/>
              </w:rPr>
              <w:t xml:space="preserve"> s. 45 it. 15</w:t>
            </w:r>
          </w:p>
        </w:tc>
        <w:tc>
          <w:tcPr>
            <w:tcW w:w="1134" w:type="dxa"/>
            <w:gridSpan w:val="2"/>
          </w:tcPr>
          <w:p>
            <w:pPr>
              <w:pStyle w:val="nTable"/>
              <w:spacing w:after="40"/>
              <w:rPr>
                <w:snapToGrid w:val="0"/>
              </w:rPr>
            </w:pPr>
            <w:r>
              <w:rPr>
                <w:snapToGrid w:val="0"/>
              </w:rPr>
              <w:t>23 of 2012</w:t>
            </w:r>
          </w:p>
        </w:tc>
        <w:tc>
          <w:tcPr>
            <w:tcW w:w="1134" w:type="dxa"/>
            <w:gridSpan w:val="2"/>
          </w:tcPr>
          <w:p>
            <w:pPr>
              <w:pStyle w:val="nTable"/>
              <w:spacing w:after="40"/>
              <w:rPr>
                <w:snapToGrid w:val="0"/>
              </w:rPr>
            </w:pPr>
            <w:r>
              <w:rPr>
                <w:snapToGrid w:val="0"/>
              </w:rPr>
              <w:t>29 Aug 2012</w:t>
            </w:r>
          </w:p>
        </w:tc>
        <w:tc>
          <w:tcPr>
            <w:tcW w:w="2551" w:type="dxa"/>
            <w:gridSpan w:val="2"/>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shd w:val="clear" w:color="auto" w:fill="auto"/>
          </w:tcPr>
          <w:p>
            <w:pPr>
              <w:pStyle w:val="nTable"/>
              <w:spacing w:after="40"/>
              <w:ind w:right="113"/>
              <w:rPr>
                <w:snapToGrid w:val="0"/>
              </w:rPr>
            </w:pPr>
            <w:r>
              <w:rPr>
                <w:i/>
                <w:snapToGrid w:val="0"/>
              </w:rPr>
              <w:t xml:space="preserve">Statutes (Repeals and Minor Amendments) Act 2014 </w:t>
            </w:r>
            <w:r>
              <w:rPr>
                <w:snapToGrid w:val="0"/>
              </w:rPr>
              <w:t>s. 8</w:t>
            </w:r>
          </w:p>
        </w:tc>
        <w:tc>
          <w:tcPr>
            <w:tcW w:w="1134" w:type="dxa"/>
            <w:gridSpan w:val="2"/>
            <w:shd w:val="clear" w:color="auto" w:fill="auto"/>
          </w:tcPr>
          <w:p>
            <w:pPr>
              <w:pStyle w:val="nTable"/>
              <w:spacing w:after="40"/>
              <w:rPr>
                <w:snapToGrid w:val="0"/>
              </w:rPr>
            </w:pPr>
            <w:r>
              <w:rPr>
                <w:snapToGrid w:val="0"/>
              </w:rPr>
              <w:t>17 of 2014</w:t>
            </w:r>
          </w:p>
        </w:tc>
        <w:tc>
          <w:tcPr>
            <w:tcW w:w="1134" w:type="dxa"/>
            <w:gridSpan w:val="2"/>
            <w:shd w:val="clear" w:color="auto" w:fill="auto"/>
          </w:tcPr>
          <w:p>
            <w:pPr>
              <w:pStyle w:val="nTable"/>
              <w:spacing w:after="40"/>
              <w:rPr>
                <w:snapToGrid w:val="0"/>
              </w:rPr>
            </w:pPr>
            <w:r>
              <w:rPr>
                <w:snapToGrid w:val="0"/>
              </w:rPr>
              <w:t>2 Jul 2014</w:t>
            </w:r>
          </w:p>
        </w:tc>
        <w:tc>
          <w:tcPr>
            <w:tcW w:w="2551" w:type="dxa"/>
            <w:gridSpan w:val="2"/>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gridBefore w:val="1"/>
          <w:wBefore w:w="28" w:type="dxa"/>
          <w:cantSplit/>
        </w:trPr>
        <w:tc>
          <w:tcPr>
            <w:tcW w:w="7087" w:type="dxa"/>
            <w:gridSpan w:val="8"/>
            <w:shd w:val="clear" w:color="auto" w:fill="auto"/>
          </w:tcPr>
          <w:p>
            <w:pPr>
              <w:pStyle w:val="nTable"/>
              <w:spacing w:after="40"/>
              <w:rPr>
                <w:snapToGrid w:val="0"/>
              </w:rPr>
            </w:pPr>
            <w:r>
              <w:rPr>
                <w:b/>
                <w:snapToGrid w:val="0"/>
              </w:rPr>
              <w:t xml:space="preserve">Reprint 8: The </w:t>
            </w:r>
            <w:r>
              <w:rPr>
                <w:b/>
                <w:i/>
                <w:noProof/>
                <w:snapToGrid w:val="0"/>
              </w:rPr>
              <w:t>Petroleum and Geothermal Energy Resources Act 1967</w:t>
            </w:r>
            <w:r>
              <w:rPr>
                <w:b/>
                <w:snapToGrid w:val="0"/>
              </w:rPr>
              <w:t xml:space="preserve"> as at</w:t>
            </w:r>
            <w:r>
              <w:rPr>
                <w:b/>
                <w:snapToGrid w:val="0"/>
              </w:rPr>
              <w:br/>
              <w:t>15 Jan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2268" w:type="dxa"/>
            <w:gridSpan w:val="2"/>
            <w:tcBorders>
              <w:bottom w:val="single" w:sz="4" w:space="0" w:color="auto"/>
            </w:tcBorders>
            <w:shd w:val="clear" w:color="auto" w:fill="auto"/>
          </w:tcPr>
          <w:p>
            <w:pPr>
              <w:pStyle w:val="nTable"/>
              <w:spacing w:after="40"/>
              <w:ind w:right="113"/>
              <w:rPr>
                <w:snapToGrid w:val="0"/>
              </w:rPr>
            </w:pPr>
            <w:r>
              <w:rPr>
                <w:i/>
                <w:snapToGrid w:val="0"/>
              </w:rPr>
              <w:t>Petroleum Legislation Amendment Act 2017</w:t>
            </w:r>
            <w:r>
              <w:rPr>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t>7 of 2017</w:t>
            </w:r>
          </w:p>
        </w:tc>
        <w:tc>
          <w:tcPr>
            <w:tcW w:w="1134" w:type="dxa"/>
            <w:gridSpan w:val="2"/>
            <w:tcBorders>
              <w:bottom w:val="single" w:sz="4" w:space="0" w:color="auto"/>
            </w:tcBorders>
            <w:shd w:val="clear" w:color="auto" w:fill="auto"/>
          </w:tcPr>
          <w:p>
            <w:pPr>
              <w:pStyle w:val="nTable"/>
              <w:spacing w:after="40"/>
              <w:rPr>
                <w:snapToGrid w:val="0"/>
              </w:rPr>
            </w:pPr>
            <w:r>
              <w:t>14 Sep 2017</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15 Nov 2017 (see s. 2(b) and </w:t>
            </w:r>
            <w:r>
              <w:rPr>
                <w:i/>
                <w:snapToGrid w:val="0"/>
              </w:rPr>
              <w:t>Gazette</w:t>
            </w:r>
            <w:r>
              <w:rPr>
                <w:snapToGrid w:val="0"/>
              </w:rPr>
              <w:t xml:space="preserve"> 14 Nov 2017 p. 5597)</w:t>
            </w:r>
          </w:p>
        </w:tc>
      </w:tr>
    </w:tbl>
    <w:p>
      <w:pPr>
        <w:pStyle w:val="nHeading3"/>
      </w:pPr>
      <w:bookmarkStart w:id="397" w:name="_Toc33609388"/>
      <w:r>
        <w:t>Uncommenced provisions table</w:t>
      </w:r>
      <w:bookmarkEnd w:id="397"/>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
                <w:vertAlign w:val="superscript"/>
              </w:rPr>
            </w:pPr>
            <w:r>
              <w:rPr>
                <w:i/>
                <w:snapToGrid w:val="0"/>
              </w:rPr>
              <w:t>Native Title (State Provisions) Act 1999</w:t>
            </w:r>
            <w:r>
              <w:rPr>
                <w:snapToGrid w:val="0"/>
              </w:rPr>
              <w:t xml:space="preserve"> Sch. 2 Div. 7</w:t>
            </w:r>
          </w:p>
        </w:tc>
        <w:tc>
          <w:tcPr>
            <w:tcW w:w="1134" w:type="dxa"/>
            <w:tcBorders>
              <w:top w:val="single" w:sz="8" w:space="0" w:color="auto"/>
              <w:bottom w:val="single" w:sz="8" w:space="0" w:color="auto"/>
            </w:tcBorders>
            <w:shd w:val="clear" w:color="auto" w:fill="auto"/>
          </w:tcPr>
          <w:p>
            <w:pPr>
              <w:pStyle w:val="nTable"/>
              <w:spacing w:after="40"/>
            </w:pPr>
            <w:r>
              <w:t>60 of 1999</w:t>
            </w:r>
          </w:p>
        </w:tc>
        <w:tc>
          <w:tcPr>
            <w:tcW w:w="1134" w:type="dxa"/>
            <w:tcBorders>
              <w:top w:val="single" w:sz="8" w:space="0" w:color="auto"/>
              <w:bottom w:val="single" w:sz="8" w:space="0" w:color="auto"/>
            </w:tcBorders>
            <w:shd w:val="clear" w:color="auto" w:fill="auto"/>
          </w:tcPr>
          <w:p>
            <w:pPr>
              <w:pStyle w:val="nTable"/>
              <w:spacing w:after="40"/>
            </w:pPr>
            <w:r>
              <w:t>10 Jan 2000</w:t>
            </w:r>
          </w:p>
        </w:tc>
        <w:tc>
          <w:tcPr>
            <w:tcW w:w="2552" w:type="dxa"/>
            <w:tcBorders>
              <w:top w:val="single" w:sz="8" w:space="0" w:color="auto"/>
              <w:bottom w:val="single" w:sz="8" w:space="0" w:color="auto"/>
            </w:tcBorders>
            <w:shd w:val="clear" w:color="auto" w:fill="auto"/>
          </w:tcPr>
          <w:p>
            <w:pPr>
              <w:pStyle w:val="nTable"/>
              <w:spacing w:after="40"/>
            </w:pPr>
            <w:r>
              <w:t>s. 7.3 operative on earliest of commencement of Pt. 2 (except s. 2.2), Pt. 3 (except s. 3.1) and Pt. 4</w:t>
            </w:r>
          </w:p>
        </w:tc>
      </w:tr>
    </w:tbl>
    <w:p>
      <w:pPr>
        <w:pStyle w:val="nHeading3"/>
      </w:pPr>
      <w:bookmarkStart w:id="398" w:name="_Toc33609389"/>
      <w:r>
        <w:t>Other notes</w:t>
      </w:r>
      <w:bookmarkEnd w:id="398"/>
    </w:p>
    <w:p>
      <w:pPr>
        <w:pStyle w:val="nNote"/>
        <w:spacing w:before="160"/>
        <w:rPr>
          <w:snapToGrid w:val="0"/>
        </w:rPr>
      </w:pPr>
      <w:r>
        <w:rPr>
          <w:snapToGrid w:val="0"/>
          <w:vertAlign w:val="superscript"/>
        </w:rPr>
        <w:t>1</w:t>
      </w:r>
      <w:r>
        <w:rPr>
          <w:snapToGrid w:val="0"/>
        </w:rPr>
        <w:tab/>
        <w:t xml:space="preserve">The </w:t>
      </w:r>
      <w:r>
        <w:rPr>
          <w:i/>
        </w:rPr>
        <w:t>Petroleum Act 1936</w:t>
      </w:r>
      <w:r>
        <w:rPr>
          <w:snapToGrid w:val="0"/>
        </w:rPr>
        <w:t xml:space="preserve"> was repealed by this Act, s. 3.</w:t>
      </w:r>
    </w:p>
    <w:p>
      <w:pPr>
        <w:pStyle w:val="nNote"/>
        <w:rPr>
          <w:snapToGrid w:val="0"/>
        </w:rPr>
      </w:pPr>
      <w:r>
        <w:rPr>
          <w:snapToGrid w:val="0"/>
          <w:vertAlign w:val="superscript"/>
        </w:rPr>
        <w:t>2</w:t>
      </w:r>
      <w:r>
        <w:rPr>
          <w:snapToGrid w:val="0"/>
        </w:rPr>
        <w:tab/>
        <w:t xml:space="preserve">The </w:t>
      </w:r>
      <w:r>
        <w:rPr>
          <w:i/>
          <w:snapToGrid w:val="0"/>
        </w:rPr>
        <w:t>Interpretation Act 1918</w:t>
      </w:r>
      <w:r>
        <w:rPr>
          <w:snapToGrid w:val="0"/>
        </w:rPr>
        <w:t xml:space="preserve"> was 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Note"/>
        <w:rPr>
          <w:iCs/>
        </w:rPr>
      </w:pPr>
      <w:r>
        <w:rPr>
          <w:vertAlign w:val="superscript"/>
        </w:rPr>
        <w:t>3</w:t>
      </w:r>
      <w:r>
        <w:tab/>
        <w:t xml:space="preserve">Now known as the </w:t>
      </w:r>
      <w:r>
        <w:rPr>
          <w:i/>
          <w:noProof/>
          <w:snapToGrid w:val="0"/>
        </w:rPr>
        <w:t>Petroleum and Geothermal Energy Resources Act 1967</w:t>
      </w:r>
      <w:r>
        <w:rPr>
          <w:noProof/>
          <w:snapToGrid w:val="0"/>
        </w:rPr>
        <w:t>; short title changed</w:t>
      </w:r>
      <w:r>
        <w:rPr>
          <w:iCs/>
          <w:noProof/>
          <w:snapToGrid w:val="0"/>
        </w:rPr>
        <w:t xml:space="preserve"> (see note under s. 1).</w:t>
      </w:r>
    </w:p>
    <w:p>
      <w:pPr>
        <w:pStyle w:val="nNote"/>
        <w:rPr>
          <w:snapToGrid w:val="0"/>
        </w:rPr>
      </w:pPr>
      <w:r>
        <w:rPr>
          <w:snapToGrid w:val="0"/>
          <w:vertAlign w:val="superscript"/>
        </w:rPr>
        <w:t>5</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Note"/>
        <w:rPr>
          <w:snapToGrid w:val="0"/>
        </w:rPr>
      </w:pPr>
      <w:r>
        <w:rPr>
          <w:snapToGrid w:val="0"/>
          <w:vertAlign w:val="superscript"/>
        </w:rPr>
        <w:t>6</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Note"/>
        <w:keepNext/>
        <w:ind w:left="459" w:hanging="459"/>
        <w:rPr>
          <w:snapToGrid w:val="0"/>
        </w:rPr>
      </w:pPr>
      <w:r>
        <w:rPr>
          <w:snapToGrid w:val="0"/>
          <w:vertAlign w:val="superscript"/>
        </w:rPr>
        <w:t>7</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Note"/>
        <w:keepNext/>
        <w:rPr>
          <w:snapToGrid w:val="0"/>
        </w:rPr>
      </w:pPr>
      <w:r>
        <w:rPr>
          <w:snapToGrid w:val="0"/>
          <w:vertAlign w:val="superscript"/>
        </w:rPr>
        <w:t>8</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keepNext/>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Note"/>
        <w:keepNext/>
        <w:keepLines/>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Note"/>
        <w:keepNext/>
        <w:rPr>
          <w:snapToGrid w:val="0"/>
        </w:rPr>
      </w:pPr>
      <w:r>
        <w:rPr>
          <w:snapToGrid w:val="0"/>
          <w:vertAlign w:val="superscript"/>
        </w:rPr>
        <w:t>10</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Note"/>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Note"/>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keepNext/>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Note"/>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Note"/>
        <w:keepNext/>
        <w:keepLines/>
        <w:rPr>
          <w:snapToGrid w:val="0"/>
        </w:rPr>
      </w:pPr>
      <w:r>
        <w:rPr>
          <w:snapToGrid w:val="0"/>
          <w:vertAlign w:val="superscript"/>
        </w:rPr>
        <w:t>14</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keepNext/>
        <w:keepLines/>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Note"/>
        <w:keepNext/>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Note"/>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Note"/>
        <w:keepNext/>
        <w:keepLines/>
      </w:pPr>
      <w:r>
        <w:rPr>
          <w:snapToGrid w:val="0"/>
          <w:vertAlign w:val="superscript"/>
        </w:rPr>
        <w:t>17</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the Barrow Island lease.</w:t>
      </w:r>
    </w:p>
    <w:p>
      <w:pPr>
        <w:pStyle w:val="nzSubsection"/>
        <w:rPr>
          <w:snapToGrid w:val="0"/>
        </w:rPr>
      </w:pPr>
      <w:r>
        <w:rPr>
          <w:snapToGrid w:val="0"/>
        </w:rPr>
        <w:tab/>
        <w:t>(3)</w:t>
      </w:r>
      <w:r>
        <w:rPr>
          <w:snapToGrid w:val="0"/>
        </w:rPr>
        <w:tab/>
        <w:t>In subsection (2) —</w:t>
      </w:r>
    </w:p>
    <w:p>
      <w:pPr>
        <w:pStyle w:val="nzDefstart"/>
      </w:pPr>
      <w:r>
        <w:rPr>
          <w:b/>
        </w:rPr>
        <w:tab/>
      </w:r>
      <w:r>
        <w:rPr>
          <w:b/>
          <w:i/>
          <w:iCs/>
        </w:rPr>
        <w:t>Barrow Island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Note"/>
      </w:pPr>
      <w:r>
        <w:rPr>
          <w:vertAlign w:val="superscript"/>
        </w:rPr>
        <w:t>18</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Note"/>
        <w:rPr>
          <w:iCs/>
        </w:rPr>
      </w:pPr>
      <w:r>
        <w:rPr>
          <w:vertAlign w:val="superscript"/>
        </w:rPr>
        <w:t>19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400" w:name="_Toc33609037"/>
      <w:bookmarkStart w:id="401" w:name="_Toc33609390"/>
      <w:r>
        <w:rPr>
          <w:sz w:val="28"/>
        </w:rPr>
        <w:t>Defined terms</w:t>
      </w:r>
      <w:bookmarkEnd w:id="400"/>
      <w:bookmarkEnd w:id="4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authority</w:t>
      </w:r>
      <w:r>
        <w:tab/>
        <w:t>5(1)</w:t>
      </w:r>
    </w:p>
    <w:p>
      <w:pPr>
        <w:pStyle w:val="DefinedTerms"/>
      </w:pPr>
      <w:r>
        <w:t>access authority area</w:t>
      </w:r>
      <w:r>
        <w:tab/>
        <w:t>7A(2), 7B(2)</w:t>
      </w:r>
    </w:p>
    <w:p>
      <w:pPr>
        <w:pStyle w:val="DefinedTerms"/>
      </w:pPr>
      <w:r>
        <w:t>accident</w:t>
      </w:r>
      <w:r>
        <w:tab/>
        <w:t>Sch. 1 cl. 3</w:t>
      </w:r>
    </w:p>
    <w:p>
      <w:pPr>
        <w:pStyle w:val="DefinedTerms"/>
      </w:pPr>
      <w:r>
        <w:t>actual supplier</w:t>
      </w:r>
      <w:r>
        <w:tab/>
        <w:t>Sch. 1 cl. 11(2)</w:t>
      </w:r>
    </w:p>
    <w:p>
      <w:pPr>
        <w:pStyle w:val="DefinedTerms"/>
      </w:pPr>
      <w:r>
        <w:t>affected area</w:t>
      </w:r>
      <w:r>
        <w:tab/>
        <w:t>6A(3)</w:t>
      </w:r>
    </w:p>
    <w:p>
      <w:pPr>
        <w:pStyle w:val="DefinedTerms"/>
      </w:pPr>
      <w:r>
        <w:t>affected lessee</w:t>
      </w:r>
      <w:r>
        <w:tab/>
        <w:t>24(1)</w:t>
      </w:r>
    </w:p>
    <w:p>
      <w:pPr>
        <w:pStyle w:val="DefinedTerms"/>
      </w:pPr>
      <w:r>
        <w:t>amending Act</w:t>
      </w:r>
      <w:r>
        <w:tab/>
        <w:t>154(3), Sch. 2 cl. 1</w:t>
      </w:r>
    </w:p>
    <w:p>
      <w:pPr>
        <w:pStyle w:val="DefinedTerms"/>
      </w:pPr>
      <w:r>
        <w:t>applicable document</w:t>
      </w:r>
      <w:r>
        <w:tab/>
        <w:t>150A</w:t>
      </w:r>
    </w:p>
    <w:p>
      <w:pPr>
        <w:pStyle w:val="DefinedTerms"/>
      </w:pPr>
      <w:r>
        <w:t>application for a primary licence</w:t>
      </w:r>
      <w:r>
        <w:tab/>
        <w:t>5(1)</w:t>
      </w:r>
    </w:p>
    <w:p>
      <w:pPr>
        <w:pStyle w:val="DefinedTerms"/>
      </w:pPr>
      <w:r>
        <w:t>application for a secondary licence</w:t>
      </w:r>
      <w:r>
        <w:tab/>
        <w:t>5(1)</w:t>
      </w:r>
    </w:p>
    <w:p>
      <w:pPr>
        <w:pStyle w:val="DefinedTerms"/>
      </w:pPr>
      <w:r>
        <w:t>apportionment provision</w:t>
      </w:r>
      <w:r>
        <w:tab/>
        <w:t>7B(8) and (12)</w:t>
      </w:r>
    </w:p>
    <w:p>
      <w:pPr>
        <w:pStyle w:val="DefinedTerms"/>
      </w:pPr>
      <w:r>
        <w:t>approved</w:t>
      </w:r>
      <w:r>
        <w:tab/>
        <w:t>5(1)</w:t>
      </w:r>
    </w:p>
    <w:p>
      <w:pPr>
        <w:pStyle w:val="DefinedTerms"/>
      </w:pPr>
      <w:r>
        <w:t>approved development plan</w:t>
      </w:r>
      <w:r>
        <w:tab/>
        <w:t>5(1)</w:t>
      </w:r>
    </w:p>
    <w:p>
      <w:pPr>
        <w:pStyle w:val="DefinedTerms"/>
      </w:pPr>
      <w:r>
        <w:t>area to which the surrender relates</w:t>
      </w:r>
      <w:r>
        <w:tab/>
        <w:t>98(5)</w:t>
      </w:r>
    </w:p>
    <w:p>
      <w:pPr>
        <w:pStyle w:val="DefinedTerms"/>
      </w:pPr>
      <w:r>
        <w:t>Australian Standard</w:t>
      </w:r>
      <w:r>
        <w:tab/>
        <w:t>126A(4)</w:t>
      </w:r>
    </w:p>
    <w:p>
      <w:pPr>
        <w:pStyle w:val="DefinedTerms"/>
      </w:pPr>
      <w:r>
        <w:t>Australian/New Zealand Standard</w:t>
      </w:r>
      <w:r>
        <w:tab/>
        <w:t>126A(4)</w:t>
      </w:r>
    </w:p>
    <w:p>
      <w:pPr>
        <w:pStyle w:val="DefinedTerms"/>
      </w:pPr>
      <w:r>
        <w:t>authorisation</w:t>
      </w:r>
      <w:r>
        <w:tab/>
        <w:t>24A(3)</w:t>
      </w:r>
    </w:p>
    <w:p>
      <w:pPr>
        <w:pStyle w:val="DefinedTerms"/>
      </w:pPr>
      <w:r>
        <w:t>Barrow Island lease</w:t>
      </w:r>
      <w:r>
        <w:tab/>
        <w:t>5(1), 128</w:t>
      </w:r>
    </w:p>
    <w:p>
      <w:pPr>
        <w:pStyle w:val="DefinedTerms"/>
      </w:pPr>
      <w:r>
        <w:t>block</w:t>
      </w:r>
      <w:r>
        <w:tab/>
        <w:t>5(1)</w:t>
      </w:r>
    </w:p>
    <w:p>
      <w:pPr>
        <w:pStyle w:val="DefinedTerms"/>
      </w:pPr>
      <w:r>
        <w:t>boundary-change permit</w:t>
      </w:r>
      <w:r>
        <w:tab/>
        <w:t>5(1)</w:t>
      </w:r>
    </w:p>
    <w:p>
      <w:pPr>
        <w:pStyle w:val="DefinedTerms"/>
      </w:pPr>
      <w:r>
        <w:t>CEO</w:t>
      </w:r>
      <w:r>
        <w:tab/>
        <w:t>126A(4)</w:t>
      </w:r>
    </w:p>
    <w:p>
      <w:pPr>
        <w:pStyle w:val="DefinedTerms"/>
      </w:pPr>
      <w:r>
        <w:t>charge</w:t>
      </w:r>
      <w:r>
        <w:tab/>
        <w:t>75(15)</w:t>
      </w:r>
    </w:p>
    <w:p>
      <w:pPr>
        <w:pStyle w:val="DefinedTerms"/>
      </w:pPr>
      <w:r>
        <w:t>commencement</w:t>
      </w:r>
      <w:r>
        <w:tab/>
        <w:t>150A</w:t>
      </w:r>
    </w:p>
    <w:p>
      <w:pPr>
        <w:pStyle w:val="DefinedTerms"/>
      </w:pPr>
      <w:r>
        <w:t>commencement day</w:t>
      </w:r>
      <w:r>
        <w:tab/>
        <w:t>41(9), 42A(1), 56(9)</w:t>
      </w:r>
    </w:p>
    <w:p>
      <w:pPr>
        <w:pStyle w:val="DefinedTerms"/>
      </w:pPr>
      <w:r>
        <w:t>commencing day</w:t>
      </w:r>
      <w:r>
        <w:tab/>
        <w:t>128</w:t>
      </w:r>
    </w:p>
    <w:p>
      <w:pPr>
        <w:pStyle w:val="DefinedTerms"/>
      </w:pPr>
      <w:r>
        <w:t>Commonwealth Act</w:t>
      </w:r>
      <w:r>
        <w:tab/>
        <w:t>5(1)</w:t>
      </w:r>
    </w:p>
    <w:p>
      <w:pPr>
        <w:pStyle w:val="DefinedTerms"/>
      </w:pPr>
      <w:r>
        <w:t>Commonwealth instrument</w:t>
      </w:r>
      <w:r>
        <w:tab/>
        <w:t>6A(1)</w:t>
      </w:r>
    </w:p>
    <w:p>
      <w:pPr>
        <w:pStyle w:val="DefinedTerms"/>
      </w:pPr>
      <w:r>
        <w:t>Commonwealth lease</w:t>
      </w:r>
      <w:r>
        <w:tab/>
        <w:t>5(1)</w:t>
      </w:r>
    </w:p>
    <w:p>
      <w:pPr>
        <w:pStyle w:val="DefinedTerms"/>
      </w:pPr>
      <w:r>
        <w:t>Commonwealth licence</w:t>
      </w:r>
      <w:r>
        <w:tab/>
        <w:t>5(1)</w:t>
      </w:r>
    </w:p>
    <w:p>
      <w:pPr>
        <w:pStyle w:val="DefinedTerms"/>
      </w:pPr>
      <w:r>
        <w:t>Commonwealth permit</w:t>
      </w:r>
      <w:r>
        <w:tab/>
        <w:t>5(1)</w:t>
      </w:r>
    </w:p>
    <w:p>
      <w:pPr>
        <w:pStyle w:val="DefinedTerms"/>
      </w:pPr>
      <w:r>
        <w:t>Commonwealth title</w:t>
      </w:r>
      <w:r>
        <w:tab/>
        <w:t>97A(1)</w:t>
      </w:r>
    </w:p>
    <w:p>
      <w:pPr>
        <w:pStyle w:val="DefinedTerms"/>
      </w:pPr>
      <w:r>
        <w:t>compensable lessee</w:t>
      </w:r>
      <w:r>
        <w:tab/>
        <w:t>21(1)</w:t>
      </w:r>
    </w:p>
    <w:p>
      <w:pPr>
        <w:pStyle w:val="DefinedTerms"/>
      </w:pPr>
      <w:r>
        <w:t>construct</w:t>
      </w:r>
      <w:r>
        <w:tab/>
        <w:t>5(1)</w:t>
      </w:r>
    </w:p>
    <w:p>
      <w:pPr>
        <w:pStyle w:val="DefinedTerms"/>
      </w:pPr>
      <w:r>
        <w:t>construction</w:t>
      </w:r>
      <w:r>
        <w:tab/>
        <w:t>5(1)</w:t>
      </w:r>
    </w:p>
    <w:p>
      <w:pPr>
        <w:pStyle w:val="DefinedTerms"/>
      </w:pPr>
      <w:r>
        <w:t>contract</w:t>
      </w:r>
      <w:r>
        <w:tab/>
        <w:t>Sch. 1 cl. 3</w:t>
      </w:r>
    </w:p>
    <w:p>
      <w:pPr>
        <w:pStyle w:val="DefinedTerms"/>
      </w:pPr>
      <w:r>
        <w:t>contractor</w:t>
      </w:r>
      <w:r>
        <w:tab/>
        <w:t>Sch. 1 cl. 3</w:t>
      </w:r>
    </w:p>
    <w:p>
      <w:pPr>
        <w:pStyle w:val="DefinedTerms"/>
      </w:pPr>
      <w:r>
        <w:t>court</w:t>
      </w:r>
      <w:r>
        <w:tab/>
        <w:t>126(2)</w:t>
      </w:r>
    </w:p>
    <w:p>
      <w:pPr>
        <w:pStyle w:val="DefinedTerms"/>
      </w:pPr>
      <w:r>
        <w:t>Crown land</w:t>
      </w:r>
      <w:r>
        <w:tab/>
        <w:t>5(1)</w:t>
      </w:r>
    </w:p>
    <w:p>
      <w:pPr>
        <w:pStyle w:val="DefinedTerms"/>
      </w:pPr>
      <w:r>
        <w:t>dangerous occurrence</w:t>
      </w:r>
      <w:r>
        <w:tab/>
        <w:t>Sch. 1 cl. 3</w:t>
      </w:r>
    </w:p>
    <w:p>
      <w:pPr>
        <w:pStyle w:val="DefinedTerms"/>
      </w:pPr>
      <w:r>
        <w:t>dealing</w:t>
      </w:r>
      <w:r>
        <w:tab/>
        <w:t>69(10)</w:t>
      </w:r>
    </w:p>
    <w:p>
      <w:pPr>
        <w:pStyle w:val="DefinedTerms"/>
      </w:pPr>
      <w:r>
        <w:t>debenture</w:t>
      </w:r>
      <w:r>
        <w:tab/>
        <w:t>75(15)</w:t>
      </w:r>
    </w:p>
    <w:p>
      <w:pPr>
        <w:pStyle w:val="DefinedTerms"/>
      </w:pPr>
      <w:r>
        <w:t>designated work group</w:t>
      </w:r>
      <w:r>
        <w:tab/>
        <w:t>Sch. 1 cl. 3</w:t>
      </w:r>
    </w:p>
    <w:p>
      <w:pPr>
        <w:pStyle w:val="DefinedTerms"/>
      </w:pPr>
      <w:r>
        <w:t>document</w:t>
      </w:r>
      <w:r>
        <w:tab/>
        <w:t>5(1)</w:t>
      </w:r>
    </w:p>
    <w:p>
      <w:pPr>
        <w:pStyle w:val="DefinedTerms"/>
      </w:pPr>
      <w:r>
        <w:t>documentary information</w:t>
      </w:r>
      <w:r>
        <w:tab/>
        <w:t>150A</w:t>
      </w:r>
    </w:p>
    <w:p>
      <w:pPr>
        <w:pStyle w:val="DefinedTerms"/>
      </w:pPr>
      <w:r>
        <w:t>drilling reservation</w:t>
      </w:r>
      <w:r>
        <w:tab/>
        <w:t>5(1)</w:t>
      </w:r>
    </w:p>
    <w:p>
      <w:pPr>
        <w:pStyle w:val="DefinedTerms"/>
      </w:pPr>
      <w:r>
        <w:t>drilling reservation application</w:t>
      </w:r>
      <w:r>
        <w:tab/>
        <w:t>43DA(1)</w:t>
      </w:r>
    </w:p>
    <w:p>
      <w:pPr>
        <w:pStyle w:val="DefinedTerms"/>
      </w:pPr>
      <w:r>
        <w:t>employee</w:t>
      </w:r>
      <w:r>
        <w:tab/>
        <w:t>Sch. 1 cl. 3</w:t>
      </w:r>
    </w:p>
    <w:p>
      <w:pPr>
        <w:pStyle w:val="DefinedTerms"/>
      </w:pPr>
      <w:r>
        <w:t>employer</w:t>
      </w:r>
      <w:r>
        <w:tab/>
        <w:t>Sch. 1 cl. 3</w:t>
      </w:r>
    </w:p>
    <w:p>
      <w:pPr>
        <w:pStyle w:val="DefinedTerms"/>
      </w:pPr>
      <w:r>
        <w:t>equipment supplier</w:t>
      </w:r>
      <w:r>
        <w:tab/>
        <w:t>Sch. 1 cl. 13(1)</w:t>
      </w:r>
    </w:p>
    <w:p>
      <w:pPr>
        <w:pStyle w:val="DefinedTerms"/>
      </w:pPr>
      <w:r>
        <w:t>explore for</w:t>
      </w:r>
      <w:r>
        <w:tab/>
        <w:t>29(3)</w:t>
      </w:r>
    </w:p>
    <w:p>
      <w:pPr>
        <w:pStyle w:val="DefinedTerms"/>
      </w:pPr>
      <w:r>
        <w:t xml:space="preserve">facility </w:t>
      </w:r>
      <w:r>
        <w:tab/>
        <w:t>5(1)</w:t>
      </w:r>
    </w:p>
    <w:p>
      <w:pPr>
        <w:pStyle w:val="DefinedTerms"/>
      </w:pPr>
      <w:r>
        <w:t>federal duty</w:t>
      </w:r>
      <w:r>
        <w:tab/>
        <w:t>144A(3)</w:t>
      </w:r>
    </w:p>
    <w:p>
      <w:pPr>
        <w:pStyle w:val="DefinedTerms"/>
      </w:pPr>
      <w:r>
        <w:t>fixed</w:t>
      </w:r>
      <w:r>
        <w:noBreakHyphen/>
        <w:t>term WA petroleum production licence</w:t>
      </w:r>
      <w:r>
        <w:tab/>
        <w:t>97A(1)</w:t>
      </w:r>
    </w:p>
    <w:p>
      <w:pPr>
        <w:pStyle w:val="DefinedTerms"/>
      </w:pPr>
      <w:r>
        <w:t>former area</w:t>
      </w:r>
      <w:r>
        <w:tab/>
        <w:t>133(2)</w:t>
      </w:r>
    </w:p>
    <w:p>
      <w:pPr>
        <w:pStyle w:val="DefinedTerms"/>
      </w:pPr>
      <w:r>
        <w:t>former provisions</w:t>
      </w:r>
      <w:r>
        <w:tab/>
        <w:t>128</w:t>
      </w:r>
    </w:p>
    <w:p>
      <w:pPr>
        <w:pStyle w:val="DefinedTerms"/>
      </w:pPr>
      <w:r>
        <w:t>Gazettal day</w:t>
      </w:r>
      <w:r>
        <w:tab/>
        <w:t>154(1)</w:t>
      </w:r>
    </w:p>
    <w:p>
      <w:pPr>
        <w:pStyle w:val="DefinedTerms"/>
      </w:pPr>
      <w:r>
        <w:t>geothermal access authority</w:t>
      </w:r>
      <w:r>
        <w:tab/>
        <w:t>5(1)</w:t>
      </w:r>
    </w:p>
    <w:p>
      <w:pPr>
        <w:pStyle w:val="DefinedTerms"/>
      </w:pPr>
      <w:r>
        <w:t>geothermal drilling reservation</w:t>
      </w:r>
      <w:r>
        <w:tab/>
        <w:t>5(1)</w:t>
      </w:r>
    </w:p>
    <w:p>
      <w:pPr>
        <w:pStyle w:val="DefinedTerms"/>
      </w:pPr>
      <w:r>
        <w:t>geothermal energy</w:t>
      </w:r>
      <w:r>
        <w:tab/>
        <w:t>5(1)</w:t>
      </w:r>
    </w:p>
    <w:p>
      <w:pPr>
        <w:pStyle w:val="DefinedTerms"/>
      </w:pPr>
      <w:r>
        <w:t>geothermal energy operation</w:t>
      </w:r>
      <w:r>
        <w:tab/>
        <w:t>5(1)</w:t>
      </w:r>
    </w:p>
    <w:p>
      <w:pPr>
        <w:pStyle w:val="DefinedTerms"/>
      </w:pPr>
      <w:r>
        <w:t>geothermal energy resources</w:t>
      </w:r>
      <w:r>
        <w:tab/>
        <w:t>5(1)</w:t>
      </w:r>
    </w:p>
    <w:p>
      <w:pPr>
        <w:pStyle w:val="DefinedTerms"/>
      </w:pPr>
      <w:r>
        <w:t>geothermal exploration permit</w:t>
      </w:r>
      <w:r>
        <w:tab/>
        <w:t>5(1)</w:t>
      </w:r>
    </w:p>
    <w:p>
      <w:pPr>
        <w:pStyle w:val="DefinedTerms"/>
      </w:pPr>
      <w:r>
        <w:t>geothermal lease area</w:t>
      </w:r>
      <w:r>
        <w:tab/>
        <w:t>5(1)</w:t>
      </w:r>
    </w:p>
    <w:p>
      <w:pPr>
        <w:pStyle w:val="DefinedTerms"/>
      </w:pPr>
      <w:r>
        <w:t>geothermal lessee</w:t>
      </w:r>
      <w:r>
        <w:tab/>
        <w:t>5(1)</w:t>
      </w:r>
    </w:p>
    <w:p>
      <w:pPr>
        <w:pStyle w:val="DefinedTerms"/>
      </w:pPr>
      <w:r>
        <w:t>geothermal licensee</w:t>
      </w:r>
      <w:r>
        <w:tab/>
        <w:t>5(1)</w:t>
      </w:r>
    </w:p>
    <w:p>
      <w:pPr>
        <w:pStyle w:val="DefinedTerms"/>
      </w:pPr>
      <w:r>
        <w:t>geothermal permit area</w:t>
      </w:r>
      <w:r>
        <w:tab/>
        <w:t>5(1)</w:t>
      </w:r>
    </w:p>
    <w:p>
      <w:pPr>
        <w:pStyle w:val="DefinedTerms"/>
      </w:pPr>
      <w:r>
        <w:t>geothermal permittee</w:t>
      </w:r>
      <w:r>
        <w:tab/>
        <w:t>5(1)</w:t>
      </w:r>
    </w:p>
    <w:p>
      <w:pPr>
        <w:pStyle w:val="DefinedTerms"/>
      </w:pPr>
      <w:r>
        <w:t>geothermal production licence</w:t>
      </w:r>
      <w:r>
        <w:tab/>
        <w:t>5(1)</w:t>
      </w:r>
    </w:p>
    <w:p>
      <w:pPr>
        <w:pStyle w:val="DefinedTerms"/>
      </w:pPr>
      <w:r>
        <w:t>geothermal resources area</w:t>
      </w:r>
      <w:r>
        <w:tab/>
        <w:t>5(1)</w:t>
      </w:r>
    </w:p>
    <w:p>
      <w:pPr>
        <w:pStyle w:val="DefinedTerms"/>
      </w:pPr>
      <w:r>
        <w:t>geothermal retention lease</w:t>
      </w:r>
      <w:r>
        <w:tab/>
        <w:t>5(1)</w:t>
      </w:r>
    </w:p>
    <w:p>
      <w:pPr>
        <w:pStyle w:val="DefinedTerms"/>
      </w:pPr>
      <w:r>
        <w:t>geothermal special prospecting authority</w:t>
      </w:r>
      <w:r>
        <w:tab/>
        <w:t>5(1)</w:t>
      </w:r>
    </w:p>
    <w:p>
      <w:pPr>
        <w:pStyle w:val="DefinedTerms"/>
      </w:pPr>
      <w:r>
        <w:t>geothermal title</w:t>
      </w:r>
      <w:r>
        <w:tab/>
        <w:t>69A(1), 106(13)</w:t>
      </w:r>
    </w:p>
    <w:p>
      <w:pPr>
        <w:pStyle w:val="DefinedTerms"/>
      </w:pPr>
      <w:r>
        <w:t>good oil</w:t>
      </w:r>
      <w:r>
        <w:noBreakHyphen/>
        <w:t>field practice</w:t>
      </w:r>
      <w:r>
        <w:tab/>
        <w:t>5(1)</w:t>
      </w:r>
    </w:p>
    <w:p>
      <w:pPr>
        <w:pStyle w:val="DefinedTerms"/>
      </w:pPr>
      <w:r>
        <w:t>granted</w:t>
      </w:r>
      <w:r>
        <w:tab/>
        <w:t>5(1)</w:t>
      </w:r>
    </w:p>
    <w:p>
      <w:pPr>
        <w:pStyle w:val="DefinedTerms"/>
      </w:pPr>
      <w:r>
        <w:t>graticular section</w:t>
      </w:r>
      <w:r>
        <w:tab/>
        <w:t>5(1)</w:t>
      </w:r>
    </w:p>
    <w:p>
      <w:pPr>
        <w:pStyle w:val="DefinedTerms"/>
      </w:pPr>
      <w:r>
        <w:t>group member</w:t>
      </w:r>
      <w:r>
        <w:tab/>
        <w:t>Sch. 1 cl. 3</w:t>
      </w:r>
    </w:p>
    <w:p>
      <w:pPr>
        <w:pStyle w:val="DefinedTerms"/>
      </w:pPr>
      <w:r>
        <w:t>holder</w:t>
      </w:r>
      <w:r>
        <w:tab/>
        <w:t>91B(1)</w:t>
      </w:r>
    </w:p>
    <w:p>
      <w:pPr>
        <w:pStyle w:val="DefinedTerms"/>
      </w:pPr>
      <w:r>
        <w:t>holder of a drilling reservation</w:t>
      </w:r>
      <w:r>
        <w:tab/>
        <w:t>5(1)</w:t>
      </w:r>
    </w:p>
    <w:p>
      <w:pPr>
        <w:pStyle w:val="DefinedTerms"/>
      </w:pPr>
      <w:r>
        <w:t>improvement notice</w:t>
      </w:r>
      <w:r>
        <w:tab/>
        <w:t>Sch. 1 cl. 3</w:t>
      </w:r>
    </w:p>
    <w:p>
      <w:pPr>
        <w:pStyle w:val="DefinedTerms"/>
      </w:pPr>
      <w:r>
        <w:t>inshore area</w:t>
      </w:r>
      <w:r>
        <w:tab/>
        <w:t>6A(1)</w:t>
      </w:r>
    </w:p>
    <w:p>
      <w:pPr>
        <w:pStyle w:val="DefinedTerms"/>
      </w:pPr>
      <w:r>
        <w:t>inspection</w:t>
      </w:r>
      <w:r>
        <w:tab/>
        <w:t>Sch. 1 cl. 3</w:t>
      </w:r>
    </w:p>
    <w:p>
      <w:pPr>
        <w:pStyle w:val="DefinedTerms"/>
      </w:pPr>
      <w:r>
        <w:t>inspector</w:t>
      </w:r>
      <w:r>
        <w:tab/>
        <w:t>5(1)</w:t>
      </w:r>
    </w:p>
    <w:p>
      <w:pPr>
        <w:pStyle w:val="DefinedTerms"/>
      </w:pPr>
      <w:r>
        <w:t>Joint Authority</w:t>
      </w:r>
      <w:r>
        <w:tab/>
        <w:t>7B(7), 69(1A)</w:t>
      </w:r>
    </w:p>
    <w:p>
      <w:pPr>
        <w:pStyle w:val="DefinedTerms"/>
      </w:pPr>
      <w:r>
        <w:t>lease</w:t>
      </w:r>
      <w:r>
        <w:tab/>
        <w:t>5(1)</w:t>
      </w:r>
    </w:p>
    <w:p>
      <w:pPr>
        <w:pStyle w:val="DefinedTerms"/>
      </w:pPr>
      <w:r>
        <w:t>lease area</w:t>
      </w:r>
      <w:r>
        <w:tab/>
        <w:t>5(1)</w:t>
      </w:r>
    </w:p>
    <w:p>
      <w:pPr>
        <w:pStyle w:val="DefinedTerms"/>
      </w:pPr>
      <w:r>
        <w:t>lessee</w:t>
      </w:r>
      <w:r>
        <w:tab/>
        <w:t>5(1), 128</w:t>
      </w:r>
    </w:p>
    <w:p>
      <w:pPr>
        <w:pStyle w:val="DefinedTerms"/>
      </w:pPr>
      <w:r>
        <w:t>licence</w:t>
      </w:r>
      <w:r>
        <w:tab/>
        <w:t>5(1)</w:t>
      </w:r>
    </w:p>
    <w:p>
      <w:pPr>
        <w:pStyle w:val="DefinedTerms"/>
      </w:pPr>
      <w:r>
        <w:t>licence area</w:t>
      </w:r>
      <w:r>
        <w:tab/>
        <w:t>5(1)</w:t>
      </w:r>
    </w:p>
    <w:p>
      <w:pPr>
        <w:pStyle w:val="DefinedTerms"/>
      </w:pPr>
      <w:r>
        <w:t>licensee</w:t>
      </w:r>
      <w:r>
        <w:tab/>
        <w:t>5(1)</w:t>
      </w:r>
    </w:p>
    <w:p>
      <w:pPr>
        <w:pStyle w:val="DefinedTerms"/>
      </w:pPr>
      <w:r>
        <w:t>listed OSH law</w:t>
      </w:r>
      <w:r>
        <w:tab/>
        <w:t>5(1)</w:t>
      </w:r>
    </w:p>
    <w:p>
      <w:pPr>
        <w:pStyle w:val="DefinedTerms"/>
      </w:pPr>
      <w:r>
        <w:t>location</w:t>
      </w:r>
      <w:r>
        <w:tab/>
        <w:t>5(1)</w:t>
      </w:r>
    </w:p>
    <w:p>
      <w:pPr>
        <w:pStyle w:val="DefinedTerms"/>
      </w:pPr>
      <w:r>
        <w:t>marine reserve</w:t>
      </w:r>
      <w:r>
        <w:tab/>
        <w:t>28A(3)</w:t>
      </w:r>
    </w:p>
    <w:p>
      <w:pPr>
        <w:pStyle w:val="DefinedTerms"/>
      </w:pPr>
      <w:r>
        <w:t>member of the workforce</w:t>
      </w:r>
      <w:r>
        <w:tab/>
        <w:t>Sch. 1 cl. 3</w:t>
      </w:r>
    </w:p>
    <w:p>
      <w:pPr>
        <w:pStyle w:val="DefinedTerms"/>
      </w:pPr>
      <w:r>
        <w:t>mining sample</w:t>
      </w:r>
      <w:r>
        <w:tab/>
        <w:t>150A</w:t>
      </w:r>
    </w:p>
    <w:p>
      <w:pPr>
        <w:pStyle w:val="DefinedTerms"/>
      </w:pPr>
      <w:r>
        <w:t>Minister of another jurisdiction</w:t>
      </w:r>
      <w:r>
        <w:tab/>
        <w:t>150A</w:t>
      </w:r>
    </w:p>
    <w:p>
      <w:pPr>
        <w:pStyle w:val="DefinedTerms"/>
      </w:pPr>
      <w:r>
        <w:t>native title holders</w:t>
      </w:r>
      <w:r>
        <w:tab/>
        <w:t>24A(3)</w:t>
      </w:r>
    </w:p>
    <w:p>
      <w:pPr>
        <w:pStyle w:val="DefinedTerms"/>
      </w:pPr>
      <w:r>
        <w:t>offshore area</w:t>
      </w:r>
      <w:r>
        <w:tab/>
        <w:t>5(1), 69(1A)</w:t>
      </w:r>
    </w:p>
    <w:p>
      <w:pPr>
        <w:pStyle w:val="DefinedTerms"/>
      </w:pPr>
      <w:r>
        <w:t>oil shale</w:t>
      </w:r>
      <w:r>
        <w:tab/>
        <w:t>5(1)</w:t>
      </w:r>
    </w:p>
    <w:p>
      <w:pPr>
        <w:pStyle w:val="DefinedTerms"/>
      </w:pPr>
      <w:r>
        <w:t>operations area</w:t>
      </w:r>
      <w:r>
        <w:tab/>
        <w:t>92(1)</w:t>
      </w:r>
    </w:p>
    <w:p>
      <w:pPr>
        <w:pStyle w:val="DefinedTerms"/>
      </w:pPr>
      <w:r>
        <w:t>operations to which this Division applies</w:t>
      </w:r>
      <w:r>
        <w:tab/>
        <w:t>128</w:t>
      </w:r>
    </w:p>
    <w:p>
      <w:pPr>
        <w:pStyle w:val="DefinedTerms"/>
      </w:pPr>
      <w:r>
        <w:t>operative day</w:t>
      </w:r>
      <w:r>
        <w:tab/>
        <w:t>154(5)</w:t>
      </w:r>
    </w:p>
    <w:p>
      <w:pPr>
        <w:pStyle w:val="DefinedTerms"/>
      </w:pPr>
      <w:r>
        <w:t>operator</w:t>
      </w:r>
      <w:r>
        <w:tab/>
        <w:t>5(1), 92(1)</w:t>
      </w:r>
    </w:p>
    <w:p>
      <w:pPr>
        <w:pStyle w:val="DefinedTerms"/>
      </w:pPr>
      <w:r>
        <w:t>operator’s representative</w:t>
      </w:r>
      <w:r>
        <w:tab/>
        <w:t>Sch. 1 cl. 3 and 4(1)</w:t>
      </w:r>
    </w:p>
    <w:p>
      <w:pPr>
        <w:pStyle w:val="DefinedTerms"/>
      </w:pPr>
      <w:r>
        <w:t>original licence</w:t>
      </w:r>
      <w:r>
        <w:tab/>
        <w:t>61(1)</w:t>
      </w:r>
    </w:p>
    <w:p>
      <w:pPr>
        <w:pStyle w:val="DefinedTerms"/>
      </w:pPr>
      <w:r>
        <w:t>original permit</w:t>
      </w:r>
      <w:r>
        <w:tab/>
        <w:t>37A(1)</w:t>
      </w:r>
    </w:p>
    <w:p>
      <w:pPr>
        <w:pStyle w:val="DefinedTerms"/>
      </w:pPr>
      <w:r>
        <w:t>ostensible supplier</w:t>
      </w:r>
      <w:r>
        <w:tab/>
        <w:t>Sch. 1 cl. 11(2)</w:t>
      </w:r>
    </w:p>
    <w:p>
      <w:pPr>
        <w:pStyle w:val="DefinedTerms"/>
      </w:pPr>
      <w:r>
        <w:t>other area</w:t>
      </w:r>
      <w:r>
        <w:tab/>
        <w:t>7B(8) and (12)</w:t>
      </w:r>
    </w:p>
    <w:p>
      <w:pPr>
        <w:pStyle w:val="DefinedTerms"/>
      </w:pPr>
      <w:r>
        <w:t>other protected person</w:t>
      </w:r>
      <w:r>
        <w:tab/>
        <w:t>5(1)</w:t>
      </w:r>
    </w:p>
    <w:p>
      <w:pPr>
        <w:pStyle w:val="DefinedTerms"/>
      </w:pPr>
      <w:r>
        <w:t>own</w:t>
      </w:r>
      <w:r>
        <w:tab/>
        <w:t>Sch. 1 cl. 3</w:t>
      </w:r>
    </w:p>
    <w:p>
      <w:pPr>
        <w:pStyle w:val="DefinedTerms"/>
      </w:pPr>
      <w:r>
        <w:t>partly cancelled</w:t>
      </w:r>
      <w:r>
        <w:tab/>
        <w:t>5(1)</w:t>
      </w:r>
    </w:p>
    <w:p>
      <w:pPr>
        <w:pStyle w:val="DefinedTerms"/>
      </w:pPr>
      <w:r>
        <w:t>partly determined</w:t>
      </w:r>
      <w:r>
        <w:tab/>
        <w:t>5(1)</w:t>
      </w:r>
    </w:p>
    <w:p>
      <w:pPr>
        <w:pStyle w:val="DefinedTerms"/>
      </w:pPr>
      <w:r>
        <w:t>permit</w:t>
      </w:r>
      <w:r>
        <w:tab/>
        <w:t>5(1)</w:t>
      </w:r>
    </w:p>
    <w:p>
      <w:pPr>
        <w:pStyle w:val="DefinedTerms"/>
      </w:pPr>
      <w:r>
        <w:t>permit application</w:t>
      </w:r>
      <w:r>
        <w:tab/>
        <w:t>32(1A)</w:t>
      </w:r>
    </w:p>
    <w:p>
      <w:pPr>
        <w:pStyle w:val="DefinedTerms"/>
      </w:pPr>
      <w:r>
        <w:t>permit area</w:t>
      </w:r>
      <w:r>
        <w:tab/>
        <w:t>5(1)</w:t>
      </w:r>
    </w:p>
    <w:p>
      <w:pPr>
        <w:pStyle w:val="DefinedTerms"/>
      </w:pPr>
      <w:r>
        <w:t>permittee</w:t>
      </w:r>
      <w:r>
        <w:tab/>
        <w:t>5(1)</w:t>
      </w:r>
    </w:p>
    <w:p>
      <w:pPr>
        <w:pStyle w:val="DefinedTerms"/>
      </w:pPr>
      <w:r>
        <w:t>petroleum</w:t>
      </w:r>
      <w:r>
        <w:tab/>
        <w:t>5(1)</w:t>
      </w:r>
    </w:p>
    <w:p>
      <w:pPr>
        <w:pStyle w:val="DefinedTerms"/>
      </w:pPr>
      <w:r>
        <w:t>petroleum access authority</w:t>
      </w:r>
      <w:r>
        <w:tab/>
        <w:t>5(1)</w:t>
      </w:r>
    </w:p>
    <w:p>
      <w:pPr>
        <w:pStyle w:val="DefinedTerms"/>
      </w:pPr>
      <w:r>
        <w:t>petroleum drilling reservation</w:t>
      </w:r>
      <w:r>
        <w:tab/>
        <w:t>5(1)</w:t>
      </w:r>
    </w:p>
    <w:p>
      <w:pPr>
        <w:pStyle w:val="DefinedTerms"/>
      </w:pPr>
      <w:r>
        <w:t>petroleum exploration permit</w:t>
      </w:r>
      <w:r>
        <w:tab/>
        <w:t>5(1)</w:t>
      </w:r>
    </w:p>
    <w:p>
      <w:pPr>
        <w:pStyle w:val="DefinedTerms"/>
      </w:pPr>
      <w:r>
        <w:t>petroleum lease area</w:t>
      </w:r>
      <w:r>
        <w:tab/>
        <w:t>5(1)</w:t>
      </w:r>
    </w:p>
    <w:p>
      <w:pPr>
        <w:pStyle w:val="DefinedTerms"/>
      </w:pPr>
      <w:r>
        <w:t>petroleum lessee</w:t>
      </w:r>
      <w:r>
        <w:tab/>
        <w:t>5(1)</w:t>
      </w:r>
    </w:p>
    <w:p>
      <w:pPr>
        <w:pStyle w:val="DefinedTerms"/>
      </w:pPr>
      <w:r>
        <w:t>petroleum licensee</w:t>
      </w:r>
      <w:r>
        <w:tab/>
        <w:t>5(1)</w:t>
      </w:r>
    </w:p>
    <w:p>
      <w:pPr>
        <w:pStyle w:val="DefinedTerms"/>
      </w:pPr>
      <w:r>
        <w:t>petroleum operation</w:t>
      </w:r>
      <w:r>
        <w:tab/>
        <w:t>5(1)</w:t>
      </w:r>
    </w:p>
    <w:p>
      <w:pPr>
        <w:pStyle w:val="DefinedTerms"/>
      </w:pPr>
      <w:r>
        <w:t>petroleum permit area</w:t>
      </w:r>
      <w:r>
        <w:tab/>
        <w:t>5(1)</w:t>
      </w:r>
    </w:p>
    <w:p>
      <w:pPr>
        <w:pStyle w:val="DefinedTerms"/>
      </w:pPr>
      <w:r>
        <w:t>petroleum permittee</w:t>
      </w:r>
      <w:r>
        <w:tab/>
        <w:t>5(1)</w:t>
      </w:r>
    </w:p>
    <w:p>
      <w:pPr>
        <w:pStyle w:val="DefinedTerms"/>
      </w:pPr>
      <w:r>
        <w:t>petroleum pool</w:t>
      </w:r>
      <w:r>
        <w:tab/>
        <w:t>5(1)</w:t>
      </w:r>
    </w:p>
    <w:p>
      <w:pPr>
        <w:pStyle w:val="DefinedTerms"/>
      </w:pPr>
      <w:r>
        <w:t>petroleum production licence</w:t>
      </w:r>
      <w:r>
        <w:tab/>
        <w:t>5(1)</w:t>
      </w:r>
    </w:p>
    <w:p>
      <w:pPr>
        <w:pStyle w:val="DefinedTerms"/>
      </w:pPr>
      <w:r>
        <w:t>petroleum retention lease</w:t>
      </w:r>
      <w:r>
        <w:tab/>
        <w:t>5(1)</w:t>
      </w:r>
    </w:p>
    <w:p>
      <w:pPr>
        <w:pStyle w:val="DefinedTerms"/>
      </w:pPr>
      <w:r>
        <w:t>petroleum special prospecting authority</w:t>
      </w:r>
      <w:r>
        <w:tab/>
        <w:t>5(1)</w:t>
      </w:r>
    </w:p>
    <w:p>
      <w:pPr>
        <w:pStyle w:val="DefinedTerms"/>
      </w:pPr>
      <w:r>
        <w:t>petroleum title</w:t>
      </w:r>
      <w:r>
        <w:tab/>
        <w:t>69A(1), 97A(1), 106(13)</w:t>
      </w:r>
    </w:p>
    <w:p>
      <w:pPr>
        <w:pStyle w:val="DefinedTerms"/>
      </w:pPr>
      <w:r>
        <w:t>plant</w:t>
      </w:r>
      <w:r>
        <w:tab/>
        <w:t>Sch. 1 cl. 3</w:t>
      </w:r>
    </w:p>
    <w:p>
      <w:pPr>
        <w:pStyle w:val="DefinedTerms"/>
      </w:pPr>
      <w:r>
        <w:t>premises</w:t>
      </w:r>
      <w:r>
        <w:tab/>
        <w:t>Sch. 1 cl. 3</w:t>
      </w:r>
    </w:p>
    <w:p>
      <w:pPr>
        <w:pStyle w:val="DefinedTerms"/>
      </w:pPr>
      <w:r>
        <w:t>prescribed instrument</w:t>
      </w:r>
      <w:r>
        <w:tab/>
        <w:t>128</w:t>
      </w:r>
    </w:p>
    <w:p>
      <w:pPr>
        <w:pStyle w:val="DefinedTerms"/>
      </w:pPr>
      <w:r>
        <w:t>prescribed occupational safety and health laws</w:t>
      </w:r>
      <w:r>
        <w:tab/>
        <w:t>7AA(2)</w:t>
      </w:r>
    </w:p>
    <w:p>
      <w:pPr>
        <w:pStyle w:val="DefinedTerms"/>
      </w:pPr>
      <w:r>
        <w:t>primary entitlement</w:t>
      </w:r>
      <w:r>
        <w:tab/>
        <w:t>5(1)</w:t>
      </w:r>
    </w:p>
    <w:p>
      <w:pPr>
        <w:pStyle w:val="DefinedTerms"/>
      </w:pPr>
      <w:r>
        <w:t>primary licence</w:t>
      </w:r>
      <w:r>
        <w:tab/>
        <w:t>5(1)</w:t>
      </w:r>
    </w:p>
    <w:p>
      <w:pPr>
        <w:pStyle w:val="DefinedTerms"/>
      </w:pPr>
      <w:r>
        <w:t>private land</w:t>
      </w:r>
      <w:r>
        <w:tab/>
        <w:t>5(1)</w:t>
      </w:r>
    </w:p>
    <w:p>
      <w:pPr>
        <w:pStyle w:val="DefinedTerms"/>
      </w:pPr>
      <w:r>
        <w:t>prohibition notice</w:t>
      </w:r>
      <w:r>
        <w:tab/>
        <w:t>Sch. 1 cl. 3</w:t>
      </w:r>
    </w:p>
    <w:p>
      <w:pPr>
        <w:pStyle w:val="DefinedTerms"/>
      </w:pPr>
      <w:r>
        <w:t>recovery</w:t>
      </w:r>
      <w:r>
        <w:tab/>
        <w:t>5(1)</w:t>
      </w:r>
    </w:p>
    <w:p>
      <w:pPr>
        <w:pStyle w:val="DefinedTerms"/>
      </w:pPr>
      <w:r>
        <w:t>Register</w:t>
      </w:r>
      <w:r>
        <w:tab/>
        <w:t>5(1)</w:t>
      </w:r>
    </w:p>
    <w:p>
      <w:pPr>
        <w:pStyle w:val="DefinedTerms"/>
      </w:pPr>
      <w:r>
        <w:t>registered holder</w:t>
      </w:r>
      <w:r>
        <w:tab/>
        <w:t>5(1)</w:t>
      </w:r>
    </w:p>
    <w:p>
      <w:pPr>
        <w:pStyle w:val="DefinedTerms"/>
      </w:pPr>
      <w:r>
        <w:t>registered organisation</w:t>
      </w:r>
      <w:r>
        <w:tab/>
        <w:t>Sch. 1 cl. 3</w:t>
      </w:r>
    </w:p>
    <w:p>
      <w:pPr>
        <w:pStyle w:val="DefinedTerms"/>
      </w:pPr>
      <w:r>
        <w:t>regulated business premises</w:t>
      </w:r>
      <w:r>
        <w:tab/>
        <w:t>Sch. 1 cl. 3</w:t>
      </w:r>
    </w:p>
    <w:p>
      <w:pPr>
        <w:pStyle w:val="DefinedTerms"/>
      </w:pPr>
      <w:r>
        <w:t>regulation 3</w:t>
      </w:r>
      <w:r>
        <w:tab/>
        <w:t>Sch. 2 cl. 1</w:t>
      </w:r>
    </w:p>
    <w:p>
      <w:pPr>
        <w:pStyle w:val="DefinedTerms"/>
      </w:pPr>
      <w:r>
        <w:t>regulations</w:t>
      </w:r>
      <w:r>
        <w:tab/>
        <w:t>5(1), Sch. 1 cl. 3</w:t>
      </w:r>
    </w:p>
    <w:p>
      <w:pPr>
        <w:pStyle w:val="DefinedTerms"/>
      </w:pPr>
      <w:r>
        <w:t>relevant area</w:t>
      </w:r>
      <w:r>
        <w:tab/>
        <w:t>37B(2), 41(7), 48CD(2), 56(7), 61A(2), 97A(2)</w:t>
      </w:r>
    </w:p>
    <w:p>
      <w:pPr>
        <w:pStyle w:val="DefinedTerms"/>
      </w:pPr>
      <w:r>
        <w:t>relevant person</w:t>
      </w:r>
      <w:r>
        <w:tab/>
        <w:t>Sch. 1 cl. 6</w:t>
      </w:r>
    </w:p>
    <w:p>
      <w:pPr>
        <w:pStyle w:val="DefinedTerms"/>
      </w:pPr>
      <w:r>
        <w:t>relevant petroleum title</w:t>
      </w:r>
      <w:r>
        <w:tab/>
        <w:t>97A(5) and (6)</w:t>
      </w:r>
    </w:p>
    <w:p>
      <w:pPr>
        <w:pStyle w:val="DefinedTerms"/>
      </w:pPr>
      <w:r>
        <w:t>relevant section 27 blocks</w:t>
      </w:r>
      <w:r>
        <w:tab/>
        <w:t>37B(5) and (6), 48CD(2), 61A(2)</w:t>
      </w:r>
    </w:p>
    <w:p>
      <w:pPr>
        <w:pStyle w:val="DefinedTerms"/>
      </w:pPr>
      <w:r>
        <w:t>relevant time</w:t>
      </w:r>
      <w:r>
        <w:tab/>
        <w:t>37B(3) and (4), 48CD(3) and (4), 61A(3) and (4),</w:t>
      </w:r>
    </w:p>
    <w:p>
      <w:pPr>
        <w:pStyle w:val="DefinedTerms"/>
      </w:pPr>
      <w:r>
        <w:tab/>
        <w:t>97A(3) and 97A(4)</w:t>
      </w:r>
    </w:p>
    <w:p>
      <w:pPr>
        <w:pStyle w:val="DefinedTerms"/>
      </w:pPr>
      <w:r>
        <w:t>relinquished area</w:t>
      </w:r>
      <w:r>
        <w:tab/>
        <w:t>5(1)</w:t>
      </w:r>
    </w:p>
    <w:p>
      <w:pPr>
        <w:pStyle w:val="DefinedTerms"/>
      </w:pPr>
      <w:r>
        <w:t>reservoir</w:t>
      </w:r>
      <w:r>
        <w:tab/>
        <w:t>16(2)</w:t>
      </w:r>
    </w:p>
    <w:p>
      <w:pPr>
        <w:pStyle w:val="DefinedTerms"/>
      </w:pPr>
      <w:r>
        <w:t>responsible person</w:t>
      </w:r>
      <w:r>
        <w:tab/>
        <w:t>Sch. 1 cl. 36(2) and 60(1)</w:t>
      </w:r>
    </w:p>
    <w:p>
      <w:pPr>
        <w:pStyle w:val="DefinedTerms"/>
      </w:pPr>
      <w:r>
        <w:t>reviewing authority</w:t>
      </w:r>
      <w:r>
        <w:tab/>
        <w:t>Sch. 1 cl. 21(5) and 64(10)</w:t>
      </w:r>
    </w:p>
    <w:p>
      <w:pPr>
        <w:pStyle w:val="DefinedTerms"/>
      </w:pPr>
      <w:r>
        <w:t>royalty period</w:t>
      </w:r>
      <w:r>
        <w:tab/>
        <w:t>5(1)</w:t>
      </w:r>
    </w:p>
    <w:p>
      <w:pPr>
        <w:pStyle w:val="DefinedTerms"/>
      </w:pPr>
      <w:r>
        <w:t>royalty value</w:t>
      </w:r>
      <w:r>
        <w:tab/>
        <w:t>5(1)</w:t>
      </w:r>
    </w:p>
    <w:p>
      <w:pPr>
        <w:pStyle w:val="DefinedTerms"/>
      </w:pPr>
      <w:r>
        <w:t>safety zone</w:t>
      </w:r>
      <w:r>
        <w:tab/>
        <w:t>112A(1)</w:t>
      </w:r>
    </w:p>
    <w:p>
      <w:pPr>
        <w:pStyle w:val="DefinedTerms"/>
      </w:pPr>
      <w:r>
        <w:t>second affected area</w:t>
      </w:r>
      <w:r>
        <w:tab/>
        <w:t>6A(5)</w:t>
      </w:r>
    </w:p>
    <w:p>
      <w:pPr>
        <w:pStyle w:val="DefinedTerms"/>
      </w:pPr>
      <w:r>
        <w:t>secondary licence</w:t>
      </w:r>
      <w:r>
        <w:tab/>
        <w:t>5(1)</w:t>
      </w:r>
    </w:p>
    <w:p>
      <w:pPr>
        <w:pStyle w:val="DefinedTerms"/>
      </w:pPr>
      <w:r>
        <w:t>section 27 block</w:t>
      </w:r>
      <w:r>
        <w:tab/>
        <w:t>37B(1), 47(1A), 48CD(1), 61A(1), 97A(1)</w:t>
      </w:r>
    </w:p>
    <w:p>
      <w:pPr>
        <w:pStyle w:val="DefinedTerms"/>
      </w:pPr>
      <w:r>
        <w:t>special prospecting authority</w:t>
      </w:r>
      <w:r>
        <w:tab/>
        <w:t>5(1)</w:t>
      </w:r>
    </w:p>
    <w:p>
      <w:pPr>
        <w:pStyle w:val="DefinedTerms"/>
      </w:pPr>
      <w:r>
        <w:t>State</w:t>
      </w:r>
      <w:r>
        <w:tab/>
        <w:t>26</w:t>
      </w:r>
    </w:p>
    <w:p>
      <w:pPr>
        <w:pStyle w:val="DefinedTerms"/>
      </w:pPr>
      <w:r>
        <w:t>structure</w:t>
      </w:r>
      <w:r>
        <w:tab/>
        <w:t>5(1)</w:t>
      </w:r>
    </w:p>
    <w:p>
      <w:pPr>
        <w:pStyle w:val="DefinedTerms"/>
      </w:pPr>
      <w:r>
        <w:t>supervisor</w:t>
      </w:r>
      <w:r>
        <w:tab/>
        <w:t>Sch. 1 cl. 42(1)</w:t>
      </w:r>
    </w:p>
    <w:p>
      <w:pPr>
        <w:pStyle w:val="DefinedTerms"/>
      </w:pPr>
      <w:r>
        <w:t>this Schedule</w:t>
      </w:r>
      <w:r>
        <w:tab/>
        <w:t>Sch. 1 cl. 81(4)</w:t>
      </w:r>
    </w:p>
    <w:p>
      <w:pPr>
        <w:pStyle w:val="DefinedTerms"/>
      </w:pPr>
      <w:r>
        <w:t>tight gas</w:t>
      </w:r>
      <w:r>
        <w:tab/>
        <w:t>52(4A)</w:t>
      </w:r>
    </w:p>
    <w:p>
      <w:pPr>
        <w:pStyle w:val="DefinedTerms"/>
      </w:pPr>
      <w:r>
        <w:t>title</w:t>
      </w:r>
      <w:r>
        <w:tab/>
        <w:t>69J, 127A(5)</w:t>
      </w:r>
    </w:p>
    <w:p>
      <w:pPr>
        <w:pStyle w:val="DefinedTerms"/>
      </w:pPr>
      <w:r>
        <w:t>transitional matter</w:t>
      </w:r>
      <w:r>
        <w:tab/>
        <w:t>154(1)</w:t>
      </w:r>
    </w:p>
    <w:p>
      <w:pPr>
        <w:pStyle w:val="DefinedTerms"/>
      </w:pPr>
      <w:r>
        <w:t>transitional regulations</w:t>
      </w:r>
      <w:r>
        <w:tab/>
        <w:t>154(1)</w:t>
      </w:r>
    </w:p>
    <w:p>
      <w:pPr>
        <w:pStyle w:val="DefinedTerms"/>
      </w:pPr>
      <w:r>
        <w:t>Tribunal</w:t>
      </w:r>
      <w:r>
        <w:tab/>
        <w:t>Sch. 1 cl. 3</w:t>
      </w:r>
    </w:p>
    <w:p>
      <w:pPr>
        <w:pStyle w:val="DefinedTerms"/>
      </w:pPr>
      <w:r>
        <w:t>unit development</w:t>
      </w:r>
      <w:r>
        <w:tab/>
        <w:t>69(1)</w:t>
      </w:r>
    </w:p>
    <w:p>
      <w:pPr>
        <w:pStyle w:val="DefinedTerms"/>
      </w:pPr>
      <w:r>
        <w:t>unused area</w:t>
      </w:r>
      <w:r>
        <w:tab/>
        <w:t>48CA(1) and (2)</w:t>
      </w:r>
    </w:p>
    <w:p>
      <w:pPr>
        <w:pStyle w:val="DefinedTerms"/>
      </w:pPr>
      <w:r>
        <w:t>variation agreement</w:t>
      </w:r>
      <w:r>
        <w:tab/>
        <w:t>128</w:t>
      </w:r>
    </w:p>
    <w:p>
      <w:pPr>
        <w:pStyle w:val="DefinedTerms"/>
      </w:pPr>
      <w:r>
        <w:t>vessel</w:t>
      </w:r>
      <w:r>
        <w:tab/>
        <w:t>5(1)</w:t>
      </w:r>
    </w:p>
    <w:p>
      <w:pPr>
        <w:pStyle w:val="DefinedTerms"/>
      </w:pPr>
      <w:r>
        <w:t>water</w:t>
      </w:r>
      <w:r>
        <w:tab/>
        <w:t>113(2)</w:t>
      </w:r>
    </w:p>
    <w:p>
      <w:pPr>
        <w:pStyle w:val="DefinedTerms"/>
      </w:pPr>
      <w:r>
        <w:t>well</w:t>
      </w:r>
      <w:r>
        <w:tab/>
        <w:t>5(1)</w:t>
      </w:r>
    </w:p>
    <w:p>
      <w:pPr>
        <w:pStyle w:val="DefinedTerms"/>
      </w:pPr>
      <w:r>
        <w:t>wholly cancelled</w:t>
      </w:r>
      <w:r>
        <w:tab/>
        <w:t>5(1)</w:t>
      </w:r>
    </w:p>
    <w:p>
      <w:pPr>
        <w:pStyle w:val="DefinedTerms"/>
      </w:pPr>
      <w:r>
        <w:t>wholly determined</w:t>
      </w:r>
      <w:r>
        <w:tab/>
        <w:t>5(1)</w:t>
      </w:r>
    </w:p>
    <w:p>
      <w:pPr>
        <w:pStyle w:val="DefinedTerms"/>
      </w:pPr>
      <w:r>
        <w:t>work</w:t>
      </w:r>
      <w:r>
        <w:tab/>
        <w:t>Sch. 1 cl. 3</w:t>
      </w:r>
    </w:p>
    <w:p>
      <w:pPr>
        <w:pStyle w:val="DefinedTerms"/>
      </w:pPr>
      <w:r>
        <w:t>work group employer</w:t>
      </w:r>
      <w:r>
        <w:tab/>
        <w:t>Sch. 1 cl. 3</w:t>
      </w:r>
    </w:p>
    <w:p>
      <w:pPr>
        <w:pStyle w:val="DefinedTerms"/>
      </w:pPr>
      <w:r>
        <w:t>workforce representative</w:t>
      </w:r>
      <w:r>
        <w:tab/>
        <w:t>Sch. 1 cl. 3</w:t>
      </w:r>
    </w:p>
    <w:p>
      <w:pPr>
        <w:pStyle w:val="DefinedTerms"/>
      </w:pPr>
      <w:r>
        <w:t>workplace</w:t>
      </w:r>
      <w:r>
        <w:tab/>
        <w:t>Sch. 1 cl. 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Act 1967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93" w:name="Schedule"/>
    <w:bookmarkEnd w:id="39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9" w:name="Compilation"/>
    <w:bookmarkEnd w:id="39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and Geothermal Energy Resources Act 1967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2" w:name="DefinedTerms"/>
    <w:bookmarkEnd w:id="40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3" w:name="Coversheet"/>
    <w:bookmarkEnd w:id="4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lvlText w:val="%1."/>
      <w:lvlJc w:val="left"/>
      <w:pPr>
        <w:tabs>
          <w:tab w:val="num" w:pos="1492"/>
        </w:tabs>
        <w:ind w:left="1492" w:hanging="360"/>
      </w:pPr>
    </w:lvl>
  </w:abstractNum>
  <w:abstractNum w:abstractNumId="1">
    <w:nsid w:val="FFFFFF7D"/>
    <w:multiLevelType w:val="singleLevel"/>
    <w:tmpl w:val="D10C5AF6"/>
    <w:lvl w:ilvl="0">
      <w:start w:val="1"/>
      <w:numFmt w:val="decimal"/>
      <w:lvlText w:val="%1."/>
      <w:lvlJc w:val="left"/>
      <w:pPr>
        <w:tabs>
          <w:tab w:val="num" w:pos="1209"/>
        </w:tabs>
        <w:ind w:left="1209" w:hanging="360"/>
      </w:pPr>
    </w:lvl>
  </w:abstractNum>
  <w:abstractNum w:abstractNumId="2">
    <w:nsid w:val="FFFFFF7E"/>
    <w:multiLevelType w:val="singleLevel"/>
    <w:tmpl w:val="C5D8954A"/>
    <w:lvl w:ilvl="0">
      <w:start w:val="1"/>
      <w:numFmt w:val="decimal"/>
      <w:lvlText w:val="%1."/>
      <w:lvlJc w:val="left"/>
      <w:pPr>
        <w:tabs>
          <w:tab w:val="num" w:pos="926"/>
        </w:tabs>
        <w:ind w:left="926" w:hanging="360"/>
      </w:pPr>
    </w:lvl>
  </w:abstractNum>
  <w:abstractNum w:abstractNumId="3">
    <w:nsid w:val="FFFFFF7F"/>
    <w:multiLevelType w:val="singleLevel"/>
    <w:tmpl w:val="F252E814"/>
    <w:lvl w:ilvl="0">
      <w:start w:val="1"/>
      <w:numFmt w:val="decimal"/>
      <w:lvlText w:val="%1."/>
      <w:lvlJc w:val="left"/>
      <w:pPr>
        <w:tabs>
          <w:tab w:val="num" w:pos="643"/>
        </w:tabs>
        <w:ind w:left="643" w:hanging="360"/>
      </w:pPr>
    </w:lvl>
  </w:abstractNum>
  <w:abstractNum w:abstractNumId="4">
    <w:nsid w:val="FFFFFF80"/>
    <w:multiLevelType w:val="singleLevel"/>
    <w:tmpl w:val="79AE75A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lvlText w:val="%1."/>
      <w:lvlJc w:val="left"/>
      <w:pPr>
        <w:tabs>
          <w:tab w:val="num" w:pos="360"/>
        </w:tabs>
        <w:ind w:left="360" w:hanging="360"/>
      </w:pPr>
    </w:lvl>
  </w:abstractNum>
  <w:abstractNum w:abstractNumId="9">
    <w:nsid w:val="FFFFFF89"/>
    <w:multiLevelType w:val="singleLevel"/>
    <w:tmpl w:val="A2983BB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71006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234AF0"/>
    <w:multiLevelType w:val="multilevel"/>
    <w:tmpl w:val="CCD23C8E"/>
    <w:lvl w:ilvl="0">
      <w:start w:val="1"/>
      <w:numFmt w:val="decimal"/>
      <w:lvlText w:val="%1."/>
      <w:lvlJc w:val="left"/>
      <w:pPr>
        <w:tabs>
          <w:tab w:val="num" w:pos="720"/>
        </w:tabs>
        <w:ind w:left="720" w:hanging="720"/>
      </w:p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72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1545"/>
    <w:docVar w:name="WAFER_20140123102753" w:val="RemoveTocBookmarks,RemoveUnusedBookmarks,RemoveLanguageTags,UsedStyles,ResetPageSize,UpdateArrangement"/>
    <w:docVar w:name="WAFER_20140123102753_GUID" w:val="b70c0386-708b-4fd3-8825-29c237f7e838"/>
    <w:docVar w:name="WAFER_20140123110818" w:val="RemoveTocBookmarks,RunningHeaders"/>
    <w:docVar w:name="WAFER_20140123110818_GUID" w:val="3184ce31-bc94-4106-8ac0-869066bc8e92"/>
    <w:docVar w:name="WAFER_20150630143045" w:val="ResetPageSize,UpdateArrangement,UpdateNTable"/>
    <w:docVar w:name="WAFER_20150630143045_GUID" w:val="dc0e3705-47bb-431c-b55a-fc3627c7b907"/>
    <w:docVar w:name="WAFER_20151103095229" w:val="UpdateStyles,UsedStyles"/>
    <w:docVar w:name="WAFER_20151103095229_GUID" w:val="0ba0ef88-ece5-41c5-b38b-627b2aac4233"/>
    <w:docVar w:name="WAFER_2020022611154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1545_GUID" w:val="6a3124f2-eae3-4737-8d30-9941848921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364</Pages>
  <Words>98648</Words>
  <Characters>475484</Characters>
  <Application>Microsoft Office Word</Application>
  <DocSecurity>0</DocSecurity>
  <Lines>12191</Lines>
  <Paragraphs>6043</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568089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1967 - 08-c0-02</dc:title>
  <dc:subject/>
  <dc:creator/>
  <cp:keywords/>
  <dc:description/>
  <cp:lastModifiedBy>svcMRProcess</cp:lastModifiedBy>
  <cp:revision>4</cp:revision>
  <cp:lastPrinted>2016-01-20T01:35:00Z</cp:lastPrinted>
  <dcterms:created xsi:type="dcterms:W3CDTF">2020-02-26T05:26:00Z</dcterms:created>
  <dcterms:modified xsi:type="dcterms:W3CDTF">2020-02-26T05:26:00Z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DocumentType">
    <vt:lpwstr>Act</vt:lpwstr>
  </property>
  <property fmtid="{D5CDD505-2E9C-101B-9397-08002B2CF9AE}" pid="4" name="OwlsUID">
    <vt:i4>596</vt:i4>
  </property>
  <property fmtid="{D5CDD505-2E9C-101B-9397-08002B2CF9AE}" pid="5" name="ThisVersion">
    <vt:lpwstr>07-a0-00</vt:lpwstr>
  </property>
  <property fmtid="{D5CDD505-2E9C-101B-9397-08002B2CF9AE}" pid="6" name="ReprintedAsAt">
    <vt:filetime>2016-01-14T16:00:00Z</vt:filetime>
  </property>
  <property fmtid="{D5CDD505-2E9C-101B-9397-08002B2CF9AE}" pid="7" name="ReprintNo">
    <vt:lpwstr>8</vt:lpwstr>
  </property>
  <property fmtid="{D5CDD505-2E9C-101B-9397-08002B2CF9AE}" pid="8" name="CommencementDate">
    <vt:lpwstr>20171115</vt:lpwstr>
  </property>
  <property fmtid="{D5CDD505-2E9C-101B-9397-08002B2CF9AE}" pid="9" name="AsAtDate">
    <vt:lpwstr>15 Nov 2017</vt:lpwstr>
  </property>
  <property fmtid="{D5CDD505-2E9C-101B-9397-08002B2CF9AE}" pid="10" name="Suffix">
    <vt:lpwstr>08-c0-02</vt:lpwstr>
  </property>
</Properties>
</file>