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_Toc500418750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_Toc500418751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_Toc500418753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_Toc500418754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_Toc500418756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_Toc500418757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_Toc500418758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_Toc500418760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_Toc500418761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_Toc500418762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Amount prescribed for major trading undertakings; exempt trading undertakings prescribed (Act s. 3.59)</w:t>
      </w:r>
      <w:r>
        <w:tab/>
      </w:r>
      <w:r>
        <w:fldChar w:fldCharType="begin"/>
      </w:r>
      <w:r>
        <w:instrText xml:space="preserve"> PAGEREF _Toc500418763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_Toc500418764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_Toc500418767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_Toc500418769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_Toc500418770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_Toc500418771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_Toc500418772 \h </w:instrText>
      </w:r>
      <w:r>
        <w:fldChar w:fldCharType="separate"/>
      </w:r>
      <w:r>
        <w:t>14</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_Toc500418773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_Toc500418774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_Toc500418775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_Toc500418776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_Toc500418777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_Toc500418778 \h </w:instrText>
      </w:r>
      <w:r>
        <w:fldChar w:fldCharType="separate"/>
      </w:r>
      <w:r>
        <w:t>19</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_Toc500418779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_Toc500418780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_Toc500418781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_Toc500418782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_Toc500418783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_Toc500418785 \h </w:instrText>
      </w:r>
      <w:r>
        <w:fldChar w:fldCharType="separate"/>
      </w:r>
      <w:r>
        <w:t>21</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_Toc500418786 \h </w:instrText>
      </w:r>
      <w:r>
        <w:fldChar w:fldCharType="separate"/>
      </w:r>
      <w:r>
        <w:t>22</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_Toc500418787 \h </w:instrText>
      </w:r>
      <w:r>
        <w:fldChar w:fldCharType="separate"/>
      </w:r>
      <w:r>
        <w:t>22</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_Toc500418788 \h </w:instrText>
      </w:r>
      <w:r>
        <w:fldChar w:fldCharType="separate"/>
      </w:r>
      <w:r>
        <w:t>23</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_Toc500418789 \h </w:instrText>
      </w:r>
      <w:r>
        <w:fldChar w:fldCharType="separate"/>
      </w:r>
      <w:r>
        <w:t>25</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_Toc500418790 \h </w:instrText>
      </w:r>
      <w:r>
        <w:fldChar w:fldCharType="separate"/>
      </w:r>
      <w:r>
        <w:t>25</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_Toc500418791 \h </w:instrText>
      </w:r>
      <w:r>
        <w:fldChar w:fldCharType="separate"/>
      </w:r>
      <w:r>
        <w:t>25</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_Toc500418792 \h </w:instrText>
      </w:r>
      <w:r>
        <w:fldChar w:fldCharType="separate"/>
      </w:r>
      <w:r>
        <w:t>26</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_Toc500418793 \h </w:instrText>
      </w:r>
      <w:r>
        <w:fldChar w:fldCharType="separate"/>
      </w:r>
      <w:r>
        <w:t>26</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_Toc500418794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_Toc500418796 \h </w:instrText>
      </w:r>
      <w:r>
        <w:fldChar w:fldCharType="separate"/>
      </w:r>
      <w:r>
        <w:t>28</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_Toc500418797 \h </w:instrText>
      </w:r>
      <w:r>
        <w:fldChar w:fldCharType="separate"/>
      </w:r>
      <w:r>
        <w:t>28</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_Toc500418798 \h </w:instrText>
      </w:r>
      <w:r>
        <w:fldChar w:fldCharType="separate"/>
      </w:r>
      <w:r>
        <w:t>28</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_Toc500418799 \h </w:instrText>
      </w:r>
      <w:r>
        <w:fldChar w:fldCharType="separate"/>
      </w:r>
      <w:r>
        <w:t>29</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_Toc500418800 \h </w:instrText>
      </w:r>
      <w:r>
        <w:fldChar w:fldCharType="separate"/>
      </w:r>
      <w:r>
        <w:t>30</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_Toc500418801 \h </w:instrText>
      </w:r>
      <w:r>
        <w:fldChar w:fldCharType="separate"/>
      </w:r>
      <w:r>
        <w:t>31</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_Toc500418802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_Toc500418804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_Toc500418805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_Toc500418806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_Toc500418808 \h </w:instrText>
      </w:r>
      <w:r>
        <w:fldChar w:fldCharType="separate"/>
      </w:r>
      <w:r>
        <w:t>34</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_Toc500418809 \h </w:instrText>
      </w:r>
      <w:r>
        <w:fldChar w:fldCharType="separate"/>
      </w:r>
      <w:r>
        <w:t>34</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_Toc500418810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_Toc500418811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_Toc500418812 \h </w:instrText>
      </w:r>
      <w:r>
        <w:fldChar w:fldCharType="separate"/>
      </w:r>
      <w:r>
        <w:t>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Local government permitted to form incorporated association (Act s. </w:t>
      </w:r>
      <w:r>
        <w:t>3</w:t>
      </w:r>
      <w:r>
        <w:rPr>
          <w:snapToGrid w:val="0"/>
        </w:rPr>
        <w:t>.60)</w:t>
      </w:r>
      <w:r>
        <w:tab/>
      </w:r>
      <w:r>
        <w:fldChar w:fldCharType="begin"/>
      </w:r>
      <w:r>
        <w:instrText xml:space="preserve"> PAGEREF _Toc500418813 \h </w:instrText>
      </w:r>
      <w:r>
        <w:fldChar w:fldCharType="separate"/>
      </w:r>
      <w:r>
        <w:t>38</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_Toc500418814 \h </w:instrText>
      </w:r>
      <w:r>
        <w:fldChar w:fldCharType="separate"/>
      </w:r>
      <w:r>
        <w:t>38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_Toc500418815 \h </w:instrText>
      </w:r>
      <w:r>
        <w:fldChar w:fldCharType="separate"/>
      </w:r>
      <w:r>
        <w:t>39</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_Toc500418816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_Toc500418817 \h </w:instrText>
      </w:r>
      <w:r>
        <w:fldChar w:fldCharType="separate"/>
      </w:r>
      <w:r>
        <w:t>39</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_Toc500418818 \h </w:instrText>
      </w:r>
      <w:r>
        <w:fldChar w:fldCharType="separate"/>
      </w:r>
      <w:r>
        <w:t>40</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_Toc500418819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_Toc500418820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_Toc500418822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_Toc500418825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3" w:name="_Toc500418749"/>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500418750"/>
      <w:r>
        <w:rPr>
          <w:rStyle w:val="CharSectno"/>
        </w:rPr>
        <w:t>1</w:t>
      </w:r>
      <w:r>
        <w:rPr>
          <w:snapToGrid w:val="0"/>
        </w:rPr>
        <w:t>.</w:t>
      </w:r>
      <w:r>
        <w:rPr>
          <w:snapToGrid w:val="0"/>
        </w:rPr>
        <w:tab/>
        <w:t>Citation</w:t>
      </w:r>
      <w:bookmarkEnd w:id="4"/>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5" w:name="_Toc500418751"/>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July 1996.</w:t>
      </w:r>
    </w:p>
    <w:p>
      <w:pPr>
        <w:pStyle w:val="Heading2"/>
      </w:pPr>
      <w:bookmarkStart w:id="6" w:name="_Toc500418752"/>
      <w:r>
        <w:rPr>
          <w:rStyle w:val="CharPartNo"/>
        </w:rPr>
        <w:t>Part 1A</w:t>
      </w:r>
      <w:r>
        <w:rPr>
          <w:rStyle w:val="CharDivNo"/>
        </w:rPr>
        <w:t> </w:t>
      </w:r>
      <w:r>
        <w:rPr>
          <w:rStyle w:val="CharPartNo"/>
        </w:rPr>
        <w:t>—</w:t>
      </w:r>
      <w:r>
        <w:rPr>
          <w:rStyle w:val="CharDivText"/>
        </w:rPr>
        <w:t> </w:t>
      </w:r>
      <w:r>
        <w:rPr>
          <w:rStyle w:val="CharPartText"/>
        </w:rPr>
        <w:t>Local laws</w:t>
      </w:r>
      <w:bookmarkEnd w:id="6"/>
    </w:p>
    <w:p>
      <w:pPr>
        <w:pStyle w:val="Footnoteheading"/>
      </w:pPr>
      <w:r>
        <w:tab/>
        <w:t>[Heading inserted: Gazette 11 Sep 1998 p. 4927.]</w:t>
      </w:r>
    </w:p>
    <w:p>
      <w:pPr>
        <w:pStyle w:val="Heading5"/>
      </w:pPr>
      <w:bookmarkStart w:id="7" w:name="_Toc500418753"/>
      <w:r>
        <w:rPr>
          <w:rStyle w:val="CharSectno"/>
        </w:rPr>
        <w:t>2A</w:t>
      </w:r>
      <w:r>
        <w:t>.</w:t>
      </w:r>
      <w:r>
        <w:tab/>
        <w:t>Matters about which local laws are not to be made (Act s. 3.5)</w:t>
      </w:r>
      <w:bookmarkEnd w:id="7"/>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8" w:name="_Toc500418754"/>
      <w:r>
        <w:rPr>
          <w:rStyle w:val="CharSectno"/>
        </w:rPr>
        <w:t>3</w:t>
      </w:r>
      <w:r>
        <w:t>.</w:t>
      </w:r>
      <w:r>
        <w:tab/>
        <w:t xml:space="preserve">Prescribed manner of giving notice of purpose and effect of proposed local law </w:t>
      </w:r>
      <w:r>
        <w:rPr>
          <w:snapToGrid w:val="0"/>
        </w:rPr>
        <w:t>(Act </w:t>
      </w:r>
      <w:r>
        <w:t>s. 3.12(2))</w:t>
      </w:r>
      <w:bookmarkEnd w:id="8"/>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9" w:name="_Toc500418755"/>
      <w:r>
        <w:rPr>
          <w:rStyle w:val="CharPartNo"/>
        </w:rPr>
        <w:t>Part 2</w:t>
      </w:r>
      <w:r>
        <w:rPr>
          <w:rStyle w:val="CharDivNo"/>
        </w:rPr>
        <w:t> </w:t>
      </w:r>
      <w:r>
        <w:t>—</w:t>
      </w:r>
      <w:r>
        <w:rPr>
          <w:rStyle w:val="CharDivText"/>
        </w:rPr>
        <w:t> </w:t>
      </w:r>
      <w:r>
        <w:rPr>
          <w:rStyle w:val="CharPartText"/>
        </w:rPr>
        <w:t>Thoroughfares</w:t>
      </w:r>
      <w:bookmarkEnd w:id="9"/>
    </w:p>
    <w:p>
      <w:pPr>
        <w:pStyle w:val="Heading5"/>
        <w:rPr>
          <w:snapToGrid w:val="0"/>
        </w:rPr>
      </w:pPr>
      <w:bookmarkStart w:id="10" w:name="_Toc500418756"/>
      <w:r>
        <w:rPr>
          <w:rStyle w:val="CharSectno"/>
        </w:rPr>
        <w:t>4</w:t>
      </w:r>
      <w:r>
        <w:rPr>
          <w:snapToGrid w:val="0"/>
        </w:rPr>
        <w:t>.</w:t>
      </w:r>
      <w:r>
        <w:rPr>
          <w:snapToGrid w:val="0"/>
        </w:rPr>
        <w:tab/>
        <w:t>Persons prescribed to be notified of road closure (Act s. 3.50)</w:t>
      </w:r>
      <w:bookmarkEnd w:id="10"/>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1" w:name="_Toc500418757"/>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1"/>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12" w:name="_Toc500418758"/>
      <w:r>
        <w:rPr>
          <w:rStyle w:val="CharSectno"/>
        </w:rPr>
        <w:t>6</w:t>
      </w:r>
      <w:r>
        <w:rPr>
          <w:snapToGrid w:val="0"/>
        </w:rPr>
        <w:t>.</w:t>
      </w:r>
      <w:r>
        <w:rPr>
          <w:snapToGrid w:val="0"/>
        </w:rPr>
        <w:tab/>
        <w:t>Transitional provisions about road closures</w:t>
      </w:r>
      <w:bookmarkEnd w:id="12"/>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13" w:name="_Toc500418759"/>
      <w:r>
        <w:rPr>
          <w:rStyle w:val="CharPartNo"/>
        </w:rPr>
        <w:t>Part 3</w:t>
      </w:r>
      <w:r>
        <w:rPr>
          <w:rStyle w:val="CharDivNo"/>
        </w:rPr>
        <w:t> </w:t>
      </w:r>
      <w:r>
        <w:t>—</w:t>
      </w:r>
      <w:r>
        <w:rPr>
          <w:rStyle w:val="CharDivText"/>
        </w:rPr>
        <w:t> </w:t>
      </w:r>
      <w:r>
        <w:rPr>
          <w:rStyle w:val="CharPartText"/>
        </w:rPr>
        <w:t>Commercial enterprises by local governments (s. 3.59)</w:t>
      </w:r>
      <w:bookmarkEnd w:id="13"/>
    </w:p>
    <w:p>
      <w:pPr>
        <w:pStyle w:val="Heading5"/>
      </w:pPr>
      <w:bookmarkStart w:id="14" w:name="_Toc500418760"/>
      <w:r>
        <w:rPr>
          <w:rStyle w:val="CharSectno"/>
        </w:rPr>
        <w:t>7</w:t>
      </w:r>
      <w:r>
        <w:t>.</w:t>
      </w:r>
      <w:r>
        <w:tab/>
        <w:t>Term used: major regional centre</w:t>
      </w:r>
      <w:bookmarkEnd w:id="14"/>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15" w:name="_Toc500418761"/>
      <w:r>
        <w:rPr>
          <w:rStyle w:val="CharSectno"/>
        </w:rPr>
        <w:t>8A</w:t>
      </w:r>
      <w:r>
        <w:t>.</w:t>
      </w:r>
      <w:r>
        <w:tab/>
        <w:t xml:space="preserve">Amount prescribed for major land transactions; exempt land transactions prescribed </w:t>
      </w:r>
      <w:r>
        <w:rPr>
          <w:snapToGrid w:val="0"/>
        </w:rPr>
        <w:t>(Act </w:t>
      </w:r>
      <w:r>
        <w:t>s. 3.59)</w:t>
      </w:r>
      <w:bookmarkEnd w:id="15"/>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16" w:name="_Toc500418762"/>
      <w:r>
        <w:rPr>
          <w:rStyle w:val="CharSectno"/>
        </w:rPr>
        <w:t>8</w:t>
      </w:r>
      <w:r>
        <w:rPr>
          <w:snapToGrid w:val="0"/>
        </w:rPr>
        <w:t>.</w:t>
      </w:r>
      <w:r>
        <w:rPr>
          <w:snapToGrid w:val="0"/>
        </w:rPr>
        <w:tab/>
        <w:t>Exempt land transactions prescribed (Act s. 3.59)</w:t>
      </w:r>
      <w:bookmarkEnd w:id="16"/>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17" w:name="_Toc500418763"/>
      <w:r>
        <w:rPr>
          <w:rStyle w:val="CharSectno"/>
        </w:rPr>
        <w:t>9</w:t>
      </w:r>
      <w:r>
        <w:rPr>
          <w:snapToGrid w:val="0"/>
        </w:rPr>
        <w:t>.</w:t>
      </w:r>
      <w:r>
        <w:rPr>
          <w:snapToGrid w:val="0"/>
        </w:rPr>
        <w:tab/>
        <w:t>Amount prescribed for major trading undertakings; exempt trading undertakings prescribed (Act s. 3.59)</w:t>
      </w:r>
      <w:bookmarkEnd w:id="17"/>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18" w:name="_Toc500418764"/>
      <w:r>
        <w:rPr>
          <w:rStyle w:val="CharSectno"/>
        </w:rPr>
        <w:t>10</w:t>
      </w:r>
      <w:r>
        <w:rPr>
          <w:snapToGrid w:val="0"/>
        </w:rPr>
        <w:t>.</w:t>
      </w:r>
      <w:r>
        <w:rPr>
          <w:snapToGrid w:val="0"/>
        </w:rPr>
        <w:tab/>
        <w:t>Business plans for major trading undertaking and major land transaction, content of</w:t>
      </w:r>
      <w:bookmarkEnd w:id="18"/>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19" w:name="_Toc500418765"/>
      <w:r>
        <w:rPr>
          <w:rStyle w:val="CharPartNo"/>
        </w:rPr>
        <w:t>Part 4</w:t>
      </w:r>
      <w:r>
        <w:rPr>
          <w:b w:val="0"/>
        </w:rPr>
        <w:t> </w:t>
      </w:r>
      <w:r>
        <w:t>—</w:t>
      </w:r>
      <w:r>
        <w:rPr>
          <w:b w:val="0"/>
        </w:rPr>
        <w:t> </w:t>
      </w:r>
      <w:r>
        <w:rPr>
          <w:rStyle w:val="CharPartText"/>
        </w:rPr>
        <w:t>Provision of goods and services</w:t>
      </w:r>
      <w:bookmarkEnd w:id="19"/>
    </w:p>
    <w:p>
      <w:pPr>
        <w:pStyle w:val="Footnoteheading"/>
      </w:pPr>
      <w:r>
        <w:tab/>
        <w:t>[Heading inserted: Gazette 2 Feb 2007 p. 244.]</w:t>
      </w:r>
    </w:p>
    <w:p>
      <w:pPr>
        <w:pStyle w:val="Heading3"/>
      </w:pPr>
      <w:bookmarkStart w:id="20" w:name="_Toc500418766"/>
      <w:r>
        <w:rPr>
          <w:rStyle w:val="CharDivNo"/>
        </w:rPr>
        <w:t>Division 1</w:t>
      </w:r>
      <w:r>
        <w:t> — </w:t>
      </w:r>
      <w:r>
        <w:rPr>
          <w:rStyle w:val="CharDivText"/>
        </w:rPr>
        <w:t>Purchasing policies</w:t>
      </w:r>
      <w:bookmarkEnd w:id="20"/>
    </w:p>
    <w:p>
      <w:pPr>
        <w:pStyle w:val="Footnoteheading"/>
      </w:pPr>
      <w:r>
        <w:tab/>
        <w:t>[Heading inserted: Gazette 2 Feb 2007 p. 244.]</w:t>
      </w:r>
    </w:p>
    <w:p>
      <w:pPr>
        <w:pStyle w:val="Heading5"/>
      </w:pPr>
      <w:bookmarkStart w:id="21" w:name="_Toc500418767"/>
      <w:r>
        <w:rPr>
          <w:rStyle w:val="CharSectno"/>
        </w:rPr>
        <w:t>11A</w:t>
      </w:r>
      <w:r>
        <w:t>.</w:t>
      </w:r>
      <w:r>
        <w:tab/>
        <w:t>Purchasing policies for local governments</w:t>
      </w:r>
      <w:bookmarkEnd w:id="21"/>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w:t>
      </w:r>
    </w:p>
    <w:p>
      <w:pPr>
        <w:pStyle w:val="Heading3"/>
      </w:pPr>
      <w:bookmarkStart w:id="22" w:name="_Toc500418768"/>
      <w:r>
        <w:rPr>
          <w:rStyle w:val="CharDivNo"/>
        </w:rPr>
        <w:t>Division 2</w:t>
      </w:r>
      <w:r>
        <w:t> — </w:t>
      </w:r>
      <w:r>
        <w:rPr>
          <w:rStyle w:val="CharDivText"/>
        </w:rPr>
        <w:t>Tenders for providing goods or services (s. 3.57)</w:t>
      </w:r>
      <w:bookmarkEnd w:id="22"/>
    </w:p>
    <w:p>
      <w:pPr>
        <w:pStyle w:val="Footnoteheading"/>
      </w:pPr>
      <w:r>
        <w:tab/>
        <w:t>[Heading inserted: Gazette 2 Feb 2007 p. 245.]</w:t>
      </w:r>
    </w:p>
    <w:p>
      <w:pPr>
        <w:pStyle w:val="Heading5"/>
        <w:rPr>
          <w:snapToGrid w:val="0"/>
        </w:rPr>
      </w:pPr>
      <w:bookmarkStart w:id="23" w:name="_Toc500418769"/>
      <w:r>
        <w:rPr>
          <w:rStyle w:val="CharSectno"/>
        </w:rPr>
        <w:t>11</w:t>
      </w:r>
      <w:r>
        <w:rPr>
          <w:snapToGrid w:val="0"/>
        </w:rPr>
        <w:t>.</w:t>
      </w:r>
      <w:r>
        <w:rPr>
          <w:snapToGrid w:val="0"/>
        </w:rPr>
        <w:tab/>
        <w:t>When tenders have to be publicly invited</w:t>
      </w:r>
      <w:bookmarkEnd w:id="23"/>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pPr>
      <w:r>
        <w:tab/>
        <w:t>(h)</w:t>
      </w:r>
      <w:r>
        <w:tab/>
        <w:t xml:space="preserve">the following apply — </w:t>
      </w:r>
    </w:p>
    <w:p>
      <w:pPr>
        <w:pStyle w:val="Indenti"/>
      </w:pPr>
      <w:r>
        <w:tab/>
        <w:t>(i)</w:t>
      </w:r>
      <w:r>
        <w:tab/>
        <w:t xml:space="preserve">the goods or services are to be supplied by a person registered on the Aboriginal Business Directory WA published by the Small Business Development Corporation established under the </w:t>
      </w:r>
      <w:r>
        <w:rPr>
          <w:i/>
        </w:rPr>
        <w:t>Small Business Development Corporation Act 1983</w:t>
      </w:r>
      <w:r>
        <w:t>; 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w:t>
      </w:r>
    </w:p>
    <w:p>
      <w:pPr>
        <w:pStyle w:val="Heading5"/>
      </w:pPr>
      <w:bookmarkStart w:id="24" w:name="_Toc500418770"/>
      <w:r>
        <w:rPr>
          <w:rStyle w:val="CharSectno"/>
        </w:rPr>
        <w:t>12</w:t>
      </w:r>
      <w:r>
        <w:t>.</w:t>
      </w:r>
      <w:r>
        <w:tab/>
        <w:t>Anti</w:t>
      </w:r>
      <w:r>
        <w:noBreakHyphen/>
        <w:t>avoidance provision for r. 11(1)</w:t>
      </w:r>
      <w:bookmarkEnd w:id="24"/>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25" w:name="_Toc500418771"/>
      <w:r>
        <w:rPr>
          <w:rStyle w:val="CharSectno"/>
        </w:rPr>
        <w:t>13</w:t>
      </w:r>
      <w:r>
        <w:rPr>
          <w:snapToGrid w:val="0"/>
        </w:rPr>
        <w:t>.</w:t>
      </w:r>
      <w:r>
        <w:rPr>
          <w:snapToGrid w:val="0"/>
        </w:rPr>
        <w:tab/>
        <w:t>Requirements when local government invites tenders though not required to do so</w:t>
      </w:r>
      <w:bookmarkEnd w:id="25"/>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26" w:name="_Toc500418772"/>
      <w:r>
        <w:rPr>
          <w:rStyle w:val="CharSectno"/>
        </w:rPr>
        <w:t>14</w:t>
      </w:r>
      <w:r>
        <w:rPr>
          <w:snapToGrid w:val="0"/>
        </w:rPr>
        <w:t>.</w:t>
      </w:r>
      <w:r>
        <w:rPr>
          <w:snapToGrid w:val="0"/>
        </w:rPr>
        <w:tab/>
        <w:t>Publicly inviting tenders, requirements for</w:t>
      </w:r>
      <w:bookmarkEnd w:id="26"/>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27" w:name="_Toc500418773"/>
      <w:r>
        <w:rPr>
          <w:rStyle w:val="CharSectno"/>
        </w:rPr>
        <w:t>15</w:t>
      </w:r>
      <w:r>
        <w:t>.</w:t>
      </w:r>
      <w:r>
        <w:tab/>
      </w:r>
      <w:r>
        <w:rPr>
          <w:snapToGrid w:val="0"/>
        </w:rPr>
        <w:t>Minimum time to be allowed for submitting tenders</w:t>
      </w:r>
      <w:bookmarkEnd w:id="27"/>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w:t>
      </w:r>
    </w:p>
    <w:p>
      <w:pPr>
        <w:pStyle w:val="Heading5"/>
        <w:rPr>
          <w:snapToGrid w:val="0"/>
        </w:rPr>
      </w:pPr>
      <w:bookmarkStart w:id="28" w:name="_Toc500418774"/>
      <w:r>
        <w:rPr>
          <w:rStyle w:val="CharSectno"/>
        </w:rPr>
        <w:t>16</w:t>
      </w:r>
      <w:r>
        <w:rPr>
          <w:snapToGrid w:val="0"/>
        </w:rPr>
        <w:t>.</w:t>
      </w:r>
      <w:r>
        <w:rPr>
          <w:snapToGrid w:val="0"/>
        </w:rPr>
        <w:tab/>
        <w:t>Receiving and opening tenders, procedure for</w:t>
      </w:r>
      <w:bookmarkEnd w:id="28"/>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29" w:name="_Toc500418775"/>
      <w:r>
        <w:rPr>
          <w:rStyle w:val="CharSectno"/>
        </w:rPr>
        <w:t>17</w:t>
      </w:r>
      <w:r>
        <w:rPr>
          <w:snapToGrid w:val="0"/>
        </w:rPr>
        <w:t>.</w:t>
      </w:r>
      <w:r>
        <w:rPr>
          <w:snapToGrid w:val="0"/>
        </w:rPr>
        <w:tab/>
        <w:t>Tenders register</w:t>
      </w:r>
      <w:bookmarkEnd w:id="29"/>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w:t>
      </w:r>
    </w:p>
    <w:p>
      <w:pPr>
        <w:pStyle w:val="Heading5"/>
        <w:rPr>
          <w:snapToGrid w:val="0"/>
        </w:rPr>
      </w:pPr>
      <w:bookmarkStart w:id="30" w:name="_Toc500418776"/>
      <w:r>
        <w:rPr>
          <w:rStyle w:val="CharSectno"/>
        </w:rPr>
        <w:t>18</w:t>
      </w:r>
      <w:r>
        <w:rPr>
          <w:snapToGrid w:val="0"/>
        </w:rPr>
        <w:t>.</w:t>
      </w:r>
      <w:r>
        <w:rPr>
          <w:snapToGrid w:val="0"/>
        </w:rPr>
        <w:tab/>
        <w:t>Rejecting and accepting tenders</w:t>
      </w:r>
      <w:bookmarkEnd w:id="30"/>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31" w:name="_Toc500418777"/>
      <w:r>
        <w:rPr>
          <w:rStyle w:val="CharSectno"/>
        </w:rPr>
        <w:t>19</w:t>
      </w:r>
      <w:r>
        <w:rPr>
          <w:snapToGrid w:val="0"/>
        </w:rPr>
        <w:t>.</w:t>
      </w:r>
      <w:r>
        <w:rPr>
          <w:snapToGrid w:val="0"/>
        </w:rPr>
        <w:tab/>
        <w:t>Tenderers to be notified of outcome</w:t>
      </w:r>
      <w:bookmarkEnd w:id="31"/>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32" w:name="_Toc500418778"/>
      <w:r>
        <w:rPr>
          <w:rStyle w:val="CharSectno"/>
        </w:rPr>
        <w:t>20</w:t>
      </w:r>
      <w:r>
        <w:rPr>
          <w:snapToGrid w:val="0"/>
        </w:rPr>
        <w:t>.</w:t>
      </w:r>
      <w:r>
        <w:rPr>
          <w:snapToGrid w:val="0"/>
        </w:rPr>
        <w:tab/>
        <w:t>Variation of requirements before entry into contract</w:t>
      </w:r>
      <w:bookmarkEnd w:id="32"/>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33" w:name="_Toc500418779"/>
      <w:r>
        <w:rPr>
          <w:rStyle w:val="CharSectno"/>
        </w:rPr>
        <w:t>21A</w:t>
      </w:r>
      <w:r>
        <w:t>.</w:t>
      </w:r>
      <w:r>
        <w:tab/>
        <w:t>Varying a contract for the supply of goods or services</w:t>
      </w:r>
      <w:bookmarkEnd w:id="33"/>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34" w:name="_Toc500418780"/>
      <w:r>
        <w:rPr>
          <w:rStyle w:val="CharSectno"/>
        </w:rPr>
        <w:t>21</w:t>
      </w:r>
      <w:r>
        <w:rPr>
          <w:snapToGrid w:val="0"/>
        </w:rPr>
        <w:t>.</w:t>
      </w:r>
      <w:r>
        <w:rPr>
          <w:snapToGrid w:val="0"/>
        </w:rPr>
        <w:tab/>
        <w:t>Limiting who can tender, procedure for</w:t>
      </w:r>
      <w:bookmarkEnd w:id="34"/>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35" w:name="_Toc500418781"/>
      <w:r>
        <w:rPr>
          <w:rStyle w:val="CharSectno"/>
        </w:rPr>
        <w:t>22</w:t>
      </w:r>
      <w:r>
        <w:rPr>
          <w:snapToGrid w:val="0"/>
        </w:rPr>
        <w:t>.</w:t>
      </w:r>
      <w:r>
        <w:rPr>
          <w:snapToGrid w:val="0"/>
        </w:rPr>
        <w:tab/>
        <w:t>Minimum time to be allowed for submitting expressions of interest</w:t>
      </w:r>
      <w:bookmarkEnd w:id="35"/>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36" w:name="_Toc500418782"/>
      <w:r>
        <w:rPr>
          <w:rStyle w:val="CharSectno"/>
        </w:rPr>
        <w:t>23</w:t>
      </w:r>
      <w:r>
        <w:rPr>
          <w:snapToGrid w:val="0"/>
        </w:rPr>
        <w:t>.</w:t>
      </w:r>
      <w:r>
        <w:rPr>
          <w:snapToGrid w:val="0"/>
        </w:rPr>
        <w:tab/>
        <w:t>Rejecting and accepting expressions of interest to be acceptable tenderer</w:t>
      </w:r>
      <w:bookmarkEnd w:id="36"/>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37" w:name="_Toc500418783"/>
      <w:r>
        <w:rPr>
          <w:rStyle w:val="CharSectno"/>
        </w:rPr>
        <w:t>24</w:t>
      </w:r>
      <w:r>
        <w:rPr>
          <w:snapToGrid w:val="0"/>
        </w:rPr>
        <w:t>.</w:t>
      </w:r>
      <w:r>
        <w:rPr>
          <w:snapToGrid w:val="0"/>
        </w:rPr>
        <w:tab/>
        <w:t>People who submitted expression of interest to be notified of outcome</w:t>
      </w:r>
      <w:bookmarkEnd w:id="37"/>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38" w:name="_Toc500418784"/>
      <w:r>
        <w:rPr>
          <w:rStyle w:val="CharDivNo"/>
        </w:rPr>
        <w:t>Division 3</w:t>
      </w:r>
      <w:r>
        <w:t> — </w:t>
      </w:r>
      <w:r>
        <w:rPr>
          <w:rStyle w:val="CharDivText"/>
        </w:rPr>
        <w:t>Panels of pre</w:t>
      </w:r>
      <w:r>
        <w:rPr>
          <w:rStyle w:val="CharDivText"/>
        </w:rPr>
        <w:noBreakHyphen/>
        <w:t>qualified suppliers</w:t>
      </w:r>
      <w:bookmarkEnd w:id="38"/>
    </w:p>
    <w:p>
      <w:pPr>
        <w:pStyle w:val="Footnoteheading"/>
      </w:pPr>
      <w:r>
        <w:tab/>
        <w:t>[Heading inserted: Gazette 18 Sep 2015 p. 3808.]</w:t>
      </w:r>
    </w:p>
    <w:p>
      <w:pPr>
        <w:pStyle w:val="Heading5"/>
      </w:pPr>
      <w:bookmarkStart w:id="39" w:name="_Toc500418785"/>
      <w:r>
        <w:rPr>
          <w:rStyle w:val="CharSectno"/>
        </w:rPr>
        <w:t>24AA</w:t>
      </w:r>
      <w:r>
        <w:t>.</w:t>
      </w:r>
      <w:r>
        <w:tab/>
        <w:t>Terms used</w:t>
      </w:r>
      <w:bookmarkEnd w:id="39"/>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40" w:name="_Toc500418786"/>
      <w:r>
        <w:rPr>
          <w:rStyle w:val="CharSectno"/>
        </w:rPr>
        <w:t>24AB</w:t>
      </w:r>
      <w:r>
        <w:t>.</w:t>
      </w:r>
      <w:r>
        <w:tab/>
        <w:t>Local government may establish panels of pre</w:t>
      </w:r>
      <w:r>
        <w:noBreakHyphen/>
        <w:t>qualified suppliers</w:t>
      </w:r>
      <w:bookmarkEnd w:id="40"/>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41" w:name="_Toc500418787"/>
      <w:r>
        <w:rPr>
          <w:rStyle w:val="CharSectno"/>
        </w:rPr>
        <w:t>24AC</w:t>
      </w:r>
      <w:r>
        <w:t>.</w:t>
      </w:r>
      <w:r>
        <w:tab/>
        <w:t>Requirements before establishing panels of pre</w:t>
      </w:r>
      <w:r>
        <w:noBreakHyphen/>
        <w:t>qualified suppliers</w:t>
      </w:r>
      <w:bookmarkEnd w:id="41"/>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42" w:name="_Toc500418788"/>
      <w:r>
        <w:rPr>
          <w:rStyle w:val="CharSectno"/>
        </w:rPr>
        <w:t>24AD</w:t>
      </w:r>
      <w:r>
        <w:t>.</w:t>
      </w:r>
      <w:r>
        <w:tab/>
        <w:t>Requirements when inviting persons to apply to join panel of pre</w:t>
      </w:r>
      <w:r>
        <w:noBreakHyphen/>
        <w:t>qualified suppliers</w:t>
      </w:r>
      <w:bookmarkEnd w:id="42"/>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43" w:name="_Toc500418789"/>
      <w:r>
        <w:rPr>
          <w:rStyle w:val="CharSectno"/>
        </w:rPr>
        <w:t>24AE</w:t>
      </w:r>
      <w:r>
        <w:t>.</w:t>
      </w:r>
      <w:r>
        <w:tab/>
        <w:t>Minimum time to be allowed for submitting application to join panel of pre</w:t>
      </w:r>
      <w:r>
        <w:noBreakHyphen/>
        <w:t>qualified suppliers</w:t>
      </w:r>
      <w:bookmarkEnd w:id="43"/>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Gazette 18 Sep 2015 p. 3810.] </w:t>
      </w:r>
    </w:p>
    <w:p>
      <w:pPr>
        <w:pStyle w:val="Heading5"/>
      </w:pPr>
      <w:bookmarkStart w:id="44" w:name="_Toc500418790"/>
      <w:r>
        <w:rPr>
          <w:rStyle w:val="CharSectno"/>
        </w:rPr>
        <w:t>24AF</w:t>
      </w:r>
      <w:r>
        <w:t>.</w:t>
      </w:r>
      <w:r>
        <w:tab/>
        <w:t>Procedure for receiving and opening applications</w:t>
      </w:r>
      <w:bookmarkEnd w:id="44"/>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45" w:name="_Toc500418791"/>
      <w:r>
        <w:rPr>
          <w:rStyle w:val="CharSectno"/>
        </w:rPr>
        <w:t>24AG</w:t>
      </w:r>
      <w:r>
        <w:t>.</w:t>
      </w:r>
      <w:r>
        <w:tab/>
        <w:t>Information about panels of pre</w:t>
      </w:r>
      <w:r>
        <w:noBreakHyphen/>
        <w:t>qualified suppliers to be included in tenders register</w:t>
      </w:r>
      <w:bookmarkEnd w:id="45"/>
    </w:p>
    <w:p>
      <w:pPr>
        <w:pStyle w:val="Subsection"/>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46" w:name="_Toc500418792"/>
      <w:r>
        <w:rPr>
          <w:rStyle w:val="CharSectno"/>
        </w:rPr>
        <w:t>24AH</w:t>
      </w:r>
      <w:r>
        <w:t>.</w:t>
      </w:r>
      <w:r>
        <w:tab/>
        <w:t>Rejecting and accepting applications to join panel of pre</w:t>
      </w:r>
      <w:r>
        <w:noBreakHyphen/>
        <w:t>qualified suppliers</w:t>
      </w:r>
      <w:bookmarkEnd w:id="46"/>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47" w:name="_Toc500418793"/>
      <w:r>
        <w:rPr>
          <w:rStyle w:val="CharSectno"/>
        </w:rPr>
        <w:t>24AI</w:t>
      </w:r>
      <w:r>
        <w:t>.</w:t>
      </w:r>
      <w:r>
        <w:tab/>
        <w:t>Applicants to be notified of outcome</w:t>
      </w:r>
      <w:bookmarkEnd w:id="47"/>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48" w:name="_Toc500418794"/>
      <w:r>
        <w:rPr>
          <w:rStyle w:val="CharSectno"/>
        </w:rPr>
        <w:t>24AJ</w:t>
      </w:r>
      <w:r>
        <w:t>.</w:t>
      </w:r>
      <w:r>
        <w:tab/>
        <w:t>Contracts with pre</w:t>
      </w:r>
      <w:r>
        <w:noBreakHyphen/>
        <w:t>qualified suppliers</w:t>
      </w:r>
      <w:bookmarkEnd w:id="48"/>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49" w:name="_Toc500418795"/>
      <w:r>
        <w:rPr>
          <w:rStyle w:val="CharPartNo"/>
        </w:rPr>
        <w:t>Part 4A</w:t>
      </w:r>
      <w:r>
        <w:rPr>
          <w:rStyle w:val="CharDivNo"/>
        </w:rPr>
        <w:t xml:space="preserve"> </w:t>
      </w:r>
      <w:r>
        <w:t>—</w:t>
      </w:r>
      <w:r>
        <w:rPr>
          <w:rStyle w:val="CharDivText"/>
        </w:rPr>
        <w:t xml:space="preserve"> </w:t>
      </w:r>
      <w:r>
        <w:rPr>
          <w:rStyle w:val="CharPartText"/>
        </w:rPr>
        <w:t>Regional price preference</w:t>
      </w:r>
      <w:bookmarkEnd w:id="49"/>
    </w:p>
    <w:p>
      <w:pPr>
        <w:pStyle w:val="Footnoteheading"/>
      </w:pPr>
      <w:r>
        <w:tab/>
        <w:t>[Heading inserted: Gazette 25 Feb 2000 p. 971.]</w:t>
      </w:r>
    </w:p>
    <w:p>
      <w:pPr>
        <w:pStyle w:val="Heading5"/>
        <w:spacing w:before="180"/>
      </w:pPr>
      <w:bookmarkStart w:id="50" w:name="_Toc500418796"/>
      <w:r>
        <w:rPr>
          <w:rStyle w:val="CharSectno"/>
        </w:rPr>
        <w:t>24A</w:t>
      </w:r>
      <w:r>
        <w:t>.</w:t>
      </w:r>
      <w:r>
        <w:tab/>
        <w:t>Application of this Part</w:t>
      </w:r>
      <w:bookmarkEnd w:id="50"/>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51" w:name="_Toc500418797"/>
      <w:r>
        <w:rPr>
          <w:rStyle w:val="CharSectno"/>
        </w:rPr>
        <w:t>24B</w:t>
      </w:r>
      <w:r>
        <w:t>.</w:t>
      </w:r>
      <w:r>
        <w:tab/>
        <w:t>Terms used</w:t>
      </w:r>
      <w:bookmarkEnd w:id="51"/>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52" w:name="_Toc500418798"/>
      <w:r>
        <w:rPr>
          <w:rStyle w:val="CharSectno"/>
        </w:rPr>
        <w:t>24C</w:t>
      </w:r>
      <w:r>
        <w:t>.</w:t>
      </w:r>
      <w:r>
        <w:tab/>
        <w:t>Regional price preference may be given</w:t>
      </w:r>
      <w:bookmarkEnd w:id="52"/>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53" w:name="_Toc500418799"/>
      <w:r>
        <w:rPr>
          <w:rStyle w:val="CharSectno"/>
        </w:rPr>
        <w:t>24D</w:t>
      </w:r>
      <w:r>
        <w:t>.</w:t>
      </w:r>
      <w:r>
        <w:tab/>
        <w:t>Discounts permitted for regional price preferences</w:t>
      </w:r>
      <w:bookmarkEnd w:id="53"/>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54" w:name="_Toc500418800"/>
      <w:r>
        <w:rPr>
          <w:rStyle w:val="CharSectno"/>
        </w:rPr>
        <w:t>24E</w:t>
      </w:r>
      <w:r>
        <w:t>.</w:t>
      </w:r>
      <w:r>
        <w:tab/>
        <w:t>Regional price preference policies for local governments</w:t>
      </w:r>
      <w:bookmarkEnd w:id="54"/>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w:t>
      </w:r>
    </w:p>
    <w:p>
      <w:pPr>
        <w:pStyle w:val="Heading5"/>
        <w:spacing w:before="180"/>
      </w:pPr>
      <w:bookmarkStart w:id="55" w:name="_Toc500418801"/>
      <w:r>
        <w:rPr>
          <w:rStyle w:val="CharSectno"/>
        </w:rPr>
        <w:t>24F</w:t>
      </w:r>
      <w:r>
        <w:t>.</w:t>
      </w:r>
      <w:r>
        <w:tab/>
        <w:t>Adoption and notice of regional price preference policy</w:t>
      </w:r>
      <w:bookmarkEnd w:id="55"/>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Gazette 25 Feb 2000 p. 973</w:t>
      </w:r>
      <w:r>
        <w:noBreakHyphen/>
        <w:t>4; amended: Gazette 31 Mar 2005 p. 1055.]</w:t>
      </w:r>
    </w:p>
    <w:p>
      <w:pPr>
        <w:pStyle w:val="Heading5"/>
      </w:pPr>
      <w:bookmarkStart w:id="56" w:name="_Toc500418802"/>
      <w:r>
        <w:rPr>
          <w:rStyle w:val="CharSectno"/>
        </w:rPr>
        <w:t>24G</w:t>
      </w:r>
      <w:r>
        <w:t>.</w:t>
      </w:r>
      <w:r>
        <w:tab/>
        <w:t>Adopted regional price preference policy, effect of</w:t>
      </w:r>
      <w:bookmarkEnd w:id="56"/>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57" w:name="_Toc500418803"/>
      <w:r>
        <w:rPr>
          <w:rStyle w:val="CharPartNo"/>
        </w:rPr>
        <w:t>Part 5</w:t>
      </w:r>
      <w:r>
        <w:rPr>
          <w:rStyle w:val="CharDivNo"/>
        </w:rPr>
        <w:t> </w:t>
      </w:r>
      <w:r>
        <w:t>—</w:t>
      </w:r>
      <w:r>
        <w:rPr>
          <w:rStyle w:val="CharDivText"/>
        </w:rPr>
        <w:t> </w:t>
      </w:r>
      <w:r>
        <w:rPr>
          <w:rStyle w:val="CharPartText"/>
        </w:rPr>
        <w:t>Owner onus and infringement notices</w:t>
      </w:r>
      <w:bookmarkEnd w:id="57"/>
    </w:p>
    <w:p>
      <w:pPr>
        <w:pStyle w:val="Heading5"/>
        <w:ind w:right="376"/>
        <w:rPr>
          <w:snapToGrid w:val="0"/>
        </w:rPr>
      </w:pPr>
      <w:bookmarkStart w:id="58" w:name="_Toc500418804"/>
      <w:r>
        <w:rPr>
          <w:rStyle w:val="CharSectno"/>
        </w:rPr>
        <w:t>25</w:t>
      </w:r>
      <w:r>
        <w:rPr>
          <w:snapToGrid w:val="0"/>
        </w:rPr>
        <w:t>.</w:t>
      </w:r>
      <w:r>
        <w:rPr>
          <w:snapToGrid w:val="0"/>
        </w:rPr>
        <w:tab/>
        <w:t>Notice to put onus on vehicle owner, form of (Act s. 9.13)</w:t>
      </w:r>
      <w:bookmarkEnd w:id="5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59" w:name="_Toc500418805"/>
      <w:r>
        <w:rPr>
          <w:rStyle w:val="CharSectno"/>
        </w:rPr>
        <w:t>26</w:t>
      </w:r>
      <w:r>
        <w:rPr>
          <w:snapToGrid w:val="0"/>
        </w:rPr>
        <w:t>.</w:t>
      </w:r>
      <w:r>
        <w:rPr>
          <w:snapToGrid w:val="0"/>
        </w:rPr>
        <w:tab/>
        <w:t>Infringement notice, form of (Act s. 9.16)</w:t>
      </w:r>
      <w:bookmarkEnd w:id="5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60" w:name="_Toc500418806"/>
      <w:r>
        <w:rPr>
          <w:rStyle w:val="CharSectno"/>
        </w:rPr>
        <w:t>27</w:t>
      </w:r>
      <w:r>
        <w:rPr>
          <w:snapToGrid w:val="0"/>
        </w:rPr>
        <w:t>.</w:t>
      </w:r>
      <w:r>
        <w:rPr>
          <w:snapToGrid w:val="0"/>
        </w:rPr>
        <w:tab/>
        <w:t>Withdrawal of infringement notice, form of (Act s. 9.20)</w:t>
      </w:r>
      <w:bookmarkEnd w:id="6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61" w:name="_Toc500418807"/>
      <w:r>
        <w:rPr>
          <w:rStyle w:val="CharPartNo"/>
        </w:rPr>
        <w:t>Part 6</w:t>
      </w:r>
      <w:r>
        <w:rPr>
          <w:rStyle w:val="CharDivNo"/>
        </w:rPr>
        <w:t> </w:t>
      </w:r>
      <w:r>
        <w:t>—</w:t>
      </w:r>
      <w:r>
        <w:rPr>
          <w:rStyle w:val="CharDivText"/>
        </w:rPr>
        <w:t> </w:t>
      </w:r>
      <w:r>
        <w:rPr>
          <w:rStyle w:val="CharPartText"/>
        </w:rPr>
        <w:t>Miscellaneous</w:t>
      </w:r>
      <w:bookmarkEnd w:id="61"/>
    </w:p>
    <w:p>
      <w:pPr>
        <w:pStyle w:val="Heading5"/>
        <w:ind w:right="856"/>
        <w:rPr>
          <w:snapToGrid w:val="0"/>
        </w:rPr>
      </w:pPr>
      <w:bookmarkStart w:id="62" w:name="_Toc500418808"/>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62"/>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63" w:name="_Toc500418809"/>
      <w:r>
        <w:rPr>
          <w:rStyle w:val="CharSectno"/>
        </w:rPr>
        <w:t>29A</w:t>
      </w:r>
      <w:r>
        <w:t>.</w:t>
      </w:r>
      <w:r>
        <w:tab/>
        <w:t xml:space="preserve">Abandoned vehicle wrecks, value etc. prescribed for </w:t>
      </w:r>
      <w:r>
        <w:rPr>
          <w:snapToGrid w:val="0"/>
        </w:rPr>
        <w:t>(Act </w:t>
      </w:r>
      <w:r>
        <w:t>s. 3.40A(5)(c))</w:t>
      </w:r>
      <w:bookmarkEnd w:id="63"/>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64" w:name="_Toc500418810"/>
      <w:r>
        <w:rPr>
          <w:rStyle w:val="CharSectno"/>
        </w:rPr>
        <w:t>29B</w:t>
      </w:r>
      <w:r>
        <w:t>.</w:t>
      </w:r>
      <w:r>
        <w:tab/>
        <w:t>Prescribed non</w:t>
      </w:r>
      <w:r>
        <w:noBreakHyphen/>
        <w:t xml:space="preserve">perishable goods </w:t>
      </w:r>
      <w:r>
        <w:rPr>
          <w:snapToGrid w:val="0"/>
        </w:rPr>
        <w:t>(Act </w:t>
      </w:r>
      <w:r>
        <w:t>s. 3.47(2b)(ca))</w:t>
      </w:r>
      <w:bookmarkEnd w:id="64"/>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65" w:name="_Toc500418811"/>
      <w:r>
        <w:rPr>
          <w:rStyle w:val="CharSectno"/>
        </w:rPr>
        <w:t>30</w:t>
      </w:r>
      <w:r>
        <w:rPr>
          <w:snapToGrid w:val="0"/>
        </w:rPr>
        <w:t>.</w:t>
      </w:r>
      <w:r>
        <w:rPr>
          <w:snapToGrid w:val="0"/>
        </w:rPr>
        <w:tab/>
        <w:t>Dispositions of property excluded from Act s. 3.58</w:t>
      </w:r>
      <w:bookmarkEnd w:id="65"/>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w:t>
      </w:r>
    </w:p>
    <w:p>
      <w:pPr>
        <w:pStyle w:val="Heading5"/>
        <w:rPr>
          <w:snapToGrid w:val="0"/>
        </w:rPr>
      </w:pPr>
      <w:bookmarkStart w:id="66" w:name="_Toc500418812"/>
      <w:r>
        <w:rPr>
          <w:rStyle w:val="CharSectno"/>
        </w:rPr>
        <w:t>31</w:t>
      </w:r>
      <w:r>
        <w:rPr>
          <w:snapToGrid w:val="0"/>
        </w:rPr>
        <w:t>.</w:t>
      </w:r>
      <w:r>
        <w:rPr>
          <w:snapToGrid w:val="0"/>
        </w:rPr>
        <w:tab/>
        <w:t>Anti</w:t>
      </w:r>
      <w:r>
        <w:rPr>
          <w:snapToGrid w:val="0"/>
        </w:rPr>
        <w:noBreakHyphen/>
        <w:t>avoidance provision for Act s. 3.58</w:t>
      </w:r>
      <w:bookmarkEnd w:id="66"/>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67" w:name="_Toc500418813"/>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67"/>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Gazette 4 Dec 1998 p. 6500; 30 Dec 2016 p. 5970.]</w:t>
      </w:r>
    </w:p>
    <w:p>
      <w:pPr>
        <w:pStyle w:val="Heading5"/>
      </w:pPr>
      <w:bookmarkStart w:id="68" w:name="_Toc500418814"/>
      <w:r>
        <w:rPr>
          <w:rStyle w:val="CharSectno"/>
        </w:rPr>
        <w:t>32A</w:t>
      </w:r>
      <w:r>
        <w:t>.</w:t>
      </w:r>
      <w:r>
        <w:tab/>
        <w:t xml:space="preserve">Excluded authorisations </w:t>
      </w:r>
      <w:r>
        <w:rPr>
          <w:snapToGrid w:val="0"/>
        </w:rPr>
        <w:t>(Act </w:t>
      </w:r>
      <w:r>
        <w:t>s. 9.2)</w:t>
      </w:r>
      <w:bookmarkEnd w:id="68"/>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69" w:name="_Toc500418815"/>
      <w:r>
        <w:rPr>
          <w:rStyle w:val="CharSectno"/>
        </w:rPr>
        <w:t>33</w:t>
      </w:r>
      <w:r>
        <w:rPr>
          <w:snapToGrid w:val="0"/>
        </w:rPr>
        <w:t>.</w:t>
      </w:r>
      <w:r>
        <w:rPr>
          <w:snapToGrid w:val="0"/>
        </w:rPr>
        <w:tab/>
        <w:t>Objections to decisions, form of etc. prescribed (Act s. 9.5)</w:t>
      </w:r>
      <w:bookmarkEnd w:id="69"/>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70" w:name="_Toc500418816"/>
      <w:r>
        <w:rPr>
          <w:rStyle w:val="CharSectno"/>
        </w:rPr>
        <w:t>34</w:t>
      </w:r>
      <w:r>
        <w:t>.</w:t>
      </w:r>
      <w:r>
        <w:tab/>
        <w:t>Common seal, unauthorised use of</w:t>
      </w:r>
      <w:bookmarkEnd w:id="70"/>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71" w:name="_Toc500418817"/>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71"/>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72" w:name="_Toc500418818"/>
      <w:r>
        <w:rPr>
          <w:rStyle w:val="CharSectno"/>
        </w:rPr>
        <w:t>35A</w:t>
      </w:r>
      <w:r>
        <w:t>.</w:t>
      </w:r>
      <w:r>
        <w:tab/>
        <w:t xml:space="preserve">Delegable functions of Minister </w:t>
      </w:r>
      <w:r>
        <w:rPr>
          <w:snapToGrid w:val="0"/>
        </w:rPr>
        <w:t>(Act </w:t>
      </w:r>
      <w:r>
        <w:t>s. 9.66)</w:t>
      </w:r>
      <w:bookmarkEnd w:id="72"/>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73" w:name="_Toc500418819"/>
      <w:r>
        <w:rPr>
          <w:rStyle w:val="CharSectno"/>
        </w:rPr>
        <w:t>35B</w:t>
      </w:r>
      <w:r>
        <w:t>.</w:t>
      </w:r>
      <w:r>
        <w:tab/>
        <w:t>Delegable functions of Departmental CEO (Act s. 9.67)</w:t>
      </w:r>
      <w:bookmarkEnd w:id="73"/>
    </w:p>
    <w:p>
      <w:pPr>
        <w:pStyle w:val="Subsection"/>
      </w:pPr>
      <w:r>
        <w:tab/>
      </w:r>
      <w:r>
        <w:tab/>
        <w:t xml:space="preserve">The Departmental CEO’s functions under the provisions of the Act that are listed in the Table are </w:t>
      </w:r>
      <w:r>
        <w:rPr>
          <w:szCs w:val="24"/>
        </w:rPr>
        <w:t>delegable functions.</w:t>
      </w:r>
    </w:p>
    <w:p>
      <w:pPr>
        <w:pStyle w:val="THeadingNAmLeft2c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74" w:name="_Toc500418820"/>
      <w:r>
        <w:rPr>
          <w:rStyle w:val="CharSectno"/>
        </w:rPr>
        <w:t>36</w:t>
      </w:r>
      <w:r>
        <w:rPr>
          <w:snapToGrid w:val="0"/>
        </w:rPr>
        <w:t>.</w:t>
      </w:r>
      <w:r>
        <w:rPr>
          <w:snapToGrid w:val="0"/>
        </w:rPr>
        <w:tab/>
        <w:t>Warrant to enter, form of (Act s. 3.33(1) and 8.8(1))</w:t>
      </w:r>
      <w:bookmarkEnd w:id="74"/>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75" w:name="_Toc500418821"/>
      <w:r>
        <w:rPr>
          <w:rStyle w:val="CharPartNo"/>
        </w:rPr>
        <w:t>Part 7</w:t>
      </w:r>
      <w:r>
        <w:rPr>
          <w:rStyle w:val="CharDivNo"/>
        </w:rPr>
        <w:t> </w:t>
      </w:r>
      <w:r>
        <w:t>—</w:t>
      </w:r>
      <w:r>
        <w:rPr>
          <w:rStyle w:val="CharDivText"/>
        </w:rPr>
        <w:t> </w:t>
      </w:r>
      <w:r>
        <w:rPr>
          <w:rStyle w:val="CharPartText"/>
        </w:rPr>
        <w:t>Other transitional provisions</w:t>
      </w:r>
      <w:bookmarkEnd w:id="75"/>
    </w:p>
    <w:p>
      <w:pPr>
        <w:pStyle w:val="Ednotesection"/>
        <w:ind w:left="890" w:hanging="890"/>
      </w:pPr>
      <w:r>
        <w:t>[</w:t>
      </w:r>
      <w:r>
        <w:rPr>
          <w:b/>
          <w:bCs/>
        </w:rPr>
        <w:t>37.</w:t>
      </w:r>
      <w:r>
        <w:tab/>
      </w:r>
      <w:r>
        <w:rPr>
          <w:snapToGrid/>
        </w:rPr>
        <w:t>Omitted under the Reprints Act 1984 s. 7(4)(e).]</w:t>
      </w:r>
    </w:p>
    <w:p>
      <w:pPr>
        <w:pStyle w:val="Heading5"/>
        <w:rPr>
          <w:snapToGrid w:val="0"/>
        </w:rPr>
      </w:pPr>
      <w:bookmarkStart w:id="76" w:name="_Toc500418822"/>
      <w:r>
        <w:rPr>
          <w:rStyle w:val="CharSectno"/>
        </w:rPr>
        <w:t>38</w:t>
      </w:r>
      <w:r>
        <w:t>.</w:t>
      </w:r>
      <w:r>
        <w:rPr>
          <w:snapToGrid w:val="0"/>
        </w:rPr>
        <w:tab/>
        <w:t>Adopting former model by</w:t>
      </w:r>
      <w:r>
        <w:rPr>
          <w:snapToGrid w:val="0"/>
        </w:rPr>
        <w:noBreakHyphen/>
        <w:t>laws as local laws (Act s. 3.8(2) and (3))</w:t>
      </w:r>
      <w:bookmarkEnd w:id="76"/>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7" w:name="_Toc500418823"/>
      <w:r>
        <w:rPr>
          <w:rStyle w:val="CharSchNo"/>
        </w:rPr>
        <w:t>Schedule 1</w:t>
      </w:r>
      <w:r>
        <w:t> — </w:t>
      </w:r>
      <w:r>
        <w:rPr>
          <w:rStyle w:val="CharSchText"/>
        </w:rPr>
        <w:t>Forms</w:t>
      </w:r>
      <w:bookmarkEnd w:id="77"/>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type w:val="continuous"/>
          <w:pgSz w:w="11907" w:h="16840" w:code="9"/>
          <w:pgMar w:top="2381" w:right="2410" w:bottom="2977" w:left="2410" w:header="720" w:footer="3380" w:gutter="0"/>
          <w:cols w:space="720"/>
          <w:noEndnote/>
          <w:docGrid w:linePitch="326"/>
        </w:sectPr>
      </w:pPr>
    </w:p>
    <w:p>
      <w:pPr>
        <w:pStyle w:val="nHeading2"/>
      </w:pPr>
      <w:bookmarkStart w:id="79" w:name="_Toc500418824"/>
      <w:r>
        <w:t>Notes</w:t>
      </w:r>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 w:name="_Toc500418825"/>
      <w:r>
        <w:rPr>
          <w:snapToGrid w:val="0"/>
        </w:rPr>
        <w:t>Compilation table</w:t>
      </w:r>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rPr>
          <w:cantSplit/>
        </w:trPr>
        <w:tc>
          <w:tcPr>
            <w:tcW w:w="3119" w:type="dxa"/>
          </w:tcPr>
          <w:p>
            <w:pPr>
              <w:pStyle w:val="nTable"/>
              <w:spacing w:after="40"/>
              <w:ind w:right="113"/>
            </w:pPr>
            <w:r>
              <w:rPr>
                <w:i/>
              </w:rPr>
              <w:t>Local Government (Functions and General) Amendment Regulations 2001</w:t>
            </w:r>
            <w:r>
              <w:rPr>
                <w:vertAlign w:val="superscript"/>
              </w:rPr>
              <w:t xml:space="preserve"> 3</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Local Government (Functions and General) Amendment Regulations 2017</w:t>
            </w:r>
          </w:p>
        </w:tc>
        <w:tc>
          <w:tcPr>
            <w:tcW w:w="1276" w:type="dxa"/>
            <w:tcBorders>
              <w:bottom w:val="single" w:sz="4" w:space="0" w:color="auto"/>
            </w:tcBorders>
            <w:shd w:val="clear" w:color="auto" w:fill="auto"/>
          </w:tcPr>
          <w:p>
            <w:pPr>
              <w:pStyle w:val="nTable"/>
              <w:spacing w:after="40"/>
            </w:pPr>
            <w:r>
              <w:t>8 Dec 2017 p. 5844</w:t>
            </w:r>
            <w:r>
              <w:noBreakHyphen/>
              <w:t>5</w:t>
            </w:r>
          </w:p>
        </w:tc>
        <w:tc>
          <w:tcPr>
            <w:tcW w:w="2693" w:type="dxa"/>
            <w:tcBorders>
              <w:bottom w:val="single" w:sz="4" w:space="0" w:color="auto"/>
            </w:tcBorders>
            <w:shd w:val="clear" w:color="auto" w:fill="auto"/>
          </w:tcPr>
          <w:p>
            <w:pPr>
              <w:pStyle w:val="nTable"/>
              <w:spacing w:after="40"/>
              <w:rPr>
                <w:snapToGrid w:val="0"/>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bl>
    <w:p>
      <w:pPr>
        <w:pStyle w:val="nSubsection"/>
        <w:spacing w:before="160"/>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is a transitional provision that is of no further effect.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82" w:name="_Toc500418826"/>
      <w:r>
        <w:rPr>
          <w:sz w:val="28"/>
        </w:rPr>
        <w:t>Defined terms</w:t>
      </w:r>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former draft model by</w:t>
      </w:r>
      <w:r>
        <w:noBreakHyphen/>
        <w:t>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transferee</w:t>
      </w:r>
      <w:r>
        <w:tab/>
        <w:t>30(2)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2017</w:t>
    </w:r>
    <w:r>
      <w:rPr>
        <w:rFonts w:ascii="Arial" w:hAnsi="Arial" w:cs="Arial"/>
        <w:sz w:val="20"/>
      </w:rPr>
      <w:fldChar w:fldCharType="end"/>
    </w:r>
    <w:r>
      <w:rPr>
        <w:rFonts w:ascii="Arial" w:hAnsi="Arial" w:cs="Arial"/>
        <w:sz w:val="20"/>
      </w:rPr>
      <w:t xml:space="preserve"> </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7120058"/>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HeadingNAmLeft2cm">
    <w:name w:val="THeadingNAm + Left:  2 cm"/>
    <w:basedOn w:val="zTHeadingNAm"/>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HeadingNAmLeft2cm">
    <w:name w:val="THeadingNAm + Left:  2 cm"/>
    <w:basedOn w:val="zTHeadingNAm"/>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12092</Words>
  <Characters>65300</Characters>
  <Application>Microsoft Office Word</Application>
  <DocSecurity>0</DocSecurity>
  <Lines>1718</Lines>
  <Paragraphs>1045</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1996 - 03-d0-01</dc:title>
  <dc:subject/>
  <dc:creator/>
  <cp:keywords/>
  <dc:description/>
  <cp:lastModifiedBy>svcMRProcess</cp:lastModifiedBy>
  <cp:revision>4</cp:revision>
  <cp:lastPrinted>2012-04-02T07:14:00Z</cp:lastPrinted>
  <dcterms:created xsi:type="dcterms:W3CDTF">2019-01-17T08:31:00Z</dcterms:created>
  <dcterms:modified xsi:type="dcterms:W3CDTF">2019-01-17T08:31:00Z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20171209</vt:lpwstr>
  </property>
  <property fmtid="{D5CDD505-2E9C-101B-9397-08002B2CF9AE}" pid="8" name="AsAtDate">
    <vt:lpwstr>09 Dec 2017</vt:lpwstr>
  </property>
  <property fmtid="{D5CDD505-2E9C-101B-9397-08002B2CF9AE}" pid="9" name="Suffix">
    <vt:lpwstr>03-d0-01</vt:lpwstr>
  </property>
</Properties>
</file>