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_Toc150830505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_Toc150830506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_Toc150830507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_Toc150830509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_Toc150830510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_Toc150830511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_Toc150830512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_Toc150830513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_Toc150830514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_Toc150830515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_Toc150830516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_Toc150830517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_Toc150830518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_Toc150830519 \h </w:instrText>
      </w:r>
      <w:r>
        <w:fldChar w:fldCharType="separate"/>
      </w:r>
      <w:r>
        <w:t>12</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_Toc150830521 \h </w:instrText>
      </w:r>
      <w:r>
        <w:fldChar w:fldCharType="separate"/>
      </w:r>
      <w:r>
        <w:t>13</w:t>
      </w:r>
      <w:r>
        <w:fldChar w:fldCharType="end"/>
      </w:r>
    </w:p>
    <w:p>
      <w:pPr>
        <w:pStyle w:val="TOC8"/>
        <w:rPr>
          <w:sz w:val="24"/>
          <w:szCs w:val="24"/>
        </w:rPr>
      </w:pPr>
      <w:r>
        <w:rPr>
          <w:szCs w:val="24"/>
        </w:rPr>
        <w:t>16.</w:t>
      </w:r>
      <w:r>
        <w:rPr>
          <w:szCs w:val="24"/>
        </w:rPr>
        <w:tab/>
        <w:t>Powerball to be supervised</w:t>
      </w:r>
      <w:r>
        <w:tab/>
      </w:r>
      <w:r>
        <w:fldChar w:fldCharType="begin"/>
      </w:r>
      <w:r>
        <w:instrText xml:space="preserve"> PAGEREF _Toc150830522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_Toc150830523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_Toc150830524 \h </w:instrText>
      </w:r>
      <w:r>
        <w:fldChar w:fldCharType="separate"/>
      </w:r>
      <w:r>
        <w:t>14</w:t>
      </w:r>
      <w:r>
        <w:fldChar w:fldCharType="end"/>
      </w:r>
    </w:p>
    <w:p>
      <w:pPr>
        <w:pStyle w:val="TOC2"/>
        <w:tabs>
          <w:tab w:val="right" w:leader="dot" w:pos="7078"/>
        </w:tabs>
        <w:rPr>
          <w:b w:val="0"/>
          <w:sz w:val="24"/>
          <w:szCs w:val="24"/>
        </w:rPr>
      </w:pPr>
      <w:r>
        <w:rPr>
          <w:szCs w:val="30"/>
        </w:rPr>
        <w:t>Part 4 — Powerball draw</w:t>
      </w:r>
    </w:p>
    <w:p>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_Toc150830526 \h </w:instrText>
      </w:r>
      <w:r>
        <w:fldChar w:fldCharType="separate"/>
      </w:r>
      <w:r>
        <w:t>15</w:t>
      </w:r>
      <w:r>
        <w:fldChar w:fldCharType="end"/>
      </w:r>
    </w:p>
    <w:p>
      <w:pPr>
        <w:pStyle w:val="TOC8"/>
        <w:rPr>
          <w:sz w:val="24"/>
          <w:szCs w:val="24"/>
        </w:rPr>
      </w:pPr>
      <w:r>
        <w:rPr>
          <w:szCs w:val="24"/>
        </w:rPr>
        <w:lastRenderedPageBreak/>
        <w:t>20</w:t>
      </w:r>
      <w:r>
        <w:rPr>
          <w:snapToGrid w:val="0"/>
          <w:szCs w:val="24"/>
        </w:rPr>
        <w:t>.</w:t>
      </w:r>
      <w:r>
        <w:rPr>
          <w:snapToGrid w:val="0"/>
          <w:szCs w:val="24"/>
        </w:rPr>
        <w:tab/>
        <w:t>Criteria for powerball prizes</w:t>
      </w:r>
      <w:r>
        <w:tab/>
      </w:r>
      <w:r>
        <w:fldChar w:fldCharType="begin"/>
      </w:r>
      <w:r>
        <w:instrText xml:space="preserve"> PAGEREF _Toc150830527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_Toc150830528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_Toc150830529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_Toc150830530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_Toc150830531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_Toc150830532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_Toc150830533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_Toc150830534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_Toc150830535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_Toc150830536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_Toc150830537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_Toc150830538 \h </w:instrText>
      </w:r>
      <w:r>
        <w:fldChar w:fldCharType="separate"/>
      </w:r>
      <w:r>
        <w:t>21</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_Toc150830540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_Toc150830541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_Toc150830542 \h </w:instrText>
      </w:r>
      <w:r>
        <w:fldChar w:fldCharType="separate"/>
      </w:r>
      <w:r>
        <w:t>23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_Toc150830548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1" w:name="_Toc88368656"/>
      <w:bookmarkStart w:id="2" w:name="_Toc88383290"/>
      <w:bookmarkStart w:id="3" w:name="_Toc88446263"/>
      <w:bookmarkStart w:id="4" w:name="_Toc147227949"/>
      <w:bookmarkStart w:id="5" w:name="_Toc147288686"/>
      <w:bookmarkStart w:id="6" w:name="_Toc150762465"/>
      <w:bookmarkStart w:id="7" w:name="_Toc1508305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072243"/>
      <w:bookmarkStart w:id="9" w:name="_Toc5072434"/>
      <w:bookmarkStart w:id="10" w:name="_Toc7410310"/>
      <w:bookmarkStart w:id="11" w:name="_Toc88446264"/>
      <w:bookmarkStart w:id="12" w:name="_Toc150830505"/>
      <w:r>
        <w:rPr>
          <w:rStyle w:val="CharSectno"/>
        </w:rPr>
        <w:t>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13" w:name="_Toc5072244"/>
      <w:bookmarkStart w:id="14" w:name="_Toc5072435"/>
      <w:bookmarkStart w:id="15" w:name="_Toc7410311"/>
      <w:bookmarkStart w:id="16" w:name="_Toc88446265"/>
      <w:bookmarkStart w:id="17" w:name="_Toc15083050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18" w:name="_Toc5072245"/>
      <w:bookmarkStart w:id="19" w:name="_Toc5072436"/>
      <w:bookmarkStart w:id="20" w:name="_Toc7410312"/>
      <w:bookmarkStart w:id="21" w:name="_Toc88446266"/>
      <w:bookmarkStart w:id="22" w:name="_Toc15083050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23" w:name="_Toc88368661"/>
      <w:bookmarkStart w:id="24" w:name="_Toc88383295"/>
      <w:bookmarkStart w:id="25" w:name="_Toc88446268"/>
      <w:bookmarkStart w:id="26" w:name="_Toc147227954"/>
      <w:bookmarkStart w:id="27" w:name="_Toc147288691"/>
      <w:r>
        <w:t>[</w:t>
      </w:r>
      <w:r>
        <w:rPr>
          <w:b/>
          <w:bCs/>
        </w:rPr>
        <w:t>3A</w:t>
      </w:r>
      <w:r>
        <w:t>.</w:t>
      </w:r>
      <w:r>
        <w:tab/>
        <w:t>Repealed in Gazette 13 Oct 2006 p. 4412.]</w:t>
      </w:r>
    </w:p>
    <w:p>
      <w:pPr>
        <w:pStyle w:val="Heading2"/>
      </w:pPr>
      <w:bookmarkStart w:id="28" w:name="_Toc150762470"/>
      <w:bookmarkStart w:id="29" w:name="_Toc150830508"/>
      <w:r>
        <w:rPr>
          <w:rStyle w:val="CharPartNo"/>
        </w:rPr>
        <w:t>Part 2</w:t>
      </w:r>
      <w:r>
        <w:rPr>
          <w:rStyle w:val="CharDivNo"/>
        </w:rPr>
        <w:t> </w:t>
      </w:r>
      <w:r>
        <w:t>—</w:t>
      </w:r>
      <w:r>
        <w:rPr>
          <w:rStyle w:val="CharDivText"/>
        </w:rPr>
        <w:t> </w:t>
      </w:r>
      <w:r>
        <w:rPr>
          <w:rStyle w:val="CharPartText"/>
        </w:rPr>
        <w:t>Requirements for entry</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072246"/>
      <w:bookmarkStart w:id="31" w:name="_Toc5072437"/>
      <w:bookmarkStart w:id="32" w:name="_Toc7410313"/>
      <w:bookmarkStart w:id="33" w:name="_Toc88446269"/>
      <w:bookmarkStart w:id="34" w:name="_Toc150830509"/>
      <w:r>
        <w:rPr>
          <w:rStyle w:val="CharSectno"/>
        </w:rPr>
        <w:t>4</w:t>
      </w:r>
      <w:r>
        <w:rPr>
          <w:snapToGrid w:val="0"/>
        </w:rPr>
        <w:t>.</w:t>
      </w:r>
      <w:r>
        <w:rPr>
          <w:snapToGrid w:val="0"/>
        </w:rPr>
        <w:tab/>
        <w:t>Entry coupon</w:t>
      </w:r>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35" w:name="_Toc5072247"/>
      <w:bookmarkStart w:id="36" w:name="_Toc5072438"/>
      <w:bookmarkStart w:id="37" w:name="_Toc7410314"/>
      <w:bookmarkStart w:id="38" w:name="_Toc88446270"/>
      <w:bookmarkStart w:id="39" w:name="_Toc150830510"/>
      <w:r>
        <w:rPr>
          <w:rStyle w:val="CharSectno"/>
        </w:rPr>
        <w:t>5</w:t>
      </w:r>
      <w:r>
        <w:rPr>
          <w:snapToGrid w:val="0"/>
        </w:rPr>
        <w:t>.</w:t>
      </w:r>
      <w:r>
        <w:rPr>
          <w:snapToGrid w:val="0"/>
        </w:rPr>
        <w:tab/>
        <w:t>Methods of entry</w:t>
      </w:r>
      <w:bookmarkEnd w:id="35"/>
      <w:bookmarkEnd w:id="36"/>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40" w:name="_Toc5072248"/>
      <w:bookmarkStart w:id="41" w:name="_Toc5072439"/>
      <w:bookmarkStart w:id="42" w:name="_Toc7410315"/>
      <w:bookmarkStart w:id="43" w:name="_Toc88446271"/>
      <w:bookmarkStart w:id="44" w:name="_Toc150830511"/>
      <w:r>
        <w:rPr>
          <w:rStyle w:val="CharSectno"/>
        </w:rPr>
        <w:t>6</w:t>
      </w:r>
      <w:r>
        <w:rPr>
          <w:snapToGrid w:val="0"/>
        </w:rPr>
        <w:t>.</w:t>
      </w:r>
      <w:r>
        <w:rPr>
          <w:snapToGrid w:val="0"/>
        </w:rPr>
        <w:tab/>
        <w:t>No limit to number of entries</w:t>
      </w:r>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45" w:name="_Toc5072249"/>
      <w:bookmarkStart w:id="46" w:name="_Toc5072440"/>
      <w:bookmarkStart w:id="47" w:name="_Toc7410316"/>
      <w:bookmarkStart w:id="48" w:name="_Toc88446272"/>
      <w:bookmarkStart w:id="49" w:name="_Toc150830512"/>
      <w:r>
        <w:rPr>
          <w:rStyle w:val="CharSectno"/>
        </w:rPr>
        <w:t>7</w:t>
      </w:r>
      <w:r>
        <w:rPr>
          <w:snapToGrid w:val="0"/>
        </w:rPr>
        <w:t>.</w:t>
      </w:r>
      <w:r>
        <w:rPr>
          <w:snapToGrid w:val="0"/>
        </w:rPr>
        <w:tab/>
        <w:t>Super 66 entry</w:t>
      </w:r>
      <w:bookmarkEnd w:id="45"/>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50" w:name="_Toc5072250"/>
      <w:bookmarkStart w:id="51" w:name="_Toc5072441"/>
      <w:bookmarkStart w:id="52" w:name="_Toc7410317"/>
      <w:bookmarkStart w:id="53" w:name="_Toc88446273"/>
      <w:bookmarkStart w:id="54" w:name="_Toc150830513"/>
      <w:r>
        <w:rPr>
          <w:rStyle w:val="CharSectno"/>
        </w:rPr>
        <w:t>8</w:t>
      </w:r>
      <w:r>
        <w:rPr>
          <w:snapToGrid w:val="0"/>
        </w:rPr>
        <w:t>.</w:t>
      </w:r>
      <w:r>
        <w:rPr>
          <w:snapToGrid w:val="0"/>
        </w:rPr>
        <w:tab/>
        <w:t>Completion of entry coupon</w:t>
      </w:r>
      <w:bookmarkEnd w:id="50"/>
      <w:bookmarkEnd w:id="51"/>
      <w:bookmarkEnd w:id="52"/>
      <w:bookmarkEnd w:id="53"/>
      <w:bookmarkEnd w:id="54"/>
      <w:r>
        <w:rPr>
          <w:snapToGrid w:val="0"/>
        </w:rPr>
        <w:t xml:space="preserve"> </w:t>
      </w:r>
    </w:p>
    <w:p>
      <w:pPr>
        <w:pStyle w:val="Subsection"/>
      </w:pPr>
      <w:r>
        <w:tab/>
        <w:t>(1a)</w:t>
      </w:r>
      <w:r>
        <w:tab/>
        <w:t>This rule is subject to the transitional provisions in rule 9A.</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rPr>
          <w:snapToGrid w:val="0"/>
        </w:rPr>
      </w:pPr>
      <w:r>
        <w:rPr>
          <w:snapToGrid w:val="0"/>
        </w:rPr>
        <w:tab/>
        <w:t>(4)</w:t>
      </w:r>
      <w:r>
        <w:rPr>
          <w:snapToGrid w:val="0"/>
        </w:rPr>
        <w:tab/>
        <w:t>The subscriber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55" w:name="_Toc5072251"/>
      <w:bookmarkStart w:id="56" w:name="_Toc5072442"/>
      <w:bookmarkStart w:id="57" w:name="_Toc7410318"/>
      <w:bookmarkStart w:id="58" w:name="_Toc88446274"/>
      <w:bookmarkStart w:id="59" w:name="_Toc150830514"/>
      <w:r>
        <w:rPr>
          <w:rStyle w:val="CharSectno"/>
        </w:rPr>
        <w:t>9</w:t>
      </w:r>
      <w:r>
        <w:rPr>
          <w:snapToGrid w:val="0"/>
        </w:rPr>
        <w:t>.</w:t>
      </w:r>
      <w:r>
        <w:rPr>
          <w:snapToGrid w:val="0"/>
        </w:rPr>
        <w:tab/>
        <w:t>Oral request for entry</w:t>
      </w:r>
      <w:bookmarkEnd w:id="55"/>
      <w:bookmarkEnd w:id="56"/>
      <w:bookmarkEnd w:id="57"/>
      <w:bookmarkEnd w:id="58"/>
      <w:bookmarkEnd w:id="59"/>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Ednotesection"/>
      </w:pPr>
      <w:bookmarkStart w:id="60" w:name="_Toc5072252"/>
      <w:bookmarkStart w:id="61" w:name="_Toc5072443"/>
      <w:bookmarkStart w:id="62" w:name="_Toc7410319"/>
      <w:r>
        <w:t>[</w:t>
      </w:r>
      <w:r>
        <w:rPr>
          <w:b/>
          <w:bCs/>
        </w:rPr>
        <w:t>9A</w:t>
      </w:r>
      <w:r>
        <w:t>.</w:t>
      </w:r>
      <w:r>
        <w:tab/>
        <w:t>Repealed in Gazette 13 Oct 2006 p. 4412.]</w:t>
      </w:r>
    </w:p>
    <w:p>
      <w:pPr>
        <w:pStyle w:val="Heading5"/>
        <w:rPr>
          <w:snapToGrid w:val="0"/>
        </w:rPr>
      </w:pPr>
      <w:bookmarkStart w:id="63" w:name="_Toc88446276"/>
      <w:bookmarkStart w:id="64" w:name="_Toc150830515"/>
      <w:r>
        <w:rPr>
          <w:rStyle w:val="CharSectno"/>
        </w:rPr>
        <w:t>10</w:t>
      </w:r>
      <w:r>
        <w:rPr>
          <w:snapToGrid w:val="0"/>
        </w:rPr>
        <w:t>.</w:t>
      </w:r>
      <w:r>
        <w:rPr>
          <w:snapToGrid w:val="0"/>
        </w:rPr>
        <w:tab/>
        <w:t>Entry by mail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65" w:name="_Toc5072253"/>
      <w:bookmarkStart w:id="66" w:name="_Toc5072444"/>
      <w:bookmarkStart w:id="67" w:name="_Toc7410320"/>
      <w:bookmarkStart w:id="68" w:name="_Toc88446277"/>
      <w:bookmarkStart w:id="69" w:name="_Toc150830516"/>
      <w:r>
        <w:rPr>
          <w:rStyle w:val="CharSectno"/>
        </w:rPr>
        <w:t>11</w:t>
      </w:r>
      <w:r>
        <w:rPr>
          <w:snapToGrid w:val="0"/>
        </w:rPr>
        <w:t>.</w:t>
      </w:r>
      <w:r>
        <w:rPr>
          <w:snapToGrid w:val="0"/>
        </w:rPr>
        <w:tab/>
        <w:t>Receipted tickets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70" w:name="_Toc5072254"/>
      <w:bookmarkStart w:id="71" w:name="_Toc5072445"/>
      <w:bookmarkStart w:id="72" w:name="_Toc7410321"/>
      <w:bookmarkStart w:id="73" w:name="_Toc88446278"/>
      <w:bookmarkStart w:id="74" w:name="_Toc150830517"/>
      <w:r>
        <w:rPr>
          <w:rStyle w:val="CharSectno"/>
        </w:rPr>
        <w:t>12</w:t>
      </w:r>
      <w:r>
        <w:rPr>
          <w:snapToGrid w:val="0"/>
        </w:rPr>
        <w:t>.</w:t>
      </w:r>
      <w:r>
        <w:rPr>
          <w:snapToGrid w:val="0"/>
        </w:rPr>
        <w:tab/>
        <w:t>Surrender of receipted ticket</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75" w:name="_Toc5072255"/>
      <w:bookmarkStart w:id="76" w:name="_Toc5072446"/>
      <w:bookmarkStart w:id="77" w:name="_Toc7410322"/>
      <w:bookmarkStart w:id="78" w:name="_Toc88446279"/>
      <w:bookmarkStart w:id="79" w:name="_Toc150830518"/>
      <w:r>
        <w:rPr>
          <w:rStyle w:val="CharSectno"/>
        </w:rPr>
        <w:t>13</w:t>
      </w:r>
      <w:r>
        <w:rPr>
          <w:snapToGrid w:val="0"/>
        </w:rPr>
        <w:t>.</w:t>
      </w:r>
      <w:r>
        <w:rPr>
          <w:snapToGrid w:val="0"/>
        </w:rPr>
        <w:tab/>
        <w:t>Accuracy of receipted ticket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80" w:name="_Toc5072256"/>
      <w:bookmarkStart w:id="81" w:name="_Toc5072447"/>
      <w:bookmarkStart w:id="82" w:name="_Toc7410323"/>
      <w:bookmarkStart w:id="83" w:name="_Toc88446280"/>
      <w:bookmarkStart w:id="84" w:name="_Toc150830519"/>
      <w:r>
        <w:rPr>
          <w:rStyle w:val="CharSectno"/>
        </w:rPr>
        <w:t>14</w:t>
      </w:r>
      <w:r>
        <w:rPr>
          <w:snapToGrid w:val="0"/>
        </w:rPr>
        <w:t>.</w:t>
      </w:r>
      <w:r>
        <w:rPr>
          <w:snapToGrid w:val="0"/>
        </w:rPr>
        <w:tab/>
        <w:t>Validity of receipted ticket</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Ednotepara"/>
        <w:rPr>
          <w:snapToGrid w:val="0"/>
        </w:rPr>
      </w:pPr>
      <w:r>
        <w:rPr>
          <w:snapToGrid w:val="0"/>
        </w:rPr>
        <w:tab/>
        <w:t>[(ab)</w:t>
      </w:r>
      <w:r>
        <w:rPr>
          <w:snapToGrid w:val="0"/>
        </w:rPr>
        <w:tab/>
        <w:t>deleted]</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85" w:name="_Toc88368674"/>
      <w:bookmarkStart w:id="86" w:name="_Toc88383308"/>
      <w:bookmarkStart w:id="87" w:name="_Toc88446281"/>
      <w:bookmarkStart w:id="88" w:name="_Toc147227967"/>
      <w:bookmarkStart w:id="89" w:name="_Toc147288704"/>
      <w:bookmarkStart w:id="90" w:name="_Toc150762483"/>
      <w:bookmarkStart w:id="91" w:name="_Toc150830520"/>
      <w:r>
        <w:rPr>
          <w:rStyle w:val="CharPartNo"/>
        </w:rPr>
        <w:t>Part 3</w:t>
      </w:r>
      <w:r>
        <w:rPr>
          <w:rStyle w:val="CharDivNo"/>
        </w:rPr>
        <w:t> </w:t>
      </w:r>
      <w:r>
        <w:t>—</w:t>
      </w:r>
      <w:r>
        <w:rPr>
          <w:rStyle w:val="CharDivText"/>
        </w:rPr>
        <w:t> </w:t>
      </w:r>
      <w:r>
        <w:rPr>
          <w:rStyle w:val="CharPartText"/>
        </w:rPr>
        <w:t>General duties of Commission</w:t>
      </w:r>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072257"/>
      <w:bookmarkStart w:id="93" w:name="_Toc5072448"/>
      <w:bookmarkStart w:id="94" w:name="_Toc7410324"/>
      <w:bookmarkStart w:id="95" w:name="_Toc88446282"/>
      <w:bookmarkStart w:id="96" w:name="_Toc150830521"/>
      <w:r>
        <w:rPr>
          <w:rStyle w:val="CharSectno"/>
        </w:rPr>
        <w:t>15</w:t>
      </w:r>
      <w:r>
        <w:rPr>
          <w:snapToGrid w:val="0"/>
        </w:rPr>
        <w:t>.</w:t>
      </w:r>
      <w:r>
        <w:rPr>
          <w:snapToGrid w:val="0"/>
        </w:rPr>
        <w:tab/>
        <w:t>Powerball draws to be numbered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97" w:name="_Toc5072258"/>
      <w:bookmarkStart w:id="98" w:name="_Toc5072449"/>
      <w:bookmarkStart w:id="99" w:name="_Toc7410325"/>
      <w:bookmarkStart w:id="100" w:name="_Toc88446283"/>
      <w:bookmarkStart w:id="101" w:name="_Toc150830522"/>
      <w:r>
        <w:rPr>
          <w:rStyle w:val="CharSectno"/>
        </w:rPr>
        <w:t>16</w:t>
      </w:r>
      <w:r>
        <w:t>.</w:t>
      </w:r>
      <w:r>
        <w:tab/>
        <w:t>Powerball to be supervised</w:t>
      </w:r>
      <w:bookmarkEnd w:id="97"/>
      <w:bookmarkEnd w:id="98"/>
      <w:bookmarkEnd w:id="99"/>
      <w:bookmarkEnd w:id="100"/>
      <w:bookmarkEnd w:id="101"/>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02" w:name="_Toc5072259"/>
      <w:bookmarkStart w:id="103" w:name="_Toc5072450"/>
      <w:bookmarkStart w:id="104" w:name="_Toc7410326"/>
      <w:bookmarkStart w:id="105" w:name="_Toc88446284"/>
      <w:bookmarkStart w:id="106" w:name="_Toc150830523"/>
      <w:r>
        <w:rPr>
          <w:rStyle w:val="CharSectno"/>
        </w:rPr>
        <w:t>17</w:t>
      </w:r>
      <w:r>
        <w:rPr>
          <w:snapToGrid w:val="0"/>
        </w:rPr>
        <w:t>.</w:t>
      </w:r>
      <w:r>
        <w:rPr>
          <w:snapToGrid w:val="0"/>
        </w:rPr>
        <w:tab/>
        <w:t>Publication of results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07" w:name="_Toc5072260"/>
      <w:bookmarkStart w:id="108" w:name="_Toc5072451"/>
      <w:bookmarkStart w:id="109" w:name="_Toc7410327"/>
      <w:bookmarkStart w:id="110" w:name="_Toc88446285"/>
      <w:bookmarkStart w:id="111" w:name="_Toc150830524"/>
      <w:r>
        <w:rPr>
          <w:rStyle w:val="CharSectno"/>
        </w:rPr>
        <w:t>18</w:t>
      </w:r>
      <w:r>
        <w:rPr>
          <w:snapToGrid w:val="0"/>
        </w:rPr>
        <w:t>.</w:t>
      </w:r>
      <w:r>
        <w:rPr>
          <w:snapToGrid w:val="0"/>
        </w:rPr>
        <w:tab/>
        <w:t>Powerball Bloc prize pool and prize reserve fund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p>
    <w:p>
      <w:pPr>
        <w:pStyle w:val="Heading2"/>
        <w:rPr>
          <w:rStyle w:val="CharPartText"/>
        </w:rPr>
      </w:pPr>
      <w:bookmarkStart w:id="112" w:name="_Toc88368679"/>
      <w:bookmarkStart w:id="113" w:name="_Toc88383313"/>
      <w:bookmarkStart w:id="114" w:name="_Toc88446286"/>
      <w:bookmarkStart w:id="115" w:name="_Toc147227972"/>
      <w:bookmarkStart w:id="116" w:name="_Toc147288709"/>
      <w:bookmarkStart w:id="117" w:name="_Toc150762488"/>
      <w:bookmarkStart w:id="118" w:name="_Toc150830525"/>
      <w:r>
        <w:rPr>
          <w:rStyle w:val="CharPartNo"/>
        </w:rPr>
        <w:t>Part 4</w:t>
      </w:r>
      <w:r>
        <w:rPr>
          <w:rStyle w:val="CharDivNo"/>
        </w:rPr>
        <w:t> </w:t>
      </w:r>
      <w:r>
        <w:t>—</w:t>
      </w:r>
      <w:r>
        <w:rPr>
          <w:rStyle w:val="CharDivText"/>
        </w:rPr>
        <w:t> </w:t>
      </w:r>
      <w:r>
        <w:rPr>
          <w:rStyle w:val="CharPartText"/>
        </w:rPr>
        <w:t>Powerball draw</w:t>
      </w:r>
      <w:bookmarkEnd w:id="112"/>
      <w:bookmarkEnd w:id="113"/>
      <w:bookmarkEnd w:id="114"/>
      <w:bookmarkEnd w:id="115"/>
      <w:bookmarkEnd w:id="116"/>
      <w:bookmarkEnd w:id="117"/>
      <w:bookmarkEnd w:id="118"/>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19" w:name="_Toc5072261"/>
      <w:bookmarkStart w:id="120" w:name="_Toc5072452"/>
      <w:bookmarkStart w:id="121" w:name="_Toc7410328"/>
      <w:bookmarkStart w:id="122" w:name="_Toc88446287"/>
      <w:bookmarkStart w:id="123" w:name="_Toc150830526"/>
      <w:r>
        <w:rPr>
          <w:rStyle w:val="CharSectno"/>
        </w:rPr>
        <w:t>19</w:t>
      </w:r>
      <w:r>
        <w:rPr>
          <w:snapToGrid w:val="0"/>
        </w:rPr>
        <w:t>.</w:t>
      </w:r>
      <w:r>
        <w:rPr>
          <w:snapToGrid w:val="0"/>
        </w:rPr>
        <w:tab/>
        <w:t>Powerball draw</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24" w:name="_Toc5072262"/>
      <w:bookmarkStart w:id="125" w:name="_Toc5072453"/>
      <w:bookmarkStart w:id="126" w:name="_Toc7410329"/>
      <w:bookmarkStart w:id="127" w:name="_Toc88446288"/>
      <w:bookmarkStart w:id="128" w:name="_Toc150830527"/>
      <w:r>
        <w:rPr>
          <w:rStyle w:val="CharSectno"/>
        </w:rPr>
        <w:t>20</w:t>
      </w:r>
      <w:r>
        <w:rPr>
          <w:snapToGrid w:val="0"/>
        </w:rPr>
        <w:t>.</w:t>
      </w:r>
      <w:r>
        <w:rPr>
          <w:snapToGrid w:val="0"/>
        </w:rPr>
        <w:tab/>
        <w:t>Criteria for powerball prizes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29" w:name="_Toc5072263"/>
      <w:bookmarkStart w:id="130" w:name="_Toc5072454"/>
      <w:bookmarkStart w:id="131" w:name="_Toc7410330"/>
      <w:bookmarkStart w:id="132" w:name="_Toc88446289"/>
      <w:bookmarkStart w:id="133" w:name="_Toc150830528"/>
      <w:r>
        <w:rPr>
          <w:rStyle w:val="CharSectno"/>
        </w:rPr>
        <w:t>21</w:t>
      </w:r>
      <w:r>
        <w:rPr>
          <w:snapToGrid w:val="0"/>
        </w:rPr>
        <w:t>.</w:t>
      </w:r>
      <w:r>
        <w:rPr>
          <w:snapToGrid w:val="0"/>
        </w:rPr>
        <w:tab/>
        <w:t>Only systems entry can win in more than one division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34" w:name="_Toc5072264"/>
      <w:bookmarkStart w:id="135" w:name="_Toc5072455"/>
      <w:bookmarkStart w:id="136" w:name="_Toc7410331"/>
      <w:bookmarkStart w:id="137" w:name="_Toc88446290"/>
      <w:bookmarkStart w:id="138" w:name="_Toc150830529"/>
      <w:r>
        <w:rPr>
          <w:rStyle w:val="CharSectno"/>
        </w:rPr>
        <w:t>22</w:t>
      </w:r>
      <w:r>
        <w:rPr>
          <w:snapToGrid w:val="0"/>
        </w:rPr>
        <w:t>.</w:t>
      </w:r>
      <w:r>
        <w:rPr>
          <w:snapToGrid w:val="0"/>
        </w:rPr>
        <w:tab/>
        <w:t>Distribution of prize pool</w:t>
      </w:r>
      <w:bookmarkEnd w:id="134"/>
      <w:bookmarkEnd w:id="135"/>
      <w:bookmarkEnd w:id="136"/>
      <w:bookmarkEnd w:id="137"/>
      <w:bookmarkEnd w:id="138"/>
      <w:r>
        <w:rPr>
          <w:snapToGrid w:val="0"/>
        </w:rPr>
        <w:t xml:space="preserve"> </w:t>
      </w:r>
    </w:p>
    <w:p>
      <w:pPr>
        <w:pStyle w:val="Subsection"/>
      </w:pPr>
      <w:r>
        <w:tab/>
        <w:t>(1)</w:t>
      </w:r>
      <w:r>
        <w:tab/>
        <w:t xml:space="preserve">The Commission must distribute the prize pool for a powerball draw as follows — </w:t>
      </w:r>
    </w:p>
    <w:p>
      <w:pPr>
        <w:pStyle w:val="Indenta"/>
      </w:pPr>
      <w:r>
        <w:tab/>
        <w:t>(a)</w:t>
      </w:r>
      <w:r>
        <w:tab/>
        <w:t>division 1 — 40.0% of the prize pool;</w:t>
      </w:r>
    </w:p>
    <w:p>
      <w:pPr>
        <w:pStyle w:val="Indenta"/>
      </w:pPr>
      <w:r>
        <w:tab/>
        <w:t>(b)</w:t>
      </w:r>
      <w:r>
        <w:tab/>
        <w:t>division 2 — 12.9% of the prize pool;</w:t>
      </w:r>
    </w:p>
    <w:p>
      <w:pPr>
        <w:pStyle w:val="Indenta"/>
      </w:pPr>
      <w:r>
        <w:tab/>
        <w:t>(c)</w:t>
      </w:r>
      <w:r>
        <w:tab/>
        <w:t>division 3 — 5.9% of the prize pool;</w:t>
      </w:r>
    </w:p>
    <w:p>
      <w:pPr>
        <w:pStyle w:val="Indenta"/>
      </w:pPr>
      <w:r>
        <w:tab/>
        <w:t>(d)</w:t>
      </w:r>
      <w:r>
        <w:tab/>
        <w:t xml:space="preserve">division 4 — 4.6% of the prize pool; </w:t>
      </w:r>
    </w:p>
    <w:p>
      <w:pPr>
        <w:pStyle w:val="Indenta"/>
      </w:pPr>
      <w:r>
        <w:tab/>
        <w:t>(e)</w:t>
      </w:r>
      <w:r>
        <w:tab/>
        <w:t>division 5 — 2.6% of the prize pool;</w:t>
      </w:r>
    </w:p>
    <w:p>
      <w:pPr>
        <w:pStyle w:val="Indenta"/>
      </w:pPr>
      <w:r>
        <w:tab/>
        <w:t>(f)</w:t>
      </w:r>
      <w:r>
        <w:tab/>
        <w:t>division 6 — 11.7% of the prize pool;</w:t>
      </w:r>
    </w:p>
    <w:p>
      <w:pPr>
        <w:pStyle w:val="Indenta"/>
      </w:pPr>
      <w:r>
        <w:tab/>
        <w:t>(g)</w:t>
      </w:r>
      <w:r>
        <w:tab/>
        <w:t>division 7 — 22.3%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w:t>
      </w:r>
    </w:p>
    <w:p>
      <w:pPr>
        <w:pStyle w:val="Heading5"/>
        <w:rPr>
          <w:snapToGrid w:val="0"/>
        </w:rPr>
      </w:pPr>
      <w:bookmarkStart w:id="139" w:name="_Toc5072265"/>
      <w:bookmarkStart w:id="140" w:name="_Toc5072456"/>
      <w:bookmarkStart w:id="141" w:name="_Toc7410332"/>
      <w:bookmarkStart w:id="142" w:name="_Toc88446291"/>
      <w:bookmarkStart w:id="143" w:name="_Toc150830530"/>
      <w:r>
        <w:rPr>
          <w:rStyle w:val="CharSectno"/>
        </w:rPr>
        <w:t>23</w:t>
      </w:r>
      <w:r>
        <w:rPr>
          <w:snapToGrid w:val="0"/>
        </w:rPr>
        <w:t>.</w:t>
      </w:r>
      <w:r>
        <w:rPr>
          <w:snapToGrid w:val="0"/>
        </w:rPr>
        <w:tab/>
        <w:t>Division 1 jackpot</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44" w:name="_Toc5072266"/>
      <w:bookmarkStart w:id="145" w:name="_Toc5072457"/>
      <w:bookmarkStart w:id="146" w:name="_Toc7410333"/>
      <w:bookmarkStart w:id="147" w:name="_Toc88446292"/>
      <w:bookmarkStart w:id="148" w:name="_Toc15083053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49" w:name="_Toc5072267"/>
      <w:bookmarkStart w:id="150" w:name="_Toc5072458"/>
      <w:bookmarkStart w:id="151" w:name="_Toc7410334"/>
      <w:bookmarkStart w:id="152" w:name="_Toc88446293"/>
      <w:bookmarkStart w:id="153" w:name="_Toc150830532"/>
      <w:r>
        <w:rPr>
          <w:rStyle w:val="CharSectno"/>
        </w:rPr>
        <w:t>25</w:t>
      </w:r>
      <w:r>
        <w:rPr>
          <w:snapToGrid w:val="0"/>
        </w:rPr>
        <w:t>.</w:t>
      </w:r>
      <w:r>
        <w:rPr>
          <w:snapToGrid w:val="0"/>
        </w:rPr>
        <w:tab/>
        <w:t>Bonus draws and guaranteed prize pools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54" w:name="_Toc5072268"/>
      <w:bookmarkStart w:id="155" w:name="_Toc5072459"/>
      <w:bookmarkStart w:id="156" w:name="_Toc7410335"/>
      <w:bookmarkStart w:id="157" w:name="_Toc88446294"/>
      <w:bookmarkStart w:id="158" w:name="_Toc150830533"/>
      <w:r>
        <w:rPr>
          <w:rStyle w:val="CharSectno"/>
        </w:rPr>
        <w:t>26</w:t>
      </w:r>
      <w:r>
        <w:rPr>
          <w:snapToGrid w:val="0"/>
        </w:rPr>
        <w:t>.</w:t>
      </w:r>
      <w:r>
        <w:rPr>
          <w:snapToGrid w:val="0"/>
        </w:rPr>
        <w:tab/>
        <w:t>Division 1 prizes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59" w:name="_Toc5072269"/>
      <w:bookmarkStart w:id="160" w:name="_Toc5072460"/>
      <w:bookmarkStart w:id="161" w:name="_Toc7410336"/>
      <w:bookmarkStart w:id="162" w:name="_Toc88446295"/>
      <w:bookmarkStart w:id="163" w:name="_Toc150830534"/>
      <w:r>
        <w:rPr>
          <w:rStyle w:val="CharSectno"/>
        </w:rPr>
        <w:t>27</w:t>
      </w:r>
      <w:r>
        <w:rPr>
          <w:snapToGrid w:val="0"/>
        </w:rPr>
        <w:t>.</w:t>
      </w:r>
      <w:r>
        <w:rPr>
          <w:snapToGrid w:val="0"/>
        </w:rPr>
        <w:tab/>
        <w:t>Division 2 prizes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64" w:name="_Toc5072270"/>
      <w:bookmarkStart w:id="165" w:name="_Toc5072461"/>
      <w:bookmarkStart w:id="166" w:name="_Toc7410337"/>
      <w:bookmarkStart w:id="167" w:name="_Toc88446296"/>
      <w:bookmarkStart w:id="168" w:name="_Toc150830535"/>
      <w:r>
        <w:rPr>
          <w:rStyle w:val="CharSectno"/>
        </w:rPr>
        <w:t>28</w:t>
      </w:r>
      <w:r>
        <w:rPr>
          <w:snapToGrid w:val="0"/>
        </w:rPr>
        <w:t>.</w:t>
      </w:r>
      <w:r>
        <w:rPr>
          <w:snapToGrid w:val="0"/>
        </w:rPr>
        <w:tab/>
        <w:t>Division 3, 4, 5, 6 and 7 prizes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169" w:name="_Toc5072271"/>
      <w:bookmarkStart w:id="170" w:name="_Toc5072462"/>
      <w:bookmarkStart w:id="171" w:name="_Toc7410338"/>
      <w:bookmarkStart w:id="172" w:name="_Toc88446297"/>
      <w:bookmarkStart w:id="173" w:name="_Toc150830536"/>
      <w:r>
        <w:rPr>
          <w:rStyle w:val="CharSectno"/>
        </w:rPr>
        <w:t>29</w:t>
      </w:r>
      <w:r>
        <w:rPr>
          <w:snapToGrid w:val="0"/>
        </w:rPr>
        <w:t>.</w:t>
      </w:r>
      <w:r>
        <w:rPr>
          <w:snapToGrid w:val="0"/>
        </w:rPr>
        <w:tab/>
        <w:t>Commission may require a statutory declaration</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74" w:name="_Toc5072272"/>
      <w:bookmarkStart w:id="175" w:name="_Toc5072463"/>
      <w:bookmarkStart w:id="176" w:name="_Toc7410339"/>
      <w:bookmarkStart w:id="177" w:name="_Toc88446298"/>
      <w:bookmarkStart w:id="178" w:name="_Toc150830537"/>
      <w:r>
        <w:rPr>
          <w:rStyle w:val="CharSectno"/>
        </w:rPr>
        <w:t>30</w:t>
      </w:r>
      <w:r>
        <w:rPr>
          <w:snapToGrid w:val="0"/>
        </w:rPr>
        <w:t>.</w:t>
      </w:r>
      <w:r>
        <w:rPr>
          <w:snapToGrid w:val="0"/>
        </w:rPr>
        <w:tab/>
        <w:t>Publication of names and addresses of prize winners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9" w:name="_Toc5072273"/>
      <w:bookmarkStart w:id="180" w:name="_Toc5072464"/>
      <w:bookmarkStart w:id="181" w:name="_Toc7410340"/>
      <w:bookmarkStart w:id="182" w:name="_Toc88446299"/>
      <w:bookmarkStart w:id="183" w:name="_Toc150830538"/>
      <w:r>
        <w:rPr>
          <w:rStyle w:val="CharSectno"/>
        </w:rPr>
        <w:t>31</w:t>
      </w:r>
      <w:r>
        <w:rPr>
          <w:snapToGrid w:val="0"/>
        </w:rPr>
        <w:t>.</w:t>
      </w:r>
      <w:r>
        <w:rPr>
          <w:snapToGrid w:val="0"/>
        </w:rPr>
        <w:tab/>
        <w:t>Player Registration Service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184" w:name="_Toc88368693"/>
      <w:bookmarkStart w:id="185" w:name="_Toc88383327"/>
      <w:bookmarkStart w:id="186" w:name="_Toc88446300"/>
      <w:bookmarkStart w:id="187" w:name="_Toc147227986"/>
      <w:bookmarkStart w:id="188" w:name="_Toc147288723"/>
      <w:bookmarkStart w:id="189" w:name="_Toc150762502"/>
      <w:bookmarkStart w:id="190" w:name="_Toc150830539"/>
      <w:r>
        <w:rPr>
          <w:rStyle w:val="CharPartNo"/>
        </w:rPr>
        <w:t>Part 5</w:t>
      </w:r>
      <w:r>
        <w:rPr>
          <w:rStyle w:val="CharDivNo"/>
        </w:rPr>
        <w:t> </w:t>
      </w:r>
      <w:r>
        <w:t>—</w:t>
      </w:r>
      <w:r>
        <w:rPr>
          <w:rStyle w:val="CharDivText"/>
        </w:rPr>
        <w:t> </w:t>
      </w:r>
      <w:r>
        <w:rPr>
          <w:rStyle w:val="CharPartText"/>
        </w:rPr>
        <w:t>Miscellaneous</w:t>
      </w:r>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5072274"/>
      <w:bookmarkStart w:id="192" w:name="_Toc5072465"/>
      <w:bookmarkStart w:id="193" w:name="_Toc7410341"/>
      <w:bookmarkStart w:id="194" w:name="_Toc88446301"/>
      <w:bookmarkStart w:id="195" w:name="_Toc150830540"/>
      <w:r>
        <w:rPr>
          <w:rStyle w:val="CharSectno"/>
        </w:rPr>
        <w:t>32</w:t>
      </w:r>
      <w:r>
        <w:rPr>
          <w:snapToGrid w:val="0"/>
        </w:rPr>
        <w:t>.</w:t>
      </w:r>
      <w:r>
        <w:rPr>
          <w:snapToGrid w:val="0"/>
        </w:rPr>
        <w:tab/>
        <w:t>Instructions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6" w:name="_Toc5072275"/>
      <w:bookmarkStart w:id="197" w:name="_Toc5072466"/>
      <w:bookmarkStart w:id="198" w:name="_Toc7410342"/>
      <w:bookmarkStart w:id="199" w:name="_Toc88446302"/>
      <w:bookmarkStart w:id="200" w:name="_Toc150830541"/>
      <w:r>
        <w:rPr>
          <w:rStyle w:val="CharSectno"/>
        </w:rPr>
        <w:t>33</w:t>
      </w:r>
      <w:r>
        <w:rPr>
          <w:snapToGrid w:val="0"/>
        </w:rPr>
        <w:t>.</w:t>
      </w:r>
      <w:r>
        <w:rPr>
          <w:snapToGrid w:val="0"/>
        </w:rPr>
        <w:tab/>
        <w:t>Rules to be made available</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01" w:name="_Toc5072276"/>
      <w:bookmarkStart w:id="202" w:name="_Toc5072467"/>
      <w:bookmarkStart w:id="203" w:name="_Toc7410343"/>
      <w:bookmarkStart w:id="204" w:name="_Toc88446303"/>
      <w:bookmarkStart w:id="205" w:name="_Toc150830542"/>
      <w:r>
        <w:rPr>
          <w:rStyle w:val="CharSectno"/>
        </w:rPr>
        <w:t>34</w:t>
      </w:r>
      <w:r>
        <w:rPr>
          <w:snapToGrid w:val="0"/>
        </w:rPr>
        <w:t>.</w:t>
      </w:r>
      <w:r>
        <w:rPr>
          <w:snapToGrid w:val="0"/>
        </w:rPr>
        <w:tab/>
        <w:t>Decisions of Commission final</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6" w:name="_Toc5072470"/>
      <w:bookmarkStart w:id="207" w:name="_Toc88446304"/>
      <w:bookmarkStart w:id="208" w:name="_Toc147227990"/>
      <w:bookmarkStart w:id="209" w:name="_Toc147288727"/>
      <w:bookmarkStart w:id="210" w:name="_Toc150762506"/>
      <w:bookmarkStart w:id="211" w:name="_Toc150830543"/>
      <w:r>
        <w:rPr>
          <w:rStyle w:val="CharSchNo"/>
        </w:rPr>
        <w:t>Schedule 1</w:t>
      </w:r>
      <w:bookmarkEnd w:id="206"/>
      <w:bookmarkEnd w:id="207"/>
      <w:bookmarkEnd w:id="208"/>
      <w:bookmarkEnd w:id="209"/>
      <w:bookmarkEnd w:id="210"/>
      <w:bookmarkEnd w:id="211"/>
      <w:r>
        <w:rPr>
          <w:rStyle w:val="CharSchNo"/>
        </w:rPr>
        <w:t xml:space="preserve"> </w:t>
      </w:r>
    </w:p>
    <w:p>
      <w:pPr>
        <w:pStyle w:val="yShoulderClause"/>
        <w:rPr>
          <w:snapToGrid w:val="0"/>
        </w:rPr>
      </w:pPr>
      <w:r>
        <w:rPr>
          <w:snapToGrid w:val="0"/>
        </w:rPr>
        <w:t xml:space="preserve">[Rule 5] </w:t>
      </w:r>
    </w:p>
    <w:p>
      <w:pPr>
        <w:pStyle w:val="yMiscellaneousBody"/>
        <w:jc w:val="center"/>
        <w:outlineLvl w:val="1"/>
        <w:rPr>
          <w:b/>
          <w:snapToGrid w:val="0"/>
          <w:sz w:val="28"/>
        </w:rPr>
      </w:pPr>
      <w:r>
        <w:rPr>
          <w:b/>
          <w:snapToGrid w:val="0"/>
          <w:sz w:val="28"/>
        </w:rPr>
        <w:t>Total cost of entry</w:t>
      </w:r>
    </w:p>
    <w:p>
      <w:pPr>
        <w:pStyle w:val="yMiscellaneousBody"/>
        <w:spacing w:before="120"/>
        <w:jc w:val="center"/>
        <w:rPr>
          <w:b/>
          <w:snapToGrid w:val="0"/>
          <w:sz w:val="28"/>
        </w:rPr>
      </w:pPr>
      <w:r>
        <w:rPr>
          <w:b/>
          <w:snapToGrid w:val="0"/>
          <w:sz w:val="28"/>
        </w:rPr>
        <w:t>Powerball lotto</w:t>
      </w:r>
    </w:p>
    <w:p>
      <w:pPr>
        <w:pStyle w:val="yMiscellaneousBody"/>
        <w:keepNext/>
        <w:jc w:val="center"/>
        <w:rPr>
          <w:b/>
        </w:rPr>
      </w:pPr>
      <w:r>
        <w:rPr>
          <w:b/>
        </w:rPr>
        <w:t>Total cost of entry — Powerball draw</w:t>
      </w:r>
    </w:p>
    <w:p>
      <w:pPr>
        <w:pStyle w:val="yMiscellaneousBody"/>
        <w:spacing w:after="160"/>
        <w:rPr>
          <w:snapToGrid w:val="0"/>
        </w:rPr>
      </w:pPr>
      <w:r>
        <w:rPr>
          <w:snapToGrid w:val="0"/>
        </w:rPr>
        <w:t>The cost of entering a powerball draw is made up of a subscription of 55 cents per game and an agent’s component (as set out in Schedule 2) making the total cost per number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rPr>
                <w:b/>
              </w:rPr>
            </w:pPr>
            <w:r>
              <w:rPr>
                <w:b/>
              </w:rPr>
              <w:t>System</w:t>
            </w:r>
          </w:p>
        </w:tc>
        <w:tc>
          <w:tcPr>
            <w:tcW w:w="850" w:type="dxa"/>
            <w:tcBorders>
              <w:bottom w:val="single" w:sz="4" w:space="0" w:color="auto"/>
            </w:tcBorders>
          </w:tcPr>
          <w:p>
            <w:pPr>
              <w:pStyle w:val="yTable"/>
              <w:rPr>
                <w:b/>
              </w:rPr>
            </w:pPr>
            <w:r>
              <w:rPr>
                <w:b/>
              </w:rPr>
              <w:t>games</w:t>
            </w:r>
          </w:p>
        </w:tc>
        <w:tc>
          <w:tcPr>
            <w:tcW w:w="1276" w:type="dxa"/>
            <w:gridSpan w:val="2"/>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spacing w:before="0"/>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1 amended in Gazette 29 Apr 1997 p. 2149; 9 Mar 2001 p. 1334; 16 Nov 2004 p. 5060-1; 13 Oct 2006 p. 4413.] </w:t>
      </w:r>
    </w:p>
    <w:p>
      <w:pPr>
        <w:pStyle w:val="yScheduleHeading"/>
      </w:pPr>
      <w:bookmarkStart w:id="212" w:name="_Toc5072471"/>
      <w:bookmarkStart w:id="213" w:name="_Toc88446305"/>
      <w:bookmarkStart w:id="214" w:name="_Toc147227991"/>
      <w:bookmarkStart w:id="215" w:name="_Toc147288728"/>
      <w:bookmarkStart w:id="216" w:name="_Toc150762507"/>
      <w:bookmarkStart w:id="217" w:name="_Toc150830544"/>
      <w:r>
        <w:rPr>
          <w:rStyle w:val="CharSchNo"/>
        </w:rPr>
        <w:t>Schedule 2</w:t>
      </w:r>
      <w:bookmarkEnd w:id="212"/>
      <w:bookmarkEnd w:id="213"/>
      <w:bookmarkEnd w:id="214"/>
      <w:bookmarkEnd w:id="215"/>
      <w:bookmarkEnd w:id="216"/>
      <w:bookmarkEnd w:id="217"/>
      <w:r>
        <w:rPr>
          <w:rStyle w:val="CharSchNo"/>
        </w:rPr>
        <w:t xml:space="preserve"> </w:t>
      </w:r>
    </w:p>
    <w:p>
      <w:pPr>
        <w:pStyle w:val="yShoulderClause"/>
        <w:rPr>
          <w:snapToGrid w:val="0"/>
        </w:rPr>
      </w:pPr>
      <w:r>
        <w:rPr>
          <w:snapToGrid w:val="0"/>
        </w:rPr>
        <w:t>[Schedule 1]</w:t>
      </w:r>
    </w:p>
    <w:p>
      <w:pPr>
        <w:pStyle w:val="yMiscellaneousBody"/>
        <w:jc w:val="center"/>
        <w:outlineLvl w:val="1"/>
        <w:rPr>
          <w:b/>
          <w:snapToGrid w:val="0"/>
          <w:sz w:val="28"/>
        </w:rPr>
      </w:pPr>
      <w:r>
        <w:rPr>
          <w:b/>
          <w:snapToGrid w:val="0"/>
          <w:sz w:val="28"/>
        </w:rPr>
        <w:t>Agent’s fees</w:t>
      </w:r>
    </w:p>
    <w:p>
      <w:pPr>
        <w:pStyle w:val="yMiscellaneousBody"/>
        <w:spacing w:before="120"/>
        <w:jc w:val="center"/>
        <w:rPr>
          <w:b/>
          <w:snapToGrid w:val="0"/>
          <w:sz w:val="28"/>
        </w:rPr>
      </w:pPr>
      <w:r>
        <w:rPr>
          <w:b/>
          <w:snapToGrid w:val="0"/>
          <w:sz w:val="28"/>
        </w:rPr>
        <w:t>Powerball lotto</w:t>
      </w:r>
    </w:p>
    <w:p>
      <w:pPr>
        <w:pStyle w:val="yMiscellaneousBody"/>
        <w:keepNext/>
        <w:jc w:val="center"/>
        <w:rPr>
          <w:b/>
        </w:rPr>
      </w:pPr>
      <w:r>
        <w:rPr>
          <w:b/>
        </w:rPr>
        <w:t>Agent’s fees — Powerball draw</w:t>
      </w:r>
    </w:p>
    <w:p>
      <w:pPr>
        <w:pStyle w:val="yMiscellaneousBody"/>
        <w:keepNext/>
      </w:pPr>
      <w:r>
        <w:rPr>
          <w:bCs/>
        </w:rPr>
        <w:t>The component of the total cost of entering a powerball draw</w:t>
      </w:r>
      <w:r>
        <w:rPr>
          <w:b/>
        </w:rPr>
        <w:t xml:space="preserve"> </w:t>
      </w:r>
      <w:r>
        <w:t xml:space="preserve">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spacing w:before="0"/>
              <w:rPr>
                <w:b/>
              </w:rPr>
            </w:pPr>
            <w:r>
              <w:rPr>
                <w:b/>
              </w:rPr>
              <w:t>Entry or System</w:t>
            </w:r>
          </w:p>
        </w:tc>
        <w:tc>
          <w:tcPr>
            <w:tcW w:w="992" w:type="dxa"/>
            <w:gridSpan w:val="2"/>
            <w:tcBorders>
              <w:top w:val="single" w:sz="4" w:space="0" w:color="auto"/>
            </w:tcBorders>
          </w:tcPr>
          <w:p>
            <w:pPr>
              <w:pStyle w:val="yTable"/>
              <w:spacing w:before="0"/>
              <w:rPr>
                <w:b/>
              </w:rPr>
            </w:pPr>
            <w:r>
              <w:rPr>
                <w:b/>
              </w:rPr>
              <w:t>No. of</w:t>
            </w:r>
            <w:r>
              <w:rPr>
                <w:b/>
              </w:rPr>
              <w:br/>
              <w:t>games</w:t>
            </w:r>
          </w:p>
        </w:tc>
        <w:tc>
          <w:tcPr>
            <w:tcW w:w="1134" w:type="dxa"/>
            <w:tcBorders>
              <w:top w:val="single" w:sz="4" w:space="0" w:color="auto"/>
            </w:tcBorders>
          </w:tcPr>
          <w:p>
            <w:pPr>
              <w:pStyle w:val="yTable"/>
              <w:spacing w:before="0"/>
              <w:jc w:val="right"/>
              <w:rPr>
                <w:b/>
              </w:rPr>
            </w:pPr>
            <w:r>
              <w:rPr>
                <w:b/>
              </w:rPr>
              <w:t>1 Week</w:t>
            </w:r>
          </w:p>
        </w:tc>
        <w:tc>
          <w:tcPr>
            <w:tcW w:w="1134" w:type="dxa"/>
            <w:tcBorders>
              <w:top w:val="single" w:sz="4" w:space="0" w:color="auto"/>
            </w:tcBorders>
          </w:tcPr>
          <w:p>
            <w:pPr>
              <w:pStyle w:val="yTable"/>
              <w:spacing w:before="0"/>
              <w:jc w:val="right"/>
              <w:rPr>
                <w:b/>
              </w:rPr>
            </w:pPr>
            <w:r>
              <w:rPr>
                <w:b/>
              </w:rPr>
              <w:t>2 Weeks</w:t>
            </w:r>
          </w:p>
        </w:tc>
        <w:tc>
          <w:tcPr>
            <w:tcW w:w="1276" w:type="dxa"/>
            <w:tcBorders>
              <w:top w:val="single" w:sz="4" w:space="0" w:color="auto"/>
            </w:tcBorders>
          </w:tcPr>
          <w:p>
            <w:pPr>
              <w:pStyle w:val="yTable"/>
              <w:spacing w:before="0"/>
              <w:jc w:val="right"/>
              <w:rPr>
                <w:b/>
              </w:rPr>
            </w:pPr>
            <w:r>
              <w:rPr>
                <w:b/>
              </w:rPr>
              <w:t>5 Weeks</w:t>
            </w:r>
          </w:p>
        </w:tc>
        <w:tc>
          <w:tcPr>
            <w:tcW w:w="1134" w:type="dxa"/>
            <w:tcBorders>
              <w:top w:val="single" w:sz="4" w:space="0" w:color="auto"/>
            </w:tcBorders>
          </w:tcPr>
          <w:p>
            <w:pPr>
              <w:pStyle w:val="yTable"/>
              <w:spacing w:before="0"/>
              <w:jc w:val="right"/>
              <w:rPr>
                <w:b/>
              </w:rPr>
            </w:pPr>
            <w:r>
              <w:rPr>
                <w:b/>
              </w:rPr>
              <w:t>10 Weeks</w:t>
            </w:r>
          </w:p>
        </w:tc>
      </w:tr>
      <w:tr>
        <w:trPr>
          <w:tblHeader/>
        </w:trPr>
        <w:tc>
          <w:tcPr>
            <w:tcW w:w="1418" w:type="dxa"/>
            <w:tcBorders>
              <w:bottom w:val="single" w:sz="4" w:space="0" w:color="auto"/>
            </w:tcBorders>
          </w:tcPr>
          <w:p>
            <w:pPr>
              <w:pStyle w:val="yTable"/>
              <w:rPr>
                <w:b/>
              </w:rPr>
            </w:pPr>
          </w:p>
        </w:tc>
        <w:tc>
          <w:tcPr>
            <w:tcW w:w="992" w:type="dxa"/>
            <w:gridSpan w:val="2"/>
            <w:tcBorders>
              <w:bottom w:val="single" w:sz="4" w:space="0" w:color="auto"/>
            </w:tcBorders>
          </w:tcPr>
          <w:p>
            <w:pPr>
              <w:pStyle w:val="yTable"/>
              <w:jc w:val="center"/>
              <w:rPr>
                <w:b/>
              </w:rPr>
            </w:pPr>
          </w:p>
        </w:tc>
        <w:tc>
          <w:tcPr>
            <w:tcW w:w="1134"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spacing w:before="0"/>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2 amended in Gazette 29 Apr 1997 p. 2150; 9 Mar 2001 p. 1335; 16 Nov 2004 p. 5061-2; 13 Oct 2006 p. 4413.]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18" w:name="_Toc88446306"/>
            <w:bookmarkStart w:id="219" w:name="_Toc147227992"/>
            <w:bookmarkStart w:id="220" w:name="_Toc147288729"/>
            <w:bookmarkStart w:id="221" w:name="_Toc150762508"/>
            <w:bookmarkStart w:id="222" w:name="_Toc150830545"/>
            <w:r>
              <w:rPr>
                <w:rStyle w:val="CharSchNo"/>
              </w:rPr>
              <w:t>Schedule 3</w:t>
            </w:r>
            <w:bookmarkEnd w:id="218"/>
            <w:bookmarkEnd w:id="219"/>
            <w:bookmarkEnd w:id="220"/>
            <w:bookmarkEnd w:id="221"/>
            <w:bookmarkEnd w:id="222"/>
          </w:p>
          <w:p>
            <w:pPr>
              <w:pStyle w:val="yShoulderClause"/>
              <w:keepNext/>
            </w:pPr>
            <w:r>
              <w:t>[Rule 21(2)]</w:t>
            </w:r>
          </w:p>
          <w:p>
            <w:pPr>
              <w:pStyle w:val="yMiscellaneousHeading"/>
              <w:spacing w:before="0"/>
              <w:rPr>
                <w:b/>
                <w:sz w:val="28"/>
              </w:rPr>
            </w:pPr>
            <w:r>
              <w:rPr>
                <w:b/>
                <w:sz w:val="28"/>
              </w:rPr>
              <w:t>Systems entry prize schedule</w:t>
            </w:r>
          </w:p>
          <w:p>
            <w:pPr>
              <w:pStyle w:val="yTable"/>
              <w:spacing w:before="160"/>
              <w:jc w:val="center"/>
              <w:rPr>
                <w:sz w:val="16"/>
              </w:rPr>
            </w:pPr>
            <w:r>
              <w:rPr>
                <w:b/>
                <w:sz w:val="28"/>
              </w:rPr>
              <w:t>Powerball</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uto" w:hAnchor="text" w:x="108"/>
              <w:ind w:left="113" w:right="113"/>
              <w:jc w:val="right"/>
              <w:rPr>
                <w:sz w:val="20"/>
              </w:rPr>
            </w:pPr>
            <w:bookmarkStart w:id="223" w:name="_Toc5072473"/>
            <w:r>
              <w:rPr>
                <w:sz w:val="20"/>
              </w:rPr>
              <w:t>[Rule 21(2)]</w:t>
            </w:r>
          </w:p>
          <w:p>
            <w:pPr>
              <w:framePr w:wrap="auto" w:hAnchor="text" w:x="108"/>
              <w:ind w:left="113" w:right="113"/>
              <w:jc w:val="center"/>
              <w:rPr>
                <w:b/>
                <w:sz w:val="22"/>
              </w:rPr>
            </w:pPr>
            <w:r>
              <w:rPr>
                <w:b/>
                <w:sz w:val="22"/>
              </w:rPr>
              <w:t xml:space="preserve">Powerball </w:t>
            </w:r>
            <w:r>
              <w:rPr>
                <w:b/>
                <w:sz w:val="22"/>
              </w:rPr>
              <w:noBreakHyphen/>
              <w:t xml:space="preserve"> Systems entry prize schedule</w:t>
            </w:r>
          </w:p>
          <w:p>
            <w:pPr>
              <w:framePr w:wrap="auto" w:hAnchor="text" w:x="108"/>
              <w:ind w:left="113" w:right="113"/>
              <w:jc w:val="center"/>
              <w:rPr>
                <w:b/>
                <w:sz w:val="22"/>
              </w:rPr>
            </w:pPr>
            <w:r>
              <w:rPr>
                <w:b/>
                <w:sz w:val="22"/>
              </w:rPr>
              <w:t>Powerpik systems Entries</w:t>
            </w:r>
          </w:p>
          <w:p>
            <w:pPr>
              <w:framePr w:wrap="auto" w:hAnchor="text" w:x="108"/>
              <w:ind w:left="113" w:right="113"/>
              <w:rPr>
                <w:b/>
                <w:sz w:val="22"/>
              </w:rPr>
            </w:pPr>
          </w:p>
        </w:tc>
        <w:tc>
          <w:tcPr>
            <w:tcW w:w="322" w:type="dxa"/>
            <w:vMerge w:val="restart"/>
            <w:textDirection w:val="btLr"/>
          </w:tcPr>
          <w:p>
            <w:pPr>
              <w:framePr w:wrap="auto" w:hAnchor="text" w:x="108"/>
              <w:ind w:left="113" w:right="113"/>
              <w:jc w:val="center"/>
              <w:rPr>
                <w:sz w:val="10"/>
              </w:rPr>
            </w:pPr>
            <w:r>
              <w:rPr>
                <w:sz w:val="10"/>
              </w:rPr>
              <w:t>Systems Type</w:t>
            </w:r>
          </w:p>
        </w:tc>
        <w:tc>
          <w:tcPr>
            <w:tcW w:w="532" w:type="dxa"/>
            <w:textDirection w:val="btLr"/>
          </w:tcPr>
          <w:p>
            <w:pPr>
              <w:framePr w:wrap="auto" w:hAnchor="text" w:x="108"/>
              <w:ind w:left="113" w:right="113"/>
              <w:rPr>
                <w:sz w:val="10"/>
              </w:rPr>
            </w:pPr>
            <w:r>
              <w:rPr>
                <w:sz w:val="10"/>
              </w:rPr>
              <w:t>System 15</w:t>
            </w:r>
          </w:p>
          <w:p>
            <w:pPr>
              <w:framePr w:wrap="auto" w:hAnchor="text" w:x="108"/>
              <w:ind w:left="113" w:right="113"/>
              <w:rPr>
                <w:sz w:val="10"/>
              </w:rPr>
            </w:pPr>
            <w:r>
              <w:rPr>
                <w:sz w:val="10"/>
              </w:rPr>
              <w:t xml:space="preserve"> P/Pik</w:t>
            </w:r>
          </w:p>
        </w:tc>
        <w:tc>
          <w:tcPr>
            <w:tcW w:w="392" w:type="dxa"/>
            <w:vMerge w:val="restart"/>
            <w:textDirection w:val="btLr"/>
          </w:tcPr>
          <w:p>
            <w:pPr>
              <w:framePr w:wrap="auto" w:hAnchor="text" w:x="108"/>
              <w:ind w:left="113" w:right="113"/>
              <w:jc w:val="center"/>
              <w:rPr>
                <w:sz w:val="10"/>
              </w:rPr>
            </w:pPr>
            <w:r>
              <w:rPr>
                <w:sz w:val="10"/>
              </w:rPr>
              <w:t>Number of Prizes</w:t>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12</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11</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10</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9</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8</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7</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6</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5</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rPr>
                <w:sz w:val="10"/>
              </w:rPr>
            </w:pPr>
            <w:r>
              <w:rPr>
                <w:sz w:val="10"/>
              </w:rPr>
              <w:t>Prize Divisions</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jc w:val="center"/>
              <w:rPr>
                <w:sz w:val="10"/>
              </w:rPr>
            </w:pPr>
            <w:r>
              <w:rPr>
                <w:sz w:val="10"/>
              </w:rPr>
              <w:t>Winning Numbers</w:t>
            </w:r>
          </w:p>
        </w:tc>
        <w:tc>
          <w:tcPr>
            <w:tcW w:w="1008" w:type="dxa"/>
            <w:textDirection w:val="btLr"/>
          </w:tcPr>
          <w:p>
            <w:pPr>
              <w:framePr w:wrap="auto" w:hAnchor="text" w:x="108"/>
              <w:ind w:left="113" w:right="113"/>
              <w:jc w:val="center"/>
              <w:rPr>
                <w:sz w:val="10"/>
              </w:rPr>
            </w:pPr>
            <w:r>
              <w:rPr>
                <w:sz w:val="10"/>
              </w:rPr>
              <w:t>5 winning numbers and the powerball number</w:t>
            </w:r>
          </w:p>
        </w:tc>
        <w:tc>
          <w:tcPr>
            <w:tcW w:w="966" w:type="dxa"/>
            <w:textDirection w:val="btLr"/>
          </w:tcPr>
          <w:p>
            <w:pPr>
              <w:framePr w:wrap="auto" w:hAnchor="text" w:x="108"/>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uto" w:hAnchor="text" w:x="108"/>
              <w:ind w:left="113" w:right="113"/>
              <w:jc w:val="center"/>
              <w:rPr>
                <w:sz w:val="10"/>
              </w:rPr>
            </w:pPr>
            <w:r>
              <w:rPr>
                <w:sz w:val="10"/>
              </w:rPr>
              <w:t>4 winning numbers and the powerball number</w:t>
            </w:r>
          </w:p>
        </w:tc>
        <w:tc>
          <w:tcPr>
            <w:tcW w:w="993" w:type="dxa"/>
            <w:textDirection w:val="btLr"/>
          </w:tcPr>
          <w:p>
            <w:pPr>
              <w:framePr w:wrap="auto" w:hAnchor="text" w:x="108"/>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uto" w:hAnchor="text" w:x="108"/>
              <w:ind w:left="113" w:right="113"/>
              <w:jc w:val="center"/>
              <w:rPr>
                <w:sz w:val="10"/>
              </w:rPr>
            </w:pPr>
            <w:r>
              <w:rPr>
                <w:sz w:val="10"/>
              </w:rPr>
              <w:t>3 winning numbers and the powerball number</w:t>
            </w:r>
          </w:p>
        </w:tc>
      </w:tr>
    </w:tbl>
    <w:p>
      <w:pPr>
        <w:rPr>
          <w:sz w:val="16"/>
        </w:rPr>
      </w:pPr>
    </w:p>
    <w:p>
      <w:pPr>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113"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tabs>
          <w:tab w:val="clear" w:pos="893"/>
        </w:tabs>
        <w:ind w:left="0" w:firstLine="0"/>
      </w:pPr>
      <w:r>
        <w:t>[Schedule 3 amended in Gazette 16 Nov 2004 p. 5062-4.]</w:t>
      </w:r>
    </w:p>
    <w:p>
      <w:pPr>
        <w:pStyle w:val="yScheduleHeading"/>
      </w:pPr>
      <w:bookmarkStart w:id="224" w:name="_Toc88446307"/>
      <w:bookmarkStart w:id="225" w:name="_Toc147227993"/>
      <w:bookmarkStart w:id="226" w:name="_Toc147288730"/>
      <w:bookmarkStart w:id="227" w:name="_Toc150762509"/>
      <w:bookmarkStart w:id="228" w:name="_Toc150830546"/>
      <w:r>
        <w:rPr>
          <w:rStyle w:val="CharSchNo"/>
        </w:rPr>
        <w:t>Schedule 4</w:t>
      </w:r>
      <w:bookmarkEnd w:id="223"/>
      <w:bookmarkEnd w:id="224"/>
      <w:bookmarkEnd w:id="225"/>
      <w:bookmarkEnd w:id="226"/>
      <w:bookmarkEnd w:id="227"/>
      <w:bookmarkEnd w:id="228"/>
      <w:r>
        <w:rPr>
          <w:rStyle w:val="CharSchNo"/>
        </w:rPr>
        <w:t xml:space="preserve"> </w:t>
      </w:r>
    </w:p>
    <w:p>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spacing w:before="0"/>
            </w:pPr>
            <w:r>
              <w:t>Prize pool – division 1</w:t>
            </w:r>
          </w:p>
        </w:tc>
        <w:tc>
          <w:tcPr>
            <w:tcW w:w="2833" w:type="dxa"/>
          </w:tcPr>
          <w:p>
            <w:pPr>
              <w:pStyle w:val="zyDefstart"/>
              <w:tabs>
                <w:tab w:val="right" w:pos="2835"/>
              </w:tabs>
              <w:spacing w:before="0"/>
              <w:ind w:right="-2"/>
              <w:jc w:val="right"/>
            </w:pPr>
            <w:r>
              <w:t>40.0%</w:t>
            </w:r>
          </w:p>
        </w:tc>
      </w:tr>
      <w:tr>
        <w:tc>
          <w:tcPr>
            <w:tcW w:w="4253" w:type="dxa"/>
          </w:tcPr>
          <w:p>
            <w:pPr>
              <w:pStyle w:val="yTable"/>
              <w:spacing w:before="0"/>
            </w:pPr>
            <w:r>
              <w:t>Prize pool – division 2</w:t>
            </w:r>
          </w:p>
        </w:tc>
        <w:tc>
          <w:tcPr>
            <w:tcW w:w="2833" w:type="dxa"/>
          </w:tcPr>
          <w:p>
            <w:pPr>
              <w:pStyle w:val="zyDefstart"/>
              <w:tabs>
                <w:tab w:val="right" w:pos="2835"/>
              </w:tabs>
              <w:spacing w:before="0"/>
              <w:ind w:right="-2"/>
              <w:jc w:val="right"/>
            </w:pPr>
            <w:r>
              <w:t>12.9%</w:t>
            </w:r>
          </w:p>
        </w:tc>
      </w:tr>
      <w:tr>
        <w:tc>
          <w:tcPr>
            <w:tcW w:w="4253" w:type="dxa"/>
          </w:tcPr>
          <w:p>
            <w:pPr>
              <w:pStyle w:val="yTable"/>
              <w:spacing w:before="0"/>
            </w:pPr>
            <w:r>
              <w:t>Prize pool – division 3</w:t>
            </w:r>
          </w:p>
        </w:tc>
        <w:tc>
          <w:tcPr>
            <w:tcW w:w="2833" w:type="dxa"/>
          </w:tcPr>
          <w:p>
            <w:pPr>
              <w:pStyle w:val="zyDefstart"/>
              <w:tabs>
                <w:tab w:val="right" w:pos="2835"/>
              </w:tabs>
              <w:spacing w:before="0"/>
              <w:ind w:right="-2"/>
              <w:jc w:val="right"/>
            </w:pPr>
            <w:r>
              <w:t>5.9%</w:t>
            </w:r>
          </w:p>
        </w:tc>
      </w:tr>
      <w:tr>
        <w:tc>
          <w:tcPr>
            <w:tcW w:w="4253" w:type="dxa"/>
          </w:tcPr>
          <w:p>
            <w:pPr>
              <w:pStyle w:val="yTable"/>
              <w:spacing w:before="0"/>
            </w:pPr>
            <w:r>
              <w:t>Prize pool – division 4</w:t>
            </w:r>
          </w:p>
        </w:tc>
        <w:tc>
          <w:tcPr>
            <w:tcW w:w="2833" w:type="dxa"/>
          </w:tcPr>
          <w:p>
            <w:pPr>
              <w:pStyle w:val="zyDefstart"/>
              <w:tabs>
                <w:tab w:val="right" w:pos="2835"/>
              </w:tabs>
              <w:spacing w:before="0"/>
              <w:ind w:right="-2"/>
              <w:jc w:val="right"/>
            </w:pPr>
            <w:r>
              <w:t>4.6%</w:t>
            </w:r>
          </w:p>
        </w:tc>
      </w:tr>
      <w:tr>
        <w:tc>
          <w:tcPr>
            <w:tcW w:w="4253" w:type="dxa"/>
          </w:tcPr>
          <w:p>
            <w:pPr>
              <w:pStyle w:val="yTable"/>
              <w:spacing w:before="0"/>
            </w:pPr>
            <w:r>
              <w:t>Prize pool – division 5</w:t>
            </w:r>
          </w:p>
        </w:tc>
        <w:tc>
          <w:tcPr>
            <w:tcW w:w="2833" w:type="dxa"/>
          </w:tcPr>
          <w:p>
            <w:pPr>
              <w:pStyle w:val="zyDefstart"/>
              <w:tabs>
                <w:tab w:val="right" w:pos="2835"/>
              </w:tabs>
              <w:spacing w:before="0"/>
              <w:ind w:right="-2"/>
              <w:jc w:val="right"/>
            </w:pPr>
            <w:r>
              <w:t>2.6%</w:t>
            </w:r>
          </w:p>
        </w:tc>
      </w:tr>
      <w:tr>
        <w:tc>
          <w:tcPr>
            <w:tcW w:w="4253" w:type="dxa"/>
          </w:tcPr>
          <w:p>
            <w:pPr>
              <w:pStyle w:val="yTable"/>
              <w:spacing w:before="0"/>
            </w:pPr>
            <w:r>
              <w:t>Prize pool – division 6</w:t>
            </w:r>
          </w:p>
        </w:tc>
        <w:tc>
          <w:tcPr>
            <w:tcW w:w="2833" w:type="dxa"/>
          </w:tcPr>
          <w:p>
            <w:pPr>
              <w:pStyle w:val="zyDefstart"/>
              <w:tabs>
                <w:tab w:val="right" w:pos="2835"/>
              </w:tabs>
              <w:spacing w:before="0"/>
              <w:ind w:right="-2"/>
              <w:jc w:val="right"/>
            </w:pPr>
            <w:r>
              <w:t>11.7%</w:t>
            </w:r>
          </w:p>
        </w:tc>
      </w:tr>
      <w:tr>
        <w:tc>
          <w:tcPr>
            <w:tcW w:w="4253" w:type="dxa"/>
          </w:tcPr>
          <w:p>
            <w:pPr>
              <w:pStyle w:val="yTable"/>
              <w:spacing w:before="0"/>
            </w:pPr>
            <w:r>
              <w:t>Prize pool – division 7</w:t>
            </w:r>
          </w:p>
        </w:tc>
        <w:tc>
          <w:tcPr>
            <w:tcW w:w="2833" w:type="dxa"/>
          </w:tcPr>
          <w:p>
            <w:pPr>
              <w:pStyle w:val="zyDefstart"/>
              <w:tabs>
                <w:tab w:val="right" w:pos="2835"/>
              </w:tabs>
              <w:spacing w:before="0"/>
              <w:ind w:right="-2"/>
              <w:jc w:val="right"/>
            </w:pPr>
            <w:r>
              <w:t>22.3%</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tabs>
          <w:tab w:val="clear" w:pos="893"/>
        </w:tabs>
        <w:ind w:left="0" w:firstLine="0"/>
      </w:pPr>
      <w:r>
        <w:t>[Schedule 4 amended in Gazette 29 Apr 1997 p. 2150; 9 Mar 2001 p. 1335</w:t>
      </w:r>
      <w:r>
        <w:noBreakHyphen/>
        <w:t xml:space="preserve">6; 16 Nov 2004 p. 5065; 29 Sep 2006 p. 4272-3; 13 Oct 2006 p. 4414.] </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9" w:name="_Toc88368703"/>
      <w:bookmarkStart w:id="230" w:name="_Toc88383335"/>
      <w:bookmarkStart w:id="231" w:name="_Toc88446308"/>
      <w:bookmarkStart w:id="232" w:name="_Toc147227994"/>
      <w:bookmarkStart w:id="233" w:name="_Toc147288731"/>
      <w:bookmarkStart w:id="234" w:name="_Toc150762510"/>
      <w:bookmarkStart w:id="235" w:name="_Toc150830547"/>
      <w:r>
        <w:t>Notes</w:t>
      </w:r>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6" w:name="_Toc5072474"/>
      <w:bookmarkStart w:id="237" w:name="_Toc88446309"/>
      <w:bookmarkStart w:id="238" w:name="_Toc150830548"/>
      <w:r>
        <w:rPr>
          <w:snapToGrid w:val="0"/>
        </w:rPr>
        <w:t>Compilation table</w:t>
      </w:r>
      <w:bookmarkEnd w:id="236"/>
      <w:bookmarkEnd w:id="237"/>
      <w:bookmarkEnd w:id="238"/>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 xml:space="preserve">  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 xml:space="preserve">  Commencement</w:t>
            </w:r>
          </w:p>
        </w:tc>
      </w:tr>
      <w:tr>
        <w:trPr>
          <w:cantSplit/>
        </w:trPr>
        <w:tc>
          <w:tcPr>
            <w:tcW w:w="3119" w:type="dxa"/>
            <w:tcBorders>
              <w:top w:val="single" w:sz="8" w:space="0" w:color="auto"/>
            </w:tcBorders>
          </w:tcPr>
          <w:p>
            <w:pPr>
              <w:pStyle w:val="nTable"/>
              <w:spacing w:before="120"/>
              <w:ind w:left="98"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before="120"/>
              <w:rPr>
                <w:sz w:val="19"/>
              </w:rPr>
            </w:pPr>
            <w:r>
              <w:rPr>
                <w:sz w:val="19"/>
              </w:rPr>
              <w:t>29 Apr 1996 p. 1821</w:t>
            </w:r>
            <w:r>
              <w:rPr>
                <w:sz w:val="19"/>
              </w:rPr>
              <w:noBreakHyphen/>
              <w:t>48</w:t>
            </w:r>
          </w:p>
        </w:tc>
        <w:tc>
          <w:tcPr>
            <w:tcW w:w="2693" w:type="dxa"/>
            <w:tcBorders>
              <w:top w:val="single" w:sz="8" w:space="0" w:color="auto"/>
            </w:tcBorders>
          </w:tcPr>
          <w:p>
            <w:pPr>
              <w:pStyle w:val="nTable"/>
              <w:spacing w:before="120"/>
              <w:ind w:left="92"/>
              <w:rPr>
                <w:sz w:val="19"/>
              </w:rPr>
            </w:pPr>
            <w:r>
              <w:rPr>
                <w:sz w:val="19"/>
              </w:rPr>
              <w:t>17 May 1996 (see r. 2)</w:t>
            </w:r>
          </w:p>
        </w:tc>
      </w:tr>
      <w:tr>
        <w:trPr>
          <w:cantSplit/>
        </w:trPr>
        <w:tc>
          <w:tcPr>
            <w:tcW w:w="3119" w:type="dxa"/>
          </w:tcPr>
          <w:p>
            <w:pPr>
              <w:pStyle w:val="nTable"/>
              <w:spacing w:before="120"/>
              <w:ind w:left="98" w:right="113"/>
              <w:rPr>
                <w:sz w:val="19"/>
              </w:rPr>
            </w:pPr>
            <w:r>
              <w:rPr>
                <w:i/>
                <w:sz w:val="19"/>
              </w:rPr>
              <w:t>Lotteries Commission (Super 66) Rules 1996</w:t>
            </w:r>
            <w:r>
              <w:rPr>
                <w:sz w:val="19"/>
              </w:rPr>
              <w:t xml:space="preserve"> r. 28</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ind w:left="92"/>
              <w:rPr>
                <w:sz w:val="19"/>
              </w:rPr>
            </w:pPr>
            <w:r>
              <w:rPr>
                <w:sz w:val="19"/>
              </w:rPr>
              <w:t>18 Nov 1996 (see r. 2)</w:t>
            </w:r>
          </w:p>
        </w:tc>
      </w:tr>
      <w:tr>
        <w:trPr>
          <w:cantSplit/>
        </w:trPr>
        <w:tc>
          <w:tcPr>
            <w:tcW w:w="3119" w:type="dxa"/>
          </w:tcPr>
          <w:p>
            <w:pPr>
              <w:pStyle w:val="nTable"/>
              <w:spacing w:before="120"/>
              <w:ind w:left="98" w:right="113"/>
              <w:rPr>
                <w:sz w:val="19"/>
              </w:rPr>
            </w:pPr>
            <w:r>
              <w:rPr>
                <w:i/>
                <w:sz w:val="19"/>
              </w:rPr>
              <w:t>Lotteries Commission (Powerball Lotto) Amendment Rules 1997</w:t>
            </w:r>
          </w:p>
        </w:tc>
        <w:tc>
          <w:tcPr>
            <w:tcW w:w="1276" w:type="dxa"/>
          </w:tcPr>
          <w:p>
            <w:pPr>
              <w:pStyle w:val="nTable"/>
              <w:spacing w:before="120"/>
              <w:rPr>
                <w:sz w:val="19"/>
              </w:rPr>
            </w:pPr>
            <w:r>
              <w:rPr>
                <w:sz w:val="19"/>
              </w:rPr>
              <w:t>29 Apr 1997 p. 2149</w:t>
            </w:r>
            <w:r>
              <w:rPr>
                <w:sz w:val="19"/>
              </w:rPr>
              <w:noBreakHyphen/>
              <w:t>50</w:t>
            </w:r>
          </w:p>
        </w:tc>
        <w:tc>
          <w:tcPr>
            <w:tcW w:w="2693" w:type="dxa"/>
          </w:tcPr>
          <w:p>
            <w:pPr>
              <w:pStyle w:val="nTable"/>
              <w:spacing w:before="120"/>
              <w:ind w:left="92"/>
              <w:rPr>
                <w:sz w:val="19"/>
              </w:rPr>
            </w:pPr>
            <w:r>
              <w:rPr>
                <w:sz w:val="19"/>
              </w:rPr>
              <w:t>5 May 1997 (see r. 2)</w:t>
            </w:r>
          </w:p>
        </w:tc>
      </w:tr>
      <w:tr>
        <w:trPr>
          <w:cantSplit/>
        </w:trPr>
        <w:tc>
          <w:tcPr>
            <w:tcW w:w="3119" w:type="dxa"/>
          </w:tcPr>
          <w:p>
            <w:pPr>
              <w:pStyle w:val="nTable"/>
              <w:spacing w:before="120" w:after="60"/>
              <w:ind w:left="98"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ind w:left="92"/>
              <w:rPr>
                <w:sz w:val="19"/>
              </w:rPr>
            </w:pPr>
            <w:r>
              <w:rPr>
                <w:sz w:val="19"/>
              </w:rPr>
              <w:t>3 Nov 1997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2001</w:t>
            </w:r>
          </w:p>
        </w:tc>
        <w:tc>
          <w:tcPr>
            <w:tcW w:w="1276" w:type="dxa"/>
          </w:tcPr>
          <w:p>
            <w:pPr>
              <w:pStyle w:val="nTable"/>
              <w:spacing w:before="120"/>
              <w:rPr>
                <w:sz w:val="19"/>
              </w:rPr>
            </w:pPr>
            <w:r>
              <w:rPr>
                <w:sz w:val="19"/>
              </w:rPr>
              <w:t>9 Mar 2001 p. 1332</w:t>
            </w:r>
            <w:r>
              <w:rPr>
                <w:sz w:val="19"/>
              </w:rPr>
              <w:noBreakHyphen/>
              <w:t>6</w:t>
            </w:r>
          </w:p>
        </w:tc>
        <w:tc>
          <w:tcPr>
            <w:tcW w:w="2693" w:type="dxa"/>
          </w:tcPr>
          <w:p>
            <w:pPr>
              <w:pStyle w:val="nTable"/>
              <w:spacing w:before="120"/>
              <w:ind w:left="92"/>
              <w:rPr>
                <w:sz w:val="19"/>
              </w:rPr>
            </w:pPr>
            <w:r>
              <w:rPr>
                <w:sz w:val="19"/>
              </w:rPr>
              <w:t>11 Mar 2001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2002</w:t>
            </w:r>
          </w:p>
        </w:tc>
        <w:tc>
          <w:tcPr>
            <w:tcW w:w="1276" w:type="dxa"/>
          </w:tcPr>
          <w:p>
            <w:pPr>
              <w:pStyle w:val="nTable"/>
              <w:spacing w:before="120"/>
              <w:rPr>
                <w:sz w:val="19"/>
              </w:rPr>
            </w:pPr>
            <w:r>
              <w:rPr>
                <w:sz w:val="19"/>
              </w:rPr>
              <w:t>28 Mar 2002 p. 1764</w:t>
            </w:r>
          </w:p>
        </w:tc>
        <w:tc>
          <w:tcPr>
            <w:tcW w:w="2693" w:type="dxa"/>
          </w:tcPr>
          <w:p>
            <w:pPr>
              <w:pStyle w:val="nTable"/>
              <w:spacing w:before="120"/>
              <w:ind w:left="92"/>
              <w:rPr>
                <w:sz w:val="19"/>
              </w:rPr>
            </w:pPr>
            <w:r>
              <w:rPr>
                <w:sz w:val="19"/>
              </w:rPr>
              <w:t>2 Apr 2002 (see r. 2)</w:t>
            </w:r>
          </w:p>
        </w:tc>
      </w:tr>
      <w:tr>
        <w:trPr>
          <w:cantSplit/>
        </w:trPr>
        <w:tc>
          <w:tcPr>
            <w:tcW w:w="7088" w:type="dxa"/>
            <w:gridSpan w:val="3"/>
          </w:tcPr>
          <w:p>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left="98" w:right="113"/>
              <w:rPr>
                <w:i/>
                <w:sz w:val="19"/>
              </w:rPr>
            </w:pPr>
            <w:r>
              <w:rPr>
                <w:i/>
                <w:sz w:val="19"/>
              </w:rPr>
              <w:t>Lotteries Commission (Powerball Lotto) Amendment Rules 2003</w:t>
            </w:r>
          </w:p>
        </w:tc>
        <w:tc>
          <w:tcPr>
            <w:tcW w:w="1276" w:type="dxa"/>
          </w:tcPr>
          <w:p>
            <w:pPr>
              <w:pStyle w:val="nTable"/>
              <w:spacing w:before="120"/>
              <w:rPr>
                <w:sz w:val="19"/>
              </w:rPr>
            </w:pPr>
            <w:r>
              <w:rPr>
                <w:sz w:val="19"/>
              </w:rPr>
              <w:t>8 Aug 2003 p. 3579-80</w:t>
            </w:r>
          </w:p>
        </w:tc>
        <w:tc>
          <w:tcPr>
            <w:tcW w:w="2693" w:type="dxa"/>
          </w:tcPr>
          <w:p>
            <w:pPr>
              <w:pStyle w:val="nTable"/>
              <w:spacing w:before="120"/>
              <w:ind w:left="92"/>
              <w:rPr>
                <w:sz w:val="19"/>
              </w:rPr>
            </w:pPr>
            <w:r>
              <w:rPr>
                <w:sz w:val="19"/>
              </w:rPr>
              <w:t>10 Aug 2003 (see r. 2)</w:t>
            </w:r>
          </w:p>
        </w:tc>
      </w:tr>
      <w:tr>
        <w:trPr>
          <w:cantSplit/>
        </w:trPr>
        <w:tc>
          <w:tcPr>
            <w:tcW w:w="3119" w:type="dxa"/>
          </w:tcPr>
          <w:p>
            <w:pPr>
              <w:pStyle w:val="nTable"/>
              <w:spacing w:before="120"/>
              <w:ind w:left="98" w:right="113"/>
              <w:rPr>
                <w:i/>
                <w:sz w:val="19"/>
              </w:rPr>
            </w:pPr>
            <w:r>
              <w:rPr>
                <w:i/>
                <w:sz w:val="19"/>
              </w:rPr>
              <w:t>Lotteries Commission (Powerball Lotto) Amendment Rules 2004</w:t>
            </w:r>
          </w:p>
        </w:tc>
        <w:tc>
          <w:tcPr>
            <w:tcW w:w="1276" w:type="dxa"/>
          </w:tcPr>
          <w:p>
            <w:pPr>
              <w:pStyle w:val="nTable"/>
              <w:spacing w:before="120"/>
              <w:rPr>
                <w:sz w:val="19"/>
              </w:rPr>
            </w:pPr>
            <w:r>
              <w:rPr>
                <w:sz w:val="19"/>
              </w:rPr>
              <w:t>16 Nov 2004 p. 5054-66</w:t>
            </w:r>
          </w:p>
        </w:tc>
        <w:tc>
          <w:tcPr>
            <w:tcW w:w="2693" w:type="dxa"/>
          </w:tcPr>
          <w:p>
            <w:pPr>
              <w:pStyle w:val="nTable"/>
              <w:spacing w:before="120"/>
              <w:ind w:left="92"/>
              <w:rPr>
                <w:sz w:val="19"/>
              </w:rPr>
            </w:pPr>
            <w:r>
              <w:rPr>
                <w:sz w:val="19"/>
              </w:rPr>
              <w:t>16 Nov 2004</w:t>
            </w:r>
          </w:p>
        </w:tc>
      </w:tr>
      <w:tr>
        <w:trPr>
          <w:cantSplit/>
        </w:trPr>
        <w:tc>
          <w:tcPr>
            <w:tcW w:w="3119" w:type="dxa"/>
          </w:tcPr>
          <w:p>
            <w:pPr>
              <w:pStyle w:val="nTable"/>
              <w:spacing w:before="120"/>
              <w:ind w:left="98" w:right="113"/>
              <w:rPr>
                <w:i/>
                <w:sz w:val="19"/>
              </w:rPr>
            </w:pPr>
            <w:r>
              <w:rPr>
                <w:i/>
                <w:sz w:val="19"/>
              </w:rPr>
              <w:t>Lotteries Commission (Powerball) Amendment Rules 2006</w:t>
            </w:r>
          </w:p>
        </w:tc>
        <w:tc>
          <w:tcPr>
            <w:tcW w:w="1276" w:type="dxa"/>
          </w:tcPr>
          <w:p>
            <w:pPr>
              <w:pStyle w:val="nTable"/>
              <w:spacing w:before="120"/>
              <w:rPr>
                <w:sz w:val="19"/>
              </w:rPr>
            </w:pPr>
            <w:r>
              <w:rPr>
                <w:sz w:val="19"/>
              </w:rPr>
              <w:t>29 Sep 2006 p. 4272-3</w:t>
            </w:r>
          </w:p>
        </w:tc>
        <w:tc>
          <w:tcPr>
            <w:tcW w:w="2693" w:type="dxa"/>
          </w:tcPr>
          <w:p>
            <w:pPr>
              <w:pStyle w:val="nTable"/>
              <w:spacing w:before="120"/>
              <w:ind w:left="92"/>
              <w:rPr>
                <w:sz w:val="19"/>
              </w:rPr>
            </w:pPr>
            <w:r>
              <w:rPr>
                <w:sz w:val="19"/>
              </w:rPr>
              <w:t>29 Sep 2006</w:t>
            </w:r>
          </w:p>
        </w:tc>
      </w:tr>
      <w:tr>
        <w:trPr>
          <w:cantSplit/>
        </w:trPr>
        <w:tc>
          <w:tcPr>
            <w:tcW w:w="3119" w:type="dxa"/>
            <w:tcBorders>
              <w:bottom w:val="single" w:sz="4" w:space="0" w:color="auto"/>
            </w:tcBorders>
          </w:tcPr>
          <w:p>
            <w:pPr>
              <w:pStyle w:val="nTable"/>
              <w:spacing w:before="120"/>
              <w:ind w:left="98" w:right="113"/>
              <w:rPr>
                <w:i/>
                <w:sz w:val="19"/>
              </w:rPr>
            </w:pPr>
            <w:r>
              <w:rPr>
                <w:i/>
                <w:sz w:val="19"/>
              </w:rPr>
              <w:t>Lotteries Commission (Powerball) Amendment Rules (No. 2) 2006</w:t>
            </w:r>
            <w:r>
              <w:rPr>
                <w:iCs/>
                <w:sz w:val="19"/>
              </w:rPr>
              <w:t xml:space="preserve"> </w:t>
            </w:r>
          </w:p>
        </w:tc>
        <w:tc>
          <w:tcPr>
            <w:tcW w:w="1276" w:type="dxa"/>
            <w:tcBorders>
              <w:bottom w:val="single" w:sz="4" w:space="0" w:color="auto"/>
            </w:tcBorders>
          </w:tcPr>
          <w:p>
            <w:pPr>
              <w:pStyle w:val="nTable"/>
              <w:spacing w:before="120"/>
              <w:rPr>
                <w:sz w:val="19"/>
              </w:rPr>
            </w:pPr>
            <w:r>
              <w:rPr>
                <w:sz w:val="19"/>
              </w:rPr>
              <w:t>13 Oct 2006 p. 4412</w:t>
            </w:r>
            <w:r>
              <w:rPr>
                <w:sz w:val="19"/>
              </w:rPr>
              <w:noBreakHyphen/>
              <w:t>14</w:t>
            </w:r>
          </w:p>
        </w:tc>
        <w:tc>
          <w:tcPr>
            <w:tcW w:w="2693" w:type="dxa"/>
            <w:tcBorders>
              <w:bottom w:val="single" w:sz="4" w:space="0" w:color="auto"/>
            </w:tcBorders>
          </w:tcPr>
          <w:p>
            <w:pPr>
              <w:pStyle w:val="nTable"/>
              <w:spacing w:before="120"/>
              <w:ind w:left="92"/>
              <w:rPr>
                <w:sz w:val="19"/>
              </w:rPr>
            </w:pPr>
            <w:r>
              <w:rPr>
                <w:sz w:val="19"/>
              </w:rPr>
              <w:t>10 Nov 2006 (see r. 2)</w:t>
            </w:r>
          </w:p>
        </w:tc>
      </w:tr>
    </w:tbl>
    <w:p>
      <w:pPr>
        <w:pStyle w:val="nSubsection"/>
      </w:pPr>
      <w:r>
        <w:rPr>
          <w:vertAlign w:val="superscript"/>
        </w:rPr>
        <w:t>2</w:t>
      </w:r>
      <w:r>
        <w:rPr>
          <w:vertAlign w:val="superscript"/>
        </w:rPr>
        <w:tab/>
      </w:r>
      <w:r>
        <w:t xml:space="preserve">Now known as the </w:t>
      </w:r>
      <w:r>
        <w:rPr>
          <w:i/>
        </w:rPr>
        <w:t>Lotteries Commission (Powerball) Rules 1996;</w:t>
      </w:r>
      <w:r>
        <w:t xml:space="preserve"> citation changed (see note under r.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Lotteries Commission (Powerball) Rules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(Powerball)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54"/>
    <w:docVar w:name="WAFER_20151208100154" w:val="RemoveTrackChanges"/>
    <w:docVar w:name="WAFER_20151208100154_GUID" w:val="59e7efee-6686-404e-9d50-48e9a52f8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10277</Words>
  <Characters>37719</Characters>
  <Application>Microsoft Office Word</Application>
  <DocSecurity>0</DocSecurity>
  <Lines>4714</Lines>
  <Paragraphs>1919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1996 - 01-e0-03</dc:title>
  <dc:subject/>
  <dc:creator/>
  <cp:keywords/>
  <dc:description/>
  <cp:lastModifiedBy>svcMRProcess</cp:lastModifiedBy>
  <cp:revision>4</cp:revision>
  <cp:lastPrinted>2002-05-31T02:09:00Z</cp:lastPrinted>
  <dcterms:created xsi:type="dcterms:W3CDTF">2015-12-10T06:46:00Z</dcterms:created>
  <dcterms:modified xsi:type="dcterms:W3CDTF">2015-12-10T06:46:00Z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4606</vt:i4>
  </property>
  <property fmtid="{D5CDD505-2E9C-101B-9397-08002B2CF9AE}" pid="6" name="AsAtDate">
    <vt:lpwstr>10 Nov 2006</vt:lpwstr>
  </property>
  <property fmtid="{D5CDD505-2E9C-101B-9397-08002B2CF9AE}" pid="7" name="Suffix">
    <vt:lpwstr>01-e0-03</vt:lpwstr>
  </property>
</Properties>
</file>