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_Toc88447810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_Toc88447811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_Toc88447812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Requirements for entry</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Entry coupon</w:t>
      </w:r>
      <w:r>
        <w:rPr>
          <w:noProof/>
        </w:rPr>
        <w:tab/>
      </w:r>
      <w:r>
        <w:rPr>
          <w:noProof/>
        </w:rPr>
        <w:fldChar w:fldCharType="begin"/>
      </w:r>
      <w:r>
        <w:rPr>
          <w:noProof/>
        </w:rPr>
        <w:instrText xml:space="preserve"> PAGEREF _Toc88447814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Methods of entry</w:t>
      </w:r>
      <w:r>
        <w:rPr>
          <w:noProof/>
        </w:rPr>
        <w:tab/>
      </w:r>
      <w:r>
        <w:rPr>
          <w:noProof/>
        </w:rPr>
        <w:fldChar w:fldCharType="begin"/>
      </w:r>
      <w:r>
        <w:rPr>
          <w:noProof/>
        </w:rPr>
        <w:instrText xml:space="preserve"> PAGEREF _Toc88447815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Receipted tickets</w:t>
      </w:r>
      <w:r>
        <w:rPr>
          <w:noProof/>
        </w:rPr>
        <w:tab/>
      </w:r>
      <w:r>
        <w:rPr>
          <w:noProof/>
        </w:rPr>
        <w:fldChar w:fldCharType="begin"/>
      </w:r>
      <w:r>
        <w:rPr>
          <w:noProof/>
        </w:rPr>
        <w:instrText xml:space="preserve"> PAGEREF _Toc88447816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Surrender of receipted ticket</w:t>
      </w:r>
      <w:r>
        <w:rPr>
          <w:noProof/>
        </w:rPr>
        <w:tab/>
      </w:r>
      <w:r>
        <w:rPr>
          <w:noProof/>
        </w:rPr>
        <w:fldChar w:fldCharType="begin"/>
      </w:r>
      <w:r>
        <w:rPr>
          <w:noProof/>
        </w:rPr>
        <w:instrText xml:space="preserve"> PAGEREF _Toc88447817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Accuracy of receipted ticket</w:t>
      </w:r>
      <w:r>
        <w:rPr>
          <w:noProof/>
        </w:rPr>
        <w:tab/>
      </w:r>
      <w:r>
        <w:rPr>
          <w:noProof/>
        </w:rPr>
        <w:fldChar w:fldCharType="begin"/>
      </w:r>
      <w:r>
        <w:rPr>
          <w:noProof/>
        </w:rPr>
        <w:instrText xml:space="preserve"> PAGEREF _Toc88447818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Validity of receipted ticket</w:t>
      </w:r>
      <w:r>
        <w:rPr>
          <w:noProof/>
        </w:rPr>
        <w:tab/>
      </w:r>
      <w:r>
        <w:rPr>
          <w:noProof/>
        </w:rPr>
        <w:fldChar w:fldCharType="begin"/>
      </w:r>
      <w:r>
        <w:rPr>
          <w:noProof/>
        </w:rPr>
        <w:instrText xml:space="preserve"> PAGEREF _Toc88447819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3 — General duties of Commission</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Super 66 draws to be numbered</w:t>
      </w:r>
      <w:r>
        <w:rPr>
          <w:noProof/>
        </w:rPr>
        <w:tab/>
      </w:r>
      <w:r>
        <w:rPr>
          <w:noProof/>
        </w:rPr>
        <w:fldChar w:fldCharType="begin"/>
      </w:r>
      <w:r>
        <w:rPr>
          <w:noProof/>
        </w:rPr>
        <w:instrText xml:space="preserve"> PAGEREF _Toc88447821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11.</w:t>
      </w:r>
      <w:r>
        <w:rPr>
          <w:noProof/>
          <w:sz w:val="24"/>
          <w:szCs w:val="24"/>
        </w:rPr>
        <w:tab/>
      </w:r>
      <w:r>
        <w:rPr>
          <w:noProof/>
          <w:szCs w:val="24"/>
        </w:rPr>
        <w:t>Super 66 draws to be supervised</w:t>
      </w:r>
      <w:r>
        <w:rPr>
          <w:noProof/>
        </w:rPr>
        <w:tab/>
      </w:r>
      <w:r>
        <w:rPr>
          <w:noProof/>
        </w:rPr>
        <w:fldChar w:fldCharType="begin"/>
      </w:r>
      <w:r>
        <w:rPr>
          <w:noProof/>
        </w:rPr>
        <w:instrText xml:space="preserve"> PAGEREF _Toc88447822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Publication of results</w:t>
      </w:r>
      <w:r>
        <w:rPr>
          <w:noProof/>
        </w:rPr>
        <w:tab/>
      </w:r>
      <w:r>
        <w:rPr>
          <w:noProof/>
        </w:rPr>
        <w:fldChar w:fldCharType="begin"/>
      </w:r>
      <w:r>
        <w:rPr>
          <w:noProof/>
        </w:rPr>
        <w:instrText xml:space="preserve"> PAGEREF _Toc88447823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Super 66 prize pool and prize reserve fund</w:t>
      </w:r>
      <w:r>
        <w:rPr>
          <w:noProof/>
        </w:rPr>
        <w:tab/>
      </w:r>
      <w:r>
        <w:rPr>
          <w:noProof/>
        </w:rPr>
        <w:fldChar w:fldCharType="begin"/>
      </w:r>
      <w:r>
        <w:rPr>
          <w:noProof/>
        </w:rPr>
        <w:instrText xml:space="preserve"> PAGEREF _Toc88447824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4 — Super 66 draw</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Super 66 draw</w:t>
      </w:r>
      <w:r>
        <w:rPr>
          <w:noProof/>
        </w:rPr>
        <w:tab/>
      </w:r>
      <w:r>
        <w:rPr>
          <w:noProof/>
        </w:rPr>
        <w:fldChar w:fldCharType="begin"/>
      </w:r>
      <w:r>
        <w:rPr>
          <w:noProof/>
        </w:rPr>
        <w:instrText xml:space="preserve"> PAGEREF _Toc88447826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Criteria for super 66 prizes</w:t>
      </w:r>
      <w:r>
        <w:rPr>
          <w:noProof/>
        </w:rPr>
        <w:tab/>
      </w:r>
      <w:r>
        <w:rPr>
          <w:noProof/>
        </w:rPr>
        <w:fldChar w:fldCharType="begin"/>
      </w:r>
      <w:r>
        <w:rPr>
          <w:noProof/>
        </w:rPr>
        <w:instrText xml:space="preserve"> PAGEREF _Toc88447827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Distribution of prize pool</w:t>
      </w:r>
      <w:r>
        <w:rPr>
          <w:noProof/>
        </w:rPr>
        <w:tab/>
      </w:r>
      <w:r>
        <w:rPr>
          <w:noProof/>
        </w:rPr>
        <w:fldChar w:fldCharType="begin"/>
      </w:r>
      <w:r>
        <w:rPr>
          <w:noProof/>
        </w:rPr>
        <w:instrText xml:space="preserve"> PAGEREF _Toc88447828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Division 1 jackpot</w:t>
      </w:r>
      <w:r>
        <w:rPr>
          <w:noProof/>
        </w:rPr>
        <w:tab/>
      </w:r>
      <w:r>
        <w:rPr>
          <w:noProof/>
        </w:rPr>
        <w:fldChar w:fldCharType="begin"/>
      </w:r>
      <w:r>
        <w:rPr>
          <w:noProof/>
        </w:rPr>
        <w:instrText xml:space="preserve"> PAGEREF _Toc88447829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Bonus draws and guaranteed prize pools</w:t>
      </w:r>
      <w:r>
        <w:rPr>
          <w:noProof/>
        </w:rPr>
        <w:tab/>
      </w:r>
      <w:r>
        <w:rPr>
          <w:noProof/>
        </w:rPr>
        <w:fldChar w:fldCharType="begin"/>
      </w:r>
      <w:r>
        <w:rPr>
          <w:noProof/>
        </w:rPr>
        <w:instrText xml:space="preserve"> PAGEREF _Toc88447830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Division 1 prizes</w:t>
      </w:r>
      <w:r>
        <w:rPr>
          <w:noProof/>
        </w:rPr>
        <w:tab/>
      </w:r>
      <w:r>
        <w:rPr>
          <w:noProof/>
        </w:rPr>
        <w:fldChar w:fldCharType="begin"/>
      </w:r>
      <w:r>
        <w:rPr>
          <w:noProof/>
        </w:rPr>
        <w:instrText xml:space="preserve"> PAGEREF _Toc88447831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Division 2 prizes</w:t>
      </w:r>
      <w:r>
        <w:rPr>
          <w:noProof/>
        </w:rPr>
        <w:tab/>
      </w:r>
      <w:r>
        <w:rPr>
          <w:noProof/>
        </w:rPr>
        <w:fldChar w:fldCharType="begin"/>
      </w:r>
      <w:r>
        <w:rPr>
          <w:noProof/>
        </w:rPr>
        <w:instrText xml:space="preserve"> PAGEREF _Toc88447832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Division 3, 4 and 5 prizes</w:t>
      </w:r>
      <w:r>
        <w:rPr>
          <w:noProof/>
        </w:rPr>
        <w:tab/>
      </w:r>
      <w:r>
        <w:rPr>
          <w:noProof/>
        </w:rPr>
        <w:fldChar w:fldCharType="begin"/>
      </w:r>
      <w:r>
        <w:rPr>
          <w:noProof/>
        </w:rPr>
        <w:instrText xml:space="preserve"> PAGEREF _Toc88447833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Commission may require a statutory declaration</w:t>
      </w:r>
      <w:r>
        <w:rPr>
          <w:noProof/>
        </w:rPr>
        <w:tab/>
      </w:r>
      <w:r>
        <w:rPr>
          <w:noProof/>
        </w:rPr>
        <w:fldChar w:fldCharType="begin"/>
      </w:r>
      <w:r>
        <w:rPr>
          <w:noProof/>
        </w:rPr>
        <w:instrText xml:space="preserve"> PAGEREF _Toc88447834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Publication of names and addresses of prize winners</w:t>
      </w:r>
      <w:r>
        <w:rPr>
          <w:noProof/>
        </w:rPr>
        <w:tab/>
      </w:r>
      <w:r>
        <w:rPr>
          <w:noProof/>
        </w:rPr>
        <w:fldChar w:fldCharType="begin"/>
      </w:r>
      <w:r>
        <w:rPr>
          <w:noProof/>
        </w:rPr>
        <w:instrText xml:space="preserve"> PAGEREF _Toc88447835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Player Registration Service</w:t>
      </w:r>
      <w:r>
        <w:rPr>
          <w:noProof/>
        </w:rPr>
        <w:tab/>
      </w:r>
      <w:r>
        <w:rPr>
          <w:noProof/>
        </w:rPr>
        <w:fldChar w:fldCharType="begin"/>
      </w:r>
      <w:r>
        <w:rPr>
          <w:noProof/>
        </w:rPr>
        <w:instrText xml:space="preserve"> PAGEREF _Toc88447836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Instructions</w:t>
      </w:r>
      <w:r>
        <w:rPr>
          <w:noProof/>
        </w:rPr>
        <w:tab/>
      </w:r>
      <w:r>
        <w:rPr>
          <w:noProof/>
        </w:rPr>
        <w:fldChar w:fldCharType="begin"/>
      </w:r>
      <w:r>
        <w:rPr>
          <w:noProof/>
        </w:rPr>
        <w:instrText xml:space="preserve"> PAGEREF _Toc88447838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Rules to be made available</w:t>
      </w:r>
      <w:r>
        <w:rPr>
          <w:noProof/>
        </w:rPr>
        <w:tab/>
      </w:r>
      <w:r>
        <w:rPr>
          <w:noProof/>
        </w:rPr>
        <w:fldChar w:fldCharType="begin"/>
      </w:r>
      <w:r>
        <w:rPr>
          <w:noProof/>
        </w:rPr>
        <w:instrText xml:space="preserve"> PAGEREF _Toc88447839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Decisions of Commission final</w:t>
      </w:r>
      <w:r>
        <w:rPr>
          <w:noProof/>
        </w:rPr>
        <w:tab/>
      </w:r>
      <w:r>
        <w:rPr>
          <w:noProof/>
        </w:rPr>
        <w:fldChar w:fldCharType="begin"/>
      </w:r>
      <w:r>
        <w:rPr>
          <w:noProof/>
        </w:rPr>
        <w:instrText xml:space="preserve"> PAGEREF _Toc88447840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7 — Transitional</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Jackpot on last draw</w:t>
      </w:r>
      <w:r>
        <w:rPr>
          <w:noProof/>
        </w:rPr>
        <w:tab/>
      </w:r>
      <w:r>
        <w:rPr>
          <w:noProof/>
        </w:rPr>
        <w:fldChar w:fldCharType="begin"/>
      </w:r>
      <w:r>
        <w:rPr>
          <w:noProof/>
        </w:rPr>
        <w:instrText xml:space="preserve"> PAGEREF _Toc88447842 \h </w:instrText>
      </w:r>
      <w:r>
        <w:rPr>
          <w:noProof/>
        </w:rPr>
      </w:r>
      <w:r>
        <w:rPr>
          <w:noProof/>
        </w:rPr>
        <w:fldChar w:fldCharType="separate"/>
      </w:r>
      <w:r>
        <w:rPr>
          <w:noProof/>
        </w:rPr>
        <w:t>17</w:t>
      </w:r>
      <w:r>
        <w:rPr>
          <w:noProof/>
        </w:rPr>
        <w:fldChar w:fldCharType="end"/>
      </w:r>
    </w:p>
    <w:p>
      <w:pPr>
        <w:pStyle w:val="TOC5"/>
        <w:rPr>
          <w:b w:val="0"/>
          <w:noProof/>
          <w:sz w:val="24"/>
          <w:szCs w:val="24"/>
        </w:rPr>
      </w:pPr>
      <w:r>
        <w:rPr>
          <w:noProof/>
          <w:szCs w:val="28"/>
        </w:rPr>
        <w:t>Schedule 1 — Summary of parameters within which Super 66 is conducted</w:t>
      </w:r>
      <w:r>
        <w:rPr>
          <w:noProof/>
        </w:rPr>
        <w:tab/>
      </w:r>
      <w:r>
        <w:rPr>
          <w:b w:val="0"/>
          <w:noProof/>
          <w:sz w:val="22"/>
        </w:rPr>
        <w:fldChar w:fldCharType="begin"/>
      </w:r>
      <w:r>
        <w:rPr>
          <w:b w:val="0"/>
          <w:noProof/>
          <w:sz w:val="22"/>
        </w:rPr>
        <w:instrText xml:space="preserve"> PAGEREF _Toc88447843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_Toc88447845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2" w:name="_Toc88360461"/>
      <w:bookmarkStart w:id="3" w:name="_Toc88447809"/>
      <w:r>
        <w:rPr>
          <w:rStyle w:val="CharPartNo"/>
        </w:rPr>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5012074"/>
      <w:bookmarkStart w:id="5" w:name="_Toc5012367"/>
      <w:bookmarkStart w:id="6" w:name="_Toc43182275"/>
      <w:bookmarkStart w:id="7" w:name="_Toc88447810"/>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8" w:name="_Toc5012075"/>
      <w:bookmarkStart w:id="9" w:name="_Toc5012368"/>
      <w:bookmarkStart w:id="10" w:name="_Toc43182276"/>
      <w:bookmarkStart w:id="11" w:name="_Toc88447811"/>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2" w:name="_Toc5012076"/>
      <w:bookmarkStart w:id="13" w:name="_Toc5012369"/>
      <w:bookmarkStart w:id="14" w:name="_Toc43182277"/>
      <w:bookmarkStart w:id="15" w:name="_Toc88447812"/>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w:t>
      </w:r>
    </w:p>
    <w:p>
      <w:pPr>
        <w:pStyle w:val="Heading2"/>
      </w:pPr>
      <w:bookmarkStart w:id="16" w:name="_Toc88360465"/>
      <w:bookmarkStart w:id="17" w:name="_Toc88447813"/>
      <w:r>
        <w:rPr>
          <w:rStyle w:val="CharPartNo"/>
        </w:rPr>
        <w:t>Part 2</w:t>
      </w:r>
      <w:r>
        <w:rPr>
          <w:rStyle w:val="CharDivNo"/>
        </w:rPr>
        <w:t> </w:t>
      </w:r>
      <w:r>
        <w:t>—</w:t>
      </w:r>
      <w:r>
        <w:rPr>
          <w:rStyle w:val="CharDivText"/>
        </w:rPr>
        <w:t> </w:t>
      </w:r>
      <w:r>
        <w:rPr>
          <w:rStyle w:val="CharPartText"/>
        </w:rPr>
        <w:t>Requirements for entry</w:t>
      </w:r>
      <w:bookmarkEnd w:id="16"/>
      <w:bookmarkEnd w:id="17"/>
      <w:r>
        <w:rPr>
          <w:rStyle w:val="CharPartText"/>
        </w:rPr>
        <w:t xml:space="preserve"> </w:t>
      </w:r>
    </w:p>
    <w:p>
      <w:pPr>
        <w:pStyle w:val="Heading5"/>
        <w:rPr>
          <w:snapToGrid w:val="0"/>
        </w:rPr>
      </w:pPr>
      <w:bookmarkStart w:id="18" w:name="_Toc5012077"/>
      <w:bookmarkStart w:id="19" w:name="_Toc5012370"/>
      <w:bookmarkStart w:id="20" w:name="_Toc43182278"/>
      <w:bookmarkStart w:id="21" w:name="_Toc88447814"/>
      <w:r>
        <w:rPr>
          <w:rStyle w:val="CharSectno"/>
        </w:rPr>
        <w:t>4</w:t>
      </w:r>
      <w:r>
        <w:rPr>
          <w:snapToGrid w:val="0"/>
        </w:rPr>
        <w:t>.</w:t>
      </w:r>
      <w:r>
        <w:rPr>
          <w:snapToGrid w:val="0"/>
        </w:rPr>
        <w:tab/>
        <w:t>Entry coupon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Commission must ensure that entry coupons for Saturday lotto, 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w:t>
      </w:r>
    </w:p>
    <w:p>
      <w:pPr>
        <w:pStyle w:val="Heading5"/>
        <w:rPr>
          <w:snapToGrid w:val="0"/>
        </w:rPr>
      </w:pPr>
      <w:bookmarkStart w:id="22" w:name="_Toc5012078"/>
      <w:bookmarkStart w:id="23" w:name="_Toc5012371"/>
      <w:bookmarkStart w:id="24" w:name="_Toc43182279"/>
      <w:bookmarkStart w:id="25" w:name="_Toc88447815"/>
      <w:r>
        <w:rPr>
          <w:rStyle w:val="CharSectno"/>
        </w:rPr>
        <w:t>5</w:t>
      </w:r>
      <w:r>
        <w:rPr>
          <w:snapToGrid w:val="0"/>
        </w:rPr>
        <w:t>.</w:t>
      </w:r>
      <w:r>
        <w:rPr>
          <w:snapToGrid w:val="0"/>
        </w:rPr>
        <w:tab/>
        <w:t>Methods of entry</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entry in super 66. </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marking the appropriate box on an entry coupon for Saturday lotto, 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w:t>
      </w:r>
    </w:p>
    <w:p>
      <w:pPr>
        <w:pStyle w:val="Heading5"/>
        <w:rPr>
          <w:snapToGrid w:val="0"/>
        </w:rPr>
      </w:pPr>
      <w:bookmarkStart w:id="26" w:name="_Toc5012079"/>
      <w:bookmarkStart w:id="27" w:name="_Toc5012372"/>
      <w:bookmarkStart w:id="28" w:name="_Toc43182280"/>
      <w:bookmarkStart w:id="29" w:name="_Toc88447816"/>
      <w:r>
        <w:rPr>
          <w:rStyle w:val="CharSectno"/>
        </w:rPr>
        <w:t>6</w:t>
      </w:r>
      <w:r>
        <w:rPr>
          <w:snapToGrid w:val="0"/>
        </w:rPr>
        <w:t>.</w:t>
      </w:r>
      <w:r>
        <w:rPr>
          <w:snapToGrid w:val="0"/>
        </w:rPr>
        <w:tab/>
        <w:t>Receipted tickets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30" w:name="_Toc5012080"/>
      <w:bookmarkStart w:id="31" w:name="_Toc5012373"/>
      <w:bookmarkStart w:id="32" w:name="_Toc43182281"/>
      <w:bookmarkStart w:id="33" w:name="_Toc88447817"/>
      <w:r>
        <w:rPr>
          <w:rStyle w:val="CharSectno"/>
        </w:rPr>
        <w:t>7</w:t>
      </w:r>
      <w:r>
        <w:rPr>
          <w:snapToGrid w:val="0"/>
        </w:rPr>
        <w:t>.</w:t>
      </w:r>
      <w:r>
        <w:rPr>
          <w:snapToGrid w:val="0"/>
        </w:rPr>
        <w:tab/>
        <w:t>Surrender of receipted ticket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34" w:name="_Toc5012081"/>
      <w:bookmarkStart w:id="35" w:name="_Toc5012374"/>
      <w:bookmarkStart w:id="36" w:name="_Toc43182282"/>
      <w:bookmarkStart w:id="37" w:name="_Toc88447818"/>
      <w:r>
        <w:rPr>
          <w:rStyle w:val="CharSectno"/>
        </w:rPr>
        <w:t>8</w:t>
      </w:r>
      <w:r>
        <w:rPr>
          <w:snapToGrid w:val="0"/>
        </w:rPr>
        <w:t>.</w:t>
      </w:r>
      <w:r>
        <w:rPr>
          <w:snapToGrid w:val="0"/>
        </w:rPr>
        <w:tab/>
        <w:t>Accuracy of receipted ticket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38" w:name="_Toc5012082"/>
      <w:bookmarkStart w:id="39" w:name="_Toc5012375"/>
      <w:bookmarkStart w:id="40" w:name="_Toc43182283"/>
      <w:bookmarkStart w:id="41" w:name="_Toc88447819"/>
      <w:r>
        <w:rPr>
          <w:rStyle w:val="CharSectno"/>
        </w:rPr>
        <w:t>9</w:t>
      </w:r>
      <w:r>
        <w:rPr>
          <w:snapToGrid w:val="0"/>
        </w:rPr>
        <w:t>.</w:t>
      </w:r>
      <w:r>
        <w:rPr>
          <w:snapToGrid w:val="0"/>
        </w:rPr>
        <w:tab/>
        <w:t>Validity of receipted ticket</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is generated from an entry coupon for, or an oral request for entry in, Saturday lotto, powerball or Soccer Pools which does not comply with the Saturday Lotto Rules, the Powerball Rules or the Soccer Pools Rules (as is appropriate to the case).</w:t>
      </w:r>
    </w:p>
    <w:p>
      <w:pPr>
        <w:pStyle w:val="Footnotesection"/>
      </w:pPr>
      <w:r>
        <w:tab/>
        <w:t>[Rule 9 amended in Gazette 9 Mar 2001 p. 1330; 16 Nov 2004 p. 5067.]</w:t>
      </w:r>
    </w:p>
    <w:p>
      <w:pPr>
        <w:pStyle w:val="Heading2"/>
      </w:pPr>
      <w:bookmarkStart w:id="42" w:name="_Toc88360472"/>
      <w:bookmarkStart w:id="43" w:name="_Toc88447820"/>
      <w:r>
        <w:rPr>
          <w:rStyle w:val="CharPartNo"/>
        </w:rPr>
        <w:t>Part 3</w:t>
      </w:r>
      <w:r>
        <w:rPr>
          <w:rStyle w:val="CharDivNo"/>
        </w:rPr>
        <w:t> </w:t>
      </w:r>
      <w:r>
        <w:t>—</w:t>
      </w:r>
      <w:r>
        <w:rPr>
          <w:rStyle w:val="CharDivText"/>
        </w:rPr>
        <w:t> </w:t>
      </w:r>
      <w:r>
        <w:rPr>
          <w:rStyle w:val="CharPartText"/>
        </w:rPr>
        <w:t>General duties of Commission</w:t>
      </w:r>
      <w:bookmarkEnd w:id="42"/>
      <w:bookmarkEnd w:id="43"/>
      <w:r>
        <w:rPr>
          <w:rStyle w:val="CharPartText"/>
        </w:rPr>
        <w:t xml:space="preserve"> </w:t>
      </w:r>
    </w:p>
    <w:p>
      <w:pPr>
        <w:pStyle w:val="Heading5"/>
        <w:rPr>
          <w:snapToGrid w:val="0"/>
        </w:rPr>
      </w:pPr>
      <w:bookmarkStart w:id="44" w:name="_Toc5012083"/>
      <w:bookmarkStart w:id="45" w:name="_Toc5012376"/>
      <w:bookmarkStart w:id="46" w:name="_Toc43182284"/>
      <w:bookmarkStart w:id="47" w:name="_Toc88447821"/>
      <w:r>
        <w:rPr>
          <w:rStyle w:val="CharSectno"/>
        </w:rPr>
        <w:t>10</w:t>
      </w:r>
      <w:r>
        <w:rPr>
          <w:snapToGrid w:val="0"/>
        </w:rPr>
        <w:t>.</w:t>
      </w:r>
      <w:r>
        <w:rPr>
          <w:snapToGrid w:val="0"/>
        </w:rPr>
        <w:tab/>
        <w:t>Super 66 draws to be numbered</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48" w:name="_Toc5012084"/>
      <w:bookmarkStart w:id="49" w:name="_Toc5012377"/>
      <w:bookmarkStart w:id="50" w:name="_Toc43182285"/>
      <w:bookmarkStart w:id="51" w:name="_Toc88447822"/>
      <w:r>
        <w:rPr>
          <w:rStyle w:val="CharSectno"/>
        </w:rPr>
        <w:t>11</w:t>
      </w:r>
      <w:r>
        <w:t>.</w:t>
      </w:r>
      <w:r>
        <w:tab/>
        <w:t>Super 66 draws to be supervised</w:t>
      </w:r>
      <w:bookmarkEnd w:id="48"/>
      <w:bookmarkEnd w:id="49"/>
      <w:bookmarkEnd w:id="50"/>
      <w:bookmarkEnd w:id="51"/>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52" w:name="_Toc5012085"/>
      <w:bookmarkStart w:id="53" w:name="_Toc5012378"/>
      <w:bookmarkStart w:id="54" w:name="_Toc43182286"/>
      <w:bookmarkStart w:id="55" w:name="_Toc88447823"/>
      <w:r>
        <w:rPr>
          <w:rStyle w:val="CharSectno"/>
        </w:rPr>
        <w:t>12</w:t>
      </w:r>
      <w:r>
        <w:rPr>
          <w:snapToGrid w:val="0"/>
        </w:rPr>
        <w:t>.</w:t>
      </w:r>
      <w:r>
        <w:rPr>
          <w:snapToGrid w:val="0"/>
        </w:rPr>
        <w:tab/>
        <w:t>Publication of results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56" w:name="_Toc5012086"/>
      <w:bookmarkStart w:id="57" w:name="_Toc5012379"/>
      <w:bookmarkStart w:id="58" w:name="_Toc43182287"/>
      <w:bookmarkStart w:id="59" w:name="_Toc88447824"/>
      <w:r>
        <w:rPr>
          <w:rStyle w:val="CharSectno"/>
        </w:rPr>
        <w:t>13</w:t>
      </w:r>
      <w:r>
        <w:rPr>
          <w:snapToGrid w:val="0"/>
        </w:rPr>
        <w:t>.</w:t>
      </w:r>
      <w:r>
        <w:rPr>
          <w:snapToGrid w:val="0"/>
        </w:rPr>
        <w:tab/>
        <w:t>Super 66 prize pool and prize reserve fund</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The contribution under subrule (1) is to be divided so that — </w:t>
      </w:r>
    </w:p>
    <w:p>
      <w:pPr>
        <w:pStyle w:val="Indenta"/>
        <w:rPr>
          <w:snapToGrid w:val="0"/>
        </w:rPr>
      </w:pPr>
      <w:r>
        <w:rPr>
          <w:snapToGrid w:val="0"/>
        </w:rPr>
        <w:tab/>
        <w:t>(a)</w:t>
      </w:r>
      <w:r>
        <w:rPr>
          <w:snapToGrid w:val="0"/>
        </w:rPr>
        <w:tab/>
        <w:t>56.5% of the Commission’s subscriptions go to the Australian Lotto Bloc super 66 prize pool; and</w:t>
      </w:r>
    </w:p>
    <w:p>
      <w:pPr>
        <w:pStyle w:val="Indenta"/>
        <w:rPr>
          <w:snapToGrid w:val="0"/>
        </w:rPr>
      </w:pPr>
      <w:r>
        <w:rPr>
          <w:snapToGrid w:val="0"/>
        </w:rPr>
        <w:tab/>
        <w:t>(b)</w:t>
      </w:r>
      <w:r>
        <w:rPr>
          <w:snapToGrid w:val="0"/>
        </w:rPr>
        <w:tab/>
        <w:t>the remaining 3.5% of the Commission’s subscriptions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Heading2"/>
      </w:pPr>
      <w:bookmarkStart w:id="60" w:name="_Toc88360477"/>
      <w:bookmarkStart w:id="61" w:name="_Toc88447825"/>
      <w:r>
        <w:rPr>
          <w:rStyle w:val="CharPartNo"/>
        </w:rPr>
        <w:t>Part 4</w:t>
      </w:r>
      <w:r>
        <w:rPr>
          <w:rStyle w:val="CharDivNo"/>
        </w:rPr>
        <w:t> </w:t>
      </w:r>
      <w:r>
        <w:t>—</w:t>
      </w:r>
      <w:r>
        <w:rPr>
          <w:rStyle w:val="CharDivText"/>
        </w:rPr>
        <w:t> </w:t>
      </w:r>
      <w:r>
        <w:rPr>
          <w:rStyle w:val="CharPartText"/>
        </w:rPr>
        <w:t>Super 66 draw</w:t>
      </w:r>
      <w:bookmarkEnd w:id="60"/>
      <w:bookmarkEnd w:id="61"/>
      <w:r>
        <w:rPr>
          <w:rStyle w:val="CharPartText"/>
        </w:rPr>
        <w:t xml:space="preserve"> </w:t>
      </w:r>
    </w:p>
    <w:p>
      <w:pPr>
        <w:pStyle w:val="Heading5"/>
        <w:rPr>
          <w:snapToGrid w:val="0"/>
        </w:rPr>
      </w:pPr>
      <w:bookmarkStart w:id="62" w:name="_Toc5012087"/>
      <w:bookmarkStart w:id="63" w:name="_Toc5012380"/>
      <w:bookmarkStart w:id="64" w:name="_Toc43182288"/>
      <w:bookmarkStart w:id="65" w:name="_Toc88447826"/>
      <w:r>
        <w:rPr>
          <w:rStyle w:val="CharSectno"/>
        </w:rPr>
        <w:t>14</w:t>
      </w:r>
      <w:r>
        <w:rPr>
          <w:snapToGrid w:val="0"/>
        </w:rPr>
        <w:t>.</w:t>
      </w:r>
      <w:r>
        <w:rPr>
          <w:snapToGrid w:val="0"/>
        </w:rPr>
        <w:tab/>
        <w:t>Super 66 draw</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66" w:name="_Toc5012088"/>
      <w:bookmarkStart w:id="67" w:name="_Toc5012381"/>
      <w:bookmarkStart w:id="68" w:name="_Toc43182289"/>
      <w:bookmarkStart w:id="69" w:name="_Toc88447827"/>
      <w:r>
        <w:rPr>
          <w:rStyle w:val="CharSectno"/>
        </w:rPr>
        <w:t>15</w:t>
      </w:r>
      <w:r>
        <w:rPr>
          <w:snapToGrid w:val="0"/>
        </w:rPr>
        <w:t>.</w:t>
      </w:r>
      <w:r>
        <w:rPr>
          <w:snapToGrid w:val="0"/>
        </w:rPr>
        <w:tab/>
        <w:t>Criteria for super 66 prizes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70" w:name="_Toc5012089"/>
      <w:bookmarkStart w:id="71" w:name="_Toc5012382"/>
      <w:bookmarkStart w:id="72" w:name="_Toc43182290"/>
      <w:bookmarkStart w:id="73" w:name="_Toc88447828"/>
      <w:r>
        <w:rPr>
          <w:rStyle w:val="CharSectno"/>
        </w:rPr>
        <w:t>16</w:t>
      </w:r>
      <w:r>
        <w:rPr>
          <w:snapToGrid w:val="0"/>
        </w:rPr>
        <w:t>.</w:t>
      </w:r>
      <w:r>
        <w:rPr>
          <w:snapToGrid w:val="0"/>
        </w:rPr>
        <w:tab/>
        <w:t>Distribution of prize pool</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74" w:name="_Toc5012090"/>
      <w:bookmarkStart w:id="75" w:name="_Toc5012383"/>
      <w:bookmarkStart w:id="76" w:name="_Toc43182291"/>
      <w:bookmarkStart w:id="77" w:name="_Toc88447829"/>
      <w:r>
        <w:rPr>
          <w:rStyle w:val="CharSectno"/>
        </w:rPr>
        <w:t>17</w:t>
      </w:r>
      <w:r>
        <w:rPr>
          <w:snapToGrid w:val="0"/>
        </w:rPr>
        <w:t>.</w:t>
      </w:r>
      <w:r>
        <w:rPr>
          <w:snapToGrid w:val="0"/>
        </w:rPr>
        <w:tab/>
        <w:t>Division 1 jackpot</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78" w:name="_Toc5012091"/>
      <w:bookmarkStart w:id="79" w:name="_Toc5012384"/>
      <w:bookmarkStart w:id="80" w:name="_Toc43182292"/>
      <w:bookmarkStart w:id="81" w:name="_Toc88447830"/>
      <w:r>
        <w:rPr>
          <w:rStyle w:val="CharSectno"/>
        </w:rPr>
        <w:t>18</w:t>
      </w:r>
      <w:r>
        <w:rPr>
          <w:snapToGrid w:val="0"/>
        </w:rPr>
        <w:t>.</w:t>
      </w:r>
      <w:r>
        <w:rPr>
          <w:snapToGrid w:val="0"/>
        </w:rPr>
        <w:tab/>
        <w:t>Bonus draws and guaranteed prize pools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82" w:name="_Toc5012092"/>
      <w:bookmarkStart w:id="83" w:name="_Toc5012385"/>
      <w:bookmarkStart w:id="84" w:name="_Toc43182293"/>
      <w:bookmarkStart w:id="85" w:name="_Toc88447831"/>
      <w:r>
        <w:rPr>
          <w:rStyle w:val="CharSectno"/>
        </w:rPr>
        <w:t>19</w:t>
      </w:r>
      <w:r>
        <w:rPr>
          <w:snapToGrid w:val="0"/>
        </w:rPr>
        <w:t>.</w:t>
      </w:r>
      <w:r>
        <w:rPr>
          <w:snapToGrid w:val="0"/>
        </w:rPr>
        <w:tab/>
        <w:t>Division 1 prizes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86" w:name="_Toc5012093"/>
      <w:bookmarkStart w:id="87" w:name="_Toc5012386"/>
      <w:bookmarkStart w:id="88" w:name="_Toc43182294"/>
      <w:bookmarkStart w:id="89" w:name="_Toc88447832"/>
      <w:r>
        <w:rPr>
          <w:rStyle w:val="CharSectno"/>
        </w:rPr>
        <w:t>20</w:t>
      </w:r>
      <w:r>
        <w:rPr>
          <w:snapToGrid w:val="0"/>
        </w:rPr>
        <w:t>.</w:t>
      </w:r>
      <w:r>
        <w:rPr>
          <w:snapToGrid w:val="0"/>
        </w:rPr>
        <w:tab/>
        <w:t>Division 2 prizes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90" w:name="_Toc5012094"/>
      <w:bookmarkStart w:id="91" w:name="_Toc5012387"/>
      <w:bookmarkStart w:id="92" w:name="_Toc43182295"/>
      <w:bookmarkStart w:id="93" w:name="_Toc88447833"/>
      <w:r>
        <w:rPr>
          <w:rStyle w:val="CharSectno"/>
        </w:rPr>
        <w:t>21</w:t>
      </w:r>
      <w:r>
        <w:rPr>
          <w:snapToGrid w:val="0"/>
        </w:rPr>
        <w:t>.</w:t>
      </w:r>
      <w:r>
        <w:rPr>
          <w:snapToGrid w:val="0"/>
        </w:rPr>
        <w:tab/>
        <w:t>Division 3, 4 and 5 prizes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94" w:name="_Toc5012095"/>
      <w:bookmarkStart w:id="95" w:name="_Toc5012388"/>
      <w:bookmarkStart w:id="96" w:name="_Toc43182296"/>
      <w:bookmarkStart w:id="97" w:name="_Toc88447834"/>
      <w:r>
        <w:rPr>
          <w:rStyle w:val="CharSectno"/>
        </w:rPr>
        <w:t>22</w:t>
      </w:r>
      <w:r>
        <w:rPr>
          <w:snapToGrid w:val="0"/>
        </w:rPr>
        <w:t>.</w:t>
      </w:r>
      <w:r>
        <w:rPr>
          <w:snapToGrid w:val="0"/>
        </w:rPr>
        <w:tab/>
        <w:t>Commission may require a statutory declaration</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w:t>
      </w:r>
    </w:p>
    <w:p>
      <w:pPr>
        <w:pStyle w:val="Heading5"/>
        <w:rPr>
          <w:snapToGrid w:val="0"/>
        </w:rPr>
      </w:pPr>
      <w:bookmarkStart w:id="98" w:name="_Toc5012096"/>
      <w:bookmarkStart w:id="99" w:name="_Toc5012389"/>
      <w:bookmarkStart w:id="100" w:name="_Toc43182297"/>
      <w:bookmarkStart w:id="101" w:name="_Toc88447835"/>
      <w:r>
        <w:rPr>
          <w:rStyle w:val="CharSectno"/>
        </w:rPr>
        <w:t>23</w:t>
      </w:r>
      <w:r>
        <w:rPr>
          <w:snapToGrid w:val="0"/>
        </w:rPr>
        <w:t>.</w:t>
      </w:r>
      <w:r>
        <w:rPr>
          <w:snapToGrid w:val="0"/>
        </w:rPr>
        <w:tab/>
        <w:t>Publication of names and addresses of prize winners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02" w:name="_Toc5012097"/>
      <w:bookmarkStart w:id="103" w:name="_Toc5012390"/>
      <w:bookmarkStart w:id="104" w:name="_Toc43182298"/>
      <w:bookmarkStart w:id="105" w:name="_Toc88447836"/>
      <w:r>
        <w:rPr>
          <w:rStyle w:val="CharSectno"/>
        </w:rPr>
        <w:t>24</w:t>
      </w:r>
      <w:r>
        <w:rPr>
          <w:snapToGrid w:val="0"/>
        </w:rPr>
        <w:t>.</w:t>
      </w:r>
      <w:r>
        <w:rPr>
          <w:snapToGrid w:val="0"/>
        </w:rPr>
        <w:tab/>
        <w:t>Player Registration Service</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w:t>
      </w:r>
    </w:p>
    <w:p>
      <w:pPr>
        <w:pStyle w:val="Heading2"/>
      </w:pPr>
      <w:bookmarkStart w:id="106" w:name="_Toc88360489"/>
      <w:bookmarkStart w:id="107" w:name="_Toc88447837"/>
      <w:r>
        <w:rPr>
          <w:rStyle w:val="CharPartNo"/>
        </w:rPr>
        <w:t>Part 5</w:t>
      </w:r>
      <w:r>
        <w:rPr>
          <w:rStyle w:val="CharDivNo"/>
        </w:rPr>
        <w:t> </w:t>
      </w:r>
      <w:r>
        <w:t>—</w:t>
      </w:r>
      <w:r>
        <w:rPr>
          <w:rStyle w:val="CharDivText"/>
        </w:rPr>
        <w:t> </w:t>
      </w:r>
      <w:r>
        <w:rPr>
          <w:rStyle w:val="CharPartText"/>
        </w:rPr>
        <w:t>Miscellaneous</w:t>
      </w:r>
      <w:bookmarkEnd w:id="106"/>
      <w:bookmarkEnd w:id="107"/>
      <w:r>
        <w:rPr>
          <w:rStyle w:val="CharPartText"/>
        </w:rPr>
        <w:t xml:space="preserve"> </w:t>
      </w:r>
    </w:p>
    <w:p>
      <w:pPr>
        <w:pStyle w:val="Heading5"/>
        <w:rPr>
          <w:snapToGrid w:val="0"/>
        </w:rPr>
      </w:pPr>
      <w:bookmarkStart w:id="108" w:name="_Toc5012098"/>
      <w:bookmarkStart w:id="109" w:name="_Toc5012391"/>
      <w:bookmarkStart w:id="110" w:name="_Toc43182299"/>
      <w:bookmarkStart w:id="111" w:name="_Toc88447838"/>
      <w:r>
        <w:rPr>
          <w:rStyle w:val="CharSectno"/>
        </w:rPr>
        <w:t>25</w:t>
      </w:r>
      <w:r>
        <w:rPr>
          <w:snapToGrid w:val="0"/>
        </w:rPr>
        <w:t>.</w:t>
      </w:r>
      <w:r>
        <w:rPr>
          <w:snapToGrid w:val="0"/>
        </w:rPr>
        <w:tab/>
        <w:t>Instructions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12" w:name="_Toc5012099"/>
      <w:bookmarkStart w:id="113" w:name="_Toc5012392"/>
      <w:bookmarkStart w:id="114" w:name="_Toc43182300"/>
      <w:bookmarkStart w:id="115" w:name="_Toc88447839"/>
      <w:r>
        <w:rPr>
          <w:rStyle w:val="CharSectno"/>
        </w:rPr>
        <w:t>26</w:t>
      </w:r>
      <w:r>
        <w:rPr>
          <w:snapToGrid w:val="0"/>
        </w:rPr>
        <w:t>.</w:t>
      </w:r>
      <w:r>
        <w:rPr>
          <w:snapToGrid w:val="0"/>
        </w:rPr>
        <w:tab/>
        <w:t>Rules to be made available</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16" w:name="_Toc5012100"/>
      <w:bookmarkStart w:id="117" w:name="_Toc5012393"/>
      <w:bookmarkStart w:id="118" w:name="_Toc43182301"/>
      <w:bookmarkStart w:id="119" w:name="_Toc88447840"/>
      <w:r>
        <w:rPr>
          <w:rStyle w:val="CharSectno"/>
        </w:rPr>
        <w:t>27</w:t>
      </w:r>
      <w:r>
        <w:rPr>
          <w:snapToGrid w:val="0"/>
        </w:rPr>
        <w:t>.</w:t>
      </w:r>
      <w:r>
        <w:rPr>
          <w:snapToGrid w:val="0"/>
        </w:rPr>
        <w:tab/>
        <w:t>Decisions of Commission final</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120" w:name="_Toc88360493"/>
      <w:bookmarkStart w:id="121" w:name="_Toc88447841"/>
      <w:r>
        <w:rPr>
          <w:rStyle w:val="CharPartNo"/>
        </w:rPr>
        <w:t>Part 7</w:t>
      </w:r>
      <w:r>
        <w:rPr>
          <w:rStyle w:val="CharDivNo"/>
        </w:rPr>
        <w:t> </w:t>
      </w:r>
      <w:r>
        <w:t>—</w:t>
      </w:r>
      <w:r>
        <w:rPr>
          <w:rStyle w:val="CharDivText"/>
        </w:rPr>
        <w:t> </w:t>
      </w:r>
      <w:r>
        <w:rPr>
          <w:rStyle w:val="CharPartText"/>
        </w:rPr>
        <w:t>Transitional</w:t>
      </w:r>
      <w:bookmarkEnd w:id="120"/>
      <w:bookmarkEnd w:id="121"/>
      <w:r>
        <w:rPr>
          <w:rStyle w:val="CharPartText"/>
        </w:rPr>
        <w:t xml:space="preserve"> </w:t>
      </w:r>
    </w:p>
    <w:p>
      <w:pPr>
        <w:pStyle w:val="Heading5"/>
        <w:rPr>
          <w:snapToGrid w:val="0"/>
        </w:rPr>
      </w:pPr>
      <w:bookmarkStart w:id="122" w:name="_Toc5012103"/>
      <w:bookmarkStart w:id="123" w:name="_Toc5012396"/>
      <w:bookmarkStart w:id="124" w:name="_Toc43182304"/>
      <w:bookmarkStart w:id="125" w:name="_Toc88447842"/>
      <w:r>
        <w:rPr>
          <w:rStyle w:val="CharSectno"/>
        </w:rPr>
        <w:t>30</w:t>
      </w:r>
      <w:r>
        <w:rPr>
          <w:snapToGrid w:val="0"/>
        </w:rPr>
        <w:t>.</w:t>
      </w:r>
      <w:r>
        <w:rPr>
          <w:snapToGrid w:val="0"/>
        </w:rPr>
        <w:tab/>
        <w:t>Jackpot on last draw</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6" w:name="_Toc5012397"/>
      <w:bookmarkStart w:id="127" w:name="_Toc43182305"/>
      <w:bookmarkStart w:id="128" w:name="_Toc88447843"/>
      <w:r>
        <w:rPr>
          <w:rStyle w:val="CharSchNo"/>
        </w:rPr>
        <w:t>Schedule 1</w:t>
      </w:r>
      <w:r>
        <w:t> — </w:t>
      </w:r>
      <w:r>
        <w:rPr>
          <w:rStyle w:val="CharSchText"/>
        </w:rPr>
        <w:t>Summary of parameters within which Super 66 is conducted</w:t>
      </w:r>
      <w:bookmarkEnd w:id="126"/>
      <w:bookmarkEnd w:id="127"/>
      <w:bookmarkEnd w:id="128"/>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
              <w:spacing w:before="0"/>
            </w:pPr>
            <w:r>
              <w:t>Unit cost</w:t>
            </w:r>
          </w:p>
        </w:tc>
        <w:tc>
          <w:tcPr>
            <w:tcW w:w="2835" w:type="dxa"/>
          </w:tcPr>
          <w:p>
            <w:pPr>
              <w:pStyle w:val="yTable"/>
              <w:tabs>
                <w:tab w:val="right" w:pos="2835"/>
              </w:tabs>
              <w:spacing w:before="0"/>
            </w:pPr>
            <w:r>
              <w:tab/>
              <w:t>$1.00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fund — % of subscriptions</w:t>
            </w:r>
          </w:p>
        </w:tc>
        <w:tc>
          <w:tcPr>
            <w:tcW w:w="2835" w:type="dxa"/>
          </w:tcPr>
          <w:p>
            <w:pPr>
              <w:pStyle w:val="yTable"/>
              <w:tabs>
                <w:tab w:val="right" w:pos="2835"/>
              </w:tabs>
              <w:spacing w:before="0"/>
            </w:pPr>
            <w:r>
              <w:tab/>
              <w:t>60.0%</w:t>
            </w:r>
          </w:p>
        </w:tc>
      </w:tr>
      <w:tr>
        <w:tc>
          <w:tcPr>
            <w:tcW w:w="4253" w:type="dxa"/>
          </w:tcPr>
          <w:p>
            <w:pPr>
              <w:pStyle w:val="yTable"/>
              <w:spacing w:before="0"/>
            </w:pPr>
            <w:r>
              <w:t>Prize pool — % of subscriptions</w:t>
            </w:r>
          </w:p>
        </w:tc>
        <w:tc>
          <w:tcPr>
            <w:tcW w:w="2835" w:type="dxa"/>
          </w:tcPr>
          <w:p>
            <w:pPr>
              <w:pStyle w:val="yTable"/>
              <w:tabs>
                <w:tab w:val="right" w:pos="2835"/>
              </w:tabs>
              <w:spacing w:before="0"/>
            </w:pPr>
            <w:r>
              <w:tab/>
              <w:t>56.5%</w:t>
            </w:r>
          </w:p>
        </w:tc>
      </w:tr>
      <w:tr>
        <w:tc>
          <w:tcPr>
            <w:tcW w:w="4253" w:type="dxa"/>
          </w:tcPr>
          <w:p>
            <w:pPr>
              <w:pStyle w:val="yTable"/>
              <w:spacing w:before="0"/>
            </w:pPr>
            <w:r>
              <w:t>Prize reserve fund — % of subscriptions</w:t>
            </w:r>
          </w:p>
        </w:tc>
        <w:tc>
          <w:tcPr>
            <w:tcW w:w="2835" w:type="dxa"/>
          </w:tcPr>
          <w:p>
            <w:pPr>
              <w:pStyle w:val="yTable"/>
              <w:tabs>
                <w:tab w:val="right" w:pos="2835"/>
              </w:tabs>
              <w:spacing w:before="0"/>
            </w:pPr>
            <w:r>
              <w:tab/>
              <w:t>3.5%</w:t>
            </w:r>
          </w:p>
        </w:tc>
      </w:tr>
      <w:tr>
        <w:tc>
          <w:tcPr>
            <w:tcW w:w="4253" w:type="dxa"/>
          </w:tcPr>
          <w:p>
            <w:pPr>
              <w:pStyle w:val="yTable"/>
              <w:spacing w:before="0" w:after="60"/>
            </w:pPr>
          </w:p>
        </w:tc>
        <w:tc>
          <w:tcPr>
            <w:tcW w:w="2835" w:type="dxa"/>
          </w:tcPr>
          <w:p>
            <w:pPr>
              <w:pStyle w:val="yTable"/>
              <w:tabs>
                <w:tab w:val="right" w:pos="2835"/>
              </w:tabs>
              <w:spacing w:before="0"/>
            </w:pPr>
          </w:p>
        </w:tc>
      </w:tr>
      <w:tr>
        <w:tc>
          <w:tcPr>
            <w:tcW w:w="4253" w:type="dxa"/>
          </w:tcPr>
          <w:p>
            <w:pPr>
              <w:pStyle w:val="yTable"/>
              <w:spacing w:before="0" w:after="60"/>
            </w:pPr>
            <w:r>
              <w:t>Number of divisions</w:t>
            </w:r>
          </w:p>
        </w:tc>
        <w:tc>
          <w:tcPr>
            <w:tcW w:w="2835" w:type="dxa"/>
          </w:tcPr>
          <w:p>
            <w:pPr>
              <w:pStyle w:val="yTable"/>
              <w:tabs>
                <w:tab w:val="right" w:pos="2835"/>
              </w:tabs>
              <w:spacing w:before="0"/>
            </w:pPr>
            <w:r>
              <w:tab/>
              <w:t>5</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2835"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2835"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2835"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2835"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2835" w:type="dxa"/>
          </w:tcPr>
          <w:p>
            <w:pPr>
              <w:pStyle w:val="yTable"/>
              <w:tabs>
                <w:tab w:val="right" w:pos="2835"/>
              </w:tabs>
              <w:spacing w:before="0"/>
            </w:pPr>
            <w:r>
              <w:tab/>
              <w:t>$6.60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Winning digits drawn</w:t>
            </w:r>
          </w:p>
        </w:tc>
        <w:tc>
          <w:tcPr>
            <w:tcW w:w="2835" w:type="dxa"/>
          </w:tcPr>
          <w:p>
            <w:pPr>
              <w:pStyle w:val="yTable"/>
              <w:tabs>
                <w:tab w:val="right" w:pos="2835"/>
              </w:tabs>
              <w:spacing w:before="0"/>
            </w:pPr>
            <w:r>
              <w:tab/>
              <w:t>6</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Forecast range </w:t>
            </w:r>
          </w:p>
        </w:tc>
        <w:tc>
          <w:tcPr>
            <w:tcW w:w="2835"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2835" w:type="dxa"/>
          </w:tcPr>
          <w:p>
            <w:pPr>
              <w:pStyle w:val="yTable"/>
              <w:tabs>
                <w:tab w:val="right" w:pos="2835"/>
              </w:tabs>
              <w:spacing w:before="0"/>
            </w:pPr>
            <w:r>
              <w:tab/>
              <w:t>2, 5 or 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Advance sales (maximum)</w:t>
            </w:r>
          </w:p>
        </w:tc>
        <w:tc>
          <w:tcPr>
            <w:tcW w:w="2835" w:type="dxa"/>
          </w:tcPr>
          <w:p>
            <w:pPr>
              <w:pStyle w:val="yTable"/>
              <w:tabs>
                <w:tab w:val="right" w:pos="2835"/>
              </w:tabs>
              <w:spacing w:before="0"/>
            </w:pPr>
            <w:r>
              <w:tab/>
              <w:t>10 weeks</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 xml:space="preserve">Games per entry </w:t>
            </w:r>
          </w:p>
        </w:tc>
        <w:tc>
          <w:tcPr>
            <w:tcW w:w="2835" w:type="dxa"/>
          </w:tcPr>
          <w:p>
            <w:pPr>
              <w:pStyle w:val="yTable"/>
              <w:tabs>
                <w:tab w:val="right" w:pos="2835"/>
              </w:tabs>
              <w:spacing w:before="0"/>
            </w:pPr>
            <w:r>
              <w:tab/>
              <w:t>1, 2, 4, 8 or 10</w:t>
            </w:r>
          </w:p>
        </w:tc>
      </w:tr>
      <w:tr>
        <w:tc>
          <w:tcPr>
            <w:tcW w:w="4253" w:type="dxa"/>
          </w:tcPr>
          <w:p>
            <w:pPr>
              <w:pStyle w:val="yTable"/>
              <w:spacing w:before="0"/>
            </w:pPr>
          </w:p>
        </w:tc>
        <w:tc>
          <w:tcPr>
            <w:tcW w:w="2835" w:type="dxa"/>
          </w:tcPr>
          <w:p>
            <w:pPr>
              <w:pStyle w:val="yTable"/>
              <w:tabs>
                <w:tab w:val="right" w:pos="2835"/>
              </w:tabs>
              <w:spacing w:before="0"/>
            </w:pPr>
          </w:p>
        </w:tc>
      </w:tr>
      <w:tr>
        <w:tc>
          <w:tcPr>
            <w:tcW w:w="4253" w:type="dxa"/>
          </w:tcPr>
          <w:p>
            <w:pPr>
              <w:pStyle w:val="yTable"/>
              <w:spacing w:before="0"/>
            </w:pPr>
            <w:r>
              <w:t>Prize payout period</w:t>
            </w:r>
          </w:p>
        </w:tc>
        <w:tc>
          <w:tcPr>
            <w:tcW w:w="2835" w:type="dxa"/>
          </w:tcPr>
          <w:p>
            <w:pPr>
              <w:pStyle w:val="yTable"/>
              <w:tabs>
                <w:tab w:val="right" w:pos="2835"/>
              </w:tabs>
              <w:spacing w:before="0"/>
            </w:pPr>
            <w:r>
              <w:tab/>
              <w:t>12 months</w:t>
            </w:r>
          </w:p>
        </w:tc>
      </w:tr>
    </w:tbl>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9" w:name="_Toc88360496"/>
      <w:bookmarkStart w:id="130" w:name="_Toc88447844"/>
      <w:r>
        <w:t>Notes</w:t>
      </w:r>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131" w:name="_Toc43182306"/>
      <w:bookmarkStart w:id="132" w:name="_Toc88447845"/>
      <w: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Borders>
              <w:bottom w:val="single" w:sz="4" w:space="0" w:color="auto"/>
            </w:tcBorders>
          </w:tcPr>
          <w:p>
            <w:pPr>
              <w:pStyle w:val="nTable"/>
              <w:spacing w:after="60"/>
              <w:rPr>
                <w:i/>
                <w:sz w:val="19"/>
              </w:rPr>
            </w:pPr>
            <w:r>
              <w:rPr>
                <w:i/>
                <w:sz w:val="19"/>
              </w:rPr>
              <w:t>Lotteries Commission (Super 66) Amendment Rules 2004</w:t>
            </w:r>
          </w:p>
        </w:tc>
        <w:tc>
          <w:tcPr>
            <w:tcW w:w="1276" w:type="dxa"/>
            <w:tcBorders>
              <w:bottom w:val="single" w:sz="4" w:space="0" w:color="auto"/>
            </w:tcBorders>
          </w:tcPr>
          <w:p>
            <w:pPr>
              <w:pStyle w:val="nTable"/>
              <w:rPr>
                <w:sz w:val="19"/>
              </w:rPr>
            </w:pPr>
            <w:r>
              <w:rPr>
                <w:sz w:val="19"/>
              </w:rPr>
              <w:t>16 Nov 2004 p. 5066-7</w:t>
            </w:r>
          </w:p>
        </w:tc>
        <w:tc>
          <w:tcPr>
            <w:tcW w:w="2693" w:type="dxa"/>
            <w:tcBorders>
              <w:bottom w:val="single" w:sz="4" w:space="0" w:color="auto"/>
            </w:tcBorders>
          </w:tcPr>
          <w:p>
            <w:pPr>
              <w:pStyle w:val="nTable"/>
              <w:rPr>
                <w:sz w:val="19"/>
              </w:rPr>
            </w:pPr>
            <w:r>
              <w:rPr>
                <w:sz w:val="19"/>
              </w:rPr>
              <w:t>16 Nov 2004 (see r. 2)</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Summary of parameters within which Super 66 is conducted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(Super 66)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6"/>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13"/>
    <w:docVar w:name="WAFER_20151208095913" w:val="RemoveTrackChanges"/>
    <w:docVar w:name="WAFER_20151208095913_GUID" w:val="7d9b6e2d-ee71-4d07-9a9a-f7e6a15896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4489</Words>
  <Characters>20292</Characters>
  <Application>Microsoft Office Word</Application>
  <DocSecurity>0</DocSecurity>
  <Lines>634</Lines>
  <Paragraphs>406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1996 - 01-b0-03</dc:title>
  <dc:subject/>
  <dc:creator/>
  <cp:keywords/>
  <dc:description/>
  <cp:lastModifiedBy>svcMRProcess</cp:lastModifiedBy>
  <cp:revision>4</cp:revision>
  <cp:lastPrinted>2003-06-27T07:03:00Z</cp:lastPrinted>
  <dcterms:created xsi:type="dcterms:W3CDTF">2015-12-10T08:31:00Z</dcterms:created>
  <dcterms:modified xsi:type="dcterms:W3CDTF">2015-12-10T08:31:00Z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20041116</vt:lpwstr>
  </property>
  <property fmtid="{D5CDD505-2E9C-101B-9397-08002B2CF9AE}" pid="4" name="DocumentType">
    <vt:lpwstr>Reg</vt:lpwstr>
  </property>
  <property fmtid="{D5CDD505-2E9C-101B-9397-08002B2CF9AE}" pid="5" name="OwlsUID">
    <vt:i4>4609</vt:i4>
  </property>
  <property fmtid="{D5CDD505-2E9C-101B-9397-08002B2CF9AE}" pid="6" name="AsAtDate">
    <vt:lpwstr>16 Nov 2004</vt:lpwstr>
  </property>
  <property fmtid="{D5CDD505-2E9C-101B-9397-08002B2CF9AE}" pid="7" name="Suffix">
    <vt:lpwstr>01-b0-03</vt:lpwstr>
  </property>
</Properties>
</file>