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_Toc102451445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_Toc102451446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Terms used in these regulations</w:t>
      </w:r>
      <w:r>
        <w:rPr>
          <w:noProof/>
        </w:rPr>
        <w:tab/>
      </w:r>
      <w:r>
        <w:rPr>
          <w:noProof/>
        </w:rPr>
        <w:fldChar w:fldCharType="begin"/>
      </w:r>
      <w:r>
        <w:rPr>
          <w:noProof/>
        </w:rPr>
        <w:instrText xml:space="preserve"> PAGEREF _Toc102451447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napToGrid w:val="0"/>
          <w:szCs w:val="24"/>
        </w:rPr>
        <w:t>Fees to be charged</w:t>
      </w:r>
      <w:r>
        <w:rPr>
          <w:noProof/>
        </w:rPr>
        <w:tab/>
      </w:r>
      <w:r>
        <w:rPr>
          <w:noProof/>
        </w:rPr>
        <w:fldChar w:fldCharType="begin"/>
      </w:r>
      <w:r>
        <w:rPr>
          <w:noProof/>
        </w:rPr>
        <w:instrText xml:space="preserve"> PAGEREF _Toc102451448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z w:val="24"/>
          <w:szCs w:val="24"/>
        </w:rPr>
        <w:tab/>
      </w:r>
      <w:r>
        <w:rPr>
          <w:noProof/>
          <w:snapToGrid w:val="0"/>
          <w:szCs w:val="24"/>
        </w:rPr>
        <w:t>Exemptions</w:t>
      </w:r>
      <w:r>
        <w:rPr>
          <w:noProof/>
        </w:rPr>
        <w:tab/>
      </w:r>
      <w:r>
        <w:rPr>
          <w:noProof/>
        </w:rPr>
        <w:fldChar w:fldCharType="begin"/>
      </w:r>
      <w:r>
        <w:rPr>
          <w:noProof/>
        </w:rPr>
        <w:instrText xml:space="preserve"> PAGEREF _Toc102451449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z w:val="24"/>
          <w:szCs w:val="24"/>
        </w:rPr>
        <w:tab/>
      </w:r>
      <w:r>
        <w:rPr>
          <w:noProof/>
          <w:szCs w:val="24"/>
        </w:rPr>
        <w:t>Fees subject to conditions or waiver</w:t>
      </w:r>
      <w:r>
        <w:rPr>
          <w:noProof/>
        </w:rPr>
        <w:tab/>
      </w:r>
      <w:r>
        <w:rPr>
          <w:noProof/>
        </w:rPr>
        <w:fldChar w:fldCharType="begin"/>
      </w:r>
      <w:r>
        <w:rPr>
          <w:noProof/>
        </w:rPr>
        <w:instrText xml:space="preserve"> PAGEREF _Toc102451450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z w:val="24"/>
          <w:szCs w:val="24"/>
        </w:rPr>
        <w:tab/>
      </w:r>
      <w:r>
        <w:rPr>
          <w:noProof/>
          <w:szCs w:val="24"/>
        </w:rPr>
        <w:t>F</w:t>
      </w:r>
      <w:r>
        <w:rPr>
          <w:noProof/>
          <w:snapToGrid w:val="0"/>
          <w:szCs w:val="24"/>
        </w:rPr>
        <w:t>ees to be paid before documents etc. filed</w:t>
      </w:r>
      <w:r>
        <w:rPr>
          <w:noProof/>
        </w:rPr>
        <w:tab/>
      </w:r>
      <w:r>
        <w:rPr>
          <w:noProof/>
        </w:rPr>
        <w:fldChar w:fldCharType="begin"/>
      </w:r>
      <w:r>
        <w:rPr>
          <w:noProof/>
        </w:rPr>
        <w:instrText xml:space="preserve"> PAGEREF _Toc102451451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z w:val="24"/>
          <w:szCs w:val="24"/>
        </w:rPr>
        <w:tab/>
      </w:r>
      <w:r>
        <w:rPr>
          <w:noProof/>
          <w:snapToGrid w:val="0"/>
          <w:szCs w:val="24"/>
        </w:rPr>
        <w:t>Court or registrar may remit fees</w:t>
      </w:r>
      <w:r>
        <w:rPr>
          <w:noProof/>
        </w:rPr>
        <w:tab/>
      </w:r>
      <w:r>
        <w:rPr>
          <w:noProof/>
        </w:rPr>
        <w:fldChar w:fldCharType="begin"/>
      </w:r>
      <w:r>
        <w:rPr>
          <w:noProof/>
        </w:rPr>
        <w:instrText xml:space="preserve"> PAGEREF _Toc102451452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z w:val="24"/>
          <w:szCs w:val="24"/>
        </w:rPr>
        <w:tab/>
      </w:r>
      <w:r>
        <w:rPr>
          <w:noProof/>
          <w:snapToGrid w:val="0"/>
          <w:szCs w:val="24"/>
        </w:rPr>
        <w:t>Conventions</w:t>
      </w:r>
      <w:r>
        <w:rPr>
          <w:noProof/>
        </w:rPr>
        <w:tab/>
      </w:r>
      <w:r>
        <w:rPr>
          <w:noProof/>
        </w:rPr>
        <w:fldChar w:fldCharType="begin"/>
      </w:r>
      <w:r>
        <w:rPr>
          <w:noProof/>
        </w:rPr>
        <w:instrText xml:space="preserve"> PAGEREF _Toc102451453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z w:val="24"/>
          <w:szCs w:val="24"/>
        </w:rPr>
        <w:tab/>
      </w:r>
      <w:r>
        <w:rPr>
          <w:noProof/>
          <w:szCs w:val="24"/>
        </w:rPr>
        <w:t>Schedule 1 Division 2 item 5 fee</w:t>
      </w:r>
      <w:r>
        <w:rPr>
          <w:noProof/>
        </w:rPr>
        <w:tab/>
      </w:r>
      <w:r>
        <w:rPr>
          <w:noProof/>
        </w:rPr>
        <w:fldChar w:fldCharType="begin"/>
      </w:r>
      <w:r>
        <w:rPr>
          <w:noProof/>
        </w:rPr>
        <w:instrText xml:space="preserve"> PAGEREF _Toc102451454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z w:val="24"/>
          <w:szCs w:val="24"/>
        </w:rPr>
        <w:tab/>
      </w:r>
      <w:r>
        <w:rPr>
          <w:noProof/>
          <w:szCs w:val="24"/>
        </w:rPr>
        <w:t>Schedule 1 Division 2 item 6 fee</w:t>
      </w:r>
      <w:r>
        <w:rPr>
          <w:noProof/>
        </w:rPr>
        <w:tab/>
      </w:r>
      <w:r>
        <w:rPr>
          <w:noProof/>
        </w:rPr>
        <w:fldChar w:fldCharType="begin"/>
      </w:r>
      <w:r>
        <w:rPr>
          <w:noProof/>
        </w:rPr>
        <w:instrText xml:space="preserve"> PAGEREF _Toc102451455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z w:val="24"/>
          <w:szCs w:val="24"/>
        </w:rPr>
        <w:tab/>
      </w:r>
      <w:r>
        <w:rPr>
          <w:noProof/>
          <w:szCs w:val="24"/>
        </w:rPr>
        <w:t>Searchable information</w:t>
      </w:r>
      <w:r>
        <w:rPr>
          <w:noProof/>
        </w:rPr>
        <w:tab/>
      </w:r>
      <w:r>
        <w:rPr>
          <w:noProof/>
        </w:rPr>
        <w:fldChar w:fldCharType="begin"/>
      </w:r>
      <w:r>
        <w:rPr>
          <w:noProof/>
        </w:rPr>
        <w:instrText xml:space="preserve"> PAGEREF _Toc102451456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z w:val="24"/>
          <w:szCs w:val="24"/>
        </w:rPr>
        <w:tab/>
      </w:r>
      <w:r>
        <w:rPr>
          <w:noProof/>
          <w:szCs w:val="24"/>
        </w:rPr>
        <w:t>Resolution of disputes as to fees</w:t>
      </w:r>
      <w:r>
        <w:rPr>
          <w:noProof/>
        </w:rPr>
        <w:tab/>
      </w:r>
      <w:r>
        <w:rPr>
          <w:noProof/>
        </w:rPr>
        <w:fldChar w:fldCharType="begin"/>
      </w:r>
      <w:r>
        <w:rPr>
          <w:noProof/>
        </w:rPr>
        <w:instrText xml:space="preserve"> PAGEREF _Toc102451457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14.</w:t>
      </w:r>
      <w:r>
        <w:rPr>
          <w:noProof/>
          <w:sz w:val="24"/>
          <w:szCs w:val="24"/>
        </w:rPr>
        <w:tab/>
      </w:r>
      <w:r>
        <w:rPr>
          <w:noProof/>
          <w:szCs w:val="24"/>
        </w:rPr>
        <w:t>Recovery of unpaid fees</w:t>
      </w:r>
      <w:r>
        <w:rPr>
          <w:noProof/>
        </w:rPr>
        <w:tab/>
      </w:r>
      <w:r>
        <w:rPr>
          <w:noProof/>
        </w:rPr>
        <w:fldChar w:fldCharType="begin"/>
      </w:r>
      <w:r>
        <w:rPr>
          <w:noProof/>
        </w:rPr>
        <w:instrText xml:space="preserve"> PAGEREF _Toc102451458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15.</w:t>
      </w:r>
      <w:r>
        <w:rPr>
          <w:noProof/>
          <w:sz w:val="24"/>
          <w:szCs w:val="24"/>
        </w:rPr>
        <w:tab/>
      </w:r>
      <w:r>
        <w:rPr>
          <w:noProof/>
          <w:szCs w:val="24"/>
        </w:rPr>
        <w:t>Transitional</w:t>
      </w:r>
      <w:r>
        <w:rPr>
          <w:noProof/>
        </w:rPr>
        <w:tab/>
      </w:r>
      <w:r>
        <w:rPr>
          <w:noProof/>
        </w:rPr>
        <w:fldChar w:fldCharType="begin"/>
      </w:r>
      <w:r>
        <w:rPr>
          <w:noProof/>
        </w:rPr>
        <w:instrText xml:space="preserve"> PAGEREF _Toc102451459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Schedule 1 — Fees</w:t>
      </w:r>
      <w:r>
        <w:rPr>
          <w:noProof/>
        </w:rPr>
        <w:tab/>
      </w:r>
      <w:r>
        <w:rPr>
          <w:b w:val="0"/>
          <w:noProof/>
          <w:sz w:val="22"/>
        </w:rPr>
        <w:fldChar w:fldCharType="begin"/>
      </w:r>
      <w:r>
        <w:rPr>
          <w:b w:val="0"/>
          <w:noProof/>
          <w:sz w:val="22"/>
        </w:rPr>
        <w:instrText xml:space="preserve"> PAGEREF _Toc102451460 \h </w:instrText>
      </w:r>
      <w:r>
        <w:rPr>
          <w:b w:val="0"/>
          <w:noProof/>
          <w:sz w:val="22"/>
        </w:rPr>
      </w:r>
      <w:r>
        <w:rPr>
          <w:b w:val="0"/>
          <w:noProof/>
          <w:sz w:val="22"/>
        </w:rPr>
        <w:fldChar w:fldCharType="separate"/>
      </w:r>
      <w:r>
        <w:rPr>
          <w:b w:val="0"/>
          <w:noProof/>
          <w:sz w:val="22"/>
        </w:rPr>
        <w:t>12</w:t>
      </w:r>
      <w:r>
        <w:rPr>
          <w:b w:val="0"/>
          <w:noProof/>
          <w:sz w:val="22"/>
        </w:rPr>
        <w:fldChar w:fldCharType="end"/>
      </w:r>
    </w:p>
    <w:p>
      <w:pPr>
        <w:pStyle w:val="TOC7"/>
        <w:rPr>
          <w:noProof/>
          <w:sz w:val="24"/>
          <w:szCs w:val="24"/>
        </w:rPr>
      </w:pPr>
      <w:r>
        <w:rPr>
          <w:noProof/>
          <w:szCs w:val="24"/>
        </w:rPr>
        <w:t>Division 1 — General</w:t>
      </w:r>
      <w:r>
        <w:rPr>
          <w:noProof/>
        </w:rPr>
        <w:tab/>
      </w:r>
      <w:r>
        <w:rPr>
          <w:noProof/>
        </w:rPr>
        <w:fldChar w:fldCharType="begin"/>
      </w:r>
      <w:r>
        <w:rPr>
          <w:noProof/>
        </w:rPr>
        <w:instrText xml:space="preserve"> PAGEREF _Toc102451461 \h </w:instrText>
      </w:r>
      <w:r>
        <w:rPr>
          <w:noProof/>
        </w:rPr>
      </w:r>
      <w:r>
        <w:rPr>
          <w:noProof/>
        </w:rPr>
        <w:fldChar w:fldCharType="separate"/>
      </w:r>
      <w:r>
        <w:rPr>
          <w:noProof/>
        </w:rPr>
        <w:t>12</w:t>
      </w:r>
      <w:r>
        <w:rPr>
          <w:noProof/>
        </w:rPr>
        <w:fldChar w:fldCharType="end"/>
      </w:r>
    </w:p>
    <w:p>
      <w:pPr>
        <w:pStyle w:val="TOC7"/>
        <w:rPr>
          <w:noProof/>
          <w:sz w:val="24"/>
          <w:szCs w:val="24"/>
        </w:rPr>
      </w:pPr>
      <w:r>
        <w:rPr>
          <w:noProof/>
          <w:szCs w:val="24"/>
        </w:rPr>
        <w:t>Division 2 — Civil jurisdiction</w:t>
      </w:r>
      <w:r>
        <w:rPr>
          <w:noProof/>
        </w:rPr>
        <w:tab/>
      </w:r>
      <w:r>
        <w:rPr>
          <w:noProof/>
        </w:rPr>
        <w:fldChar w:fldCharType="begin"/>
      </w:r>
      <w:r>
        <w:rPr>
          <w:noProof/>
        </w:rPr>
        <w:instrText xml:space="preserve"> PAGEREF _Toc102451462 \h </w:instrText>
      </w:r>
      <w:r>
        <w:rPr>
          <w:noProof/>
        </w:rPr>
      </w:r>
      <w:r>
        <w:rPr>
          <w:noProof/>
        </w:rPr>
        <w:fldChar w:fldCharType="separate"/>
      </w:r>
      <w:r>
        <w:rPr>
          <w:noProof/>
        </w:rPr>
        <w:t>15</w:t>
      </w:r>
      <w:r>
        <w:rPr>
          <w:noProof/>
        </w:rPr>
        <w:fldChar w:fldCharType="end"/>
      </w:r>
    </w:p>
    <w:p>
      <w:pPr>
        <w:pStyle w:val="TOC7"/>
        <w:rPr>
          <w:noProof/>
          <w:sz w:val="24"/>
          <w:szCs w:val="24"/>
        </w:rPr>
      </w:pPr>
      <w:r>
        <w:rPr>
          <w:noProof/>
          <w:szCs w:val="24"/>
        </w:rPr>
        <w:t>Division 3 — Criminal jurisdiction</w:t>
      </w:r>
      <w:r>
        <w:rPr>
          <w:noProof/>
        </w:rPr>
        <w:tab/>
      </w:r>
      <w:r>
        <w:rPr>
          <w:noProof/>
        </w:rPr>
        <w:fldChar w:fldCharType="begin"/>
      </w:r>
      <w:r>
        <w:rPr>
          <w:noProof/>
        </w:rPr>
        <w:instrText xml:space="preserve"> PAGEREF _Toc102451463 \h </w:instrText>
      </w:r>
      <w:r>
        <w:rPr>
          <w:noProof/>
        </w:rPr>
      </w:r>
      <w:r>
        <w:rPr>
          <w:noProof/>
        </w:rPr>
        <w:fldChar w:fldCharType="separate"/>
      </w:r>
      <w:r>
        <w:rPr>
          <w:noProof/>
        </w:rPr>
        <w:t>19</w:t>
      </w:r>
      <w:r>
        <w:rPr>
          <w:noProof/>
        </w:rPr>
        <w:fldChar w:fldCharType="end"/>
      </w:r>
    </w:p>
    <w:p>
      <w:pPr>
        <w:pStyle w:val="TOC5"/>
        <w:rPr>
          <w:b w:val="0"/>
          <w:noProof/>
          <w:sz w:val="24"/>
          <w:szCs w:val="24"/>
        </w:rPr>
      </w:pPr>
      <w:r>
        <w:rPr>
          <w:noProof/>
          <w:szCs w:val="28"/>
        </w:rPr>
        <w:t>Schedule 2</w:t>
      </w:r>
      <w:r>
        <w:rPr>
          <w:noProof/>
          <w:sz w:val="24"/>
          <w:szCs w:val="28"/>
        </w:rPr>
        <w:t> </w:t>
      </w:r>
      <w:r>
        <w:rPr>
          <w:noProof/>
          <w:szCs w:val="28"/>
        </w:rPr>
        <w:t>—</w:t>
      </w:r>
      <w:r>
        <w:rPr>
          <w:noProof/>
          <w:sz w:val="24"/>
          <w:szCs w:val="28"/>
        </w:rPr>
        <w:t> </w:t>
      </w:r>
      <w:r>
        <w:rPr>
          <w:noProof/>
          <w:szCs w:val="28"/>
        </w:rPr>
        <w:t>Forms</w:t>
      </w:r>
      <w:r>
        <w:rPr>
          <w:noProof/>
        </w:rPr>
        <w:tab/>
      </w:r>
      <w:r>
        <w:rPr>
          <w:b w:val="0"/>
          <w:noProof/>
          <w:sz w:val="22"/>
        </w:rPr>
        <w:fldChar w:fldCharType="begin"/>
      </w:r>
      <w:r>
        <w:rPr>
          <w:b w:val="0"/>
          <w:noProof/>
          <w:sz w:val="22"/>
        </w:rPr>
        <w:instrText xml:space="preserve"> PAGEREF _Toc102451464 \h </w:instrText>
      </w:r>
      <w:r>
        <w:rPr>
          <w:b w:val="0"/>
          <w:noProof/>
          <w:sz w:val="22"/>
        </w:rPr>
      </w:r>
      <w:r>
        <w:rPr>
          <w:b w:val="0"/>
          <w:noProof/>
          <w:sz w:val="22"/>
        </w:rPr>
        <w:fldChar w:fldCharType="separate"/>
      </w:r>
      <w:r>
        <w:rPr>
          <w:b w:val="0"/>
          <w:noProof/>
          <w:sz w:val="22"/>
        </w:rPr>
        <w:t>20</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Declaration that a person is a small business or a non</w:t>
      </w:r>
      <w:r>
        <w:rPr>
          <w:noProof/>
          <w:szCs w:val="22"/>
        </w:rPr>
        <w:noBreakHyphen/>
        <w:t>profit association</w:t>
      </w:r>
      <w:r>
        <w:rPr>
          <w:noProof/>
        </w:rPr>
        <w:tab/>
      </w:r>
      <w:r>
        <w:rPr>
          <w:noProof/>
        </w:rPr>
        <w:fldChar w:fldCharType="begin"/>
      </w:r>
      <w:r>
        <w:rPr>
          <w:noProof/>
        </w:rPr>
        <w:instrText xml:space="preserve"> PAGEREF _Toc102451465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2"/>
        </w:rPr>
        <w:t>2.</w:t>
      </w:r>
      <w:r>
        <w:rPr>
          <w:noProof/>
          <w:sz w:val="24"/>
          <w:szCs w:val="24"/>
        </w:rPr>
        <w:tab/>
      </w:r>
      <w:r>
        <w:rPr>
          <w:noProof/>
          <w:szCs w:val="22"/>
        </w:rPr>
        <w:t>Application to remit fees</w:t>
      </w:r>
      <w:r>
        <w:rPr>
          <w:noProof/>
        </w:rPr>
        <w:tab/>
      </w:r>
      <w:r>
        <w:rPr>
          <w:noProof/>
        </w:rPr>
        <w:fldChar w:fldCharType="begin"/>
      </w:r>
      <w:r>
        <w:rPr>
          <w:noProof/>
        </w:rPr>
        <w:instrText xml:space="preserve"> PAGEREF _Toc102451466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2"/>
        </w:rPr>
        <w:t>3.</w:t>
      </w:r>
      <w:r>
        <w:rPr>
          <w:noProof/>
          <w:sz w:val="24"/>
          <w:szCs w:val="24"/>
        </w:rPr>
        <w:tab/>
      </w:r>
      <w:r>
        <w:rPr>
          <w:noProof/>
          <w:szCs w:val="22"/>
        </w:rPr>
        <w:t>Application for determination of dispute about fees</w:t>
      </w:r>
      <w:r>
        <w:rPr>
          <w:noProof/>
        </w:rPr>
        <w:tab/>
      </w:r>
      <w:r>
        <w:rPr>
          <w:noProof/>
        </w:rPr>
        <w:fldChar w:fldCharType="begin"/>
      </w:r>
      <w:r>
        <w:rPr>
          <w:noProof/>
        </w:rPr>
        <w:instrText xml:space="preserve"> PAGEREF _Toc102451467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_Toc102451469 \h </w:instrText>
      </w:r>
      <w:r>
        <w:rPr>
          <w:noProof/>
        </w:rPr>
      </w:r>
      <w:r>
        <w:rPr>
          <w:noProof/>
        </w:rPr>
        <w:fldChar w:fldCharType="separate"/>
      </w:r>
      <w:r>
        <w:rPr>
          <w:noProof/>
        </w:rPr>
        <w:t>26</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100631317"/>
      <w:bookmarkStart w:id="16" w:name="_Toc102451446"/>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17" w:name="_Toc96402830"/>
      <w:bookmarkStart w:id="18" w:name="_Toc100631318"/>
      <w:bookmarkStart w:id="19" w:name="_Toc102451447"/>
      <w:r>
        <w:rPr>
          <w:rStyle w:val="CharSectno"/>
        </w:rPr>
        <w:t>3</w:t>
      </w:r>
      <w:r>
        <w:t>.</w:t>
      </w:r>
      <w:r>
        <w:tab/>
        <w:t>Terms used in these regulations</w:t>
      </w:r>
      <w:bookmarkEnd w:id="17"/>
      <w:bookmarkEnd w:id="18"/>
      <w:bookmarkEnd w:id="19"/>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Heading5"/>
        <w:rPr>
          <w:snapToGrid w:val="0"/>
        </w:rPr>
      </w:pPr>
      <w:bookmarkStart w:id="20" w:name="_Toc437922206"/>
      <w:bookmarkStart w:id="21" w:name="_Toc483972641"/>
      <w:bookmarkStart w:id="22" w:name="_Toc506018772"/>
      <w:bookmarkStart w:id="23" w:name="_Toc519738591"/>
      <w:bookmarkStart w:id="24" w:name="_Toc520868379"/>
      <w:bookmarkStart w:id="25" w:name="_Toc533482756"/>
      <w:bookmarkStart w:id="26" w:name="_Toc61252559"/>
      <w:bookmarkStart w:id="27" w:name="_Toc96402831"/>
      <w:bookmarkStart w:id="28" w:name="_Toc100631319"/>
      <w:bookmarkStart w:id="29" w:name="_Toc102451448"/>
      <w:r>
        <w:rPr>
          <w:rStyle w:val="CharSectno"/>
        </w:rPr>
        <w:t>4</w:t>
      </w:r>
      <w:r>
        <w:t>.</w:t>
      </w:r>
      <w:r>
        <w:tab/>
      </w:r>
      <w:r>
        <w:rPr>
          <w:snapToGrid w:val="0"/>
        </w:rPr>
        <w:t>Fees to be charged</w:t>
      </w:r>
      <w:bookmarkEnd w:id="20"/>
      <w:bookmarkEnd w:id="21"/>
      <w:bookmarkEnd w:id="22"/>
      <w:bookmarkEnd w:id="23"/>
      <w:bookmarkEnd w:id="24"/>
      <w:bookmarkEnd w:id="25"/>
      <w:bookmarkEnd w:id="26"/>
      <w:bookmarkEnd w:id="27"/>
      <w:bookmarkEnd w:id="28"/>
      <w:bookmarkEnd w:id="2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0" w:name="_Toc437922207"/>
      <w:bookmarkStart w:id="31" w:name="_Toc483972642"/>
      <w:bookmarkStart w:id="32" w:name="_Toc506018773"/>
      <w:bookmarkStart w:id="33" w:name="_Toc519738592"/>
      <w:bookmarkStart w:id="34" w:name="_Toc520868380"/>
      <w:bookmarkStart w:id="35" w:name="_Toc533482757"/>
      <w:bookmarkStart w:id="36" w:name="_Toc61252560"/>
      <w:bookmarkStart w:id="37" w:name="_Toc96402832"/>
      <w:bookmarkStart w:id="38" w:name="_Toc100631320"/>
      <w:bookmarkStart w:id="39" w:name="_Toc102451449"/>
      <w:r>
        <w:rPr>
          <w:rStyle w:val="CharSectno"/>
        </w:rPr>
        <w:t>5</w:t>
      </w:r>
      <w:r>
        <w:t>.</w:t>
      </w:r>
      <w:r>
        <w:tab/>
      </w:r>
      <w:r>
        <w:rPr>
          <w:snapToGrid w:val="0"/>
        </w:rPr>
        <w:t>Exemptions</w:t>
      </w:r>
      <w:bookmarkEnd w:id="30"/>
      <w:bookmarkEnd w:id="31"/>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0" w:name="_Toc100631321"/>
      <w:bookmarkStart w:id="41" w:name="_Toc102451450"/>
      <w:r>
        <w:rPr>
          <w:rStyle w:val="CharSectno"/>
        </w:rPr>
        <w:t>6</w:t>
      </w:r>
      <w:r>
        <w:t>.</w:t>
      </w:r>
      <w:r>
        <w:tab/>
        <w:t>Fees subject to conditions or waiver</w:t>
      </w:r>
      <w:bookmarkEnd w:id="40"/>
      <w:bookmarkEnd w:id="41"/>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2" w:name="_Toc437922208"/>
      <w:bookmarkStart w:id="43" w:name="_Toc483972643"/>
      <w:bookmarkStart w:id="44" w:name="_Toc506018774"/>
      <w:bookmarkStart w:id="45" w:name="_Toc519738593"/>
      <w:bookmarkStart w:id="46" w:name="_Toc520868381"/>
      <w:bookmarkStart w:id="47" w:name="_Toc533482758"/>
      <w:bookmarkStart w:id="48" w:name="_Toc61252561"/>
      <w:bookmarkStart w:id="49" w:name="_Toc96402833"/>
      <w:bookmarkStart w:id="50" w:name="_Toc100631322"/>
      <w:bookmarkStart w:id="51" w:name="_Toc102451451"/>
      <w:r>
        <w:rPr>
          <w:rStyle w:val="CharSectno"/>
        </w:rPr>
        <w:t>7</w:t>
      </w:r>
      <w:r>
        <w:t>.</w:t>
      </w:r>
      <w:r>
        <w:tab/>
      </w:r>
      <w:r>
        <w:rPr>
          <w:rStyle w:val="CharSectno"/>
        </w:rPr>
        <w:t>F</w:t>
      </w:r>
      <w:r>
        <w:rPr>
          <w:snapToGrid w:val="0"/>
        </w:rPr>
        <w:t>ees to be paid before documents etc. filed</w:t>
      </w:r>
      <w:bookmarkEnd w:id="42"/>
      <w:bookmarkEnd w:id="43"/>
      <w:bookmarkEnd w:id="44"/>
      <w:bookmarkEnd w:id="45"/>
      <w:bookmarkEnd w:id="46"/>
      <w:bookmarkEnd w:id="47"/>
      <w:bookmarkEnd w:id="48"/>
      <w:bookmarkEnd w:id="49"/>
      <w:bookmarkEnd w:id="50"/>
      <w:bookmarkEnd w:id="5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2" w:name="_Toc437922210"/>
      <w:bookmarkStart w:id="53" w:name="_Toc483972645"/>
      <w:bookmarkStart w:id="54" w:name="_Toc506018776"/>
      <w:bookmarkStart w:id="55" w:name="_Toc519738594"/>
      <w:bookmarkStart w:id="56" w:name="_Toc520868382"/>
      <w:bookmarkStart w:id="57" w:name="_Toc533482759"/>
      <w:bookmarkStart w:id="58" w:name="_Toc61252562"/>
      <w:bookmarkStart w:id="59" w:name="_Toc96402834"/>
      <w:bookmarkStart w:id="60" w:name="_Toc100631323"/>
      <w:bookmarkStart w:id="61" w:name="_Toc102451452"/>
      <w:r>
        <w:rPr>
          <w:rStyle w:val="CharSectno"/>
        </w:rPr>
        <w:t>8</w:t>
      </w:r>
      <w:r>
        <w:t>.</w:t>
      </w:r>
      <w:r>
        <w:tab/>
      </w:r>
      <w:r>
        <w:rPr>
          <w:snapToGrid w:val="0"/>
        </w:rPr>
        <w:t>Court or registrar may remit fees</w:t>
      </w:r>
      <w:bookmarkEnd w:id="52"/>
      <w:bookmarkEnd w:id="53"/>
      <w:bookmarkEnd w:id="54"/>
      <w:bookmarkEnd w:id="55"/>
      <w:bookmarkEnd w:id="56"/>
      <w:bookmarkEnd w:id="57"/>
      <w:bookmarkEnd w:id="58"/>
      <w:bookmarkEnd w:id="59"/>
      <w:bookmarkEnd w:id="60"/>
      <w:bookmarkEnd w:id="61"/>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62" w:name="_Toc437922211"/>
      <w:bookmarkStart w:id="63" w:name="_Toc483972646"/>
      <w:bookmarkStart w:id="64" w:name="_Toc506018777"/>
      <w:bookmarkStart w:id="65" w:name="_Toc519738595"/>
      <w:bookmarkStart w:id="66" w:name="_Toc520868383"/>
      <w:bookmarkStart w:id="67" w:name="_Toc533482760"/>
      <w:r>
        <w:tab/>
        <w:t>(12)</w:t>
      </w:r>
      <w:r>
        <w:tab/>
        <w:t>Despite the provisions of these regulations, a fee is not to be charged in respect of an application under subregulation (2).</w:t>
      </w:r>
    </w:p>
    <w:p>
      <w:pPr>
        <w:pStyle w:val="Heading5"/>
        <w:rPr>
          <w:snapToGrid w:val="0"/>
        </w:rPr>
      </w:pPr>
      <w:bookmarkStart w:id="68" w:name="_Toc61252563"/>
      <w:bookmarkStart w:id="69" w:name="_Toc96402835"/>
      <w:bookmarkStart w:id="70" w:name="_Toc100631324"/>
      <w:bookmarkStart w:id="71" w:name="_Toc102451453"/>
      <w:r>
        <w:rPr>
          <w:rStyle w:val="CharSectno"/>
        </w:rPr>
        <w:t>9</w:t>
      </w:r>
      <w:r>
        <w:t>.</w:t>
      </w:r>
      <w:r>
        <w:tab/>
      </w:r>
      <w:r>
        <w:rPr>
          <w:snapToGrid w:val="0"/>
        </w:rPr>
        <w:t>Conventions</w:t>
      </w:r>
      <w:bookmarkEnd w:id="62"/>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72" w:name="_Toc533482761"/>
      <w:bookmarkStart w:id="73" w:name="_Toc61252564"/>
      <w:bookmarkStart w:id="74" w:name="_Toc96402836"/>
      <w:bookmarkStart w:id="75" w:name="_Toc100631325"/>
      <w:bookmarkStart w:id="76" w:name="_Toc102451454"/>
      <w:r>
        <w:rPr>
          <w:rStyle w:val="CharSectno"/>
        </w:rPr>
        <w:t>10</w:t>
      </w:r>
      <w:r>
        <w:t>.</w:t>
      </w:r>
      <w:r>
        <w:tab/>
        <w:t>Schedule 1 Division 2 item 5 fee</w:t>
      </w:r>
      <w:bookmarkEnd w:id="72"/>
      <w:bookmarkEnd w:id="73"/>
      <w:bookmarkEnd w:id="74"/>
      <w:bookmarkEnd w:id="75"/>
      <w:bookmarkEnd w:id="7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77" w:name="_Toc533482762"/>
      <w:bookmarkStart w:id="78" w:name="_Toc61252565"/>
      <w:bookmarkStart w:id="79" w:name="_Toc96402837"/>
      <w:bookmarkStart w:id="80" w:name="_Toc100631326"/>
      <w:bookmarkStart w:id="81" w:name="_Toc102451455"/>
      <w:r>
        <w:rPr>
          <w:rStyle w:val="CharSectno"/>
        </w:rPr>
        <w:t>11</w:t>
      </w:r>
      <w:r>
        <w:t>.</w:t>
      </w:r>
      <w:r>
        <w:tab/>
        <w:t>Schedule 1 Division 2 item 6 fee</w:t>
      </w:r>
      <w:bookmarkEnd w:id="77"/>
      <w:bookmarkEnd w:id="78"/>
      <w:bookmarkEnd w:id="79"/>
      <w:bookmarkEnd w:id="80"/>
      <w:bookmarkEnd w:id="81"/>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82" w:name="_Toc100631327"/>
      <w:bookmarkStart w:id="83" w:name="_Toc102451456"/>
      <w:r>
        <w:rPr>
          <w:rStyle w:val="CharSectno"/>
        </w:rPr>
        <w:t>12</w:t>
      </w:r>
      <w:r>
        <w:t>.</w:t>
      </w:r>
      <w:r>
        <w:tab/>
        <w:t>Searchable information</w:t>
      </w:r>
      <w:bookmarkEnd w:id="82"/>
      <w:bookmarkEnd w:id="83"/>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84" w:name="_Toc96398500"/>
      <w:bookmarkStart w:id="85" w:name="_Toc100631328"/>
      <w:bookmarkStart w:id="86" w:name="_Toc102451457"/>
      <w:r>
        <w:rPr>
          <w:rStyle w:val="CharSectno"/>
        </w:rPr>
        <w:t>13</w:t>
      </w:r>
      <w:r>
        <w:t>.</w:t>
      </w:r>
      <w:r>
        <w:tab/>
        <w:t>Resolution of disputes as to fees</w:t>
      </w:r>
      <w:bookmarkEnd w:id="84"/>
      <w:bookmarkEnd w:id="85"/>
      <w:bookmarkEnd w:id="86"/>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7" w:name="_Toc100631329"/>
      <w:bookmarkStart w:id="88" w:name="_Toc102451458"/>
      <w:r>
        <w:rPr>
          <w:rStyle w:val="CharSectno"/>
        </w:rPr>
        <w:t>14</w:t>
      </w:r>
      <w:r>
        <w:t>.</w:t>
      </w:r>
      <w:r>
        <w:tab/>
        <w:t>Recovery of unpaid fees</w:t>
      </w:r>
      <w:bookmarkEnd w:id="87"/>
      <w:bookmarkEnd w:id="88"/>
    </w:p>
    <w:p>
      <w:pPr>
        <w:pStyle w:val="Subsection"/>
      </w:pPr>
      <w:r>
        <w:tab/>
      </w:r>
      <w:r>
        <w:tab/>
        <w:t>Any unpaid fee is a debt due to the State and may be recovered by action in a court of competent jurisdiction.</w:t>
      </w:r>
    </w:p>
    <w:p>
      <w:pPr>
        <w:pStyle w:val="Heading5"/>
      </w:pPr>
      <w:bookmarkStart w:id="89" w:name="_Toc533482764"/>
      <w:bookmarkStart w:id="90" w:name="_Toc61252567"/>
      <w:bookmarkStart w:id="91" w:name="_Toc96402839"/>
      <w:bookmarkStart w:id="92" w:name="_Toc100631330"/>
      <w:bookmarkStart w:id="93" w:name="_Toc102451459"/>
      <w:r>
        <w:rPr>
          <w:rStyle w:val="CharSectno"/>
        </w:rPr>
        <w:t>15</w:t>
      </w:r>
      <w:r>
        <w:t>.</w:t>
      </w:r>
      <w:r>
        <w:tab/>
        <w:t>Transitional</w:t>
      </w:r>
      <w:bookmarkEnd w:id="89"/>
      <w:bookmarkEnd w:id="90"/>
      <w:bookmarkEnd w:id="91"/>
      <w:bookmarkEnd w:id="92"/>
      <w:bookmarkEnd w:id="9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4" w:name="_Toc100631331"/>
      <w:bookmarkStart w:id="95" w:name="_Toc102451460"/>
    </w:p>
    <w:p>
      <w:pPr>
        <w:pStyle w:val="yScheduleHeading"/>
      </w:pPr>
      <w:r>
        <w:rPr>
          <w:rStyle w:val="CharSchNo"/>
        </w:rPr>
        <w:t>Schedule 1</w:t>
      </w:r>
      <w:r>
        <w:t xml:space="preserve"> — </w:t>
      </w:r>
      <w:r>
        <w:rPr>
          <w:rStyle w:val="CharSchText"/>
        </w:rPr>
        <w:t>Fees</w:t>
      </w:r>
      <w:bookmarkEnd w:id="94"/>
      <w:bookmarkEnd w:id="95"/>
    </w:p>
    <w:p>
      <w:pPr>
        <w:pStyle w:val="yShoulderClause"/>
        <w:spacing w:after="360"/>
      </w:pPr>
      <w:r>
        <w:t>[r. 4]</w:t>
      </w:r>
    </w:p>
    <w:p>
      <w:pPr>
        <w:pStyle w:val="yHeading3"/>
        <w:spacing w:before="120" w:after="120"/>
      </w:pPr>
      <w:bookmarkStart w:id="96" w:name="_Toc100631332"/>
      <w:bookmarkStart w:id="97" w:name="_Toc102451461"/>
      <w:r>
        <w:rPr>
          <w:rStyle w:val="CharSDivNo"/>
        </w:rPr>
        <w:t>Division 1</w:t>
      </w:r>
      <w:r>
        <w:rPr>
          <w:b w:val="0"/>
        </w:rPr>
        <w:t> — </w:t>
      </w:r>
      <w:r>
        <w:rPr>
          <w:rStyle w:val="CharSDivText"/>
        </w:rPr>
        <w:t>General</w:t>
      </w:r>
      <w:bookmarkEnd w:id="96"/>
      <w:bookmarkEnd w:id="97"/>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37.50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 xml:space="preserve">If it is necessary to travel to execute a warrant or other process, or on service of a summons, order of the Court, other process or document, or on making an arrest or for all attempts, attendances and inspections, from the Bailiff’s Office 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0.95</w:t>
            </w:r>
          </w:p>
          <w:p>
            <w:pPr>
              <w:pStyle w:val="yTable"/>
              <w:spacing w:before="0"/>
              <w:ind w:right="601"/>
              <w:jc w:val="right"/>
              <w:rPr>
                <w:sz w:val="20"/>
              </w:rPr>
            </w:pPr>
            <w:r>
              <w:rPr>
                <w:sz w:val="20"/>
              </w:rPr>
              <w:br/>
              <w:t>1.05</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 bailiff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22.00</w:t>
            </w:r>
          </w:p>
          <w:p>
            <w:pPr>
              <w:pStyle w:val="yTable"/>
              <w:ind w:right="601"/>
              <w:jc w:val="right"/>
              <w:rPr>
                <w:sz w:val="20"/>
              </w:rPr>
            </w:pPr>
            <w:r>
              <w:rPr>
                <w:sz w:val="20"/>
              </w:rPr>
              <w:br/>
            </w:r>
            <w:r>
              <w:rPr>
                <w:sz w:val="20"/>
              </w:rPr>
              <w:br/>
            </w:r>
            <w:r>
              <w:rPr>
                <w:sz w:val="20"/>
              </w:rPr>
              <w:br/>
              <w:t>22.00</w:t>
            </w:r>
          </w:p>
          <w:p>
            <w:pPr>
              <w:pStyle w:val="yTable"/>
              <w:spacing w:before="0"/>
              <w:ind w:right="601"/>
              <w:jc w:val="right"/>
              <w:rPr>
                <w:sz w:val="20"/>
              </w:rPr>
            </w:pPr>
            <w:r>
              <w:rPr>
                <w:sz w:val="20"/>
              </w:rPr>
              <w:br/>
              <w:t>55.00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1.00</w:t>
            </w:r>
          </w:p>
          <w:p>
            <w:pPr>
              <w:pStyle w:val="yTable"/>
              <w:ind w:right="601"/>
              <w:jc w:val="right"/>
              <w:rPr>
                <w:sz w:val="20"/>
              </w:rPr>
            </w:pPr>
            <w:r>
              <w:rPr>
                <w:sz w:val="20"/>
              </w:rPr>
              <w:br/>
              <w:t>31 500.00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33.00</w:t>
            </w:r>
          </w:p>
          <w:p>
            <w:pPr>
              <w:pStyle w:val="yTable"/>
              <w:ind w:right="601"/>
              <w:jc w:val="right"/>
              <w:rPr>
                <w:sz w:val="20"/>
              </w:rPr>
            </w:pPr>
            <w:r>
              <w:rPr>
                <w:sz w:val="20"/>
              </w:rPr>
              <w:br/>
            </w:r>
            <w:r>
              <w:rPr>
                <w:sz w:val="20"/>
              </w:rPr>
              <w:br/>
            </w:r>
            <w:r>
              <w:rPr>
                <w:sz w:val="20"/>
              </w:rPr>
              <w:br/>
            </w:r>
            <w:r>
              <w:rPr>
                <w:sz w:val="20"/>
              </w:rPr>
              <w:br/>
            </w:r>
            <w:r>
              <w:rPr>
                <w:sz w:val="20"/>
              </w:rPr>
              <w:br/>
            </w:r>
            <w:r>
              <w:rPr>
                <w:sz w:val="20"/>
              </w:rPr>
              <w:br/>
              <w:t>55.00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8.00</w:t>
            </w:r>
          </w:p>
          <w:p>
            <w:pPr>
              <w:pStyle w:val="yTable"/>
              <w:ind w:right="601"/>
              <w:jc w:val="right"/>
              <w:rPr>
                <w:sz w:val="20"/>
              </w:rPr>
            </w:pPr>
            <w:r>
              <w:rPr>
                <w:sz w:val="20"/>
              </w:rPr>
              <w:br/>
            </w:r>
            <w:r>
              <w:rPr>
                <w:sz w:val="20"/>
              </w:rPr>
              <w:br/>
              <w:t>1.00</w:t>
            </w:r>
          </w:p>
          <w:p>
            <w:pPr>
              <w:pStyle w:val="yTable"/>
              <w:ind w:right="601"/>
              <w:jc w:val="right"/>
              <w:rPr>
                <w:sz w:val="20"/>
              </w:rPr>
            </w:pPr>
            <w:r>
              <w:rPr>
                <w:sz w:val="20"/>
              </w:rPr>
              <w:br/>
              <w:t>11.00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4.50</w:t>
            </w:r>
          </w:p>
          <w:p>
            <w:pPr>
              <w:pStyle w:val="yTable"/>
              <w:ind w:right="601"/>
              <w:jc w:val="right"/>
              <w:rPr>
                <w:sz w:val="20"/>
              </w:rPr>
            </w:pPr>
            <w:r>
              <w:rPr>
                <w:sz w:val="20"/>
              </w:rPr>
              <w:br/>
            </w:r>
            <w:r>
              <w:rPr>
                <w:sz w:val="20"/>
              </w:rPr>
              <w:br/>
            </w:r>
            <w:r>
              <w:rPr>
                <w:sz w:val="20"/>
              </w:rPr>
              <w:br/>
            </w:r>
            <w:r>
              <w:rPr>
                <w:sz w:val="20"/>
              </w:rPr>
              <w:br/>
              <w:t>10.50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$15.00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Heading3"/>
        <w:spacing w:after="240"/>
      </w:pPr>
      <w:bookmarkStart w:id="98" w:name="_Toc100631333"/>
      <w:bookmarkStart w:id="99" w:name="_Toc102451462"/>
      <w:r>
        <w:rPr>
          <w:rStyle w:val="CharSDivNo"/>
        </w:rPr>
        <w:t>Division 2</w:t>
      </w:r>
      <w:r>
        <w:rPr>
          <w:b w:val="0"/>
        </w:rPr>
        <w:t> — </w:t>
      </w:r>
      <w:r>
        <w:rPr>
          <w:rStyle w:val="CharSDivText"/>
        </w:rPr>
        <w:t>Civil jurisdiction</w:t>
      </w:r>
      <w:bookmarkEnd w:id="98"/>
      <w:bookmarkEnd w:id="99"/>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18"/>
              </w:rPr>
            </w:pPr>
            <w:r>
              <w:rPr>
                <w:sz w:val="18"/>
              </w:rPr>
              <w:br/>
            </w:r>
            <w:r>
              <w:rPr>
                <w:sz w:val="18"/>
              </w:rPr>
              <w:br/>
            </w:r>
            <w:r>
              <w:rPr>
                <w:sz w:val="18"/>
              </w:rPr>
              <w:br/>
            </w:r>
            <w:r>
              <w:rPr>
                <w:sz w:val="18"/>
              </w:rPr>
              <w:br/>
            </w:r>
            <w:r>
              <w:rPr>
                <w:sz w:val="18"/>
              </w:rPr>
              <w:br/>
              <w:t>63.00</w:t>
            </w:r>
          </w:p>
        </w:tc>
        <w:tc>
          <w:tcPr>
            <w:tcW w:w="770" w:type="dxa"/>
          </w:tcPr>
          <w:p>
            <w:pPr>
              <w:pStyle w:val="yTable"/>
              <w:jc w:val="center"/>
              <w:rPr>
                <w:sz w:val="18"/>
              </w:rPr>
            </w:pPr>
            <w:r>
              <w:rPr>
                <w:sz w:val="18"/>
              </w:rPr>
              <w:br/>
            </w:r>
            <w:r>
              <w:rPr>
                <w:sz w:val="18"/>
              </w:rPr>
              <w:br/>
            </w:r>
            <w:r>
              <w:rPr>
                <w:sz w:val="18"/>
              </w:rPr>
              <w:br/>
            </w:r>
            <w:r>
              <w:rPr>
                <w:sz w:val="18"/>
              </w:rPr>
              <w:br/>
            </w:r>
            <w:r>
              <w:rPr>
                <w:sz w:val="18"/>
              </w:rPr>
              <w:br/>
              <w:t>95.00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t>161.00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t>242.00</w:t>
            </w:r>
          </w:p>
        </w:tc>
        <w:tc>
          <w:tcPr>
            <w:tcW w:w="783" w:type="dxa"/>
          </w:tcPr>
          <w:p>
            <w:pPr>
              <w:pStyle w:val="yTable"/>
              <w:jc w:val="center"/>
              <w:rPr>
                <w:sz w:val="18"/>
              </w:rPr>
            </w:pPr>
            <w:r>
              <w:rPr>
                <w:sz w:val="18"/>
              </w:rPr>
              <w:br/>
            </w:r>
            <w:r>
              <w:rPr>
                <w:sz w:val="18"/>
              </w:rPr>
              <w:br/>
            </w:r>
            <w:r>
              <w:rPr>
                <w:sz w:val="18"/>
              </w:rPr>
              <w:br/>
            </w:r>
            <w:r>
              <w:rPr>
                <w:sz w:val="18"/>
              </w:rPr>
              <w:br/>
            </w:r>
            <w:r>
              <w:rPr>
                <w:sz w:val="18"/>
              </w:rPr>
              <w:br/>
              <w:t>257.00</w:t>
            </w:r>
          </w:p>
        </w:tc>
        <w:tc>
          <w:tcPr>
            <w:tcW w:w="798" w:type="dxa"/>
          </w:tcPr>
          <w:p>
            <w:pPr>
              <w:pStyle w:val="yTable"/>
              <w:jc w:val="center"/>
              <w:rPr>
                <w:sz w:val="18"/>
              </w:rPr>
            </w:pPr>
            <w:r>
              <w:rPr>
                <w:sz w:val="18"/>
              </w:rPr>
              <w:br/>
            </w:r>
            <w:r>
              <w:rPr>
                <w:sz w:val="18"/>
              </w:rPr>
              <w:br/>
            </w:r>
            <w:r>
              <w:rPr>
                <w:sz w:val="18"/>
              </w:rPr>
              <w:br/>
            </w:r>
            <w:r>
              <w:rPr>
                <w:sz w:val="18"/>
              </w:rPr>
              <w:br/>
            </w:r>
            <w:r>
              <w:rPr>
                <w:sz w:val="18"/>
              </w:rPr>
              <w:br/>
              <w:t>386.00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41.00</w:t>
            </w:r>
          </w:p>
        </w:tc>
        <w:tc>
          <w:tcPr>
            <w:tcW w:w="770"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62.00</w:t>
            </w:r>
          </w:p>
        </w:tc>
        <w:tc>
          <w:tcPr>
            <w:tcW w:w="854"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74.00</w:t>
            </w:r>
          </w:p>
        </w:tc>
        <w:tc>
          <w:tcPr>
            <w:tcW w:w="857"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97.00</w:t>
            </w:r>
          </w:p>
        </w:tc>
        <w:tc>
          <w:tcPr>
            <w:tcW w:w="783"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119.00</w:t>
            </w:r>
          </w:p>
        </w:tc>
        <w:tc>
          <w:tcPr>
            <w:tcW w:w="798"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154.00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18"/>
              </w:rPr>
            </w:pPr>
            <w:r>
              <w:rPr>
                <w:sz w:val="18"/>
              </w:rPr>
              <w:br/>
              <w:t>21.00</w:t>
            </w:r>
          </w:p>
        </w:tc>
        <w:tc>
          <w:tcPr>
            <w:tcW w:w="770" w:type="dxa"/>
          </w:tcPr>
          <w:p>
            <w:pPr>
              <w:pStyle w:val="yTable"/>
              <w:jc w:val="center"/>
              <w:rPr>
                <w:sz w:val="18"/>
              </w:rPr>
            </w:pPr>
            <w:r>
              <w:rPr>
                <w:sz w:val="18"/>
              </w:rPr>
              <w:br/>
              <w:t>42.00</w:t>
            </w:r>
          </w:p>
        </w:tc>
        <w:tc>
          <w:tcPr>
            <w:tcW w:w="854" w:type="dxa"/>
            <w:gridSpan w:val="2"/>
          </w:tcPr>
          <w:p>
            <w:pPr>
              <w:pStyle w:val="yTable"/>
              <w:jc w:val="center"/>
              <w:rPr>
                <w:sz w:val="18"/>
              </w:rPr>
            </w:pPr>
            <w:r>
              <w:rPr>
                <w:sz w:val="18"/>
              </w:rPr>
              <w:br/>
              <w:t>32.00</w:t>
            </w:r>
          </w:p>
        </w:tc>
        <w:tc>
          <w:tcPr>
            <w:tcW w:w="857" w:type="dxa"/>
            <w:gridSpan w:val="2"/>
          </w:tcPr>
          <w:p>
            <w:pPr>
              <w:pStyle w:val="yTable"/>
              <w:jc w:val="center"/>
              <w:rPr>
                <w:sz w:val="18"/>
              </w:rPr>
            </w:pPr>
            <w:r>
              <w:rPr>
                <w:sz w:val="18"/>
              </w:rPr>
              <w:br/>
              <w:t>64.00</w:t>
            </w:r>
          </w:p>
        </w:tc>
        <w:tc>
          <w:tcPr>
            <w:tcW w:w="783" w:type="dxa"/>
          </w:tcPr>
          <w:p>
            <w:pPr>
              <w:pStyle w:val="yTable"/>
              <w:jc w:val="center"/>
              <w:rPr>
                <w:sz w:val="18"/>
              </w:rPr>
            </w:pPr>
            <w:r>
              <w:rPr>
                <w:sz w:val="18"/>
              </w:rPr>
              <w:br/>
              <w:t>43.00</w:t>
            </w:r>
          </w:p>
        </w:tc>
        <w:tc>
          <w:tcPr>
            <w:tcW w:w="798" w:type="dxa"/>
          </w:tcPr>
          <w:p>
            <w:pPr>
              <w:pStyle w:val="yTable"/>
              <w:jc w:val="center"/>
              <w:rPr>
                <w:sz w:val="18"/>
              </w:rPr>
            </w:pPr>
            <w:r>
              <w:rPr>
                <w:sz w:val="18"/>
              </w:rPr>
              <w:br/>
              <w:t>86.00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18"/>
              </w:rPr>
            </w:pPr>
            <w:r>
              <w:rPr>
                <w:sz w:val="18"/>
              </w:rPr>
              <w:br/>
              <w:t>100.00</w:t>
            </w:r>
          </w:p>
        </w:tc>
        <w:tc>
          <w:tcPr>
            <w:tcW w:w="770" w:type="dxa"/>
          </w:tcPr>
          <w:p>
            <w:pPr>
              <w:pStyle w:val="yTable"/>
              <w:jc w:val="center"/>
              <w:rPr>
                <w:sz w:val="18"/>
              </w:rPr>
            </w:pPr>
            <w:r>
              <w:rPr>
                <w:sz w:val="18"/>
              </w:rPr>
              <w:br/>
              <w:t>150.00</w:t>
            </w:r>
          </w:p>
        </w:tc>
        <w:tc>
          <w:tcPr>
            <w:tcW w:w="854" w:type="dxa"/>
            <w:gridSpan w:val="2"/>
          </w:tcPr>
          <w:p>
            <w:pPr>
              <w:pStyle w:val="yTable"/>
              <w:jc w:val="center"/>
              <w:rPr>
                <w:sz w:val="18"/>
              </w:rPr>
            </w:pPr>
            <w:r>
              <w:rPr>
                <w:sz w:val="18"/>
              </w:rPr>
              <w:br/>
              <w:t>181.00</w:t>
            </w:r>
          </w:p>
        </w:tc>
        <w:tc>
          <w:tcPr>
            <w:tcW w:w="857" w:type="dxa"/>
            <w:gridSpan w:val="2"/>
          </w:tcPr>
          <w:p>
            <w:pPr>
              <w:pStyle w:val="yTable"/>
              <w:jc w:val="center"/>
              <w:rPr>
                <w:sz w:val="18"/>
              </w:rPr>
            </w:pPr>
            <w:r>
              <w:rPr>
                <w:sz w:val="18"/>
              </w:rPr>
              <w:br/>
              <w:t>271.00</w:t>
            </w:r>
          </w:p>
        </w:tc>
        <w:tc>
          <w:tcPr>
            <w:tcW w:w="783" w:type="dxa"/>
          </w:tcPr>
          <w:p>
            <w:pPr>
              <w:pStyle w:val="yTable"/>
              <w:jc w:val="center"/>
              <w:rPr>
                <w:sz w:val="18"/>
              </w:rPr>
            </w:pPr>
            <w:r>
              <w:rPr>
                <w:sz w:val="18"/>
              </w:rPr>
              <w:br/>
              <w:t>202.00</w:t>
            </w:r>
          </w:p>
        </w:tc>
        <w:tc>
          <w:tcPr>
            <w:tcW w:w="798" w:type="dxa"/>
          </w:tcPr>
          <w:p>
            <w:pPr>
              <w:pStyle w:val="yTable"/>
              <w:jc w:val="center"/>
              <w:rPr>
                <w:sz w:val="18"/>
              </w:rPr>
            </w:pPr>
            <w:r>
              <w:rPr>
                <w:sz w:val="18"/>
              </w:rPr>
              <w:br/>
              <w:t>302.00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t>58.00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t>116.00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101.00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202.00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t>145.00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t>290.00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18"/>
              </w:rPr>
            </w:pPr>
            <w:r>
              <w:rPr>
                <w:sz w:val="18"/>
              </w:rPr>
              <w:br/>
            </w:r>
            <w:r>
              <w:rPr>
                <w:sz w:val="18"/>
              </w:rPr>
              <w:br/>
            </w:r>
            <w:r>
              <w:rPr>
                <w:sz w:val="18"/>
              </w:rPr>
              <w:br/>
              <w:t>58.00</w:t>
            </w:r>
          </w:p>
        </w:tc>
        <w:tc>
          <w:tcPr>
            <w:tcW w:w="770" w:type="dxa"/>
          </w:tcPr>
          <w:p>
            <w:pPr>
              <w:pStyle w:val="yTable"/>
              <w:jc w:val="center"/>
              <w:rPr>
                <w:sz w:val="18"/>
              </w:rPr>
            </w:pPr>
            <w:r>
              <w:rPr>
                <w:sz w:val="18"/>
              </w:rPr>
              <w:br/>
            </w:r>
            <w:r>
              <w:rPr>
                <w:sz w:val="18"/>
              </w:rPr>
              <w:br/>
            </w:r>
            <w:r>
              <w:rPr>
                <w:sz w:val="18"/>
              </w:rPr>
              <w:br/>
              <w:t>116.00</w:t>
            </w:r>
          </w:p>
        </w:tc>
        <w:tc>
          <w:tcPr>
            <w:tcW w:w="854" w:type="dxa"/>
            <w:gridSpan w:val="2"/>
          </w:tcPr>
          <w:p>
            <w:pPr>
              <w:pStyle w:val="yTable"/>
              <w:jc w:val="center"/>
              <w:rPr>
                <w:sz w:val="18"/>
              </w:rPr>
            </w:pPr>
            <w:r>
              <w:rPr>
                <w:sz w:val="18"/>
              </w:rPr>
              <w:br/>
            </w:r>
            <w:r>
              <w:rPr>
                <w:sz w:val="18"/>
              </w:rPr>
              <w:br/>
            </w:r>
            <w:r>
              <w:rPr>
                <w:sz w:val="18"/>
              </w:rPr>
              <w:br/>
              <w:t>101.00</w:t>
            </w:r>
          </w:p>
        </w:tc>
        <w:tc>
          <w:tcPr>
            <w:tcW w:w="857" w:type="dxa"/>
            <w:gridSpan w:val="2"/>
          </w:tcPr>
          <w:p>
            <w:pPr>
              <w:pStyle w:val="yTable"/>
              <w:jc w:val="center"/>
              <w:rPr>
                <w:sz w:val="18"/>
              </w:rPr>
            </w:pPr>
            <w:r>
              <w:rPr>
                <w:sz w:val="18"/>
              </w:rPr>
              <w:br/>
            </w:r>
            <w:r>
              <w:rPr>
                <w:sz w:val="18"/>
              </w:rPr>
              <w:br/>
            </w:r>
            <w:r>
              <w:rPr>
                <w:sz w:val="18"/>
              </w:rPr>
              <w:br/>
              <w:t>202.00</w:t>
            </w:r>
          </w:p>
        </w:tc>
        <w:tc>
          <w:tcPr>
            <w:tcW w:w="783" w:type="dxa"/>
          </w:tcPr>
          <w:p>
            <w:pPr>
              <w:pStyle w:val="yTable"/>
              <w:jc w:val="center"/>
              <w:rPr>
                <w:sz w:val="18"/>
              </w:rPr>
            </w:pPr>
            <w:r>
              <w:rPr>
                <w:sz w:val="18"/>
              </w:rPr>
              <w:br/>
            </w:r>
            <w:r>
              <w:rPr>
                <w:sz w:val="18"/>
              </w:rPr>
              <w:br/>
            </w:r>
            <w:r>
              <w:rPr>
                <w:sz w:val="18"/>
              </w:rPr>
              <w:br/>
              <w:t>145.00</w:t>
            </w:r>
          </w:p>
        </w:tc>
        <w:tc>
          <w:tcPr>
            <w:tcW w:w="798" w:type="dxa"/>
          </w:tcPr>
          <w:p>
            <w:pPr>
              <w:pStyle w:val="yTable"/>
              <w:jc w:val="center"/>
              <w:rPr>
                <w:sz w:val="18"/>
              </w:rPr>
            </w:pPr>
            <w:r>
              <w:rPr>
                <w:sz w:val="18"/>
              </w:rPr>
              <w:br/>
            </w:r>
            <w:r>
              <w:rPr>
                <w:sz w:val="18"/>
              </w:rPr>
              <w:br/>
            </w:r>
            <w:r>
              <w:rPr>
                <w:sz w:val="18"/>
              </w:rPr>
              <w:br/>
              <w:t>290.00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53.00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79.00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64.00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96.00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86.00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18"/>
              </w:rPr>
            </w:pPr>
            <w:r>
              <w:rPr>
                <w:sz w:val="18"/>
              </w:rPr>
              <w:br/>
            </w:r>
            <w:r>
              <w:rPr>
                <w:sz w:val="18"/>
              </w:rPr>
              <w:br/>
            </w:r>
            <w:r>
              <w:rPr>
                <w:sz w:val="18"/>
              </w:rPr>
              <w:br/>
              <w:t>53.00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70" w:type="dxa"/>
          </w:tcPr>
          <w:p>
            <w:pPr>
              <w:pStyle w:val="yTable"/>
              <w:jc w:val="center"/>
              <w:rPr>
                <w:sz w:val="18"/>
              </w:rPr>
            </w:pPr>
            <w:r>
              <w:rPr>
                <w:sz w:val="18"/>
              </w:rPr>
              <w:br/>
            </w:r>
            <w:r>
              <w:rPr>
                <w:sz w:val="18"/>
              </w:rPr>
              <w:br/>
            </w:r>
            <w:r>
              <w:rPr>
                <w:sz w:val="18"/>
              </w:rPr>
              <w:br/>
              <w:t>79.00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4" w:type="dxa"/>
            <w:gridSpan w:val="2"/>
          </w:tcPr>
          <w:p>
            <w:pPr>
              <w:pStyle w:val="yTable"/>
              <w:jc w:val="center"/>
              <w:rPr>
                <w:sz w:val="18"/>
              </w:rPr>
            </w:pPr>
            <w:r>
              <w:rPr>
                <w:sz w:val="18"/>
              </w:rPr>
              <w:br/>
            </w:r>
            <w:r>
              <w:rPr>
                <w:sz w:val="18"/>
              </w:rPr>
              <w:br/>
            </w:r>
            <w:r>
              <w:rPr>
                <w:sz w:val="18"/>
              </w:rPr>
              <w:br/>
              <w:t>64.00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7" w:type="dxa"/>
            <w:gridSpan w:val="2"/>
          </w:tcPr>
          <w:p>
            <w:pPr>
              <w:pStyle w:val="yTable"/>
              <w:jc w:val="center"/>
              <w:rPr>
                <w:sz w:val="18"/>
              </w:rPr>
            </w:pPr>
            <w:r>
              <w:rPr>
                <w:sz w:val="18"/>
              </w:rPr>
              <w:br/>
            </w:r>
            <w:r>
              <w:rPr>
                <w:sz w:val="18"/>
              </w:rPr>
              <w:br/>
            </w:r>
            <w:r>
              <w:rPr>
                <w:sz w:val="18"/>
              </w:rPr>
              <w:br/>
              <w:t>96.00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83" w:type="dxa"/>
          </w:tcPr>
          <w:p>
            <w:pPr>
              <w:pStyle w:val="yTable"/>
              <w:jc w:val="center"/>
              <w:rPr>
                <w:sz w:val="18"/>
              </w:rPr>
            </w:pPr>
            <w:r>
              <w:rPr>
                <w:sz w:val="18"/>
              </w:rPr>
              <w:br/>
            </w:r>
            <w:r>
              <w:rPr>
                <w:sz w:val="18"/>
              </w:rPr>
              <w:br/>
            </w:r>
            <w:r>
              <w:rPr>
                <w:sz w:val="18"/>
              </w:rPr>
              <w:br/>
              <w:t>86.00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98" w:type="dxa"/>
          </w:tcPr>
          <w:p>
            <w:pPr>
              <w:pStyle w:val="yTable"/>
              <w:jc w:val="center"/>
              <w:rPr>
                <w:sz w:val="18"/>
              </w:rPr>
            </w:pPr>
            <w:r>
              <w:rPr>
                <w:sz w:val="18"/>
              </w:rPr>
              <w:br/>
            </w:r>
            <w:r>
              <w:rPr>
                <w:sz w:val="18"/>
              </w:rPr>
              <w:br/>
            </w:r>
            <w:r>
              <w:rPr>
                <w:sz w:val="18"/>
              </w:rPr>
              <w:br/>
              <w:t>129.00</w:t>
            </w:r>
          </w:p>
          <w:p>
            <w:pPr>
              <w:pStyle w:val="yTable"/>
              <w:spacing w:before="0"/>
              <w:jc w:val="center"/>
              <w:rPr>
                <w:sz w:val="18"/>
              </w:rPr>
            </w:pPr>
            <w:r>
              <w:rPr>
                <w:sz w:val="18"/>
              </w:rPr>
              <w:br/>
            </w:r>
            <w:r>
              <w:rPr>
                <w:sz w:val="18"/>
              </w:rPr>
              <w:br/>
            </w:r>
            <w:r>
              <w:rPr>
                <w:sz w:val="18"/>
              </w:rPr>
              <w:br/>
            </w:r>
            <w:r>
              <w:rPr>
                <w:sz w:val="18"/>
              </w:rPr>
              <w:br/>
            </w:r>
            <w:r>
              <w:rPr>
                <w:sz w:val="18"/>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Borders>
              <w:top w:val="single" w:sz="4" w:space="0" w:color="auto"/>
            </w:tcBorders>
          </w:tcPr>
          <w:p>
            <w:pPr>
              <w:pStyle w:val="yTable"/>
              <w:jc w:val="center"/>
              <w:rPr>
                <w:sz w:val="18"/>
              </w:rPr>
            </w:pPr>
            <w:r>
              <w:rPr>
                <w:sz w:val="18"/>
              </w:rPr>
              <w:t>9.</w:t>
            </w:r>
          </w:p>
        </w:tc>
        <w:tc>
          <w:tcPr>
            <w:tcW w:w="4824" w:type="dxa"/>
            <w:tcBorders>
              <w:top w:val="single" w:sz="4" w:space="0" w:color="auto"/>
            </w:tcBorders>
          </w:tcPr>
          <w:p>
            <w:pPr>
              <w:pStyle w:val="yTable"/>
              <w:rPr>
                <w:sz w:val="18"/>
              </w:rPr>
            </w:pPr>
            <w:r>
              <w:rPr>
                <w:sz w:val="18"/>
              </w:rPr>
              <w:t>For the execution of an arrest warrant of any kind</w:t>
            </w:r>
          </w:p>
        </w:tc>
        <w:tc>
          <w:tcPr>
            <w:tcW w:w="1581" w:type="dxa"/>
            <w:tcBorders>
              <w:top w:val="single" w:sz="4" w:space="0" w:color="auto"/>
            </w:tcBorders>
          </w:tcPr>
          <w:p>
            <w:pPr>
              <w:pStyle w:val="yTable"/>
              <w:ind w:right="485"/>
              <w:jc w:val="right"/>
              <w:rPr>
                <w:sz w:val="18"/>
              </w:rPr>
            </w:pPr>
            <w:r>
              <w:rPr>
                <w:sz w:val="18"/>
              </w:rPr>
              <w:t>136.00</w:t>
            </w:r>
          </w:p>
        </w:tc>
      </w:tr>
      <w:tr>
        <w:trPr>
          <w:cantSplit/>
        </w:trPr>
        <w:tc>
          <w:tcPr>
            <w:tcW w:w="7086" w:type="dxa"/>
            <w:gridSpan w:val="3"/>
          </w:tcPr>
          <w:p>
            <w:pPr>
              <w:pStyle w:val="yTable"/>
              <w:rPr>
                <w:sz w:val="18"/>
              </w:rPr>
            </w:pPr>
            <w:r>
              <w:rPr>
                <w:sz w:val="18"/>
              </w:rPr>
              <w:t>NOTE 1</w:t>
            </w:r>
          </w:p>
          <w:p>
            <w:pPr>
              <w:pStyle w:val="yTable"/>
              <w:spacing w:before="0"/>
              <w:rPr>
                <w:sz w:val="18"/>
              </w:rPr>
            </w:pPr>
            <w:r>
              <w:rPr>
                <w:sz w:val="18"/>
              </w:rPr>
              <w:t xml:space="preserve">The fee includes all duties associated with executing an arrest warrant including — </w:t>
            </w:r>
          </w:p>
          <w:p>
            <w:pPr>
              <w:pStyle w:val="yTable"/>
              <w:tabs>
                <w:tab w:val="left" w:pos="431"/>
              </w:tabs>
              <w:spacing w:before="0"/>
              <w:ind w:left="431" w:right="-68" w:hanging="425"/>
              <w:rPr>
                <w:sz w:val="18"/>
              </w:rPr>
            </w:pPr>
            <w:r>
              <w:rPr>
                <w:sz w:val="18"/>
              </w:rPr>
              <w:t>(a)</w:t>
            </w:r>
            <w:r>
              <w:rPr>
                <w:sz w:val="18"/>
              </w:rPr>
              <w:tab/>
              <w:t>arresting the person;</w:t>
            </w:r>
          </w:p>
          <w:p>
            <w:pPr>
              <w:pStyle w:val="yTable"/>
              <w:tabs>
                <w:tab w:val="left" w:pos="431"/>
              </w:tabs>
              <w:spacing w:before="0"/>
              <w:ind w:left="431" w:right="-68" w:hanging="425"/>
              <w:rPr>
                <w:sz w:val="18"/>
              </w:rPr>
            </w:pPr>
            <w:r>
              <w:rPr>
                <w:sz w:val="18"/>
              </w:rPr>
              <w:t>(b)</w:t>
            </w:r>
            <w:r>
              <w:rPr>
                <w:sz w:val="18"/>
              </w:rPr>
              <w:tab/>
              <w:t>conveying the person to a Court or a custodial place;</w:t>
            </w:r>
          </w:p>
          <w:p>
            <w:pPr>
              <w:pStyle w:val="yTable"/>
              <w:tabs>
                <w:tab w:val="left" w:pos="431"/>
              </w:tabs>
              <w:spacing w:before="0"/>
              <w:ind w:left="431" w:right="-68" w:hanging="425"/>
              <w:rPr>
                <w:sz w:val="18"/>
              </w:rPr>
            </w:pPr>
            <w:r>
              <w:rPr>
                <w:sz w:val="18"/>
              </w:rPr>
              <w:t>(c)</w:t>
            </w:r>
            <w:r>
              <w:rPr>
                <w:sz w:val="18"/>
              </w:rPr>
              <w:tab/>
              <w:t>ongoing custody of the person;</w:t>
            </w:r>
          </w:p>
          <w:p>
            <w:pPr>
              <w:pStyle w:val="yTable"/>
              <w:tabs>
                <w:tab w:val="left" w:pos="431"/>
              </w:tabs>
              <w:spacing w:before="0"/>
              <w:ind w:left="431" w:right="-68" w:hanging="425"/>
              <w:rPr>
                <w:sz w:val="18"/>
              </w:rPr>
            </w:pPr>
            <w:r>
              <w:rPr>
                <w:sz w:val="18"/>
              </w:rPr>
              <w:t>(d)</w:t>
            </w:r>
            <w:r>
              <w:rPr>
                <w:sz w:val="18"/>
              </w:rPr>
              <w:tab/>
              <w:t>releasing the person from arrest.</w:t>
            </w:r>
          </w:p>
          <w:p>
            <w:pPr>
              <w:pStyle w:val="yTable"/>
              <w:rPr>
                <w:sz w:val="18"/>
              </w:rPr>
            </w:pPr>
            <w:r>
              <w:rPr>
                <w:sz w:val="18"/>
              </w:rPr>
              <w:t>NOTE 2</w:t>
            </w:r>
          </w:p>
          <w:p>
            <w:pPr>
              <w:pStyle w:val="yTable"/>
              <w:spacing w:before="0"/>
              <w:rPr>
                <w:sz w:val="18"/>
              </w:rPr>
            </w:pPr>
            <w:r>
              <w:rPr>
                <w:sz w:val="18"/>
              </w:rPr>
              <w:t>This fee covers up to 2½ hours of a bailiff’s time.  If in any case the execution of the warrant exceeds 2½ hours, the Court may grant the bailiff an additional allowance.</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18"/>
              </w:rPr>
            </w:pPr>
            <w:r>
              <w:rPr>
                <w:sz w:val="18"/>
              </w:rPr>
              <w:br/>
              <w:t>161.00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63.00</w:t>
            </w:r>
          </w:p>
        </w:tc>
      </w:tr>
    </w:tbl>
    <w:p>
      <w:pPr>
        <w:pStyle w:val="yHeading3"/>
        <w:spacing w:after="240"/>
      </w:pPr>
      <w:bookmarkStart w:id="100" w:name="_Toc100631334"/>
      <w:bookmarkStart w:id="101" w:name="_Toc102451463"/>
      <w:r>
        <w:rPr>
          <w:rStyle w:val="CharSDivNo"/>
        </w:rPr>
        <w:t>Division 3</w:t>
      </w:r>
      <w:r>
        <w:rPr>
          <w:b w:val="0"/>
        </w:rPr>
        <w:t> — </w:t>
      </w:r>
      <w:r>
        <w:rPr>
          <w:rStyle w:val="CharSDivText"/>
        </w:rPr>
        <w:t>Criminal jurisdiction</w:t>
      </w:r>
      <w:bookmarkEnd w:id="100"/>
      <w:bookmarkEnd w:id="101"/>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53.00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10.00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53.00</w:t>
            </w:r>
          </w:p>
          <w:p>
            <w:pPr>
              <w:pStyle w:val="yTable"/>
              <w:jc w:val="center"/>
              <w:rPr>
                <w:sz w:val="20"/>
              </w:rPr>
            </w:pPr>
            <w:r>
              <w:rPr>
                <w:sz w:val="20"/>
              </w:rPr>
              <w:t>69.00</w:t>
            </w:r>
          </w:p>
        </w:tc>
      </w:tr>
    </w:tbl>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02" w:name="_Toc100631335"/>
    </w:p>
    <w:p>
      <w:pPr>
        <w:pStyle w:val="yScheduleHeading"/>
      </w:pPr>
      <w:bookmarkStart w:id="103" w:name="_Toc102451464"/>
      <w:r>
        <w:rPr>
          <w:rStyle w:val="CharSchNo"/>
        </w:rPr>
        <w:t>Schedule 2</w:t>
      </w:r>
      <w:r>
        <w:rPr>
          <w:rStyle w:val="CharSDivNo"/>
        </w:rPr>
        <w:t> </w:t>
      </w:r>
      <w:r>
        <w:t>—</w:t>
      </w:r>
      <w:r>
        <w:rPr>
          <w:rStyle w:val="CharSDivText"/>
        </w:rPr>
        <w:t> </w:t>
      </w:r>
      <w:r>
        <w:rPr>
          <w:rStyle w:val="CharSchText"/>
        </w:rPr>
        <w:t>Forms</w:t>
      </w:r>
      <w:bookmarkEnd w:id="102"/>
      <w:bookmarkEnd w:id="103"/>
    </w:p>
    <w:p>
      <w:pPr>
        <w:pStyle w:val="yShoulderClause"/>
      </w:pPr>
      <w:r>
        <w:t>[r. 4(6), 8(6), 13(2)]</w:t>
      </w:r>
    </w:p>
    <w:p>
      <w:pPr>
        <w:pStyle w:val="yHeading5"/>
      </w:pPr>
      <w:bookmarkStart w:id="104" w:name="_Toc96398510"/>
      <w:bookmarkStart w:id="105" w:name="_Toc96417044"/>
      <w:bookmarkStart w:id="106" w:name="_Toc100631336"/>
      <w:bookmarkStart w:id="107" w:name="_Toc102451465"/>
      <w:r>
        <w:rPr>
          <w:rStyle w:val="CharSClsNo"/>
        </w:rPr>
        <w:t>1</w:t>
      </w:r>
      <w:r>
        <w:t>.</w:t>
      </w:r>
      <w:r>
        <w:tab/>
        <w:t>Declaration that a person is a small business or a non</w:t>
      </w:r>
      <w:r>
        <w:noBreakHyphen/>
        <w:t>profit association</w:t>
      </w:r>
      <w:bookmarkEnd w:id="104"/>
      <w:bookmarkEnd w:id="105"/>
      <w:bookmarkEnd w:id="106"/>
      <w:bookmarkEnd w:id="107"/>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08" w:name="_Toc96398511"/>
      <w:bookmarkStart w:id="109" w:name="_Toc96417045"/>
      <w:bookmarkStart w:id="110" w:name="_Toc100631337"/>
      <w:bookmarkStart w:id="111" w:name="_Toc102451466"/>
      <w:r>
        <w:rPr>
          <w:rStyle w:val="CharSClsNo"/>
        </w:rPr>
        <w:t>2</w:t>
      </w:r>
      <w:r>
        <w:t>.</w:t>
      </w:r>
      <w:r>
        <w:tab/>
        <w:t>Application to remit fees</w:t>
      </w:r>
      <w:bookmarkEnd w:id="108"/>
      <w:bookmarkEnd w:id="109"/>
      <w:bookmarkEnd w:id="110"/>
      <w:bookmarkEnd w:id="11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12" w:name="_Toc100631338"/>
      <w:bookmarkStart w:id="113" w:name="_Toc102451467"/>
      <w:r>
        <w:rPr>
          <w:rStyle w:val="CharSClsNo"/>
        </w:rPr>
        <w:t>3</w:t>
      </w:r>
      <w:r>
        <w:t>.</w:t>
      </w:r>
      <w:r>
        <w:tab/>
        <w:t>Application for determination of dispute about fees</w:t>
      </w:r>
      <w:bookmarkEnd w:id="112"/>
      <w:bookmarkEnd w:id="11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4" w:name="_Toc102451468"/>
      <w:r>
        <w:t>Notes</w:t>
      </w:r>
      <w:bookmarkEnd w:id="114"/>
    </w:p>
    <w:p>
      <w:pPr>
        <w:pStyle w:val="nSubsection"/>
        <w:rPr>
          <w:snapToGrid w:val="0"/>
        </w:rPr>
      </w:pPr>
      <w:r>
        <w:rPr>
          <w:snapToGrid w:val="0"/>
          <w:vertAlign w:val="superscript"/>
        </w:rPr>
        <w:t>1</w:t>
      </w:r>
      <w:r>
        <w:rPr>
          <w:snapToGrid w:val="0"/>
        </w:rPr>
        <w:tab/>
        <w:t xml:space="preserve">This is a compilation of the </w:t>
      </w:r>
      <w:r>
        <w:rPr>
          <w:i/>
        </w:rPr>
        <w:t>Magistrates Court (Fees) Regulations 2005.</w:t>
      </w:r>
      <w:r>
        <w:t xml:space="preserve">  </w:t>
      </w:r>
      <w:r>
        <w:rPr>
          <w:snapToGrid w:val="0"/>
        </w:rPr>
        <w:t>The following table contains information about that regulation.</w:t>
      </w:r>
    </w:p>
    <w:p>
      <w:pPr>
        <w:pStyle w:val="nHeading3"/>
      </w:pPr>
      <w:bookmarkStart w:id="115" w:name="_Toc70311430"/>
      <w:bookmarkStart w:id="116" w:name="_Toc102451469"/>
      <w:r>
        <w:t>Compilation table</w:t>
      </w:r>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sz w:val="19"/>
              </w:rPr>
              <w:t>Magistrates Court (Fees) Regulations 2005</w:t>
            </w:r>
          </w:p>
        </w:tc>
        <w:tc>
          <w:tcPr>
            <w:tcW w:w="1276" w:type="dxa"/>
            <w:tcBorders>
              <w:top w:val="single" w:sz="8" w:space="0" w:color="auto"/>
              <w:bottom w:val="single" w:sz="4" w:space="0" w:color="auto"/>
            </w:tcBorders>
          </w:tcPr>
          <w:p>
            <w:pPr>
              <w:pStyle w:val="nTable"/>
              <w:rPr>
                <w:sz w:val="19"/>
              </w:rPr>
            </w:pPr>
            <w:r>
              <w:rPr>
                <w:sz w:val="19"/>
              </w:rPr>
              <w:t>28 Apr 2005 p. 1573-603</w:t>
            </w:r>
          </w:p>
        </w:tc>
        <w:tc>
          <w:tcPr>
            <w:tcW w:w="2693" w:type="dxa"/>
            <w:tcBorders>
              <w:top w:val="single" w:sz="8" w:space="0" w:color="auto"/>
              <w:bottom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Criminal jurisdiction</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42E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4008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10F9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E04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FD8BB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06C25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8C63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341B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5CCF9E"/>
    <w:lvl w:ilvl="0">
      <w:start w:val="1"/>
      <w:numFmt w:val="decimal"/>
      <w:pStyle w:val="ListNumber"/>
      <w:lvlText w:val="%1."/>
      <w:lvlJc w:val="left"/>
      <w:pPr>
        <w:tabs>
          <w:tab w:val="num" w:pos="360"/>
        </w:tabs>
        <w:ind w:left="360" w:hanging="360"/>
      </w:pPr>
    </w:lvl>
  </w:abstractNum>
  <w:abstractNum w:abstractNumId="9">
    <w:nsid w:val="FFFFFF89"/>
    <w:multiLevelType w:val="singleLevel"/>
    <w:tmpl w:val="2C1A5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EE46A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C7E95C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6075</Words>
  <Characters>31591</Characters>
  <Application>Microsoft Office Word</Application>
  <DocSecurity>0</DocSecurity>
  <Lines>1504</Lines>
  <Paragraphs>768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Fees</vt:lpstr>
      <vt:lpstr>        Division 1 — General</vt:lpstr>
      <vt:lpstr>        Division 2 — Civil jurisdiction</vt:lpstr>
      <vt:lpstr>        Division 3 — Criminal jurisdiction</vt:lpstr>
      <vt:lpstr>    </vt:lpstr>
      <vt:lpstr>    Schedule 2 — Forms</vt:lpstr>
      <vt:lpstr>    Notes</vt:lpstr>
    </vt:vector>
  </TitlesOfParts>
  <Manager/>
  <Company/>
  <LinksUpToDate>false</LinksUpToDate>
  <CharactersWithSpaces>36898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2005 - 00-a0-03</dc:title>
  <dc:subject/>
  <dc:creator/>
  <cp:keywords/>
  <dc:description/>
  <cp:lastModifiedBy>svcMRProcess</cp:lastModifiedBy>
  <cp:revision>4</cp:revision>
  <cp:lastPrinted>2005-04-06T23:51:00Z</cp:lastPrinted>
  <dcterms:created xsi:type="dcterms:W3CDTF">2018-09-12T15:18:00Z</dcterms:created>
  <dcterms:modified xsi:type="dcterms:W3CDTF">2018-09-12T15:18:00Z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20050501</vt:lpwstr>
  </property>
  <property fmtid="{D5CDD505-2E9C-101B-9397-08002B2CF9AE}" pid="4" name="DocumentType">
    <vt:lpwstr>Reg</vt:lpwstr>
  </property>
  <property fmtid="{D5CDD505-2E9C-101B-9397-08002B2CF9AE}" pid="5" name="OwlsUID">
    <vt:i4>37120</vt:i4>
  </property>
  <property fmtid="{D5CDD505-2E9C-101B-9397-08002B2CF9AE}" pid="6" name="AsAtDate">
    <vt:lpwstr>01 May 2005</vt:lpwstr>
  </property>
  <property fmtid="{D5CDD505-2E9C-101B-9397-08002B2CF9AE}" pid="7" name="Suffix">
    <vt:lpwstr>00-a0-03</vt:lpwstr>
  </property>
</Properties>
</file>