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8FE" w:rsidRDefault="008C3DC0">
      <w:pPr>
        <w:pStyle w:val="WA"/>
      </w:pPr>
      <w:bookmarkStart w:id="0" w:name="_GoBack"/>
      <w:bookmarkEnd w:id="0"/>
      <w:r>
        <w:t>Western Australia</w:t>
      </w:r>
    </w:p>
    <w:p w:rsidR="002D48FE" w:rsidRDefault="008C3DC0">
      <w:pPr>
        <w:pStyle w:val="NameofActRegPage1"/>
        <w:spacing w:before="3760" w:after="4200"/>
      </w:pPr>
      <w:r>
        <w:fldChar w:fldCharType="begin"/>
      </w:r>
      <w:r>
        <w:instrText xml:space="preserve"> STYLEREF "Name Of Act/Reg"</w:instrText>
      </w:r>
      <w:r>
        <w:fldChar w:fldCharType="separate"/>
      </w:r>
      <w:r w:rsidR="002E5A1F">
        <w:rPr>
          <w:noProof/>
        </w:rPr>
        <w:t>Optometrists Regulations 2006</w:t>
      </w:r>
      <w:r>
        <w:fldChar w:fldCharType="end"/>
      </w:r>
    </w:p>
    <w:p w:rsidR="002D48FE" w:rsidRDefault="002D48FE">
      <w:pPr>
        <w:jc w:val="center"/>
        <w:rPr>
          <w:b/>
        </w:rPr>
        <w:sectPr w:rsidR="002D48F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D48FE" w:rsidRDefault="008C3DC0">
      <w:pPr>
        <w:pStyle w:val="WA"/>
      </w:pPr>
      <w:r>
        <w:lastRenderedPageBreak/>
        <w:t>Western Australia</w:t>
      </w:r>
    </w:p>
    <w:p w:rsidR="002D48FE" w:rsidRDefault="008C3DC0">
      <w:pPr>
        <w:pStyle w:val="NameofActRegPage1"/>
      </w:pPr>
      <w:r>
        <w:fldChar w:fldCharType="begin"/>
      </w:r>
      <w:r>
        <w:instrText xml:space="preserve"> STYLEREF "Name Of Act/Reg"</w:instrText>
      </w:r>
      <w:r>
        <w:fldChar w:fldCharType="separate"/>
      </w:r>
      <w:r w:rsidR="002E5A1F">
        <w:rPr>
          <w:noProof/>
        </w:rPr>
        <w:t>Optometrists Regulations 2006</w:t>
      </w:r>
      <w:r>
        <w:fldChar w:fldCharType="end"/>
      </w:r>
    </w:p>
    <w:p w:rsidR="002D48FE" w:rsidRDefault="008C3DC0">
      <w:pPr>
        <w:pStyle w:val="Arrangement"/>
      </w:pPr>
      <w:r>
        <w:t>CONTENTS</w:t>
      </w:r>
    </w:p>
    <w:p w:rsidR="002D48FE" w:rsidRDefault="008C3DC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_Toc165453314 \h </w:instrText>
      </w:r>
      <w:r>
        <w:fldChar w:fldCharType="separate"/>
      </w:r>
      <w:r w:rsidR="002E5A1F">
        <w:t>1</w:t>
      </w:r>
      <w:r>
        <w:fldChar w:fldCharType="end"/>
      </w:r>
    </w:p>
    <w:p w:rsidR="002D48FE" w:rsidRDefault="008C3DC0">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_Toc165453315 \h </w:instrText>
      </w:r>
      <w:r>
        <w:fldChar w:fldCharType="separate"/>
      </w:r>
      <w:r w:rsidR="002E5A1F">
        <w:t>1</w:t>
      </w:r>
      <w:r>
        <w:fldChar w:fldCharType="end"/>
      </w:r>
    </w:p>
    <w:p w:rsidR="002D48FE" w:rsidRDefault="008C3DC0">
      <w:pPr>
        <w:pStyle w:val="TOC8"/>
        <w:rPr>
          <w:sz w:val="24"/>
          <w:szCs w:val="24"/>
        </w:rPr>
      </w:pPr>
      <w:r>
        <w:rPr>
          <w:szCs w:val="24"/>
        </w:rPr>
        <w:t>3.</w:t>
      </w:r>
      <w:r>
        <w:rPr>
          <w:szCs w:val="24"/>
        </w:rPr>
        <w:tab/>
        <w:t>Criminal record screening</w:t>
      </w:r>
      <w:r>
        <w:tab/>
      </w:r>
      <w:r>
        <w:fldChar w:fldCharType="begin"/>
      </w:r>
      <w:r>
        <w:instrText xml:space="preserve"> PAGEREF _Toc165453316 \h </w:instrText>
      </w:r>
      <w:r>
        <w:fldChar w:fldCharType="separate"/>
      </w:r>
      <w:r w:rsidR="002E5A1F">
        <w:t>1</w:t>
      </w:r>
      <w:r>
        <w:fldChar w:fldCharType="end"/>
      </w:r>
    </w:p>
    <w:p w:rsidR="002D48FE" w:rsidRDefault="008C3DC0">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_Toc165453317 \h </w:instrText>
      </w:r>
      <w:r>
        <w:fldChar w:fldCharType="separate"/>
      </w:r>
      <w:r w:rsidR="002E5A1F">
        <w:t>1</w:t>
      </w:r>
      <w:r>
        <w:fldChar w:fldCharType="end"/>
      </w:r>
    </w:p>
    <w:p w:rsidR="002D48FE" w:rsidRDefault="008C3DC0">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_Toc165453318 \h </w:instrText>
      </w:r>
      <w:r>
        <w:fldChar w:fldCharType="separate"/>
      </w:r>
      <w:r w:rsidR="002E5A1F">
        <w:t>2</w:t>
      </w:r>
      <w:r>
        <w:fldChar w:fldCharType="end"/>
      </w:r>
    </w:p>
    <w:p w:rsidR="002D48FE" w:rsidRDefault="008C3DC0">
      <w:pPr>
        <w:pStyle w:val="TOC8"/>
        <w:rPr>
          <w:sz w:val="24"/>
          <w:szCs w:val="24"/>
        </w:rPr>
      </w:pPr>
      <w:r>
        <w:rPr>
          <w:szCs w:val="24"/>
        </w:rPr>
        <w:t>6.</w:t>
      </w:r>
      <w:r>
        <w:rPr>
          <w:szCs w:val="24"/>
        </w:rPr>
        <w:tab/>
        <w:t>Day on which fee falls due under section 34(1)</w:t>
      </w:r>
      <w:r>
        <w:tab/>
      </w:r>
      <w:r>
        <w:fldChar w:fldCharType="begin"/>
      </w:r>
      <w:r>
        <w:instrText xml:space="preserve"> PAGEREF _Toc165453319 \h </w:instrText>
      </w:r>
      <w:r>
        <w:fldChar w:fldCharType="separate"/>
      </w:r>
      <w:r w:rsidR="002E5A1F">
        <w:t>2</w:t>
      </w:r>
      <w:r>
        <w:fldChar w:fldCharType="end"/>
      </w:r>
    </w:p>
    <w:p w:rsidR="002D48FE" w:rsidRDefault="008C3DC0">
      <w:pPr>
        <w:pStyle w:val="TOC8"/>
        <w:rPr>
          <w:sz w:val="24"/>
          <w:szCs w:val="24"/>
        </w:rPr>
      </w:pPr>
      <w:r>
        <w:rPr>
          <w:szCs w:val="24"/>
        </w:rPr>
        <w:t>7.</w:t>
      </w:r>
      <w:r>
        <w:rPr>
          <w:szCs w:val="24"/>
        </w:rPr>
        <w:tab/>
        <w:t>Prescribed information under section 36(g)</w:t>
      </w:r>
      <w:r>
        <w:tab/>
      </w:r>
      <w:r>
        <w:fldChar w:fldCharType="begin"/>
      </w:r>
      <w:r>
        <w:instrText xml:space="preserve"> PAGEREF _Toc165453320 \h </w:instrText>
      </w:r>
      <w:r>
        <w:fldChar w:fldCharType="separate"/>
      </w:r>
      <w:r w:rsidR="002E5A1F">
        <w:t>2</w:t>
      </w:r>
      <w:r>
        <w:fldChar w:fldCharType="end"/>
      </w:r>
    </w:p>
    <w:p w:rsidR="002D48FE" w:rsidRDefault="008C3DC0">
      <w:pPr>
        <w:pStyle w:val="TOC8"/>
        <w:rPr>
          <w:sz w:val="24"/>
          <w:szCs w:val="24"/>
        </w:rPr>
      </w:pPr>
      <w:r>
        <w:rPr>
          <w:szCs w:val="24"/>
        </w:rPr>
        <w:t>8.</w:t>
      </w:r>
      <w:r>
        <w:rPr>
          <w:szCs w:val="24"/>
        </w:rPr>
        <w:tab/>
        <w:t>Amendment of particulars</w:t>
      </w:r>
      <w:r>
        <w:tab/>
      </w:r>
      <w:r>
        <w:fldChar w:fldCharType="begin"/>
      </w:r>
      <w:r>
        <w:instrText xml:space="preserve"> PAGEREF _Toc165453321 \h </w:instrText>
      </w:r>
      <w:r>
        <w:fldChar w:fldCharType="separate"/>
      </w:r>
      <w:r w:rsidR="002E5A1F">
        <w:t>2</w:t>
      </w:r>
      <w:r>
        <w:fldChar w:fldCharType="end"/>
      </w:r>
    </w:p>
    <w:p w:rsidR="002D48FE" w:rsidRDefault="008C3DC0">
      <w:pPr>
        <w:pStyle w:val="TOC8"/>
        <w:rPr>
          <w:sz w:val="24"/>
          <w:szCs w:val="24"/>
        </w:rPr>
      </w:pPr>
      <w:r>
        <w:rPr>
          <w:szCs w:val="24"/>
        </w:rPr>
        <w:t>9.</w:t>
      </w:r>
      <w:r>
        <w:rPr>
          <w:szCs w:val="24"/>
        </w:rPr>
        <w:tab/>
        <w:t>Change of name</w:t>
      </w:r>
      <w:r>
        <w:tab/>
      </w:r>
      <w:r>
        <w:fldChar w:fldCharType="begin"/>
      </w:r>
      <w:r>
        <w:instrText xml:space="preserve"> PAGEREF _Toc165453322 \h </w:instrText>
      </w:r>
      <w:r>
        <w:fldChar w:fldCharType="separate"/>
      </w:r>
      <w:r w:rsidR="002E5A1F">
        <w:t>3</w:t>
      </w:r>
      <w:r>
        <w:fldChar w:fldCharType="end"/>
      </w:r>
    </w:p>
    <w:p w:rsidR="002D48FE" w:rsidRDefault="008C3DC0">
      <w:pPr>
        <w:pStyle w:val="TOC8"/>
        <w:rPr>
          <w:sz w:val="24"/>
          <w:szCs w:val="24"/>
        </w:rPr>
      </w:pPr>
      <w:r>
        <w:rPr>
          <w:szCs w:val="24"/>
        </w:rPr>
        <w:t>10.</w:t>
      </w:r>
      <w:r>
        <w:rPr>
          <w:szCs w:val="24"/>
        </w:rPr>
        <w:tab/>
        <w:t>Complaints to the complaints assessment committee</w:t>
      </w:r>
      <w:r>
        <w:tab/>
      </w:r>
      <w:r>
        <w:fldChar w:fldCharType="begin"/>
      </w:r>
      <w:r>
        <w:instrText xml:space="preserve"> PAGEREF _Toc165453323 \h </w:instrText>
      </w:r>
      <w:r>
        <w:fldChar w:fldCharType="separate"/>
      </w:r>
      <w:r w:rsidR="002E5A1F">
        <w:t>3</w:t>
      </w:r>
      <w:r>
        <w:fldChar w:fldCharType="end"/>
      </w:r>
    </w:p>
    <w:p w:rsidR="002D48FE" w:rsidRDefault="008C3DC0">
      <w:pPr>
        <w:pStyle w:val="TOC8"/>
        <w:rPr>
          <w:sz w:val="24"/>
          <w:szCs w:val="24"/>
        </w:rPr>
      </w:pPr>
      <w:r>
        <w:rPr>
          <w:szCs w:val="24"/>
        </w:rPr>
        <w:t>11.</w:t>
      </w:r>
      <w:r>
        <w:rPr>
          <w:szCs w:val="24"/>
        </w:rPr>
        <w:tab/>
        <w:t>Appointment of a conciliator</w:t>
      </w:r>
      <w:r>
        <w:tab/>
      </w:r>
      <w:r>
        <w:fldChar w:fldCharType="begin"/>
      </w:r>
      <w:r>
        <w:instrText xml:space="preserve"> PAGEREF _Toc165453324 \h </w:instrText>
      </w:r>
      <w:r>
        <w:fldChar w:fldCharType="separate"/>
      </w:r>
      <w:r w:rsidR="002E5A1F">
        <w:t>3</w:t>
      </w:r>
      <w:r>
        <w:fldChar w:fldCharType="end"/>
      </w:r>
    </w:p>
    <w:p w:rsidR="002D48FE" w:rsidRDefault="008C3DC0">
      <w:pPr>
        <w:pStyle w:val="TOC8"/>
        <w:rPr>
          <w:sz w:val="24"/>
          <w:szCs w:val="24"/>
        </w:rPr>
      </w:pPr>
      <w:r>
        <w:rPr>
          <w:szCs w:val="24"/>
        </w:rPr>
        <w:t>12.</w:t>
      </w:r>
      <w:r>
        <w:rPr>
          <w:szCs w:val="24"/>
        </w:rPr>
        <w:tab/>
        <w:t>Advertising</w:t>
      </w:r>
      <w:r>
        <w:tab/>
      </w:r>
      <w:r>
        <w:fldChar w:fldCharType="begin"/>
      </w:r>
      <w:r>
        <w:instrText xml:space="preserve"> PAGEREF _Toc165453325 \h </w:instrText>
      </w:r>
      <w:r>
        <w:fldChar w:fldCharType="separate"/>
      </w:r>
      <w:r w:rsidR="002E5A1F">
        <w:t>4</w:t>
      </w:r>
      <w:r>
        <w:fldChar w:fldCharType="end"/>
      </w:r>
    </w:p>
    <w:p w:rsidR="002D48FE" w:rsidRDefault="008C3DC0">
      <w:pPr>
        <w:pStyle w:val="TOC8"/>
        <w:rPr>
          <w:sz w:val="24"/>
          <w:szCs w:val="24"/>
        </w:rPr>
      </w:pPr>
      <w:r>
        <w:rPr>
          <w:szCs w:val="24"/>
        </w:rPr>
        <w:t>13.</w:t>
      </w:r>
      <w:r>
        <w:rPr>
          <w:szCs w:val="24"/>
        </w:rPr>
        <w:tab/>
        <w:t>Proceedings valid despite notice irregularities</w:t>
      </w:r>
      <w:r>
        <w:tab/>
      </w:r>
      <w:r>
        <w:fldChar w:fldCharType="begin"/>
      </w:r>
      <w:r>
        <w:instrText xml:space="preserve"> PAGEREF _Toc165453326 \h </w:instrText>
      </w:r>
      <w:r>
        <w:fldChar w:fldCharType="separate"/>
      </w:r>
      <w:r w:rsidR="002E5A1F">
        <w:t>4</w:t>
      </w:r>
      <w:r>
        <w:fldChar w:fldCharType="end"/>
      </w:r>
    </w:p>
    <w:p w:rsidR="002D48FE" w:rsidRDefault="008C3DC0">
      <w:pPr>
        <w:pStyle w:val="TOC8"/>
        <w:rPr>
          <w:sz w:val="24"/>
          <w:szCs w:val="24"/>
        </w:rPr>
      </w:pPr>
      <w:r>
        <w:rPr>
          <w:szCs w:val="24"/>
        </w:rPr>
        <w:t>14.</w:t>
      </w:r>
      <w:r>
        <w:rPr>
          <w:szCs w:val="24"/>
        </w:rPr>
        <w:tab/>
        <w:t>Fees</w:t>
      </w:r>
      <w:r>
        <w:tab/>
      </w:r>
      <w:r>
        <w:fldChar w:fldCharType="begin"/>
      </w:r>
      <w:r>
        <w:instrText xml:space="preserve"> PAGEREF _Toc165453327 \h </w:instrText>
      </w:r>
      <w:r>
        <w:fldChar w:fldCharType="separate"/>
      </w:r>
      <w:r w:rsidR="002E5A1F">
        <w:t>4</w:t>
      </w:r>
      <w:r>
        <w:fldChar w:fldCharType="end"/>
      </w:r>
    </w:p>
    <w:p w:rsidR="002D48FE" w:rsidRDefault="008C3DC0">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_Toc165453328 \h </w:instrText>
      </w:r>
      <w:r>
        <w:fldChar w:fldCharType="separate"/>
      </w:r>
      <w:r w:rsidR="002E5A1F">
        <w:t>4</w:t>
      </w:r>
      <w:r>
        <w:fldChar w:fldCharType="end"/>
      </w:r>
    </w:p>
    <w:p w:rsidR="002D48FE" w:rsidRDefault="008C3DC0">
      <w:pPr>
        <w:pStyle w:val="TOC8"/>
        <w:rPr>
          <w:sz w:val="24"/>
          <w:szCs w:val="24"/>
        </w:rPr>
      </w:pPr>
      <w:r>
        <w:rPr>
          <w:szCs w:val="24"/>
        </w:rPr>
        <w:t>16.</w:t>
      </w:r>
      <w:r>
        <w:rPr>
          <w:szCs w:val="24"/>
        </w:rPr>
        <w:tab/>
        <w:t>Reduction, waiver or refund of fees</w:t>
      </w:r>
      <w:r>
        <w:tab/>
      </w:r>
      <w:r>
        <w:fldChar w:fldCharType="begin"/>
      </w:r>
      <w:r>
        <w:instrText xml:space="preserve"> PAGEREF _Toc165453329 \h </w:instrText>
      </w:r>
      <w:r>
        <w:fldChar w:fldCharType="separate"/>
      </w:r>
      <w:r w:rsidR="002E5A1F">
        <w:t>5</w:t>
      </w:r>
      <w:r>
        <w:fldChar w:fldCharType="end"/>
      </w:r>
    </w:p>
    <w:p w:rsidR="002D48FE" w:rsidRDefault="008C3DC0">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rsidR="002D48FE" w:rsidRDefault="008C3DC0">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2D48FE" w:rsidRDefault="008C3DC0">
      <w:pPr>
        <w:pStyle w:val="TOC2"/>
        <w:tabs>
          <w:tab w:val="right" w:leader="dot" w:pos="7086"/>
        </w:tabs>
        <w:rPr>
          <w:b w:val="0"/>
          <w:sz w:val="24"/>
          <w:szCs w:val="24"/>
        </w:rPr>
      </w:pPr>
      <w:r>
        <w:rPr>
          <w:szCs w:val="26"/>
        </w:rPr>
        <w:t>Notes</w:t>
      </w:r>
    </w:p>
    <w:p w:rsidR="002D48FE" w:rsidRDefault="008C3DC0">
      <w:pPr>
        <w:pStyle w:val="TOC8"/>
        <w:rPr>
          <w:sz w:val="24"/>
          <w:szCs w:val="24"/>
        </w:rPr>
      </w:pPr>
      <w:r>
        <w:rPr>
          <w:szCs w:val="24"/>
        </w:rPr>
        <w:tab/>
        <w:t>Compilation table</w:t>
      </w:r>
      <w:r>
        <w:tab/>
      </w:r>
      <w:r>
        <w:fldChar w:fldCharType="begin"/>
      </w:r>
      <w:r>
        <w:instrText xml:space="preserve"> PAGEREF _Toc165453333 \h </w:instrText>
      </w:r>
      <w:r>
        <w:fldChar w:fldCharType="separate"/>
      </w:r>
      <w:r w:rsidR="002E5A1F">
        <w:t>9</w:t>
      </w:r>
      <w:r>
        <w:fldChar w:fldCharType="end"/>
      </w:r>
    </w:p>
    <w:p w:rsidR="002D48FE" w:rsidRDefault="008C3DC0">
      <w:pPr>
        <w:pStyle w:val="TOC8"/>
      </w:pPr>
      <w:r>
        <w:fldChar w:fldCharType="end"/>
      </w:r>
    </w:p>
    <w:p w:rsidR="002D48FE" w:rsidRDefault="008C3DC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D48FE" w:rsidRDefault="002D48FE">
      <w:pPr>
        <w:pStyle w:val="NoteHeading"/>
        <w:sectPr w:rsidR="002D48F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D48FE" w:rsidRDefault="008C3DC0">
      <w:pPr>
        <w:pStyle w:val="PrincipalActReg"/>
      </w:pPr>
      <w:r>
        <w:lastRenderedPageBreak/>
        <w:t>Optometrists Act 2005</w:t>
      </w:r>
    </w:p>
    <w:p w:rsidR="002D48FE" w:rsidRDefault="008C3DC0">
      <w:pPr>
        <w:pStyle w:val="NameofActReg"/>
      </w:pPr>
      <w:r>
        <w:t>Optometrists Regulations 2006</w:t>
      </w:r>
    </w:p>
    <w:p w:rsidR="002D48FE" w:rsidRDefault="008C3DC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5119126"/>
      <w:bookmarkStart w:id="9" w:name="_Toc165453314"/>
      <w:r>
        <w:rPr>
          <w:rStyle w:val="CharSectno"/>
        </w:rPr>
        <w:t>1</w:t>
      </w:r>
      <w:r>
        <w:t>.</w:t>
      </w:r>
      <w:r>
        <w:tab/>
        <w:t>Citation</w:t>
      </w:r>
      <w:bookmarkEnd w:id="1"/>
      <w:bookmarkEnd w:id="2"/>
      <w:bookmarkEnd w:id="3"/>
      <w:bookmarkEnd w:id="4"/>
      <w:bookmarkEnd w:id="5"/>
      <w:bookmarkEnd w:id="6"/>
      <w:bookmarkEnd w:id="7"/>
      <w:bookmarkEnd w:id="8"/>
      <w:bookmarkEnd w:id="9"/>
    </w:p>
    <w:p w:rsidR="002D48FE" w:rsidRDefault="008C3DC0">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Optometrists Regulations 2006 </w:t>
      </w:r>
      <w:r>
        <w:rPr>
          <w:vertAlign w:val="superscript"/>
        </w:rPr>
        <w:t>1</w:t>
      </w:r>
      <w:r>
        <w:t>.</w:t>
      </w:r>
    </w:p>
    <w:p w:rsidR="002D48FE" w:rsidRDefault="008C3DC0">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5119127"/>
      <w:bookmarkStart w:id="19" w:name="_Toc16545331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2D48FE" w:rsidRDefault="008C3DC0">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rsidR="002D48FE" w:rsidRDefault="008C3DC0">
      <w:pPr>
        <w:pStyle w:val="Heading5"/>
      </w:pPr>
      <w:bookmarkStart w:id="20" w:name="_Toc145119128"/>
      <w:bookmarkStart w:id="21" w:name="_Toc165453316"/>
      <w:bookmarkStart w:id="22" w:name="_Toc113695922"/>
      <w:r>
        <w:rPr>
          <w:rStyle w:val="CharSectno"/>
        </w:rPr>
        <w:t>3</w:t>
      </w:r>
      <w:r>
        <w:t>.</w:t>
      </w:r>
      <w:r>
        <w:tab/>
        <w:t>Criminal record screening</w:t>
      </w:r>
      <w:bookmarkEnd w:id="20"/>
      <w:bookmarkEnd w:id="21"/>
    </w:p>
    <w:p w:rsidR="002D48FE" w:rsidRDefault="008C3DC0">
      <w:pPr>
        <w:pStyle w:val="Subsection"/>
      </w:pPr>
      <w:r>
        <w:tab/>
      </w:r>
      <w:r>
        <w:tab/>
        <w:t>The Board may require a person who applies to the Board for registration under the Act section 27 or 29 to give the Board authority to obtain details of any record of criminal convictions of that person.</w:t>
      </w:r>
    </w:p>
    <w:p w:rsidR="002D48FE" w:rsidRDefault="008C3DC0">
      <w:pPr>
        <w:pStyle w:val="Heading5"/>
      </w:pPr>
      <w:bookmarkStart w:id="23" w:name="_Toc145119129"/>
      <w:bookmarkStart w:id="24" w:name="_Toc165453317"/>
      <w:r>
        <w:rPr>
          <w:rStyle w:val="CharSectno"/>
        </w:rPr>
        <w:t>4</w:t>
      </w:r>
      <w:r>
        <w:t>.</w:t>
      </w:r>
      <w:r>
        <w:tab/>
        <w:t>Prescribed qualifications under section 27(2)(f) for registration</w:t>
      </w:r>
      <w:bookmarkEnd w:id="23"/>
      <w:bookmarkEnd w:id="24"/>
    </w:p>
    <w:p w:rsidR="002D48FE" w:rsidRDefault="008C3DC0">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rsidR="002D48FE" w:rsidRDefault="008C3DC0">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2D48FE">
        <w:trPr>
          <w:tblHeader/>
        </w:trPr>
        <w:tc>
          <w:tcPr>
            <w:tcW w:w="2977" w:type="dxa"/>
            <w:tcBorders>
              <w:top w:val="single" w:sz="4" w:space="0" w:color="auto"/>
              <w:bottom w:val="single" w:sz="4" w:space="0" w:color="auto"/>
            </w:tcBorders>
          </w:tcPr>
          <w:p w:rsidR="002D48FE" w:rsidRDefault="008C3DC0">
            <w:pPr>
              <w:pStyle w:val="Table"/>
              <w:spacing w:before="0" w:line="240" w:lineRule="auto"/>
              <w:ind w:left="567"/>
              <w:jc w:val="center"/>
              <w:rPr>
                <w:b/>
              </w:rPr>
            </w:pPr>
            <w:r>
              <w:rPr>
                <w:b/>
              </w:rPr>
              <w:t>Column 1</w:t>
            </w:r>
          </w:p>
          <w:p w:rsidR="002D48FE" w:rsidRDefault="008C3DC0">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rsidR="002D48FE" w:rsidRDefault="008C3DC0">
            <w:pPr>
              <w:pStyle w:val="Table"/>
              <w:spacing w:before="0" w:line="240" w:lineRule="auto"/>
              <w:ind w:left="567"/>
              <w:jc w:val="center"/>
              <w:rPr>
                <w:b/>
              </w:rPr>
            </w:pPr>
            <w:r>
              <w:rPr>
                <w:b/>
              </w:rPr>
              <w:t>Column 2</w:t>
            </w:r>
          </w:p>
          <w:p w:rsidR="002D48FE" w:rsidRDefault="008C3DC0">
            <w:pPr>
              <w:pStyle w:val="Table"/>
              <w:spacing w:before="0" w:line="240" w:lineRule="auto"/>
              <w:ind w:left="567"/>
              <w:jc w:val="center"/>
              <w:rPr>
                <w:b/>
              </w:rPr>
            </w:pPr>
            <w:r>
              <w:rPr>
                <w:b/>
              </w:rPr>
              <w:t>Institution</w:t>
            </w:r>
          </w:p>
        </w:tc>
      </w:tr>
      <w:tr w:rsidR="002D48FE">
        <w:tc>
          <w:tcPr>
            <w:tcW w:w="2977" w:type="dxa"/>
            <w:tcBorders>
              <w:top w:val="single" w:sz="4" w:space="0" w:color="auto"/>
            </w:tcBorders>
          </w:tcPr>
          <w:p w:rsidR="002D48FE" w:rsidRDefault="008C3DC0">
            <w:pPr>
              <w:pStyle w:val="Table"/>
            </w:pPr>
            <w:r>
              <w:t>Bachelor of Applied Science (Optometry)</w:t>
            </w:r>
          </w:p>
        </w:tc>
        <w:tc>
          <w:tcPr>
            <w:tcW w:w="3260" w:type="dxa"/>
            <w:tcBorders>
              <w:top w:val="single" w:sz="4" w:space="0" w:color="auto"/>
            </w:tcBorders>
          </w:tcPr>
          <w:p w:rsidR="002D48FE" w:rsidRDefault="008C3DC0">
            <w:pPr>
              <w:pStyle w:val="Table"/>
            </w:pPr>
            <w:r>
              <w:t>Queensland University of Technology</w:t>
            </w:r>
          </w:p>
        </w:tc>
      </w:tr>
      <w:tr w:rsidR="002D48FE">
        <w:tc>
          <w:tcPr>
            <w:tcW w:w="2977" w:type="dxa"/>
          </w:tcPr>
          <w:p w:rsidR="002D48FE" w:rsidRDefault="008C3DC0">
            <w:pPr>
              <w:pStyle w:val="Table"/>
            </w:pPr>
            <w:r>
              <w:t>Bachelor of Optometry</w:t>
            </w:r>
          </w:p>
        </w:tc>
        <w:tc>
          <w:tcPr>
            <w:tcW w:w="3260" w:type="dxa"/>
          </w:tcPr>
          <w:p w:rsidR="002D48FE" w:rsidRDefault="008C3DC0">
            <w:pPr>
              <w:pStyle w:val="Table"/>
            </w:pPr>
            <w:r>
              <w:t>University of Melbourne</w:t>
            </w:r>
          </w:p>
        </w:tc>
      </w:tr>
      <w:tr w:rsidR="002D48FE">
        <w:tc>
          <w:tcPr>
            <w:tcW w:w="2977" w:type="dxa"/>
          </w:tcPr>
          <w:p w:rsidR="002D48FE" w:rsidRDefault="008C3DC0">
            <w:pPr>
              <w:pStyle w:val="Table"/>
            </w:pPr>
            <w:r>
              <w:t>Bachelor of Optometry</w:t>
            </w:r>
          </w:p>
        </w:tc>
        <w:tc>
          <w:tcPr>
            <w:tcW w:w="3260" w:type="dxa"/>
          </w:tcPr>
          <w:p w:rsidR="002D48FE" w:rsidRDefault="008C3DC0">
            <w:pPr>
              <w:pStyle w:val="Table"/>
            </w:pPr>
            <w:r>
              <w:t>University of New South Wales</w:t>
            </w:r>
          </w:p>
        </w:tc>
      </w:tr>
      <w:tr w:rsidR="002D48FE">
        <w:tc>
          <w:tcPr>
            <w:tcW w:w="2977" w:type="dxa"/>
          </w:tcPr>
          <w:p w:rsidR="002D48FE" w:rsidRDefault="008C3DC0">
            <w:pPr>
              <w:pStyle w:val="Table"/>
            </w:pPr>
            <w:r>
              <w:t>Bachelor of Optometry</w:t>
            </w:r>
          </w:p>
        </w:tc>
        <w:tc>
          <w:tcPr>
            <w:tcW w:w="3260" w:type="dxa"/>
          </w:tcPr>
          <w:p w:rsidR="002D48FE" w:rsidRDefault="008C3DC0">
            <w:pPr>
              <w:pStyle w:val="Table"/>
            </w:pPr>
            <w:r>
              <w:t>University of Auckland</w:t>
            </w:r>
          </w:p>
        </w:tc>
      </w:tr>
      <w:tr w:rsidR="002D48FE">
        <w:tc>
          <w:tcPr>
            <w:tcW w:w="2977" w:type="dxa"/>
            <w:tcBorders>
              <w:bottom w:val="single" w:sz="4" w:space="0" w:color="auto"/>
            </w:tcBorders>
          </w:tcPr>
          <w:p w:rsidR="002D48FE" w:rsidRDefault="008C3DC0">
            <w:pPr>
              <w:pStyle w:val="Table"/>
            </w:pPr>
            <w:r>
              <w:lastRenderedPageBreak/>
              <w:t>Certificate of Competency</w:t>
            </w:r>
          </w:p>
        </w:tc>
        <w:tc>
          <w:tcPr>
            <w:tcW w:w="3260" w:type="dxa"/>
            <w:tcBorders>
              <w:bottom w:val="single" w:sz="4" w:space="0" w:color="auto"/>
            </w:tcBorders>
          </w:tcPr>
          <w:p w:rsidR="002D48FE" w:rsidRDefault="008C3DC0">
            <w:pPr>
              <w:pStyle w:val="Table"/>
            </w:pPr>
            <w:r>
              <w:t>Optometry Council of Australia and New Zealand</w:t>
            </w:r>
          </w:p>
        </w:tc>
      </w:tr>
    </w:tbl>
    <w:p w:rsidR="002D48FE" w:rsidRDefault="008C3DC0">
      <w:pPr>
        <w:pStyle w:val="Heading5"/>
      </w:pPr>
      <w:bookmarkStart w:id="25" w:name="_Toc145119130"/>
      <w:bookmarkStart w:id="26" w:name="_Toc165453318"/>
      <w:r>
        <w:rPr>
          <w:rStyle w:val="CharSectno"/>
        </w:rPr>
        <w:t>5</w:t>
      </w:r>
      <w:r>
        <w:t>.</w:t>
      </w:r>
      <w:r>
        <w:tab/>
        <w:t>Prescribed period for registration and renewal of registration under section 33</w:t>
      </w:r>
      <w:bookmarkEnd w:id="25"/>
      <w:bookmarkEnd w:id="26"/>
    </w:p>
    <w:p w:rsidR="002D48FE" w:rsidRDefault="008C3DC0">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2D48FE" w:rsidRDefault="008C3DC0">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2D48FE" w:rsidRDefault="008C3DC0">
      <w:pPr>
        <w:pStyle w:val="Heading5"/>
      </w:pPr>
      <w:bookmarkStart w:id="27" w:name="_Toc145119131"/>
      <w:bookmarkStart w:id="28" w:name="_Toc165453319"/>
      <w:r>
        <w:rPr>
          <w:rStyle w:val="CharSectno"/>
        </w:rPr>
        <w:t>6</w:t>
      </w:r>
      <w:r>
        <w:t>.</w:t>
      </w:r>
      <w:r>
        <w:tab/>
        <w:t>Day on which fee falls due under section 34(1)</w:t>
      </w:r>
      <w:bookmarkEnd w:id="27"/>
      <w:bookmarkEnd w:id="28"/>
    </w:p>
    <w:p w:rsidR="002D48FE" w:rsidRDefault="008C3DC0">
      <w:pPr>
        <w:pStyle w:val="Subsection"/>
      </w:pPr>
      <w:r>
        <w:tab/>
      </w:r>
      <w:r>
        <w:tab/>
        <w:t>For the purposes of the Act section 34(1), the day in each year on which the prescribed fee for the renewal of registration falls due is 30 June.</w:t>
      </w:r>
    </w:p>
    <w:p w:rsidR="002D48FE" w:rsidRDefault="008C3DC0">
      <w:pPr>
        <w:pStyle w:val="Heading5"/>
      </w:pPr>
      <w:bookmarkStart w:id="29" w:name="_Toc145119132"/>
      <w:bookmarkStart w:id="30" w:name="_Toc165453320"/>
      <w:r>
        <w:rPr>
          <w:rStyle w:val="CharSectno"/>
        </w:rPr>
        <w:t>7</w:t>
      </w:r>
      <w:r>
        <w:t>.</w:t>
      </w:r>
      <w:r>
        <w:tab/>
        <w:t>Prescribed information under section 36(g)</w:t>
      </w:r>
      <w:bookmarkEnd w:id="29"/>
      <w:bookmarkEnd w:id="30"/>
    </w:p>
    <w:p w:rsidR="002D48FE" w:rsidRDefault="008C3DC0">
      <w:pPr>
        <w:pStyle w:val="Subsection"/>
      </w:pPr>
      <w:r>
        <w:tab/>
      </w:r>
      <w:r>
        <w:tab/>
        <w:t xml:space="preserve">For the purposes of the Act section 36(g), the following information is prescribed — </w:t>
      </w:r>
    </w:p>
    <w:p w:rsidR="002D48FE" w:rsidRDefault="008C3DC0">
      <w:pPr>
        <w:pStyle w:val="Indenta"/>
      </w:pPr>
      <w:r>
        <w:tab/>
        <w:t>(a)</w:t>
      </w:r>
      <w:r>
        <w:tab/>
        <w:t>any offence under the Act for which the optometrist has been convicted;</w:t>
      </w:r>
    </w:p>
    <w:p w:rsidR="002D48FE" w:rsidRDefault="008C3DC0">
      <w:pPr>
        <w:pStyle w:val="Indenta"/>
      </w:pPr>
      <w:r>
        <w:tab/>
        <w:t>(b)</w:t>
      </w:r>
      <w:r>
        <w:tab/>
        <w:t>the date on which the optometrist was first registered as an optometrist;</w:t>
      </w:r>
    </w:p>
    <w:p w:rsidR="002D48FE" w:rsidRDefault="008C3DC0">
      <w:pPr>
        <w:pStyle w:val="Indenta"/>
      </w:pPr>
      <w:r>
        <w:tab/>
        <w:t>(c)</w:t>
      </w:r>
      <w:r>
        <w:tab/>
        <w:t xml:space="preserve">any authorisation given to the optometrist under the </w:t>
      </w:r>
      <w:r>
        <w:rPr>
          <w:i/>
        </w:rPr>
        <w:t>Poisons Act 1964</w:t>
      </w:r>
      <w:r>
        <w:t>.</w:t>
      </w:r>
    </w:p>
    <w:p w:rsidR="002D48FE" w:rsidRDefault="008C3DC0">
      <w:pPr>
        <w:pStyle w:val="Heading5"/>
      </w:pPr>
      <w:bookmarkStart w:id="31" w:name="_Toc145119133"/>
      <w:bookmarkStart w:id="32" w:name="_Toc165453321"/>
      <w:r>
        <w:rPr>
          <w:rStyle w:val="CharSectno"/>
        </w:rPr>
        <w:t>8</w:t>
      </w:r>
      <w:r>
        <w:t>.</w:t>
      </w:r>
      <w:r>
        <w:tab/>
        <w:t>Amendment of particulars</w:t>
      </w:r>
      <w:bookmarkEnd w:id="31"/>
      <w:bookmarkEnd w:id="32"/>
    </w:p>
    <w:p w:rsidR="002D48FE" w:rsidRDefault="008C3DC0">
      <w:pPr>
        <w:pStyle w:val="Subsection"/>
      </w:pPr>
      <w:r>
        <w:tab/>
      </w:r>
      <w:r>
        <w:tab/>
        <w:t xml:space="preserve">An optometrist may at any time apply to the Board for the amendment of the particulars recorded in the register relating to </w:t>
      </w:r>
      <w:r>
        <w:lastRenderedPageBreak/>
        <w:t>that optometrist, and if the Board is satisfied that the amendment may properly be made, the Board, on payment of the prescribed fee, is to cause those particulars to be amended.</w:t>
      </w:r>
    </w:p>
    <w:p w:rsidR="002D48FE" w:rsidRDefault="008C3DC0">
      <w:pPr>
        <w:pStyle w:val="Heading5"/>
      </w:pPr>
      <w:bookmarkStart w:id="33" w:name="_Toc145119134"/>
      <w:bookmarkStart w:id="34" w:name="_Toc165453322"/>
      <w:r>
        <w:rPr>
          <w:rStyle w:val="CharSectno"/>
        </w:rPr>
        <w:t>9</w:t>
      </w:r>
      <w:r>
        <w:t>.</w:t>
      </w:r>
      <w:r>
        <w:tab/>
        <w:t>Change of name</w:t>
      </w:r>
      <w:bookmarkEnd w:id="33"/>
      <w:bookmarkEnd w:id="34"/>
    </w:p>
    <w:p w:rsidR="002D48FE" w:rsidRDefault="008C3DC0">
      <w:pPr>
        <w:pStyle w:val="Subsection"/>
      </w:pPr>
      <w:r>
        <w:tab/>
        <w:t>(1)</w:t>
      </w:r>
      <w:r>
        <w:tab/>
        <w:t>An optometrist must give the registrar written advice of any change to his or her name that is recorded in the register.</w:t>
      </w:r>
    </w:p>
    <w:p w:rsidR="002D48FE" w:rsidRDefault="008C3DC0">
      <w:pPr>
        <w:pStyle w:val="Penstart"/>
      </w:pPr>
      <w:r>
        <w:tab/>
        <w:t>Penalty: a fine of $1 000.</w:t>
      </w:r>
    </w:p>
    <w:p w:rsidR="002D48FE" w:rsidRDefault="008C3DC0">
      <w:pPr>
        <w:pStyle w:val="Subsection"/>
      </w:pPr>
      <w:r>
        <w:tab/>
        <w:t>(2)</w:t>
      </w:r>
      <w:r>
        <w:tab/>
        <w:t>The advice referred to in subregulation (1) must be given no later than 30 days after the change of name.</w:t>
      </w:r>
    </w:p>
    <w:p w:rsidR="002D48FE" w:rsidRDefault="008C3DC0">
      <w:pPr>
        <w:pStyle w:val="Heading5"/>
      </w:pPr>
      <w:bookmarkStart w:id="35" w:name="_Toc145119135"/>
      <w:bookmarkStart w:id="36" w:name="_Toc165453323"/>
      <w:r>
        <w:rPr>
          <w:rStyle w:val="CharSectno"/>
        </w:rPr>
        <w:t>10</w:t>
      </w:r>
      <w:r>
        <w:t>.</w:t>
      </w:r>
      <w:r>
        <w:tab/>
        <w:t>Complaints to the complaints assessment committee</w:t>
      </w:r>
      <w:bookmarkEnd w:id="35"/>
      <w:bookmarkEnd w:id="36"/>
    </w:p>
    <w:p w:rsidR="002D48FE" w:rsidRDefault="008C3DC0">
      <w:pPr>
        <w:pStyle w:val="Subsection"/>
      </w:pPr>
      <w:r>
        <w:tab/>
        <w:t>(1)</w:t>
      </w:r>
      <w:r>
        <w:tab/>
        <w:t>A complaint to the complaints assessment committee is to be in writing.</w:t>
      </w:r>
    </w:p>
    <w:p w:rsidR="002D48FE" w:rsidRDefault="008C3DC0">
      <w:pPr>
        <w:pStyle w:val="Subsection"/>
      </w:pPr>
      <w:r>
        <w:tab/>
        <w:t>(2)</w:t>
      </w:r>
      <w:r>
        <w:tab/>
        <w:t xml:space="preserve">A person who complains to the complaints assessment committee must give to the committee — </w:t>
      </w:r>
    </w:p>
    <w:p w:rsidR="002D48FE" w:rsidRDefault="008C3DC0">
      <w:pPr>
        <w:pStyle w:val="Indenta"/>
      </w:pPr>
      <w:r>
        <w:tab/>
        <w:t>(a)</w:t>
      </w:r>
      <w:r>
        <w:tab/>
        <w:t>his or her name; and</w:t>
      </w:r>
    </w:p>
    <w:p w:rsidR="002D48FE" w:rsidRDefault="008C3DC0">
      <w:pPr>
        <w:pStyle w:val="Indenta"/>
      </w:pPr>
      <w:r>
        <w:tab/>
        <w:t>(b)</w:t>
      </w:r>
      <w:r>
        <w:tab/>
        <w:t>such other information relating to the person’s identity as the Board or registrar may require.</w:t>
      </w:r>
    </w:p>
    <w:p w:rsidR="002D48FE" w:rsidRDefault="008C3DC0">
      <w:pPr>
        <w:pStyle w:val="Heading5"/>
      </w:pPr>
      <w:bookmarkStart w:id="37" w:name="_Toc145119136"/>
      <w:bookmarkStart w:id="38" w:name="_Toc165453324"/>
      <w:r>
        <w:rPr>
          <w:rStyle w:val="CharSectno"/>
        </w:rPr>
        <w:t>11</w:t>
      </w:r>
      <w:r>
        <w:t>.</w:t>
      </w:r>
      <w:r>
        <w:tab/>
        <w:t>Appointment of a conciliator</w:t>
      </w:r>
      <w:bookmarkEnd w:id="37"/>
      <w:bookmarkEnd w:id="38"/>
    </w:p>
    <w:p w:rsidR="002D48FE" w:rsidRDefault="008C3DC0">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2D48FE" w:rsidRDefault="008C3DC0">
      <w:pPr>
        <w:pStyle w:val="Subsection"/>
      </w:pPr>
      <w:r>
        <w:tab/>
        <w:t>(2)</w:t>
      </w:r>
      <w:r>
        <w:tab/>
        <w:t>The Board may pay a conciliator appointed under this regulation a fee for, and such reasonable expenses as may be incurred by the conciliator in, presiding over conferences under the Act section 76(2).</w:t>
      </w:r>
    </w:p>
    <w:p w:rsidR="002D48FE" w:rsidRDefault="008C3DC0">
      <w:pPr>
        <w:pStyle w:val="Heading5"/>
      </w:pPr>
      <w:bookmarkStart w:id="39" w:name="_Toc145119137"/>
      <w:bookmarkStart w:id="40" w:name="_Toc165453325"/>
      <w:r>
        <w:rPr>
          <w:rStyle w:val="CharSectno"/>
        </w:rPr>
        <w:lastRenderedPageBreak/>
        <w:t>12</w:t>
      </w:r>
      <w:r>
        <w:t>.</w:t>
      </w:r>
      <w:r>
        <w:tab/>
        <w:t>Advertising</w:t>
      </w:r>
      <w:bookmarkEnd w:id="39"/>
      <w:bookmarkEnd w:id="40"/>
    </w:p>
    <w:p w:rsidR="002D48FE" w:rsidRDefault="008C3DC0">
      <w:pPr>
        <w:pStyle w:val="Subsection"/>
      </w:pPr>
      <w:r>
        <w:tab/>
      </w:r>
      <w:r>
        <w:tab/>
        <w:t xml:space="preserve">An optometrist who advertises, or causes to be advertised, any material relating to the optometrist’s practice of optometry that — </w:t>
      </w:r>
    </w:p>
    <w:p w:rsidR="002D48FE" w:rsidRDefault="008C3DC0">
      <w:pPr>
        <w:pStyle w:val="Indenta"/>
      </w:pPr>
      <w:r>
        <w:tab/>
        <w:t>(a)</w:t>
      </w:r>
      <w:r>
        <w:tab/>
        <w:t>is false, misleading or deceptive; or</w:t>
      </w:r>
    </w:p>
    <w:p w:rsidR="002D48FE" w:rsidRDefault="008C3DC0">
      <w:pPr>
        <w:pStyle w:val="Indenta"/>
      </w:pPr>
      <w:r>
        <w:tab/>
        <w:t>(b)</w:t>
      </w:r>
      <w:r>
        <w:tab/>
        <w:t>creates an unjustified expectation of beneficial treatment; or</w:t>
      </w:r>
    </w:p>
    <w:p w:rsidR="002D48FE" w:rsidRDefault="008C3DC0">
      <w:pPr>
        <w:pStyle w:val="Indenta"/>
      </w:pPr>
      <w:r>
        <w:tab/>
        <w:t>(c)</w:t>
      </w:r>
      <w:r>
        <w:tab/>
        <w:t>promotes the unnecessary or inappropriate use of the optometrist’s services,</w:t>
      </w:r>
    </w:p>
    <w:p w:rsidR="002D48FE" w:rsidRDefault="008C3DC0">
      <w:pPr>
        <w:pStyle w:val="Subsection"/>
      </w:pPr>
      <w:r>
        <w:tab/>
      </w:r>
      <w:r>
        <w:tab/>
        <w:t>commits an offence.</w:t>
      </w:r>
    </w:p>
    <w:p w:rsidR="002D48FE" w:rsidRDefault="008C3DC0">
      <w:pPr>
        <w:pStyle w:val="Penstart"/>
      </w:pPr>
      <w:r>
        <w:tab/>
        <w:t>Penalty: a fine of $1 000.</w:t>
      </w:r>
    </w:p>
    <w:p w:rsidR="002D48FE" w:rsidRDefault="008C3DC0">
      <w:pPr>
        <w:pStyle w:val="Heading5"/>
      </w:pPr>
      <w:bookmarkStart w:id="41" w:name="_Toc145119138"/>
      <w:bookmarkStart w:id="42" w:name="_Toc165453326"/>
      <w:r>
        <w:rPr>
          <w:rStyle w:val="CharSectno"/>
        </w:rPr>
        <w:t>13</w:t>
      </w:r>
      <w:r>
        <w:t>.</w:t>
      </w:r>
      <w:r>
        <w:tab/>
        <w:t>Proceedings valid despite notice irregularities</w:t>
      </w:r>
      <w:bookmarkEnd w:id="41"/>
      <w:bookmarkEnd w:id="42"/>
    </w:p>
    <w:p w:rsidR="002D48FE" w:rsidRDefault="008C3DC0">
      <w:pPr>
        <w:pStyle w:val="Subsection"/>
      </w:pPr>
      <w:r>
        <w:tab/>
      </w:r>
      <w:r>
        <w:tab/>
        <w:t xml:space="preserve">Proceedings at any meeting of the Board are not invalidated by reason only of — </w:t>
      </w:r>
    </w:p>
    <w:p w:rsidR="002D48FE" w:rsidRDefault="008C3DC0">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rsidR="002D48FE" w:rsidRDefault="008C3DC0">
      <w:pPr>
        <w:pStyle w:val="Indenta"/>
      </w:pPr>
      <w:r>
        <w:tab/>
        <w:t>(b)</w:t>
      </w:r>
      <w:r>
        <w:tab/>
        <w:t>the non</w:t>
      </w:r>
      <w:r>
        <w:noBreakHyphen/>
        <w:t>receipt of a notice by a member.</w:t>
      </w:r>
    </w:p>
    <w:p w:rsidR="002D48FE" w:rsidRDefault="008C3DC0">
      <w:pPr>
        <w:pStyle w:val="Heading5"/>
      </w:pPr>
      <w:bookmarkStart w:id="43" w:name="_Toc145119139"/>
      <w:bookmarkStart w:id="44" w:name="_Toc165453327"/>
      <w:r>
        <w:rPr>
          <w:rStyle w:val="CharSectno"/>
        </w:rPr>
        <w:t>14</w:t>
      </w:r>
      <w:r>
        <w:t>.</w:t>
      </w:r>
      <w:r>
        <w:tab/>
        <w:t>Fees</w:t>
      </w:r>
      <w:bookmarkEnd w:id="43"/>
      <w:bookmarkEnd w:id="44"/>
    </w:p>
    <w:p w:rsidR="002D48FE" w:rsidRDefault="008C3DC0">
      <w:pPr>
        <w:pStyle w:val="Subsection"/>
      </w:pPr>
      <w:r>
        <w:tab/>
      </w:r>
      <w:r>
        <w:tab/>
        <w:t>The fees in Schedule 1 are the prescribed fees payable in respect of the matters specified in that Schedule and the persons liable for payment of the fees are the persons specified in that Schedule.</w:t>
      </w:r>
    </w:p>
    <w:p w:rsidR="002D48FE" w:rsidRDefault="008C3DC0">
      <w:pPr>
        <w:pStyle w:val="Heading5"/>
      </w:pPr>
      <w:bookmarkStart w:id="45" w:name="_Toc145119140"/>
      <w:bookmarkStart w:id="46" w:name="_Toc165453328"/>
      <w:r>
        <w:rPr>
          <w:rStyle w:val="CharSectno"/>
        </w:rPr>
        <w:t>15</w:t>
      </w:r>
      <w:r>
        <w:t>.</w:t>
      </w:r>
      <w:r>
        <w:tab/>
        <w:t xml:space="preserve">Fees for registration under the </w:t>
      </w:r>
      <w:r>
        <w:rPr>
          <w:i/>
        </w:rPr>
        <w:t>Mutual Recognition (Western Australia) Act 2001</w:t>
      </w:r>
      <w:bookmarkEnd w:id="45"/>
      <w:bookmarkEnd w:id="46"/>
    </w:p>
    <w:p w:rsidR="002D48FE" w:rsidRDefault="008C3DC0">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lastRenderedPageBreak/>
        <w:t>Mutual Recognition (Western Australia) Act 2001</w:t>
      </w:r>
      <w:r>
        <w:t>, to be registered in this State as an optometrist.</w:t>
      </w:r>
    </w:p>
    <w:p w:rsidR="002D48FE" w:rsidRDefault="008C3DC0">
      <w:pPr>
        <w:pStyle w:val="Heading5"/>
      </w:pPr>
      <w:bookmarkStart w:id="47" w:name="_Toc145119141"/>
      <w:bookmarkStart w:id="48" w:name="_Toc165453329"/>
      <w:r>
        <w:rPr>
          <w:rStyle w:val="CharSectno"/>
        </w:rPr>
        <w:t>16</w:t>
      </w:r>
      <w:r>
        <w:t>.</w:t>
      </w:r>
      <w:r>
        <w:tab/>
        <w:t>Reduction, waiver or refund of fees</w:t>
      </w:r>
      <w:bookmarkEnd w:id="47"/>
      <w:bookmarkEnd w:id="48"/>
    </w:p>
    <w:p w:rsidR="002D48FE" w:rsidRDefault="008C3DC0">
      <w:pPr>
        <w:pStyle w:val="Subsection"/>
      </w:pPr>
      <w:r>
        <w:tab/>
      </w:r>
      <w:r>
        <w:tab/>
        <w:t>The Board may authorise the reduction, waiver or refund of any fee provided for in these regulations if the Board considers it appropriate to do so.</w:t>
      </w:r>
    </w:p>
    <w:p w:rsidR="002D48FE" w:rsidRDefault="002D48FE">
      <w:pPr>
        <w:sectPr w:rsidR="002D48F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9" w:name="_Toc129572752"/>
      <w:bookmarkStart w:id="50" w:name="_Toc129573083"/>
      <w:bookmarkStart w:id="51" w:name="_Toc129574124"/>
      <w:bookmarkStart w:id="52" w:name="_Toc129574141"/>
      <w:bookmarkStart w:id="53" w:name="_Toc129574309"/>
      <w:bookmarkStart w:id="54" w:name="_Toc129574944"/>
      <w:bookmarkStart w:id="55" w:name="_Toc129588691"/>
      <w:bookmarkStart w:id="56" w:name="_Toc129594456"/>
      <w:bookmarkStart w:id="57" w:name="_Toc129653864"/>
      <w:bookmarkStart w:id="58" w:name="_Toc129653903"/>
      <w:bookmarkStart w:id="59" w:name="_Toc129686701"/>
      <w:bookmarkStart w:id="60" w:name="_Toc129755982"/>
      <w:bookmarkStart w:id="61" w:name="_Toc129759180"/>
      <w:bookmarkStart w:id="62" w:name="_Toc129759458"/>
      <w:bookmarkStart w:id="63" w:name="_Toc131569473"/>
      <w:bookmarkStart w:id="64" w:name="_Toc135616731"/>
      <w:bookmarkStart w:id="65" w:name="_Toc135618140"/>
      <w:bookmarkStart w:id="66" w:name="_Toc136325392"/>
      <w:bookmarkStart w:id="67" w:name="_Toc136325411"/>
      <w:bookmarkStart w:id="68" w:name="_Toc136325445"/>
      <w:bookmarkStart w:id="69" w:name="_Toc136758364"/>
      <w:bookmarkStart w:id="70" w:name="_Toc136758562"/>
      <w:bookmarkStart w:id="71" w:name="_Toc136829281"/>
      <w:bookmarkStart w:id="72" w:name="_Toc136831126"/>
      <w:bookmarkStart w:id="73" w:name="_Toc136831147"/>
      <w:bookmarkStart w:id="74" w:name="_Toc136831271"/>
      <w:bookmarkStart w:id="75" w:name="_Toc138474900"/>
      <w:bookmarkStart w:id="76" w:name="_Toc138474996"/>
      <w:bookmarkStart w:id="77" w:name="_Toc138475020"/>
      <w:bookmarkStart w:id="78" w:name="_Toc138475051"/>
      <w:bookmarkStart w:id="79" w:name="_Toc138475069"/>
      <w:bookmarkStart w:id="80" w:name="_Toc138485203"/>
      <w:bookmarkStart w:id="81" w:name="_Toc138653776"/>
      <w:bookmarkStart w:id="82" w:name="_Toc139852667"/>
      <w:bookmarkStart w:id="83" w:name="_Toc139856156"/>
      <w:bookmarkStart w:id="84" w:name="_Toc139857424"/>
      <w:bookmarkStart w:id="85" w:name="_Toc139937411"/>
      <w:bookmarkStart w:id="86" w:name="_Toc139938789"/>
      <w:bookmarkStart w:id="87" w:name="_Toc139938817"/>
      <w:bookmarkStart w:id="88" w:name="_Toc139938884"/>
      <w:bookmarkStart w:id="89" w:name="_Toc139938938"/>
      <w:bookmarkStart w:id="90" w:name="_Toc139941803"/>
      <w:bookmarkStart w:id="91" w:name="_Toc140045250"/>
      <w:bookmarkStart w:id="92" w:name="_Toc140281894"/>
      <w:bookmarkStart w:id="93" w:name="_Toc140282140"/>
      <w:bookmarkStart w:id="94" w:name="_Toc140290934"/>
      <w:bookmarkStart w:id="95" w:name="_Toc141665447"/>
      <w:bookmarkStart w:id="96" w:name="_Toc141665469"/>
      <w:bookmarkStart w:id="97" w:name="_Toc141665595"/>
      <w:bookmarkStart w:id="98" w:name="_Toc141667608"/>
      <w:bookmarkStart w:id="99" w:name="_Toc141668036"/>
      <w:bookmarkStart w:id="100" w:name="_Toc141668881"/>
      <w:bookmarkStart w:id="101" w:name="_Toc141668907"/>
      <w:bookmarkStart w:id="102" w:name="_Toc141868284"/>
      <w:bookmarkStart w:id="103" w:name="_Toc141868392"/>
      <w:bookmarkStart w:id="104" w:name="_Toc141868626"/>
      <w:bookmarkStart w:id="105" w:name="_Toc142100026"/>
      <w:bookmarkStart w:id="106" w:name="_Toc142101102"/>
      <w:bookmarkStart w:id="107" w:name="_Toc142357589"/>
      <w:bookmarkStart w:id="108" w:name="_Toc142358307"/>
      <w:bookmarkStart w:id="109" w:name="_Toc142358418"/>
      <w:bookmarkStart w:id="110" w:name="_Toc142359698"/>
      <w:bookmarkStart w:id="111" w:name="_Toc144623526"/>
      <w:bookmarkStart w:id="112" w:name="_Toc144692336"/>
      <w:bookmarkStart w:id="113" w:name="_Toc144693891"/>
      <w:bookmarkStart w:id="114" w:name="_Toc144703843"/>
      <w:bookmarkStart w:id="115" w:name="_Toc144804932"/>
      <w:bookmarkStart w:id="116" w:name="_Toc145119142"/>
    </w:p>
    <w:p w:rsidR="002D48FE" w:rsidRDefault="008C3DC0">
      <w:pPr>
        <w:pStyle w:val="yScheduleHeading"/>
      </w:pPr>
      <w:bookmarkStart w:id="117" w:name="_Toc165453330"/>
      <w:r>
        <w:rPr>
          <w:rStyle w:val="CharSchNo"/>
        </w:rPr>
        <w:lastRenderedPageBreak/>
        <w:t>Schedule 1</w:t>
      </w:r>
      <w:r>
        <w:rPr>
          <w:rStyle w:val="CharSDivNo"/>
        </w:rPr>
        <w:t> </w:t>
      </w:r>
      <w:r>
        <w:t>—</w:t>
      </w:r>
      <w:bookmarkStart w:id="118" w:name="AutoSch"/>
      <w:bookmarkEnd w:id="118"/>
      <w:r>
        <w:rPr>
          <w:rStyle w:val="CharSDivText"/>
        </w:rPr>
        <w:t> </w:t>
      </w:r>
      <w:r>
        <w:rPr>
          <w:rStyle w:val="CharSchText"/>
        </w:rPr>
        <w:t>Fe</w:t>
      </w:r>
      <w:bookmarkStart w:id="119" w:name="UpToHere"/>
      <w:bookmarkEnd w:id="119"/>
      <w:r>
        <w:rPr>
          <w:rStyle w:val="CharSchText"/>
        </w:rPr>
        <w:t>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2D48FE" w:rsidRDefault="008C3DC0">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2D48FE">
        <w:trPr>
          <w:cantSplit/>
          <w:tblHeader/>
        </w:trPr>
        <w:tc>
          <w:tcPr>
            <w:tcW w:w="567" w:type="dxa"/>
            <w:tcBorders>
              <w:top w:val="single" w:sz="4" w:space="0" w:color="auto"/>
              <w:bottom w:val="single" w:sz="4" w:space="0" w:color="auto"/>
            </w:tcBorders>
          </w:tcPr>
          <w:p w:rsidR="002D48FE" w:rsidRDefault="002D48FE">
            <w:pPr>
              <w:pStyle w:val="yTable"/>
              <w:jc w:val="center"/>
              <w:rPr>
                <w:b/>
              </w:rPr>
            </w:pPr>
          </w:p>
        </w:tc>
        <w:tc>
          <w:tcPr>
            <w:tcW w:w="3119" w:type="dxa"/>
            <w:tcBorders>
              <w:top w:val="single" w:sz="4" w:space="0" w:color="auto"/>
              <w:bottom w:val="single" w:sz="4" w:space="0" w:color="auto"/>
            </w:tcBorders>
          </w:tcPr>
          <w:p w:rsidR="002D48FE" w:rsidRDefault="008C3DC0">
            <w:pPr>
              <w:pStyle w:val="yTable"/>
              <w:jc w:val="center"/>
              <w:rPr>
                <w:b/>
              </w:rPr>
            </w:pPr>
            <w:r>
              <w:rPr>
                <w:b/>
              </w:rPr>
              <w:t>Type of fee</w:t>
            </w:r>
          </w:p>
        </w:tc>
        <w:tc>
          <w:tcPr>
            <w:tcW w:w="1559" w:type="dxa"/>
            <w:tcBorders>
              <w:top w:val="single" w:sz="4" w:space="0" w:color="auto"/>
              <w:bottom w:val="single" w:sz="4" w:space="0" w:color="auto"/>
            </w:tcBorders>
          </w:tcPr>
          <w:p w:rsidR="002D48FE" w:rsidRDefault="008C3DC0">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2D48FE" w:rsidRDefault="008C3DC0">
            <w:pPr>
              <w:pStyle w:val="yTable"/>
              <w:jc w:val="center"/>
              <w:rPr>
                <w:b/>
              </w:rPr>
            </w:pPr>
            <w:r>
              <w:rPr>
                <w:b/>
              </w:rPr>
              <w:t>Fee</w:t>
            </w:r>
            <w:r>
              <w:rPr>
                <w:b/>
              </w:rPr>
              <w:br/>
              <w:t>$</w:t>
            </w:r>
          </w:p>
        </w:tc>
      </w:tr>
      <w:tr w:rsidR="002D48FE">
        <w:trPr>
          <w:cantSplit/>
        </w:trPr>
        <w:tc>
          <w:tcPr>
            <w:tcW w:w="567" w:type="dxa"/>
          </w:tcPr>
          <w:p w:rsidR="002D48FE" w:rsidRDefault="008C3DC0">
            <w:pPr>
              <w:pStyle w:val="yTable"/>
            </w:pPr>
            <w:r>
              <w:t>1.</w:t>
            </w:r>
          </w:p>
        </w:tc>
        <w:tc>
          <w:tcPr>
            <w:tcW w:w="3119" w:type="dxa"/>
          </w:tcPr>
          <w:p w:rsidR="002D48FE" w:rsidRDefault="008C3DC0">
            <w:pPr>
              <w:pStyle w:val="yTable"/>
            </w:pPr>
            <w:r>
              <w:t>Fee payable by a person who applies for a copy of the minutes of the Board available for inspection under the Act section 20(4).</w:t>
            </w:r>
          </w:p>
        </w:tc>
        <w:tc>
          <w:tcPr>
            <w:tcW w:w="1559" w:type="dxa"/>
          </w:tcPr>
          <w:p w:rsidR="002D48FE" w:rsidRDefault="008C3DC0">
            <w:pPr>
              <w:pStyle w:val="yTable"/>
              <w:jc w:val="center"/>
            </w:pPr>
            <w:r>
              <w:br/>
            </w:r>
            <w:r>
              <w:br/>
            </w:r>
            <w:r>
              <w:br/>
            </w:r>
            <w:r>
              <w:br/>
              <w:t>s. 20(5)</w:t>
            </w:r>
          </w:p>
        </w:tc>
        <w:tc>
          <w:tcPr>
            <w:tcW w:w="1276" w:type="dxa"/>
          </w:tcPr>
          <w:p w:rsidR="002D48FE" w:rsidRDefault="008C3DC0">
            <w:pPr>
              <w:pStyle w:val="yTable"/>
              <w:jc w:val="center"/>
            </w:pPr>
            <w:r>
              <w:t>$5 plus $1 per page up to a maximum fee of $10</w:t>
            </w:r>
          </w:p>
        </w:tc>
      </w:tr>
      <w:tr w:rsidR="002D48FE">
        <w:trPr>
          <w:cantSplit/>
        </w:trPr>
        <w:tc>
          <w:tcPr>
            <w:tcW w:w="567" w:type="dxa"/>
          </w:tcPr>
          <w:p w:rsidR="002D48FE" w:rsidRDefault="008C3DC0">
            <w:pPr>
              <w:pStyle w:val="yTable"/>
            </w:pPr>
            <w:r>
              <w:t>2.</w:t>
            </w:r>
          </w:p>
        </w:tc>
        <w:tc>
          <w:tcPr>
            <w:tcW w:w="3119" w:type="dxa"/>
          </w:tcPr>
          <w:p w:rsidR="002D48FE" w:rsidRDefault="008C3DC0">
            <w:pPr>
              <w:pStyle w:val="yTable"/>
            </w:pPr>
            <w:r>
              <w:t>Registration fee payable by a person if registration is effected in the months of July, August, September, October, November or December.</w:t>
            </w:r>
          </w:p>
        </w:tc>
        <w:tc>
          <w:tcPr>
            <w:tcW w:w="1559" w:type="dxa"/>
          </w:tcPr>
          <w:p w:rsidR="002D48FE" w:rsidRDefault="008C3DC0">
            <w:pPr>
              <w:pStyle w:val="yTable"/>
              <w:jc w:val="center"/>
            </w:pPr>
            <w:r>
              <w:br/>
            </w:r>
            <w:r>
              <w:br/>
            </w:r>
            <w:r>
              <w:br/>
            </w:r>
            <w:r>
              <w:br/>
              <w:t>s. 27(1)(b)</w:t>
            </w:r>
          </w:p>
        </w:tc>
        <w:tc>
          <w:tcPr>
            <w:tcW w:w="1276" w:type="dxa"/>
          </w:tcPr>
          <w:p w:rsidR="002D48FE" w:rsidRDefault="008C3DC0">
            <w:pPr>
              <w:pStyle w:val="yTable"/>
              <w:jc w:val="center"/>
            </w:pPr>
            <w:r>
              <w:br/>
            </w:r>
            <w:r>
              <w:br/>
            </w:r>
            <w:r>
              <w:br/>
            </w:r>
            <w:r>
              <w:br/>
              <w:t>250</w:t>
            </w:r>
          </w:p>
        </w:tc>
      </w:tr>
      <w:tr w:rsidR="002D48FE">
        <w:trPr>
          <w:cantSplit/>
        </w:trPr>
        <w:tc>
          <w:tcPr>
            <w:tcW w:w="567" w:type="dxa"/>
          </w:tcPr>
          <w:p w:rsidR="002D48FE" w:rsidRDefault="008C3DC0">
            <w:pPr>
              <w:pStyle w:val="yTable"/>
            </w:pPr>
            <w:r>
              <w:t>3.</w:t>
            </w:r>
          </w:p>
        </w:tc>
        <w:tc>
          <w:tcPr>
            <w:tcW w:w="3119" w:type="dxa"/>
          </w:tcPr>
          <w:p w:rsidR="002D48FE" w:rsidRDefault="008C3DC0">
            <w:pPr>
              <w:pStyle w:val="yTable"/>
            </w:pPr>
            <w:r>
              <w:t>Registration fee payable by a person if registration is effected in the months of January, February, March, April, May or June.</w:t>
            </w:r>
          </w:p>
        </w:tc>
        <w:tc>
          <w:tcPr>
            <w:tcW w:w="1559" w:type="dxa"/>
          </w:tcPr>
          <w:p w:rsidR="002D48FE" w:rsidRDefault="008C3DC0">
            <w:pPr>
              <w:pStyle w:val="yTable"/>
              <w:jc w:val="center"/>
            </w:pPr>
            <w:r>
              <w:br/>
            </w:r>
            <w:r>
              <w:br/>
            </w:r>
            <w:r>
              <w:br/>
            </w:r>
            <w:r>
              <w:br/>
              <w:t>s. 27(1)(b)</w:t>
            </w:r>
          </w:p>
        </w:tc>
        <w:tc>
          <w:tcPr>
            <w:tcW w:w="1276" w:type="dxa"/>
          </w:tcPr>
          <w:p w:rsidR="002D48FE" w:rsidRDefault="008C3DC0">
            <w:pPr>
              <w:pStyle w:val="yTable"/>
              <w:jc w:val="center"/>
            </w:pPr>
            <w:r>
              <w:br/>
            </w:r>
            <w:r>
              <w:br/>
            </w:r>
            <w:r>
              <w:br/>
            </w:r>
            <w:r>
              <w:br/>
              <w:t>125</w:t>
            </w:r>
          </w:p>
        </w:tc>
      </w:tr>
      <w:tr w:rsidR="002D48FE">
        <w:trPr>
          <w:cantSplit/>
        </w:trPr>
        <w:tc>
          <w:tcPr>
            <w:tcW w:w="567" w:type="dxa"/>
          </w:tcPr>
          <w:p w:rsidR="002D48FE" w:rsidRDefault="008C3DC0">
            <w:pPr>
              <w:pStyle w:val="yTable"/>
            </w:pPr>
            <w:r>
              <w:t>4.</w:t>
            </w:r>
          </w:p>
        </w:tc>
        <w:tc>
          <w:tcPr>
            <w:tcW w:w="3119" w:type="dxa"/>
          </w:tcPr>
          <w:p w:rsidR="002D48FE" w:rsidRDefault="008C3DC0">
            <w:pPr>
              <w:pStyle w:val="yTable"/>
            </w:pPr>
            <w:r>
              <w:t>Fee payable by a person who applies for registration under the Act section 27 for the conduct of criminal record screening.</w:t>
            </w:r>
          </w:p>
        </w:tc>
        <w:tc>
          <w:tcPr>
            <w:tcW w:w="1559" w:type="dxa"/>
          </w:tcPr>
          <w:p w:rsidR="002D48FE" w:rsidRDefault="008C3DC0">
            <w:pPr>
              <w:pStyle w:val="yTable"/>
              <w:jc w:val="center"/>
            </w:pPr>
            <w:r>
              <w:br/>
            </w:r>
            <w:r>
              <w:br/>
              <w:t>s. 27 and 97(2)(h)</w:t>
            </w:r>
          </w:p>
        </w:tc>
        <w:tc>
          <w:tcPr>
            <w:tcW w:w="1276" w:type="dxa"/>
          </w:tcPr>
          <w:p w:rsidR="002D48FE" w:rsidRDefault="008C3DC0">
            <w:pPr>
              <w:pStyle w:val="yTable"/>
              <w:jc w:val="center"/>
            </w:pPr>
            <w:r>
              <w:br/>
            </w:r>
            <w:r>
              <w:br/>
            </w:r>
            <w:r>
              <w:br/>
              <w:t>50</w:t>
            </w:r>
          </w:p>
        </w:tc>
      </w:tr>
      <w:tr w:rsidR="002D48FE">
        <w:trPr>
          <w:cantSplit/>
        </w:trPr>
        <w:tc>
          <w:tcPr>
            <w:tcW w:w="567" w:type="dxa"/>
          </w:tcPr>
          <w:p w:rsidR="002D48FE" w:rsidRDefault="008C3DC0">
            <w:pPr>
              <w:pStyle w:val="yTable"/>
            </w:pPr>
            <w:r>
              <w:t>5.</w:t>
            </w:r>
          </w:p>
        </w:tc>
        <w:tc>
          <w:tcPr>
            <w:tcW w:w="3119" w:type="dxa"/>
          </w:tcPr>
          <w:p w:rsidR="002D48FE" w:rsidRDefault="008C3DC0">
            <w:pPr>
              <w:pStyle w:val="yTable"/>
            </w:pPr>
            <w:r>
              <w:t>Registration fee payable by a person for provisional registration.</w:t>
            </w:r>
          </w:p>
        </w:tc>
        <w:tc>
          <w:tcPr>
            <w:tcW w:w="1559" w:type="dxa"/>
          </w:tcPr>
          <w:p w:rsidR="002D48FE" w:rsidRDefault="008C3DC0">
            <w:pPr>
              <w:pStyle w:val="yTable"/>
              <w:jc w:val="center"/>
            </w:pPr>
            <w:r>
              <w:br/>
            </w:r>
            <w:r>
              <w:br/>
              <w:t>s. 28(1)(c)</w:t>
            </w:r>
          </w:p>
        </w:tc>
        <w:tc>
          <w:tcPr>
            <w:tcW w:w="1276" w:type="dxa"/>
          </w:tcPr>
          <w:p w:rsidR="002D48FE" w:rsidRDefault="008C3DC0">
            <w:pPr>
              <w:pStyle w:val="yTable"/>
              <w:jc w:val="center"/>
            </w:pPr>
            <w:r>
              <w:br/>
            </w:r>
            <w:r>
              <w:br/>
              <w:t>250</w:t>
            </w:r>
          </w:p>
        </w:tc>
      </w:tr>
      <w:tr w:rsidR="002D48FE">
        <w:trPr>
          <w:cantSplit/>
        </w:trPr>
        <w:tc>
          <w:tcPr>
            <w:tcW w:w="567" w:type="dxa"/>
          </w:tcPr>
          <w:p w:rsidR="002D48FE" w:rsidRDefault="008C3DC0">
            <w:pPr>
              <w:pStyle w:val="yTable"/>
            </w:pPr>
            <w:r>
              <w:t>6.</w:t>
            </w:r>
          </w:p>
        </w:tc>
        <w:tc>
          <w:tcPr>
            <w:tcW w:w="3119" w:type="dxa"/>
          </w:tcPr>
          <w:p w:rsidR="002D48FE" w:rsidRDefault="008C3DC0">
            <w:pPr>
              <w:pStyle w:val="yTable"/>
            </w:pPr>
            <w:r>
              <w:t>Registration fee payable by a person for conditional registration.</w:t>
            </w:r>
          </w:p>
        </w:tc>
        <w:tc>
          <w:tcPr>
            <w:tcW w:w="1559" w:type="dxa"/>
          </w:tcPr>
          <w:p w:rsidR="002D48FE" w:rsidRDefault="008C3DC0">
            <w:pPr>
              <w:pStyle w:val="yTable"/>
              <w:jc w:val="center"/>
            </w:pPr>
            <w:r>
              <w:br/>
            </w:r>
            <w:r>
              <w:br/>
              <w:t>s. 29(1)(c)</w:t>
            </w:r>
          </w:p>
        </w:tc>
        <w:tc>
          <w:tcPr>
            <w:tcW w:w="1276" w:type="dxa"/>
          </w:tcPr>
          <w:p w:rsidR="002D48FE" w:rsidRDefault="008C3DC0">
            <w:pPr>
              <w:pStyle w:val="yTable"/>
              <w:jc w:val="center"/>
            </w:pPr>
            <w:r>
              <w:br/>
            </w:r>
            <w:r>
              <w:br/>
              <w:t>250</w:t>
            </w:r>
          </w:p>
        </w:tc>
      </w:tr>
      <w:tr w:rsidR="002D48FE">
        <w:trPr>
          <w:cantSplit/>
        </w:trPr>
        <w:tc>
          <w:tcPr>
            <w:tcW w:w="567" w:type="dxa"/>
          </w:tcPr>
          <w:p w:rsidR="002D48FE" w:rsidRDefault="008C3DC0">
            <w:pPr>
              <w:pStyle w:val="yTable"/>
            </w:pPr>
            <w:r>
              <w:t>7.</w:t>
            </w:r>
          </w:p>
        </w:tc>
        <w:tc>
          <w:tcPr>
            <w:tcW w:w="3119" w:type="dxa"/>
          </w:tcPr>
          <w:p w:rsidR="002D48FE" w:rsidRDefault="008C3DC0">
            <w:pPr>
              <w:pStyle w:val="yTable"/>
            </w:pPr>
            <w:r>
              <w:t>Fee payable by the applicant to accompany an application for registration.</w:t>
            </w:r>
          </w:p>
        </w:tc>
        <w:tc>
          <w:tcPr>
            <w:tcW w:w="1559" w:type="dxa"/>
          </w:tcPr>
          <w:p w:rsidR="002D48FE" w:rsidRDefault="008C3DC0">
            <w:pPr>
              <w:pStyle w:val="yTable"/>
              <w:jc w:val="center"/>
            </w:pPr>
            <w:r>
              <w:br/>
            </w:r>
            <w:r>
              <w:br/>
              <w:t>s. 31(1)(c)</w:t>
            </w:r>
          </w:p>
        </w:tc>
        <w:tc>
          <w:tcPr>
            <w:tcW w:w="1276" w:type="dxa"/>
          </w:tcPr>
          <w:p w:rsidR="002D48FE" w:rsidRDefault="008C3DC0">
            <w:pPr>
              <w:pStyle w:val="yTable"/>
              <w:jc w:val="center"/>
            </w:pPr>
            <w:r>
              <w:br/>
            </w:r>
            <w:r>
              <w:br/>
              <w:t>150</w:t>
            </w:r>
          </w:p>
        </w:tc>
      </w:tr>
      <w:tr w:rsidR="002D48FE">
        <w:trPr>
          <w:cantSplit/>
        </w:trPr>
        <w:tc>
          <w:tcPr>
            <w:tcW w:w="567" w:type="dxa"/>
          </w:tcPr>
          <w:p w:rsidR="002D48FE" w:rsidRDefault="008C3DC0">
            <w:pPr>
              <w:pStyle w:val="yTable"/>
            </w:pPr>
            <w:r>
              <w:t>8.</w:t>
            </w:r>
          </w:p>
        </w:tc>
        <w:tc>
          <w:tcPr>
            <w:tcW w:w="3119" w:type="dxa"/>
          </w:tcPr>
          <w:p w:rsidR="002D48FE" w:rsidRDefault="008C3DC0">
            <w:pPr>
              <w:pStyle w:val="yTable"/>
            </w:pPr>
            <w:r>
              <w:t>Fee payable by an optometrist for renewal of registration of the optometrist.</w:t>
            </w:r>
          </w:p>
        </w:tc>
        <w:tc>
          <w:tcPr>
            <w:tcW w:w="1559" w:type="dxa"/>
          </w:tcPr>
          <w:p w:rsidR="002D48FE" w:rsidRDefault="008C3DC0">
            <w:pPr>
              <w:pStyle w:val="yTable"/>
              <w:jc w:val="center"/>
            </w:pPr>
            <w:r>
              <w:br/>
            </w:r>
            <w:r>
              <w:br/>
              <w:t>s. 34(1)</w:t>
            </w:r>
          </w:p>
        </w:tc>
        <w:tc>
          <w:tcPr>
            <w:tcW w:w="1276" w:type="dxa"/>
          </w:tcPr>
          <w:p w:rsidR="002D48FE" w:rsidRDefault="008C3DC0">
            <w:pPr>
              <w:pStyle w:val="yTable"/>
              <w:jc w:val="center"/>
            </w:pPr>
            <w:r>
              <w:br/>
            </w:r>
            <w:r>
              <w:br/>
              <w:t>250</w:t>
            </w:r>
          </w:p>
        </w:tc>
      </w:tr>
      <w:tr w:rsidR="002D48FE">
        <w:trPr>
          <w:cantSplit/>
        </w:trPr>
        <w:tc>
          <w:tcPr>
            <w:tcW w:w="567" w:type="dxa"/>
          </w:tcPr>
          <w:p w:rsidR="002D48FE" w:rsidRDefault="008C3DC0">
            <w:pPr>
              <w:pStyle w:val="yTable"/>
            </w:pPr>
            <w:r>
              <w:lastRenderedPageBreak/>
              <w:t>9.</w:t>
            </w:r>
          </w:p>
        </w:tc>
        <w:tc>
          <w:tcPr>
            <w:tcW w:w="3119" w:type="dxa"/>
          </w:tcPr>
          <w:p w:rsidR="002D48FE" w:rsidRDefault="008C3DC0">
            <w:pPr>
              <w:pStyle w:val="yTable"/>
            </w:pPr>
            <w:r>
              <w:t>Additional amount to be paid to the Board by an applicant to have name restored to the register.</w:t>
            </w:r>
          </w:p>
        </w:tc>
        <w:tc>
          <w:tcPr>
            <w:tcW w:w="1559" w:type="dxa"/>
          </w:tcPr>
          <w:p w:rsidR="002D48FE" w:rsidRDefault="008C3DC0">
            <w:pPr>
              <w:pStyle w:val="yTable"/>
              <w:jc w:val="center"/>
            </w:pPr>
            <w:r>
              <w:br/>
            </w:r>
            <w:r>
              <w:br/>
            </w:r>
            <w:r>
              <w:br/>
              <w:t>s. 34(2)</w:t>
            </w:r>
          </w:p>
        </w:tc>
        <w:tc>
          <w:tcPr>
            <w:tcW w:w="1276" w:type="dxa"/>
          </w:tcPr>
          <w:p w:rsidR="002D48FE" w:rsidRDefault="008C3DC0">
            <w:pPr>
              <w:pStyle w:val="yTable"/>
              <w:jc w:val="center"/>
            </w:pPr>
            <w:r>
              <w:br/>
            </w:r>
            <w:r>
              <w:br/>
            </w:r>
            <w:r>
              <w:br/>
              <w:t>75</w:t>
            </w:r>
          </w:p>
        </w:tc>
      </w:tr>
      <w:tr w:rsidR="002D48FE">
        <w:trPr>
          <w:cantSplit/>
        </w:trPr>
        <w:tc>
          <w:tcPr>
            <w:tcW w:w="567" w:type="dxa"/>
          </w:tcPr>
          <w:p w:rsidR="002D48FE" w:rsidRDefault="008C3DC0">
            <w:pPr>
              <w:pStyle w:val="yTable"/>
            </w:pPr>
            <w:r>
              <w:t>10.</w:t>
            </w:r>
          </w:p>
        </w:tc>
        <w:tc>
          <w:tcPr>
            <w:tcW w:w="3119" w:type="dxa"/>
          </w:tcPr>
          <w:p w:rsidR="002D48FE" w:rsidRDefault="008C3DC0">
            <w:pPr>
              <w:pStyle w:val="yTable"/>
            </w:pPr>
            <w:r>
              <w:t>Fee payable by a person who applies for a certified copy of the register or an entry in the register for the copy.</w:t>
            </w:r>
          </w:p>
        </w:tc>
        <w:tc>
          <w:tcPr>
            <w:tcW w:w="1559" w:type="dxa"/>
          </w:tcPr>
          <w:p w:rsidR="002D48FE" w:rsidRDefault="008C3DC0">
            <w:pPr>
              <w:pStyle w:val="yTable"/>
              <w:jc w:val="center"/>
            </w:pPr>
            <w:r>
              <w:br/>
            </w:r>
            <w:r>
              <w:br/>
            </w:r>
            <w:r>
              <w:br/>
              <w:t>s. 37(4)</w:t>
            </w:r>
          </w:p>
        </w:tc>
        <w:tc>
          <w:tcPr>
            <w:tcW w:w="1276" w:type="dxa"/>
          </w:tcPr>
          <w:p w:rsidR="002D48FE" w:rsidRDefault="008C3DC0">
            <w:pPr>
              <w:pStyle w:val="yTable"/>
              <w:jc w:val="center"/>
            </w:pPr>
            <w:r>
              <w:br/>
            </w:r>
            <w:r>
              <w:br/>
            </w:r>
            <w:r>
              <w:br/>
              <w:t>20</w:t>
            </w:r>
          </w:p>
        </w:tc>
      </w:tr>
      <w:tr w:rsidR="002D48FE">
        <w:trPr>
          <w:cantSplit/>
        </w:trPr>
        <w:tc>
          <w:tcPr>
            <w:tcW w:w="567" w:type="dxa"/>
            <w:tcBorders>
              <w:bottom w:val="single" w:sz="4" w:space="0" w:color="auto"/>
            </w:tcBorders>
          </w:tcPr>
          <w:p w:rsidR="002D48FE" w:rsidRDefault="008C3DC0">
            <w:pPr>
              <w:pStyle w:val="yTable"/>
            </w:pPr>
            <w:r>
              <w:t>11.</w:t>
            </w:r>
          </w:p>
        </w:tc>
        <w:tc>
          <w:tcPr>
            <w:tcW w:w="3119" w:type="dxa"/>
            <w:tcBorders>
              <w:bottom w:val="single" w:sz="4" w:space="0" w:color="auto"/>
            </w:tcBorders>
          </w:tcPr>
          <w:p w:rsidR="002D48FE" w:rsidRDefault="008C3DC0">
            <w:pPr>
              <w:pStyle w:val="yTable"/>
            </w:pPr>
            <w:r>
              <w:t>Fee payable by an applicant for amendment of particulars entered in the register.</w:t>
            </w:r>
          </w:p>
        </w:tc>
        <w:tc>
          <w:tcPr>
            <w:tcW w:w="1559" w:type="dxa"/>
            <w:tcBorders>
              <w:bottom w:val="single" w:sz="4" w:space="0" w:color="auto"/>
            </w:tcBorders>
          </w:tcPr>
          <w:p w:rsidR="002D48FE" w:rsidRDefault="008C3DC0">
            <w:pPr>
              <w:pStyle w:val="yTable"/>
              <w:jc w:val="center"/>
            </w:pPr>
            <w:r>
              <w:br/>
              <w:t>r. 8 and s. 97(2)(h)</w:t>
            </w:r>
          </w:p>
        </w:tc>
        <w:tc>
          <w:tcPr>
            <w:tcW w:w="1276" w:type="dxa"/>
            <w:tcBorders>
              <w:bottom w:val="single" w:sz="4" w:space="0" w:color="auto"/>
            </w:tcBorders>
          </w:tcPr>
          <w:p w:rsidR="002D48FE" w:rsidRDefault="008C3DC0">
            <w:pPr>
              <w:pStyle w:val="yTable"/>
              <w:jc w:val="center"/>
            </w:pPr>
            <w:r>
              <w:br/>
            </w:r>
            <w:r>
              <w:br/>
              <w:t>20</w:t>
            </w:r>
          </w:p>
        </w:tc>
      </w:tr>
    </w:tbl>
    <w:p w:rsidR="002D48FE" w:rsidRDefault="008C3DC0">
      <w:pPr>
        <w:pStyle w:val="yScheduleHeading"/>
      </w:pPr>
      <w:bookmarkStart w:id="120" w:name="_Toc129755983"/>
      <w:bookmarkStart w:id="121" w:name="_Toc129759181"/>
      <w:bookmarkStart w:id="122" w:name="_Toc129759459"/>
      <w:bookmarkStart w:id="123" w:name="_Toc131569474"/>
      <w:bookmarkStart w:id="124" w:name="_Toc135616732"/>
      <w:bookmarkStart w:id="125" w:name="_Toc135618141"/>
      <w:bookmarkStart w:id="126" w:name="_Toc136325393"/>
      <w:bookmarkStart w:id="127" w:name="_Toc136325412"/>
      <w:bookmarkStart w:id="128" w:name="_Toc136325446"/>
      <w:bookmarkStart w:id="129" w:name="_Toc136758365"/>
      <w:bookmarkStart w:id="130" w:name="_Toc136758563"/>
      <w:bookmarkStart w:id="131" w:name="_Toc136829282"/>
      <w:bookmarkStart w:id="132" w:name="_Toc136831127"/>
      <w:bookmarkStart w:id="133" w:name="_Toc136831148"/>
      <w:bookmarkStart w:id="134" w:name="_Toc136831272"/>
      <w:bookmarkStart w:id="135" w:name="_Toc138474901"/>
      <w:bookmarkStart w:id="136" w:name="_Toc138474997"/>
      <w:bookmarkStart w:id="137" w:name="_Toc138475021"/>
      <w:bookmarkStart w:id="138" w:name="_Toc138475052"/>
      <w:bookmarkStart w:id="139" w:name="_Toc138475070"/>
      <w:bookmarkStart w:id="140" w:name="_Toc138485204"/>
      <w:bookmarkStart w:id="141" w:name="_Toc138653777"/>
      <w:bookmarkStart w:id="142" w:name="_Toc139852668"/>
      <w:bookmarkStart w:id="143" w:name="_Toc139856157"/>
      <w:bookmarkStart w:id="144" w:name="_Toc139857425"/>
      <w:bookmarkStart w:id="145" w:name="_Toc139937412"/>
      <w:bookmarkStart w:id="146" w:name="_Toc139938790"/>
      <w:bookmarkStart w:id="147" w:name="_Toc139938818"/>
      <w:bookmarkStart w:id="148" w:name="_Toc139938885"/>
      <w:bookmarkStart w:id="149" w:name="_Toc139938939"/>
      <w:bookmarkStart w:id="150" w:name="_Toc139941804"/>
      <w:bookmarkStart w:id="151" w:name="_Toc140045251"/>
      <w:bookmarkStart w:id="152" w:name="_Toc140281895"/>
      <w:bookmarkStart w:id="153" w:name="_Toc140282141"/>
      <w:bookmarkStart w:id="154" w:name="_Toc140290935"/>
      <w:bookmarkStart w:id="155" w:name="_Toc141665448"/>
      <w:bookmarkStart w:id="156" w:name="_Toc141665470"/>
      <w:bookmarkStart w:id="157" w:name="_Toc141665596"/>
      <w:bookmarkStart w:id="158" w:name="_Toc141667609"/>
      <w:bookmarkStart w:id="159" w:name="_Toc141668037"/>
      <w:bookmarkStart w:id="160" w:name="_Toc141668882"/>
      <w:bookmarkStart w:id="161" w:name="_Toc141668908"/>
      <w:bookmarkStart w:id="162" w:name="_Toc141868285"/>
      <w:bookmarkStart w:id="163" w:name="_Toc141868393"/>
      <w:bookmarkStart w:id="164" w:name="_Toc141868627"/>
      <w:bookmarkStart w:id="165" w:name="_Toc142100027"/>
      <w:bookmarkStart w:id="166" w:name="_Toc142101103"/>
      <w:bookmarkStart w:id="167" w:name="_Toc142357590"/>
      <w:bookmarkStart w:id="168" w:name="_Toc142358308"/>
      <w:bookmarkStart w:id="169" w:name="_Toc142358419"/>
      <w:bookmarkStart w:id="170" w:name="_Toc142359699"/>
      <w:bookmarkStart w:id="171" w:name="_Toc144623527"/>
      <w:bookmarkStart w:id="172" w:name="_Toc144692337"/>
      <w:bookmarkStart w:id="173" w:name="_Toc144693892"/>
      <w:bookmarkStart w:id="174" w:name="_Toc144703844"/>
      <w:bookmarkStart w:id="175" w:name="_Toc144804933"/>
      <w:bookmarkStart w:id="176" w:name="_Toc145119143"/>
      <w:bookmarkStart w:id="177" w:name="_Toc165453331"/>
      <w:bookmarkStart w:id="178" w:name="_Toc129573084"/>
      <w:bookmarkStart w:id="179" w:name="_Toc129574125"/>
      <w:bookmarkStart w:id="180" w:name="_Toc129574142"/>
      <w:bookmarkStart w:id="181" w:name="_Toc129574310"/>
      <w:bookmarkStart w:id="182" w:name="_Toc129574945"/>
      <w:bookmarkStart w:id="183" w:name="_Toc129588692"/>
      <w:bookmarkStart w:id="184" w:name="_Toc129594457"/>
      <w:bookmarkStart w:id="185" w:name="_Toc129653865"/>
      <w:bookmarkStart w:id="186" w:name="_Toc129653904"/>
      <w:bookmarkStart w:id="187" w:name="_Toc129686702"/>
      <w:r>
        <w:rPr>
          <w:rStyle w:val="CharSchNo"/>
        </w:rPr>
        <w:lastRenderedPageBreak/>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bookmarkEnd w:id="178"/>
    <w:bookmarkEnd w:id="179"/>
    <w:bookmarkEnd w:id="180"/>
    <w:bookmarkEnd w:id="181"/>
    <w:bookmarkEnd w:id="182"/>
    <w:bookmarkEnd w:id="183"/>
    <w:bookmarkEnd w:id="184"/>
    <w:bookmarkEnd w:id="185"/>
    <w:bookmarkEnd w:id="186"/>
    <w:bookmarkEnd w:id="187"/>
    <w:p w:rsidR="002D48FE" w:rsidRDefault="008C3DC0">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rsidR="002D48FE">
        <w:trPr>
          <w:tblHeader/>
        </w:trPr>
        <w:tc>
          <w:tcPr>
            <w:tcW w:w="567" w:type="dxa"/>
            <w:tcBorders>
              <w:top w:val="single" w:sz="4" w:space="0" w:color="auto"/>
              <w:bottom w:val="single" w:sz="4" w:space="0" w:color="auto"/>
            </w:tcBorders>
          </w:tcPr>
          <w:p w:rsidR="002D48FE" w:rsidRDefault="002D48FE">
            <w:pPr>
              <w:pStyle w:val="yTable"/>
              <w:jc w:val="center"/>
              <w:rPr>
                <w:b/>
              </w:rPr>
            </w:pPr>
          </w:p>
        </w:tc>
        <w:tc>
          <w:tcPr>
            <w:tcW w:w="4536" w:type="dxa"/>
            <w:tcBorders>
              <w:top w:val="single" w:sz="4" w:space="0" w:color="auto"/>
              <w:bottom w:val="single" w:sz="4" w:space="0" w:color="auto"/>
            </w:tcBorders>
          </w:tcPr>
          <w:p w:rsidR="002D48FE" w:rsidRDefault="008C3DC0">
            <w:pPr>
              <w:pStyle w:val="yTable"/>
              <w:jc w:val="center"/>
              <w:rPr>
                <w:b/>
              </w:rPr>
            </w:pPr>
            <w:r>
              <w:rPr>
                <w:b/>
              </w:rPr>
              <w:t>Type of fee</w:t>
            </w:r>
          </w:p>
        </w:tc>
        <w:tc>
          <w:tcPr>
            <w:tcW w:w="1418" w:type="dxa"/>
            <w:tcBorders>
              <w:top w:val="single" w:sz="4" w:space="0" w:color="auto"/>
              <w:bottom w:val="single" w:sz="4" w:space="0" w:color="auto"/>
            </w:tcBorders>
          </w:tcPr>
          <w:p w:rsidR="002D48FE" w:rsidRDefault="008C3DC0">
            <w:pPr>
              <w:pStyle w:val="yTable"/>
              <w:jc w:val="center"/>
              <w:rPr>
                <w:b/>
              </w:rPr>
            </w:pPr>
            <w:r>
              <w:rPr>
                <w:b/>
              </w:rPr>
              <w:t>Fee</w:t>
            </w:r>
            <w:r>
              <w:rPr>
                <w:b/>
              </w:rPr>
              <w:br/>
              <w:t>$</w:t>
            </w:r>
          </w:p>
        </w:tc>
      </w:tr>
      <w:tr w:rsidR="002D48FE">
        <w:tc>
          <w:tcPr>
            <w:tcW w:w="567" w:type="dxa"/>
          </w:tcPr>
          <w:p w:rsidR="002D48FE" w:rsidRDefault="008C3DC0">
            <w:pPr>
              <w:pStyle w:val="yTable"/>
            </w:pPr>
            <w:r>
              <w:t>1.</w:t>
            </w:r>
          </w:p>
        </w:tc>
        <w:tc>
          <w:tcPr>
            <w:tcW w:w="4536" w:type="dxa"/>
          </w:tcPr>
          <w:p w:rsidR="002D48FE" w:rsidRDefault="008C3DC0">
            <w:pPr>
              <w:pStyle w:val="yTable"/>
            </w:pPr>
            <w:r>
              <w:t>Fee payable on lodgment of a written notice seeking registration in accordance with mutual recognition principle.</w:t>
            </w:r>
          </w:p>
        </w:tc>
        <w:tc>
          <w:tcPr>
            <w:tcW w:w="1418" w:type="dxa"/>
          </w:tcPr>
          <w:p w:rsidR="002D48FE" w:rsidRDefault="008C3DC0">
            <w:pPr>
              <w:pStyle w:val="yTable"/>
              <w:jc w:val="center"/>
            </w:pPr>
            <w:r>
              <w:br/>
            </w:r>
            <w:r>
              <w:br/>
              <w:t>150</w:t>
            </w:r>
          </w:p>
        </w:tc>
      </w:tr>
      <w:tr w:rsidR="002D48FE">
        <w:tc>
          <w:tcPr>
            <w:tcW w:w="567" w:type="dxa"/>
          </w:tcPr>
          <w:p w:rsidR="002D48FE" w:rsidRDefault="008C3DC0">
            <w:pPr>
              <w:pStyle w:val="yTable"/>
            </w:pPr>
            <w:r>
              <w:t>2.</w:t>
            </w:r>
          </w:p>
        </w:tc>
        <w:tc>
          <w:tcPr>
            <w:tcW w:w="4536" w:type="dxa"/>
          </w:tcPr>
          <w:p w:rsidR="002D48FE" w:rsidRDefault="008C3DC0">
            <w:pPr>
              <w:pStyle w:val="yTable"/>
            </w:pPr>
            <w:r>
              <w:t>Registration fee for grant of registration in accordance with mutual recognition principle if registration is effected in the months of January, February, March, April, May or June.</w:t>
            </w:r>
          </w:p>
        </w:tc>
        <w:tc>
          <w:tcPr>
            <w:tcW w:w="1418" w:type="dxa"/>
          </w:tcPr>
          <w:p w:rsidR="002D48FE" w:rsidRDefault="008C3DC0">
            <w:pPr>
              <w:pStyle w:val="yTable"/>
              <w:jc w:val="center"/>
            </w:pPr>
            <w:r>
              <w:br/>
            </w:r>
            <w:r>
              <w:br/>
            </w:r>
            <w:r>
              <w:br/>
              <w:t>250</w:t>
            </w:r>
          </w:p>
        </w:tc>
      </w:tr>
      <w:tr w:rsidR="002D48FE">
        <w:tc>
          <w:tcPr>
            <w:tcW w:w="567" w:type="dxa"/>
            <w:tcBorders>
              <w:bottom w:val="single" w:sz="4" w:space="0" w:color="auto"/>
            </w:tcBorders>
          </w:tcPr>
          <w:p w:rsidR="002D48FE" w:rsidRDefault="008C3DC0">
            <w:pPr>
              <w:pStyle w:val="yTable"/>
            </w:pPr>
            <w:r>
              <w:t>3.</w:t>
            </w:r>
          </w:p>
        </w:tc>
        <w:tc>
          <w:tcPr>
            <w:tcW w:w="4536" w:type="dxa"/>
            <w:tcBorders>
              <w:bottom w:val="single" w:sz="4" w:space="0" w:color="auto"/>
            </w:tcBorders>
          </w:tcPr>
          <w:p w:rsidR="002D48FE" w:rsidRDefault="008C3DC0">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2D48FE" w:rsidRDefault="008C3DC0">
            <w:pPr>
              <w:pStyle w:val="yTable"/>
              <w:jc w:val="center"/>
            </w:pPr>
            <w:r>
              <w:br/>
            </w:r>
            <w:r>
              <w:br/>
            </w:r>
            <w:r>
              <w:br/>
            </w:r>
            <w:r>
              <w:br/>
              <w:t>125</w:t>
            </w:r>
          </w:p>
        </w:tc>
      </w:tr>
    </w:tbl>
    <w:p w:rsidR="002D48FE" w:rsidRDefault="002D48FE">
      <w:pPr>
        <w:sectPr w:rsidR="002D48FE">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88" w:name="_Toc153701710"/>
      <w:bookmarkStart w:id="189" w:name="_Toc153766935"/>
    </w:p>
    <w:p w:rsidR="002D48FE" w:rsidRDefault="008C3DC0">
      <w:pPr>
        <w:pStyle w:val="nHeading2"/>
      </w:pPr>
      <w:bookmarkStart w:id="190" w:name="_Toc165453332"/>
      <w:r>
        <w:lastRenderedPageBreak/>
        <w:t>Notes</w:t>
      </w:r>
      <w:bookmarkEnd w:id="22"/>
      <w:bookmarkEnd w:id="188"/>
      <w:bookmarkEnd w:id="189"/>
      <w:bookmarkEnd w:id="190"/>
    </w:p>
    <w:p w:rsidR="002D48FE" w:rsidRDefault="008C3DC0">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The following table contains information about those regulations. </w:t>
      </w:r>
    </w:p>
    <w:p w:rsidR="002D48FE" w:rsidRDefault="008C3DC0">
      <w:pPr>
        <w:pStyle w:val="nHeading3"/>
      </w:pPr>
      <w:bookmarkStart w:id="191" w:name="_Toc70311430"/>
      <w:bookmarkStart w:id="192" w:name="_Toc165453333"/>
      <w:r>
        <w:t>Compilation table</w:t>
      </w:r>
      <w:bookmarkEnd w:id="191"/>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D48FE">
        <w:trPr>
          <w:tblHeader/>
        </w:trPr>
        <w:tc>
          <w:tcPr>
            <w:tcW w:w="3118" w:type="dxa"/>
          </w:tcPr>
          <w:p w:rsidR="002D48FE" w:rsidRDefault="008C3DC0">
            <w:pPr>
              <w:pStyle w:val="nTable"/>
              <w:spacing w:after="40"/>
              <w:rPr>
                <w:b/>
                <w:sz w:val="19"/>
              </w:rPr>
            </w:pPr>
            <w:r>
              <w:rPr>
                <w:b/>
                <w:sz w:val="19"/>
              </w:rPr>
              <w:t>Citation</w:t>
            </w:r>
          </w:p>
        </w:tc>
        <w:tc>
          <w:tcPr>
            <w:tcW w:w="1276" w:type="dxa"/>
          </w:tcPr>
          <w:p w:rsidR="002D48FE" w:rsidRDefault="008C3DC0">
            <w:pPr>
              <w:pStyle w:val="nTable"/>
              <w:spacing w:after="40"/>
              <w:rPr>
                <w:b/>
                <w:sz w:val="19"/>
              </w:rPr>
            </w:pPr>
            <w:r>
              <w:rPr>
                <w:b/>
                <w:sz w:val="19"/>
              </w:rPr>
              <w:t>Gazettal</w:t>
            </w:r>
          </w:p>
        </w:tc>
        <w:tc>
          <w:tcPr>
            <w:tcW w:w="2693" w:type="dxa"/>
          </w:tcPr>
          <w:p w:rsidR="002D48FE" w:rsidRDefault="008C3DC0">
            <w:pPr>
              <w:pStyle w:val="nTable"/>
              <w:spacing w:after="40"/>
              <w:rPr>
                <w:b/>
                <w:sz w:val="19"/>
              </w:rPr>
            </w:pPr>
            <w:r>
              <w:rPr>
                <w:b/>
                <w:sz w:val="19"/>
              </w:rPr>
              <w:t>Commencement</w:t>
            </w:r>
          </w:p>
        </w:tc>
      </w:tr>
      <w:tr w:rsidR="002D48FE">
        <w:tc>
          <w:tcPr>
            <w:tcW w:w="3118" w:type="dxa"/>
          </w:tcPr>
          <w:p w:rsidR="002D48FE" w:rsidRDefault="008C3DC0">
            <w:pPr>
              <w:pStyle w:val="nTable"/>
              <w:spacing w:after="40"/>
              <w:rPr>
                <w:sz w:val="19"/>
              </w:rPr>
            </w:pPr>
            <w:r>
              <w:rPr>
                <w:i/>
                <w:noProof/>
                <w:snapToGrid w:val="0"/>
                <w:sz w:val="19"/>
              </w:rPr>
              <w:t>Optometrists Regulations 2006</w:t>
            </w:r>
            <w:r>
              <w:rPr>
                <w:noProof/>
                <w:snapToGrid w:val="0"/>
                <w:sz w:val="19"/>
              </w:rPr>
              <w:t xml:space="preserve"> </w:t>
            </w:r>
          </w:p>
        </w:tc>
        <w:tc>
          <w:tcPr>
            <w:tcW w:w="1276" w:type="dxa"/>
          </w:tcPr>
          <w:p w:rsidR="002D48FE" w:rsidRDefault="008C3DC0">
            <w:pPr>
              <w:pStyle w:val="nTable"/>
              <w:spacing w:after="40"/>
              <w:rPr>
                <w:sz w:val="19"/>
              </w:rPr>
            </w:pPr>
            <w:r>
              <w:rPr>
                <w:sz w:val="19"/>
              </w:rPr>
              <w:t>13 Dec 2006 p. 5573</w:t>
            </w:r>
            <w:r>
              <w:rPr>
                <w:sz w:val="19"/>
              </w:rPr>
              <w:noBreakHyphen/>
              <w:t>84</w:t>
            </w:r>
          </w:p>
        </w:tc>
        <w:tc>
          <w:tcPr>
            <w:tcW w:w="2693" w:type="dxa"/>
          </w:tcPr>
          <w:p w:rsidR="002D48FE" w:rsidRDefault="008C3DC0">
            <w:pPr>
              <w:pStyle w:val="nTable"/>
              <w:spacing w:after="40"/>
              <w:rPr>
                <w:sz w:val="19"/>
              </w:rPr>
            </w:pPr>
            <w:r>
              <w:t xml:space="preserve">20 Apr 2007 (see r. 2 and </w:t>
            </w:r>
            <w:r>
              <w:rPr>
                <w:i/>
                <w:iCs/>
              </w:rPr>
              <w:t xml:space="preserve">Gazette </w:t>
            </w:r>
            <w:r>
              <w:t>30 Mar 2007 p. 1451)</w:t>
            </w:r>
          </w:p>
        </w:tc>
      </w:tr>
    </w:tbl>
    <w:p w:rsidR="002D48FE" w:rsidRDefault="002D48FE"/>
    <w:p w:rsidR="002D48FE" w:rsidRDefault="002D48FE">
      <w:pPr>
        <w:sectPr w:rsidR="002D48FE">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D48FE" w:rsidRDefault="002D48FE"/>
    <w:sectPr w:rsidR="002D48FE">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8FE" w:rsidRDefault="008C3DC0">
      <w:pPr>
        <w:rPr>
          <w:b/>
          <w:sz w:val="28"/>
        </w:rPr>
      </w:pPr>
      <w:r>
        <w:rPr>
          <w:b/>
          <w:sz w:val="28"/>
        </w:rPr>
        <w:t>Endnotes</w:t>
      </w:r>
    </w:p>
    <w:p w:rsidR="002D48FE" w:rsidRDefault="008C3DC0">
      <w:pPr>
        <w:spacing w:after="240"/>
        <w:rPr>
          <w:rFonts w:ascii="Times" w:hAnsi="Times"/>
          <w:sz w:val="18"/>
        </w:rPr>
      </w:pPr>
      <w:r>
        <w:rPr>
          <w:sz w:val="20"/>
        </w:rPr>
        <w:t>[For ease of reference detach these notes and read them alongside the draft.]</w:t>
      </w:r>
    </w:p>
    <w:p w:rsidR="002D48FE" w:rsidRDefault="002D48FE"/>
  </w:endnote>
  <w:endnote w:type="continuationSeparator" w:id="0">
    <w:p w:rsidR="002D48FE" w:rsidRDefault="002D48FE">
      <w:pPr>
        <w:pStyle w:val="Footer"/>
      </w:pPr>
    </w:p>
    <w:p w:rsidR="002D48FE" w:rsidRDefault="002D48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p>
  <w:p w:rsidR="002D48FE" w:rsidRDefault="008C3DC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rsidR="002D48FE" w:rsidRDefault="008C3DC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rsidR="002D48FE" w:rsidRDefault="008C3DC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5A1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p>
  <w:p w:rsidR="002D48FE" w:rsidRDefault="008C3DC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2D48FE" w:rsidRDefault="008C3DC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5A1F">
      <w:rPr>
        <w:rStyle w:val="PageNumber"/>
        <w:rFonts w:ascii="Arial" w:hAnsi="Arial" w:cs="Arial"/>
        <w:noProof/>
      </w:rPr>
      <w:t>i</w:t>
    </w:r>
    <w:r>
      <w:rPr>
        <w:rStyle w:val="PageNumber"/>
        <w:rFonts w:ascii="Arial" w:hAnsi="Arial" w:cs="Arial"/>
      </w:rPr>
      <w:fldChar w:fldCharType="end"/>
    </w:r>
  </w:p>
  <w:p w:rsidR="002D48FE" w:rsidRDefault="008C3DC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5A1F">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rsidR="002D48FE" w:rsidRDefault="008C3DC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5A1F">
      <w:rPr>
        <w:rStyle w:val="CharPageNo"/>
        <w:rFonts w:ascii="Arial" w:hAnsi="Arial"/>
        <w:noProof/>
      </w:rPr>
      <w:t>9</w:t>
    </w:r>
    <w:r>
      <w:rPr>
        <w:rStyle w:val="CharPageNo"/>
        <w:rFonts w:ascii="Arial" w:hAnsi="Arial"/>
      </w:rPr>
      <w:fldChar w:fldCharType="end"/>
    </w:r>
  </w:p>
  <w:p w:rsidR="002D48FE" w:rsidRDefault="008C3DC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Footer"/>
      <w:tabs>
        <w:tab w:val="clear" w:pos="4153"/>
        <w:tab w:val="right" w:pos="7088"/>
      </w:tabs>
      <w:rPr>
        <w:rStyle w:val="PageNumber"/>
      </w:rPr>
    </w:pPr>
  </w:p>
  <w:p w:rsidR="002D48FE" w:rsidRDefault="008C3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5A1F">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5A1F">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5A1F">
      <w:rPr>
        <w:rStyle w:val="CharPageNo"/>
        <w:rFonts w:ascii="Arial" w:hAnsi="Arial"/>
        <w:noProof/>
      </w:rPr>
      <w:t>1</w:t>
    </w:r>
    <w:r>
      <w:rPr>
        <w:rStyle w:val="CharPageNo"/>
        <w:rFonts w:ascii="Arial" w:hAnsi="Arial"/>
      </w:rPr>
      <w:fldChar w:fldCharType="end"/>
    </w:r>
  </w:p>
  <w:p w:rsidR="002D48FE" w:rsidRDefault="008C3DC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8FE" w:rsidRDefault="008C3DC0">
      <w:r>
        <w:separator/>
      </w:r>
    </w:p>
  </w:footnote>
  <w:footnote w:type="continuationSeparator" w:id="0">
    <w:p w:rsidR="002D48FE" w:rsidRDefault="008C3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8C3DC0">
    <w:pPr>
      <w:pStyle w:val="headerpartodd"/>
      <w:ind w:left="0" w:firstLine="0"/>
      <w:rPr>
        <w:i/>
      </w:rPr>
    </w:pPr>
    <w:r>
      <w:rPr>
        <w:i/>
      </w:rPr>
      <w:fldChar w:fldCharType="begin"/>
    </w:r>
    <w:r>
      <w:rPr>
        <w:i/>
      </w:rPr>
      <w:instrText xml:space="preserve"> Styleref "Name of Act/Reg" </w:instrText>
    </w:r>
    <w:r>
      <w:rPr>
        <w:i/>
      </w:rPr>
      <w:fldChar w:fldCharType="separate"/>
    </w:r>
    <w:r w:rsidR="002E5A1F">
      <w:rPr>
        <w:i/>
        <w:noProof/>
      </w:rPr>
      <w:t>Optometrists Regulations 2006</w:t>
    </w:r>
    <w:r>
      <w:rPr>
        <w:i/>
      </w:rPr>
      <w:fldChar w:fldCharType="end"/>
    </w:r>
  </w:p>
  <w:p w:rsidR="002D48FE" w:rsidRDefault="008C3DC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D48FE" w:rsidRDefault="008C3DC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D48FE" w:rsidRDefault="002D48FE">
    <w:pPr>
      <w:pStyle w:val="headerpart"/>
    </w:pPr>
  </w:p>
  <w:p w:rsidR="002D48FE" w:rsidRDefault="002D48FE">
    <w:pPr>
      <w:pBdr>
        <w:bottom w:val="single" w:sz="6" w:space="1" w:color="auto"/>
      </w:pBdr>
      <w:rPr>
        <w:b/>
      </w:rPr>
    </w:pPr>
  </w:p>
  <w:p w:rsidR="002D48FE" w:rsidRDefault="002D48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A1F" w:rsidRDefault="002E5A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A1F" w:rsidRDefault="002E5A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48FE">
      <w:trPr>
        <w:cantSplit/>
      </w:trPr>
      <w:tc>
        <w:tcPr>
          <w:tcW w:w="7258" w:type="dxa"/>
          <w:gridSpan w:val="2"/>
        </w:tcPr>
        <w:p w:rsidR="002D48FE" w:rsidRDefault="008C3DC0">
          <w:pPr>
            <w:pStyle w:val="HeaderActNameLeft"/>
          </w:pPr>
          <w:fldSimple w:instr=" Styleref &quot;Name of Act/Reg&quot; ">
            <w:r w:rsidR="002E5A1F">
              <w:rPr>
                <w:noProof/>
              </w:rPr>
              <w:t>Optometrists Regulations 2006</w:t>
            </w:r>
          </w:fldSimple>
        </w:p>
      </w:tc>
    </w:tr>
    <w:tr w:rsidR="002D48FE">
      <w:tc>
        <w:tcPr>
          <w:tcW w:w="1548" w:type="dxa"/>
        </w:tcPr>
        <w:p w:rsidR="002D48FE" w:rsidRDefault="002D48FE">
          <w:pPr>
            <w:pStyle w:val="HeaderNumberLeft"/>
          </w:pPr>
        </w:p>
      </w:tc>
      <w:tc>
        <w:tcPr>
          <w:tcW w:w="5715" w:type="dxa"/>
        </w:tcPr>
        <w:p w:rsidR="002D48FE" w:rsidRDefault="002D48FE">
          <w:pPr>
            <w:pStyle w:val="HeaderTextLeft"/>
          </w:pPr>
        </w:p>
      </w:tc>
    </w:tr>
    <w:tr w:rsidR="002D48FE">
      <w:tc>
        <w:tcPr>
          <w:tcW w:w="1548" w:type="dxa"/>
        </w:tcPr>
        <w:p w:rsidR="002D48FE" w:rsidRDefault="002D48FE">
          <w:pPr>
            <w:pStyle w:val="HeaderNumberLeft"/>
          </w:pPr>
        </w:p>
      </w:tc>
      <w:tc>
        <w:tcPr>
          <w:tcW w:w="5715" w:type="dxa"/>
        </w:tcPr>
        <w:p w:rsidR="002D48FE" w:rsidRDefault="002D48FE">
          <w:pPr>
            <w:pStyle w:val="HeaderTextLeft"/>
          </w:pPr>
        </w:p>
      </w:tc>
    </w:tr>
    <w:tr w:rsidR="002D48FE">
      <w:trPr>
        <w:cantSplit/>
      </w:trPr>
      <w:tc>
        <w:tcPr>
          <w:tcW w:w="7258" w:type="dxa"/>
          <w:gridSpan w:val="2"/>
        </w:tcPr>
        <w:p w:rsidR="002D48FE" w:rsidRDefault="008C3DC0">
          <w:pPr>
            <w:pStyle w:val="HeaderSectionLeft"/>
            <w:rPr>
              <w:b w:val="0"/>
            </w:rPr>
          </w:pPr>
          <w:r>
            <w:rPr>
              <w:b w:val="0"/>
            </w:rPr>
            <w:t>Contents</w:t>
          </w:r>
        </w:p>
      </w:tc>
    </w:tr>
  </w:tbl>
  <w:p w:rsidR="002D48FE" w:rsidRDefault="002D48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48FE">
      <w:trPr>
        <w:cantSplit/>
      </w:trPr>
      <w:tc>
        <w:tcPr>
          <w:tcW w:w="7258" w:type="dxa"/>
          <w:gridSpan w:val="2"/>
        </w:tcPr>
        <w:p w:rsidR="002D48FE" w:rsidRDefault="008C3DC0">
          <w:pPr>
            <w:pStyle w:val="HeaderActNameRight"/>
            <w:ind w:right="17"/>
          </w:pPr>
          <w:fldSimple w:instr=" Styleref &quot;Name of Act/Reg&quot; ">
            <w:r w:rsidR="002E5A1F">
              <w:rPr>
                <w:noProof/>
              </w:rPr>
              <w:t>Optometrists Regulations 2006</w:t>
            </w:r>
          </w:fldSimple>
        </w:p>
      </w:tc>
    </w:tr>
    <w:tr w:rsidR="002D48FE">
      <w:tc>
        <w:tcPr>
          <w:tcW w:w="5715" w:type="dxa"/>
        </w:tcPr>
        <w:p w:rsidR="002D48FE" w:rsidRDefault="002D48FE">
          <w:pPr>
            <w:pStyle w:val="HeaderTextRight"/>
          </w:pPr>
        </w:p>
      </w:tc>
      <w:tc>
        <w:tcPr>
          <w:tcW w:w="1548" w:type="dxa"/>
        </w:tcPr>
        <w:p w:rsidR="002D48FE" w:rsidRDefault="002D48FE">
          <w:pPr>
            <w:pStyle w:val="HeaderNumberRight"/>
            <w:ind w:right="17"/>
          </w:pPr>
        </w:p>
      </w:tc>
    </w:tr>
    <w:tr w:rsidR="002D48FE">
      <w:tc>
        <w:tcPr>
          <w:tcW w:w="5715" w:type="dxa"/>
        </w:tcPr>
        <w:p w:rsidR="002D48FE" w:rsidRDefault="002D48FE">
          <w:pPr>
            <w:pStyle w:val="HeaderTextRight"/>
          </w:pPr>
        </w:p>
      </w:tc>
      <w:tc>
        <w:tcPr>
          <w:tcW w:w="1548" w:type="dxa"/>
        </w:tcPr>
        <w:p w:rsidR="002D48FE" w:rsidRDefault="002D48FE">
          <w:pPr>
            <w:pStyle w:val="HeaderNumberRight"/>
            <w:ind w:right="17"/>
          </w:pPr>
        </w:p>
      </w:tc>
    </w:tr>
    <w:tr w:rsidR="002D48FE">
      <w:trPr>
        <w:cantSplit/>
      </w:trPr>
      <w:tc>
        <w:tcPr>
          <w:tcW w:w="7258" w:type="dxa"/>
          <w:gridSpan w:val="2"/>
        </w:tcPr>
        <w:p w:rsidR="002D48FE" w:rsidRDefault="008C3DC0">
          <w:pPr>
            <w:pStyle w:val="HeaderSectionRight"/>
            <w:ind w:right="17"/>
            <w:rPr>
              <w:b w:val="0"/>
            </w:rPr>
          </w:pPr>
          <w:r>
            <w:rPr>
              <w:b w:val="0"/>
            </w:rPr>
            <w:t>Contents</w:t>
          </w:r>
        </w:p>
      </w:tc>
    </w:tr>
  </w:tbl>
  <w:p w:rsidR="002D48FE" w:rsidRDefault="002D48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48FE">
      <w:trPr>
        <w:cantSplit/>
      </w:trPr>
      <w:tc>
        <w:tcPr>
          <w:tcW w:w="7258" w:type="dxa"/>
          <w:gridSpan w:val="2"/>
        </w:tcPr>
        <w:p w:rsidR="002D48FE" w:rsidRDefault="008C3DC0">
          <w:pPr>
            <w:pStyle w:val="HeaderActNameLeft"/>
          </w:pPr>
          <w:fldSimple w:instr=" Styleref &quot;Name of Act/Reg&quot; ">
            <w:r w:rsidR="002E5A1F">
              <w:rPr>
                <w:noProof/>
              </w:rPr>
              <w:t>Optometrists Regulations 2006</w:t>
            </w:r>
          </w:fldSimple>
        </w:p>
      </w:tc>
    </w:tr>
    <w:tr w:rsidR="002D48FE">
      <w:tc>
        <w:tcPr>
          <w:tcW w:w="1548" w:type="dxa"/>
        </w:tcPr>
        <w:p w:rsidR="002D48FE" w:rsidRDefault="008C3DC0">
          <w:pPr>
            <w:pStyle w:val="HeaderNumberLeft"/>
          </w:pPr>
          <w:r>
            <w:fldChar w:fldCharType="begin"/>
          </w:r>
          <w:r>
            <w:instrText xml:space="preserve"> styleref CharPartNo </w:instrText>
          </w:r>
          <w:r>
            <w:fldChar w:fldCharType="end"/>
          </w:r>
        </w:p>
      </w:tc>
      <w:tc>
        <w:tcPr>
          <w:tcW w:w="5715" w:type="dxa"/>
          <w:vAlign w:val="bottom"/>
        </w:tcPr>
        <w:p w:rsidR="002D48FE" w:rsidRDefault="008C3DC0">
          <w:pPr>
            <w:pStyle w:val="HeaderTextLeft"/>
          </w:pPr>
          <w:r>
            <w:fldChar w:fldCharType="begin"/>
          </w:r>
          <w:r>
            <w:instrText xml:space="preserve"> styleref CharPartText </w:instrText>
          </w:r>
          <w:r>
            <w:fldChar w:fldCharType="end"/>
          </w:r>
        </w:p>
      </w:tc>
    </w:tr>
    <w:tr w:rsidR="002D48FE">
      <w:tc>
        <w:tcPr>
          <w:tcW w:w="1548" w:type="dxa"/>
        </w:tcPr>
        <w:p w:rsidR="002D48FE" w:rsidRDefault="008C3DC0">
          <w:pPr>
            <w:pStyle w:val="HeaderNumberLeft"/>
          </w:pPr>
          <w:r>
            <w:fldChar w:fldCharType="begin"/>
          </w:r>
          <w:r>
            <w:instrText xml:space="preserve"> styleref CharDivNo </w:instrText>
          </w:r>
          <w:r>
            <w:fldChar w:fldCharType="end"/>
          </w:r>
        </w:p>
      </w:tc>
      <w:tc>
        <w:tcPr>
          <w:tcW w:w="5715" w:type="dxa"/>
        </w:tcPr>
        <w:p w:rsidR="002D48FE" w:rsidRDefault="008C3DC0">
          <w:pPr>
            <w:pStyle w:val="HeaderTextLeft"/>
          </w:pPr>
          <w:r>
            <w:fldChar w:fldCharType="begin"/>
          </w:r>
          <w:r>
            <w:instrText xml:space="preserve"> styleref CharDivText </w:instrText>
          </w:r>
          <w:r>
            <w:fldChar w:fldCharType="end"/>
          </w:r>
        </w:p>
      </w:tc>
    </w:tr>
    <w:tr w:rsidR="002D48FE">
      <w:trPr>
        <w:cantSplit/>
      </w:trPr>
      <w:tc>
        <w:tcPr>
          <w:tcW w:w="7258" w:type="dxa"/>
          <w:gridSpan w:val="2"/>
        </w:tcPr>
        <w:p w:rsidR="002D48FE" w:rsidRDefault="008C3DC0">
          <w:pPr>
            <w:pStyle w:val="HeaderSectionLeft"/>
          </w:pPr>
          <w:r>
            <w:t xml:space="preserve">r. </w:t>
          </w:r>
          <w:fldSimple w:instr=" styleref CharSectno ">
            <w:r w:rsidR="002E5A1F">
              <w:rPr>
                <w:noProof/>
              </w:rPr>
              <w:t>1</w:t>
            </w:r>
          </w:fldSimple>
        </w:p>
      </w:tc>
    </w:tr>
  </w:tbl>
  <w:p w:rsidR="002D48FE" w:rsidRDefault="002D48F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48FE">
      <w:trPr>
        <w:cantSplit/>
      </w:trPr>
      <w:tc>
        <w:tcPr>
          <w:tcW w:w="7258" w:type="dxa"/>
          <w:gridSpan w:val="2"/>
        </w:tcPr>
        <w:p w:rsidR="002D48FE" w:rsidRDefault="008C3DC0">
          <w:pPr>
            <w:pStyle w:val="HeaderActNameRight"/>
            <w:ind w:right="17"/>
          </w:pPr>
          <w:fldSimple w:instr=" Styleref &quot;Name of Act/Reg&quot; ">
            <w:r w:rsidR="002E5A1F">
              <w:rPr>
                <w:noProof/>
              </w:rPr>
              <w:t>Optometrists Regulations 2006</w:t>
            </w:r>
          </w:fldSimple>
        </w:p>
      </w:tc>
    </w:tr>
    <w:tr w:rsidR="002D48FE">
      <w:tc>
        <w:tcPr>
          <w:tcW w:w="5715" w:type="dxa"/>
        </w:tcPr>
        <w:p w:rsidR="002D48FE" w:rsidRDefault="008C3DC0">
          <w:pPr>
            <w:pStyle w:val="HeaderTextRight"/>
          </w:pPr>
          <w:r>
            <w:fldChar w:fldCharType="begin"/>
          </w:r>
          <w:r>
            <w:instrText xml:space="preserve"> styleref CharPartText </w:instrText>
          </w:r>
          <w:r>
            <w:fldChar w:fldCharType="end"/>
          </w:r>
        </w:p>
      </w:tc>
      <w:tc>
        <w:tcPr>
          <w:tcW w:w="1548" w:type="dxa"/>
        </w:tcPr>
        <w:p w:rsidR="002D48FE" w:rsidRDefault="008C3DC0">
          <w:pPr>
            <w:pStyle w:val="HeaderNumberRight"/>
            <w:ind w:right="17"/>
          </w:pPr>
          <w:r>
            <w:fldChar w:fldCharType="begin"/>
          </w:r>
          <w:r>
            <w:instrText xml:space="preserve"> styleref CharPartNo </w:instrText>
          </w:r>
          <w:r>
            <w:fldChar w:fldCharType="end"/>
          </w:r>
        </w:p>
      </w:tc>
    </w:tr>
    <w:tr w:rsidR="002D48FE">
      <w:tc>
        <w:tcPr>
          <w:tcW w:w="5715" w:type="dxa"/>
        </w:tcPr>
        <w:p w:rsidR="002D48FE" w:rsidRDefault="008C3DC0">
          <w:pPr>
            <w:pStyle w:val="HeaderTextRight"/>
          </w:pPr>
          <w:r>
            <w:fldChar w:fldCharType="begin"/>
          </w:r>
          <w:r>
            <w:instrText xml:space="preserve"> styleref CharDivText </w:instrText>
          </w:r>
          <w:r>
            <w:fldChar w:fldCharType="end"/>
          </w:r>
        </w:p>
      </w:tc>
      <w:tc>
        <w:tcPr>
          <w:tcW w:w="1548" w:type="dxa"/>
        </w:tcPr>
        <w:p w:rsidR="002D48FE" w:rsidRDefault="008C3DC0">
          <w:pPr>
            <w:pStyle w:val="HeaderNumberRight"/>
            <w:ind w:right="17"/>
          </w:pPr>
          <w:r>
            <w:fldChar w:fldCharType="begin"/>
          </w:r>
          <w:r>
            <w:instrText xml:space="preserve"> styleref CharDivNo </w:instrText>
          </w:r>
          <w:r>
            <w:fldChar w:fldCharType="end"/>
          </w:r>
        </w:p>
      </w:tc>
    </w:tr>
    <w:tr w:rsidR="002D48FE">
      <w:trPr>
        <w:cantSplit/>
      </w:trPr>
      <w:tc>
        <w:tcPr>
          <w:tcW w:w="7258" w:type="dxa"/>
          <w:gridSpan w:val="2"/>
        </w:tcPr>
        <w:p w:rsidR="002D48FE" w:rsidRDefault="008C3DC0">
          <w:pPr>
            <w:pStyle w:val="HeaderSectionRight"/>
            <w:ind w:right="17"/>
          </w:pPr>
          <w:r>
            <w:t xml:space="preserve">r. </w:t>
          </w:r>
          <w:fldSimple w:instr=" styleref CharSectno ">
            <w:r w:rsidR="002E5A1F">
              <w:rPr>
                <w:noProof/>
              </w:rPr>
              <w:t>1</w:t>
            </w:r>
          </w:fldSimple>
        </w:p>
      </w:tc>
    </w:tr>
  </w:tbl>
  <w:p w:rsidR="002D48FE" w:rsidRDefault="002D48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48FE">
      <w:trPr>
        <w:cantSplit/>
      </w:trPr>
      <w:tc>
        <w:tcPr>
          <w:tcW w:w="7258" w:type="dxa"/>
          <w:gridSpan w:val="2"/>
        </w:tcPr>
        <w:p w:rsidR="002D48FE" w:rsidRDefault="008C3DC0">
          <w:pPr>
            <w:pStyle w:val="HeaderActNameLeft"/>
          </w:pPr>
          <w:fldSimple w:instr=" STYLEREF &quot;Name of Act/Reg&quot; \* MERGEFORMAT ">
            <w:r w:rsidR="002E5A1F">
              <w:rPr>
                <w:noProof/>
              </w:rPr>
              <w:t>Optometrists Regulations 2006</w:t>
            </w:r>
          </w:fldSimple>
        </w:p>
      </w:tc>
    </w:tr>
    <w:tr w:rsidR="002D48FE">
      <w:tc>
        <w:tcPr>
          <w:tcW w:w="1548" w:type="dxa"/>
        </w:tcPr>
        <w:p w:rsidR="002D48FE" w:rsidRDefault="008C3DC0">
          <w:pPr>
            <w:pStyle w:val="HeaderNumberLeft"/>
            <w:rPr>
              <w:b w:val="0"/>
            </w:rPr>
          </w:pPr>
          <w:r>
            <w:fldChar w:fldCharType="begin"/>
          </w:r>
          <w:r>
            <w:instrText xml:space="preserve"> styleref CharSchno </w:instrText>
          </w:r>
          <w:r>
            <w:fldChar w:fldCharType="end"/>
          </w:r>
        </w:p>
      </w:tc>
      <w:tc>
        <w:tcPr>
          <w:tcW w:w="5715" w:type="dxa"/>
        </w:tcPr>
        <w:p w:rsidR="002D48FE" w:rsidRDefault="008C3DC0">
          <w:pPr>
            <w:pStyle w:val="HeaderTextLeft"/>
          </w:pPr>
          <w:r>
            <w:fldChar w:fldCharType="begin"/>
          </w:r>
          <w:r>
            <w:instrText xml:space="preserve"> styleref CharSchText </w:instrText>
          </w:r>
          <w:r>
            <w:fldChar w:fldCharType="end"/>
          </w:r>
        </w:p>
      </w:tc>
    </w:tr>
    <w:tr w:rsidR="002D48FE">
      <w:tc>
        <w:tcPr>
          <w:tcW w:w="1548" w:type="dxa"/>
        </w:tcPr>
        <w:p w:rsidR="002D48FE" w:rsidRDefault="008C3DC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D48FE" w:rsidRDefault="008C3DC0">
          <w:pPr>
            <w:pStyle w:val="HeaderTextLeft"/>
          </w:pPr>
          <w:r>
            <w:fldChar w:fldCharType="begin"/>
          </w:r>
          <w:r>
            <w:instrText xml:space="preserve"> styleref CharSDivText </w:instrText>
          </w:r>
          <w:r>
            <w:fldChar w:fldCharType="end"/>
          </w:r>
        </w:p>
      </w:tc>
    </w:tr>
    <w:tr w:rsidR="002D48FE">
      <w:tc>
        <w:tcPr>
          <w:tcW w:w="1548" w:type="dxa"/>
        </w:tcPr>
        <w:p w:rsidR="002D48FE" w:rsidRDefault="002D48FE">
          <w:pPr>
            <w:pStyle w:val="HeaderNumberLeft"/>
          </w:pPr>
        </w:p>
      </w:tc>
      <w:tc>
        <w:tcPr>
          <w:tcW w:w="5715" w:type="dxa"/>
        </w:tcPr>
        <w:p w:rsidR="002D48FE" w:rsidRDefault="002D48FE">
          <w:pPr>
            <w:pStyle w:val="HeaderTextLeft"/>
          </w:pPr>
        </w:p>
      </w:tc>
    </w:tr>
  </w:tbl>
  <w:p w:rsidR="002D48FE" w:rsidRDefault="002D48F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D48FE">
      <w:trPr>
        <w:cantSplit/>
      </w:trPr>
      <w:tc>
        <w:tcPr>
          <w:tcW w:w="7263" w:type="dxa"/>
          <w:gridSpan w:val="2"/>
        </w:tcPr>
        <w:p w:rsidR="002D48FE" w:rsidRDefault="008C3DC0">
          <w:pPr>
            <w:pStyle w:val="HeaderActNameRight"/>
            <w:ind w:right="17"/>
          </w:pPr>
          <w:fldSimple w:instr=" Styleref &quot;Name of Act/Reg&quot; ">
            <w:r w:rsidR="002E5A1F">
              <w:rPr>
                <w:noProof/>
              </w:rPr>
              <w:t>Optometrists Regulations 2006</w:t>
            </w:r>
          </w:fldSimple>
        </w:p>
      </w:tc>
    </w:tr>
    <w:tr w:rsidR="002D48FE">
      <w:tc>
        <w:tcPr>
          <w:tcW w:w="5715" w:type="dxa"/>
          <w:vAlign w:val="bottom"/>
        </w:tcPr>
        <w:p w:rsidR="002D48FE" w:rsidRDefault="008C3DC0">
          <w:pPr>
            <w:pStyle w:val="HeaderTextRight"/>
          </w:pPr>
          <w:r>
            <w:fldChar w:fldCharType="begin"/>
          </w:r>
          <w:r>
            <w:instrText xml:space="preserve"> styleref CharSchText </w:instrText>
          </w:r>
          <w:r>
            <w:fldChar w:fldCharType="end"/>
          </w:r>
        </w:p>
      </w:tc>
      <w:tc>
        <w:tcPr>
          <w:tcW w:w="1548" w:type="dxa"/>
        </w:tcPr>
        <w:p w:rsidR="002D48FE" w:rsidRDefault="008C3DC0">
          <w:pPr>
            <w:pStyle w:val="HeaderNumberRight"/>
            <w:ind w:right="17"/>
          </w:pPr>
          <w:r>
            <w:fldChar w:fldCharType="begin"/>
          </w:r>
          <w:r>
            <w:instrText xml:space="preserve"> styleref CharSchno </w:instrText>
          </w:r>
          <w:r>
            <w:fldChar w:fldCharType="end"/>
          </w:r>
        </w:p>
      </w:tc>
    </w:tr>
    <w:tr w:rsidR="002D48FE">
      <w:tc>
        <w:tcPr>
          <w:tcW w:w="5715" w:type="dxa"/>
        </w:tcPr>
        <w:p w:rsidR="002D48FE" w:rsidRDefault="008C3DC0">
          <w:pPr>
            <w:pStyle w:val="HeaderTextRight"/>
          </w:pPr>
          <w:r>
            <w:fldChar w:fldCharType="begin"/>
          </w:r>
          <w:r>
            <w:instrText xml:space="preserve"> styleref CharSDivText </w:instrText>
          </w:r>
          <w:r>
            <w:fldChar w:fldCharType="end"/>
          </w:r>
        </w:p>
      </w:tc>
      <w:tc>
        <w:tcPr>
          <w:tcW w:w="1548" w:type="dxa"/>
        </w:tcPr>
        <w:p w:rsidR="002D48FE" w:rsidRDefault="008C3DC0">
          <w:pPr>
            <w:pStyle w:val="HeaderNumberRight"/>
            <w:ind w:right="17"/>
          </w:pPr>
          <w:r>
            <w:rPr>
              <w:bCs/>
            </w:rPr>
            <w:fldChar w:fldCharType="begin"/>
          </w:r>
          <w:r>
            <w:rPr>
              <w:bCs/>
            </w:rPr>
            <w:instrText xml:space="preserve"> STYLEREF CharSDivNo \* charformat</w:instrText>
          </w:r>
          <w:r>
            <w:rPr>
              <w:bCs/>
            </w:rPr>
            <w:fldChar w:fldCharType="end"/>
          </w:r>
        </w:p>
      </w:tc>
    </w:tr>
    <w:tr w:rsidR="002D48FE">
      <w:tc>
        <w:tcPr>
          <w:tcW w:w="5715" w:type="dxa"/>
        </w:tcPr>
        <w:p w:rsidR="002D48FE" w:rsidRDefault="002D48FE">
          <w:pPr>
            <w:pStyle w:val="HeaderTextRight"/>
          </w:pPr>
        </w:p>
      </w:tc>
      <w:tc>
        <w:tcPr>
          <w:tcW w:w="1548" w:type="dxa"/>
        </w:tcPr>
        <w:p w:rsidR="002D48FE" w:rsidRDefault="002D48FE">
          <w:pPr>
            <w:pStyle w:val="HeaderNumberRight"/>
            <w:ind w:right="17"/>
            <w:rPr>
              <w:bCs/>
            </w:rPr>
          </w:pPr>
        </w:p>
      </w:tc>
    </w:tr>
  </w:tbl>
  <w:p w:rsidR="002D48FE" w:rsidRDefault="002D48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48FE">
      <w:trPr>
        <w:cantSplit/>
      </w:trPr>
      <w:tc>
        <w:tcPr>
          <w:tcW w:w="7258" w:type="dxa"/>
          <w:gridSpan w:val="2"/>
        </w:tcPr>
        <w:p w:rsidR="002D48FE" w:rsidRDefault="008C3DC0">
          <w:pPr>
            <w:pStyle w:val="HeaderActNameLeft"/>
          </w:pPr>
          <w:fldSimple w:instr=" Styleref &quot;Name of Act/Reg&quot; ">
            <w:r w:rsidR="002E5A1F">
              <w:rPr>
                <w:noProof/>
              </w:rPr>
              <w:t>Optometrists Regulations 2006</w:t>
            </w:r>
          </w:fldSimple>
        </w:p>
      </w:tc>
    </w:tr>
    <w:tr w:rsidR="002D48FE">
      <w:tc>
        <w:tcPr>
          <w:tcW w:w="1548" w:type="dxa"/>
        </w:tcPr>
        <w:p w:rsidR="002D48FE" w:rsidRDefault="002D48FE">
          <w:pPr>
            <w:pStyle w:val="HeaderNumberLeft"/>
          </w:pPr>
        </w:p>
      </w:tc>
      <w:tc>
        <w:tcPr>
          <w:tcW w:w="5715" w:type="dxa"/>
        </w:tcPr>
        <w:p w:rsidR="002D48FE" w:rsidRDefault="002D48FE">
          <w:pPr>
            <w:pStyle w:val="HeaderTextLeft"/>
          </w:pPr>
        </w:p>
      </w:tc>
    </w:tr>
    <w:tr w:rsidR="002D48FE">
      <w:tc>
        <w:tcPr>
          <w:tcW w:w="1548" w:type="dxa"/>
        </w:tcPr>
        <w:p w:rsidR="002D48FE" w:rsidRDefault="002D48FE">
          <w:pPr>
            <w:pStyle w:val="HeaderNumberLeft"/>
          </w:pPr>
        </w:p>
      </w:tc>
      <w:tc>
        <w:tcPr>
          <w:tcW w:w="5715" w:type="dxa"/>
        </w:tcPr>
        <w:p w:rsidR="002D48FE" w:rsidRDefault="002D48FE">
          <w:pPr>
            <w:pStyle w:val="HeaderTextLeft"/>
          </w:pPr>
        </w:p>
      </w:tc>
    </w:tr>
    <w:tr w:rsidR="002D48FE">
      <w:trPr>
        <w:cantSplit/>
      </w:trPr>
      <w:tc>
        <w:tcPr>
          <w:tcW w:w="7258" w:type="dxa"/>
          <w:gridSpan w:val="2"/>
        </w:tcPr>
        <w:p w:rsidR="002D48FE" w:rsidRDefault="002D48FE">
          <w:pPr>
            <w:pStyle w:val="HeaderSectionRight"/>
            <w:ind w:right="17"/>
            <w:jc w:val="left"/>
          </w:pPr>
        </w:p>
      </w:tc>
    </w:tr>
  </w:tbl>
  <w:p w:rsidR="002D48FE" w:rsidRDefault="002D48F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48FE">
      <w:trPr>
        <w:cantSplit/>
      </w:trPr>
      <w:tc>
        <w:tcPr>
          <w:tcW w:w="7258" w:type="dxa"/>
          <w:gridSpan w:val="2"/>
        </w:tcPr>
        <w:p w:rsidR="002D48FE" w:rsidRDefault="008C3DC0">
          <w:pPr>
            <w:pStyle w:val="HeaderActNameRight"/>
            <w:ind w:right="17"/>
          </w:pPr>
          <w:fldSimple w:instr=" Styleref &quot;Name of Act/Reg&quot; ">
            <w:r w:rsidR="002E5A1F">
              <w:rPr>
                <w:noProof/>
              </w:rPr>
              <w:t>Optometrists Regulations 2006</w:t>
            </w:r>
          </w:fldSimple>
        </w:p>
      </w:tc>
    </w:tr>
    <w:tr w:rsidR="002D48FE">
      <w:tc>
        <w:tcPr>
          <w:tcW w:w="5715" w:type="dxa"/>
        </w:tcPr>
        <w:p w:rsidR="002D48FE" w:rsidRDefault="002D48FE">
          <w:pPr>
            <w:pStyle w:val="HeaderTextRight"/>
          </w:pPr>
        </w:p>
      </w:tc>
      <w:tc>
        <w:tcPr>
          <w:tcW w:w="1548" w:type="dxa"/>
        </w:tcPr>
        <w:p w:rsidR="002D48FE" w:rsidRDefault="002D48FE">
          <w:pPr>
            <w:pStyle w:val="HeaderNumberRight"/>
            <w:ind w:right="17"/>
          </w:pPr>
        </w:p>
      </w:tc>
    </w:tr>
    <w:tr w:rsidR="002D48FE">
      <w:tc>
        <w:tcPr>
          <w:tcW w:w="5715" w:type="dxa"/>
        </w:tcPr>
        <w:p w:rsidR="002D48FE" w:rsidRDefault="002D48FE">
          <w:pPr>
            <w:pStyle w:val="HeaderTextRight"/>
          </w:pPr>
        </w:p>
      </w:tc>
      <w:tc>
        <w:tcPr>
          <w:tcW w:w="1548" w:type="dxa"/>
        </w:tcPr>
        <w:p w:rsidR="002D48FE" w:rsidRDefault="002D48FE">
          <w:pPr>
            <w:pStyle w:val="HeaderNumberRight"/>
            <w:ind w:right="17"/>
          </w:pPr>
        </w:p>
      </w:tc>
    </w:tr>
    <w:tr w:rsidR="002D48FE">
      <w:trPr>
        <w:cantSplit/>
      </w:trPr>
      <w:tc>
        <w:tcPr>
          <w:tcW w:w="7258" w:type="dxa"/>
          <w:gridSpan w:val="2"/>
        </w:tcPr>
        <w:p w:rsidR="002D48FE" w:rsidRDefault="002D48FE">
          <w:pPr>
            <w:pStyle w:val="HeaderSectionRight"/>
            <w:ind w:right="17"/>
          </w:pPr>
        </w:p>
      </w:tc>
    </w:tr>
  </w:tbl>
  <w:p w:rsidR="002D48FE" w:rsidRDefault="002D48F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FE" w:rsidRDefault="002D4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9667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78081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DCA0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5F8E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06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166E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CAA3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3495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F0E2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59C9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8920F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DC0"/>
    <w:rsid w:val="002D48FE"/>
    <w:rsid w:val="002E5A1F"/>
    <w:rsid w:val="008C3DC0"/>
    <w:rsid w:val="00C4022C"/>
    <w:rsid w:val="00E943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1596</Words>
  <Characters>8062</Characters>
  <Application>Microsoft Office Word</Application>
  <DocSecurity>0</DocSecurity>
  <Lines>403</Lines>
  <Paragraphs>214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Company>Parliamentary Counsel's Office</Company>
  <LinksUpToDate>false</LinksUpToDate>
  <CharactersWithSpaces>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2006 - 00-c0-05</dc:title>
  <dc:subject>Subsidiary Legislation</dc:subject>
  <dc:creator>Matthew Pether</dc:creator>
  <cp:keywords>Brought into Production 7 June 2002</cp:keywords>
  <dc:description/>
  <cp:lastModifiedBy>svcMRProcess</cp:lastModifiedBy>
  <cp:revision>4</cp:revision>
  <cp:lastPrinted>2006-09-03T23:43:00Z</cp:lastPrinted>
  <dcterms:created xsi:type="dcterms:W3CDTF">2013-02-16T15:49:00Z</dcterms:created>
  <dcterms:modified xsi:type="dcterms:W3CDTF">2013-02-16T15:49:00Z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39010</vt:i4>
  </property>
  <property fmtid="{D5CDD505-2E9C-101B-9397-08002B2CF9AE}" pid="6" name="AsAtDate">
    <vt:lpwstr>20 Apr 2007</vt:lpwstr>
  </property>
  <property fmtid="{D5CDD505-2E9C-101B-9397-08002B2CF9AE}" pid="7" name="Suffix">
    <vt:lpwstr>00-c0-05</vt:lpwstr>
  </property>
</Properties>
</file>