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Products Pricing Act 1983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Products Pricing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_Toc501632238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_Toc501632239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_Toc501632240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provisions about motor fuel</w:t>
      </w:r>
    </w:p>
    <w:p>
      <w:pPr>
        <w:pStyle w:val="TOC4"/>
        <w:tabs>
          <w:tab w:val="right" w:leader="dot" w:pos="7077"/>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_Toc501632243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_Toc501632244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_Toc501632245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_Toc501632246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_Toc501632247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standard retail prices</w:t>
      </w:r>
      <w:r>
        <w:tab/>
      </w:r>
      <w:r>
        <w:fldChar w:fldCharType="begin"/>
      </w:r>
      <w:r>
        <w:instrText xml:space="preserve"> PAGEREF _Toc501632248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_Toc501632250 \h </w:instrText>
      </w:r>
      <w:r>
        <w:fldChar w:fldCharType="separate"/>
      </w:r>
      <w:r>
        <w:t>6</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_Toc501632251 \h </w:instrText>
      </w:r>
      <w:r>
        <w:fldChar w:fldCharType="separate"/>
      </w:r>
      <w:r>
        <w:t>6</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_Toc501632252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_Toc501632254 \h </w:instrText>
      </w:r>
      <w:r>
        <w:fldChar w:fldCharType="separate"/>
      </w:r>
      <w:r>
        <w:t>8</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_Toc501632255 \h </w:instrText>
      </w:r>
      <w:r>
        <w:fldChar w:fldCharType="separate"/>
      </w:r>
      <w:r>
        <w:t>8</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_Toc501632256 \h </w:instrText>
      </w:r>
      <w:r>
        <w:fldChar w:fldCharType="separate"/>
      </w:r>
      <w:r>
        <w:t>8</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_Toc501632257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Places where regulations 3(1) and 6 apply</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_Toc501632262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3" w:name="_Toc501632237"/>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Footnoteheading"/>
      </w:pPr>
      <w:r>
        <w:tab/>
        <w:t>[Heading inserted in Gazette 11 Jul 2001 p. 3459.]</w:t>
      </w:r>
    </w:p>
    <w:p>
      <w:pPr>
        <w:pStyle w:val="Heading5"/>
      </w:pPr>
      <w:bookmarkStart w:id="4" w:name="_Toc501632238"/>
      <w:r>
        <w:rPr>
          <w:rStyle w:val="CharSectno"/>
        </w:rPr>
        <w:t>1</w:t>
      </w:r>
      <w:r>
        <w:t>.</w:t>
      </w:r>
      <w:r>
        <w:tab/>
        <w:t>Citation</w:t>
      </w:r>
      <w:bookmarkEnd w:id="4"/>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5" w:name="_Toc50163223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5"/>
      </w:pPr>
      <w:bookmarkStart w:id="6" w:name="_Toc501632240"/>
      <w:r>
        <w:rPr>
          <w:rStyle w:val="CharSectno"/>
        </w:rPr>
        <w:t>2AA</w:t>
      </w:r>
      <w:r>
        <w:t>.</w:t>
      </w:r>
      <w:r>
        <w:tab/>
        <w:t>Terms used</w:t>
      </w:r>
      <w:bookmarkEnd w:id="6"/>
    </w:p>
    <w:p>
      <w:pPr>
        <w:pStyle w:val="Subsection"/>
      </w:pPr>
      <w:r>
        <w:tab/>
      </w:r>
      <w:r>
        <w:tab/>
        <w:t xml:space="preserve">In these regulations — </w:t>
      </w:r>
    </w:p>
    <w:p>
      <w:pPr>
        <w:pStyle w:val="Defstart"/>
      </w:pPr>
      <w:r>
        <w:tab/>
      </w:r>
      <w:r>
        <w:rPr>
          <w:rStyle w:val="CharDefText"/>
        </w:rPr>
        <w:t>Perth 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townsite</w:t>
      </w:r>
      <w:r>
        <w:t xml:space="preserve"> means an area that, under the </w:t>
      </w:r>
      <w:r>
        <w:rPr>
          <w:i/>
        </w:rPr>
        <w:t>Land Administration Act 1997</w:t>
      </w:r>
      <w:r>
        <w:t>, has been or is to be treated as having been constituted a townsite.</w:t>
      </w:r>
    </w:p>
    <w:p>
      <w:pPr>
        <w:pStyle w:val="Footnotesection"/>
      </w:pPr>
      <w:r>
        <w:tab/>
        <w:t>[Regulation 2AA inserted in Gazette 17 Oct 2017 p. 5335.]</w:t>
      </w:r>
    </w:p>
    <w:p>
      <w:pPr>
        <w:pStyle w:val="Heading2"/>
      </w:pPr>
      <w:bookmarkStart w:id="7" w:name="_Toc501632241"/>
      <w:r>
        <w:rPr>
          <w:rStyle w:val="CharPartNo"/>
        </w:rPr>
        <w:t>Part 2</w:t>
      </w:r>
      <w:r>
        <w:t> — </w:t>
      </w:r>
      <w:r>
        <w:rPr>
          <w:rStyle w:val="CharPartText"/>
        </w:rPr>
        <w:t>Special provisions about motor fuel</w:t>
      </w:r>
      <w:bookmarkEnd w:id="7"/>
    </w:p>
    <w:p>
      <w:pPr>
        <w:pStyle w:val="Footnoteheading"/>
      </w:pPr>
      <w:r>
        <w:tab/>
        <w:t>[Heading inserted in Gazette 11 Jul 2001 p. 3459.]</w:t>
      </w:r>
    </w:p>
    <w:p>
      <w:pPr>
        <w:pStyle w:val="Heading3"/>
      </w:pPr>
      <w:bookmarkStart w:id="8" w:name="_Toc501632242"/>
      <w:r>
        <w:rPr>
          <w:rStyle w:val="CharDivNo"/>
        </w:rPr>
        <w:t>Division 1</w:t>
      </w:r>
      <w:r>
        <w:t> — </w:t>
      </w:r>
      <w:r>
        <w:rPr>
          <w:rStyle w:val="CharDivText"/>
        </w:rPr>
        <w:t>Retail sale</w:t>
      </w:r>
      <w:bookmarkEnd w:id="8"/>
    </w:p>
    <w:p>
      <w:pPr>
        <w:pStyle w:val="Footnoteheading"/>
      </w:pPr>
      <w:r>
        <w:tab/>
        <w:t>[Heading inserted in Gazette 11 Jul 2001 p. 3459.]</w:t>
      </w:r>
    </w:p>
    <w:p>
      <w:pPr>
        <w:pStyle w:val="Heading5"/>
      </w:pPr>
      <w:bookmarkStart w:id="9" w:name="_Toc501632243"/>
      <w:r>
        <w:rPr>
          <w:rStyle w:val="CharSectno"/>
        </w:rPr>
        <w:t>2A</w:t>
      </w:r>
      <w:r>
        <w:t>.</w:t>
      </w:r>
      <w:r>
        <w:tab/>
        <w:t>Terms used</w:t>
      </w:r>
      <w:bookmarkEnd w:id="9"/>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10" w:name="_Toc501632244"/>
      <w:r>
        <w:rPr>
          <w:rStyle w:val="CharSectno"/>
        </w:rPr>
        <w:t>3</w:t>
      </w:r>
      <w:r>
        <w:t>.</w:t>
      </w:r>
      <w:r>
        <w:tab/>
        <w:t>Standard retail price to be as notified</w:t>
      </w:r>
      <w:bookmarkEnd w:id="10"/>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11" w:name="_Toc501632245"/>
      <w:r>
        <w:rPr>
          <w:rStyle w:val="CharSectno"/>
        </w:rPr>
        <w:t>3A</w:t>
      </w:r>
      <w:r>
        <w:t>.</w:t>
      </w:r>
      <w:r>
        <w:tab/>
        <w:t>Requirements for giving notification</w:t>
      </w:r>
      <w:bookmarkEnd w:id="11"/>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pPr>
      <w:bookmarkStart w:id="12" w:name="_Toc501632246"/>
      <w:r>
        <w:rPr>
          <w:rStyle w:val="CharSectno"/>
        </w:rPr>
        <w:t>4</w:t>
      </w:r>
      <w:r>
        <w:t>.</w:t>
      </w:r>
      <w:r>
        <w:tab/>
        <w:t>Price changes in certain places need not be notified</w:t>
      </w:r>
      <w:bookmarkEnd w:id="12"/>
    </w:p>
    <w:p>
      <w:pPr>
        <w:pStyle w:val="Subsection"/>
      </w:pPr>
      <w:r>
        <w:tab/>
      </w:r>
      <w:r>
        <w:tab/>
        <w:t xml:space="preserve">Regulation 3(1) does not apply to a place that — </w:t>
      </w:r>
    </w:p>
    <w:p>
      <w:pPr>
        <w:pStyle w:val="Indenta"/>
      </w:pPr>
      <w:r>
        <w:tab/>
        <w:t>(a)</w:t>
      </w:r>
      <w:r>
        <w:tab/>
        <w:t>is outside the Perth metropolitan region; and</w:t>
      </w:r>
    </w:p>
    <w:p>
      <w:pPr>
        <w:pStyle w:val="Indenta"/>
      </w:pPr>
      <w:r>
        <w:tab/>
        <w:t>(b)</w:t>
      </w:r>
      <w:r>
        <w:tab/>
        <w:t>is not in a local government district, locality or townsite listed in Schedule 1.</w:t>
      </w:r>
    </w:p>
    <w:p>
      <w:pPr>
        <w:pStyle w:val="Footnotesection"/>
      </w:pPr>
      <w:r>
        <w:tab/>
        <w:t>[Regulation 4 inserted in Gazette 17 Oct 2017 p. 5336.]</w:t>
      </w:r>
    </w:p>
    <w:p>
      <w:pPr>
        <w:pStyle w:val="Heading5"/>
        <w:spacing w:before="180"/>
      </w:pPr>
      <w:bookmarkStart w:id="13" w:name="_Toc501632247"/>
      <w:r>
        <w:rPr>
          <w:rStyle w:val="CharSectno"/>
        </w:rPr>
        <w:t>5</w:t>
      </w:r>
      <w:r>
        <w:t>.</w:t>
      </w:r>
      <w:r>
        <w:tab/>
        <w:t>Places where regulation 6 applies</w:t>
      </w:r>
      <w:bookmarkEnd w:id="13"/>
    </w:p>
    <w:p>
      <w:pPr>
        <w:pStyle w:val="Subsection"/>
        <w:spacing w:before="120"/>
      </w:pPr>
      <w:r>
        <w:tab/>
      </w:r>
      <w:r>
        <w:tab/>
        <w:t>Regulation 6 applies to a place that is in a local government district, locality or townsite listed in Schedule 1.</w:t>
      </w:r>
    </w:p>
    <w:p>
      <w:pPr>
        <w:pStyle w:val="Footnotesection"/>
      </w:pPr>
      <w:r>
        <w:tab/>
        <w:t>[Regulation 5 inserted in Gazette 16 Nov 2001 p. 5981; amended in Gazette 17 Oct 2017 p. 5336.]</w:t>
      </w:r>
    </w:p>
    <w:p>
      <w:pPr>
        <w:pStyle w:val="Heading5"/>
        <w:spacing w:before="180"/>
      </w:pPr>
      <w:bookmarkStart w:id="14" w:name="_Toc501632248"/>
      <w:r>
        <w:rPr>
          <w:rStyle w:val="CharSectno"/>
        </w:rPr>
        <w:t>6</w:t>
      </w:r>
      <w:r>
        <w:t>.</w:t>
      </w:r>
      <w:r>
        <w:tab/>
        <w:t>Retailer to display standard retail prices</w:t>
      </w:r>
      <w:bookmarkEnd w:id="14"/>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15" w:name="_Toc501632249"/>
      <w:r>
        <w:rPr>
          <w:rStyle w:val="CharDivNo"/>
        </w:rPr>
        <w:t>Division 2</w:t>
      </w:r>
      <w:r>
        <w:t> — </w:t>
      </w:r>
      <w:r>
        <w:rPr>
          <w:rStyle w:val="CharDivText"/>
        </w:rPr>
        <w:t>Before retail sale</w:t>
      </w:r>
      <w:bookmarkEnd w:id="15"/>
    </w:p>
    <w:p>
      <w:pPr>
        <w:pStyle w:val="Footnoteheading"/>
      </w:pPr>
      <w:r>
        <w:tab/>
        <w:t>[Heading inserted in Gazette 11 Jul 2001 p. 3461.]</w:t>
      </w:r>
    </w:p>
    <w:p>
      <w:pPr>
        <w:pStyle w:val="Heading5"/>
      </w:pPr>
      <w:bookmarkStart w:id="16" w:name="_Toc501632250"/>
      <w:r>
        <w:rPr>
          <w:rStyle w:val="CharSectno"/>
        </w:rPr>
        <w:t>7</w:t>
      </w:r>
      <w:r>
        <w:t>.</w:t>
      </w:r>
      <w:r>
        <w:tab/>
        <w:t>How to notify Commissioner of price changes</w:t>
      </w:r>
      <w:bookmarkEnd w:id="16"/>
    </w:p>
    <w:p>
      <w:pPr>
        <w:pStyle w:val="Subsection"/>
      </w:pPr>
      <w:r>
        <w:tab/>
      </w:r>
      <w:r>
        <w:tab/>
        <w:t xml:space="preserve">If section 22B of the Act requires a supplier to notify the Commissioner of a proposed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 amended in Gazette 18 Nov 2014 p. 4323.]</w:t>
      </w:r>
    </w:p>
    <w:p>
      <w:pPr>
        <w:pStyle w:val="Ednotesection"/>
      </w:pPr>
      <w:r>
        <w:t>[</w:t>
      </w:r>
      <w:r>
        <w:rPr>
          <w:b/>
        </w:rPr>
        <w:t>8.</w:t>
      </w:r>
      <w:r>
        <w:tab/>
        <w:t>Deleted in Gazette 18 Nov 2014 p. 4323.]</w:t>
      </w:r>
    </w:p>
    <w:p>
      <w:pPr>
        <w:pStyle w:val="Heading5"/>
        <w:spacing w:before="240"/>
      </w:pPr>
      <w:bookmarkStart w:id="17" w:name="_Toc501632251"/>
      <w:r>
        <w:rPr>
          <w:rStyle w:val="CharSectno"/>
        </w:rPr>
        <w:t>9</w:t>
      </w:r>
      <w:r>
        <w:t>.</w:t>
      </w:r>
      <w:r>
        <w:tab/>
        <w:t>Details of price differences</w:t>
      </w:r>
      <w:bookmarkEnd w:id="17"/>
    </w:p>
    <w:p>
      <w:pPr>
        <w:pStyle w:val="Subsection"/>
        <w:spacing w:before="180"/>
      </w:pPr>
      <w:r>
        <w:tab/>
        <w:t>(1)</w:t>
      </w:r>
      <w:r>
        <w:tab/>
        <w:t>If section 22E(2) of the Act requires that an invoice for a supply of motor fuel from a declared terminal show details as to the difference between the relevant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 amended in Gazette 18 Nov 2014 p. 4323.]</w:t>
      </w:r>
    </w:p>
    <w:p>
      <w:pPr>
        <w:pStyle w:val="Heading5"/>
        <w:spacing w:before="240"/>
      </w:pPr>
      <w:bookmarkStart w:id="18" w:name="_Toc501632252"/>
      <w:r>
        <w:rPr>
          <w:rStyle w:val="CharSectno"/>
        </w:rPr>
        <w:t>10</w:t>
      </w:r>
      <w:r>
        <w:t>.</w:t>
      </w:r>
      <w:r>
        <w:tab/>
        <w:t>Notifying Commissioner of price differences</w:t>
      </w:r>
      <w:bookmarkEnd w:id="18"/>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1"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19" w:name="_Toc501632253"/>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19"/>
    </w:p>
    <w:p>
      <w:pPr>
        <w:pStyle w:val="Footnoteheading"/>
      </w:pPr>
      <w:r>
        <w:tab/>
        <w:t>[Heading inserted in Gazette 9 Nov 2001 p. 5925.]</w:t>
      </w:r>
    </w:p>
    <w:p>
      <w:pPr>
        <w:pStyle w:val="Heading5"/>
      </w:pPr>
      <w:bookmarkStart w:id="20" w:name="_Toc501632254"/>
      <w:r>
        <w:rPr>
          <w:rStyle w:val="CharSectno"/>
        </w:rPr>
        <w:t>11</w:t>
      </w:r>
      <w:r>
        <w:t>.</w:t>
      </w:r>
      <w:r>
        <w:tab/>
        <w:t>Prescribed offences (s. 31B)</w:t>
      </w:r>
      <w:bookmarkEnd w:id="20"/>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21" w:name="_Toc501632255"/>
      <w:r>
        <w:rPr>
          <w:rStyle w:val="CharSectno"/>
        </w:rPr>
        <w:t>12</w:t>
      </w:r>
      <w:r>
        <w:t>.</w:t>
      </w:r>
      <w:r>
        <w:tab/>
        <w:t>Prescribed modified penalties (s. 31C)</w:t>
      </w:r>
      <w:bookmarkEnd w:id="21"/>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22" w:name="_Toc501632256"/>
      <w:r>
        <w:rPr>
          <w:rStyle w:val="CharSectno"/>
        </w:rPr>
        <w:t>13</w:t>
      </w:r>
      <w:r>
        <w:t>.</w:t>
      </w:r>
      <w:r>
        <w:tab/>
        <w:t>Prescribed form of infringement notice (s. 31C)</w:t>
      </w:r>
      <w:bookmarkEnd w:id="22"/>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23" w:name="_Toc501632257"/>
      <w:r>
        <w:rPr>
          <w:rStyle w:val="CharSectno"/>
        </w:rPr>
        <w:t>14</w:t>
      </w:r>
      <w:r>
        <w:t>.</w:t>
      </w:r>
      <w:r>
        <w:tab/>
        <w:t>Prescribed form of withdrawal of notice (s. 31E)</w:t>
      </w:r>
      <w:bookmarkEnd w:id="23"/>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24" w:name="_Toc501632258"/>
      <w:r>
        <w:rPr>
          <w:rStyle w:val="CharSchNo"/>
        </w:rPr>
        <w:t>Schedule 1</w:t>
      </w:r>
      <w:r>
        <w:t> — </w:t>
      </w:r>
      <w:r>
        <w:rPr>
          <w:rStyle w:val="CharSchText"/>
        </w:rPr>
        <w:t>Places where regulations 3(1) and 6 apply</w:t>
      </w:r>
      <w:bookmarkEnd w:id="24"/>
    </w:p>
    <w:p>
      <w:pPr>
        <w:pStyle w:val="yShoulderClause"/>
      </w:pPr>
      <w:r>
        <w:tab/>
      </w:r>
      <w:r>
        <w:tab/>
        <w:t>[r. 4(b), 5]</w:t>
      </w:r>
    </w:p>
    <w:p>
      <w:pPr>
        <w:pStyle w:val="yFootnotesection"/>
      </w:pPr>
      <w:r>
        <w:tab/>
        <w:t>[Heading inserted in Gazette 13 May 2003 p. 1665; amended in Gazette 17 Oct 2017 p. 5336.]</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Albany</w:t>
            </w:r>
          </w:p>
        </w:tc>
        <w:tc>
          <w:tcPr>
            <w:tcW w:w="2410" w:type="dxa"/>
          </w:tcPr>
          <w:p>
            <w:pPr>
              <w:pStyle w:val="yTableNAm"/>
            </w:pPr>
            <w:r>
              <w:t>Donnybrook</w:t>
            </w:r>
            <w:r>
              <w:noBreakHyphen/>
              <w:t>Balingup</w:t>
            </w:r>
          </w:p>
        </w:tc>
      </w:tr>
      <w:tr>
        <w:trPr>
          <w:cantSplit/>
          <w:trHeight w:val="276"/>
        </w:trPr>
        <w:tc>
          <w:tcPr>
            <w:tcW w:w="2552" w:type="dxa"/>
          </w:tcPr>
          <w:p>
            <w:pPr>
              <w:pStyle w:val="yTableNAm"/>
            </w:pPr>
            <w:r>
              <w:t>Augusta</w:t>
            </w:r>
            <w:r>
              <w:noBreakHyphen/>
              <w:t>Margaret River</w:t>
            </w:r>
          </w:p>
        </w:tc>
        <w:tc>
          <w:tcPr>
            <w:tcW w:w="2410" w:type="dxa"/>
          </w:tcPr>
          <w:p>
            <w:pPr>
              <w:pStyle w:val="yTableNAm"/>
            </w:pPr>
            <w:r>
              <w:t>Greater Geraldton</w:t>
            </w:r>
          </w:p>
        </w:tc>
      </w:tr>
      <w:tr>
        <w:trPr>
          <w:cantSplit/>
          <w:trHeight w:val="276"/>
        </w:trPr>
        <w:tc>
          <w:tcPr>
            <w:tcW w:w="2552" w:type="dxa"/>
          </w:tcPr>
          <w:p>
            <w:pPr>
              <w:pStyle w:val="yTableNAm"/>
            </w:pPr>
            <w:r>
              <w:t>Bridgetown</w:t>
            </w:r>
            <w:r>
              <w:noBreakHyphen/>
              <w:t>Greenbushes</w:t>
            </w:r>
          </w:p>
        </w:tc>
        <w:tc>
          <w:tcPr>
            <w:tcW w:w="2410" w:type="dxa"/>
          </w:tcPr>
          <w:p>
            <w:pPr>
              <w:pStyle w:val="yTableNAm"/>
            </w:pPr>
            <w:r>
              <w:t>Harvey</w:t>
            </w:r>
          </w:p>
        </w:tc>
      </w:tr>
      <w:tr>
        <w:trPr>
          <w:cantSplit/>
          <w:trHeight w:val="276"/>
        </w:trPr>
        <w:tc>
          <w:tcPr>
            <w:tcW w:w="2552" w:type="dxa"/>
          </w:tcPr>
          <w:p>
            <w:pPr>
              <w:pStyle w:val="yTableNAm"/>
            </w:pPr>
            <w:r>
              <w:t>Bunbury</w:t>
            </w:r>
          </w:p>
        </w:tc>
        <w:tc>
          <w:tcPr>
            <w:tcW w:w="2410" w:type="dxa"/>
          </w:tcPr>
          <w:p>
            <w:pPr>
              <w:pStyle w:val="yTableNAm"/>
            </w:pPr>
            <w:r>
              <w:t>Mandurah</w:t>
            </w:r>
          </w:p>
        </w:tc>
      </w:tr>
      <w:tr>
        <w:trPr>
          <w:cantSplit/>
          <w:trHeight w:val="276"/>
        </w:trPr>
        <w:tc>
          <w:tcPr>
            <w:tcW w:w="2552" w:type="dxa"/>
          </w:tcPr>
          <w:p>
            <w:pPr>
              <w:pStyle w:val="yTableNAm"/>
            </w:pPr>
            <w:r>
              <w:t>Busselton</w:t>
            </w:r>
          </w:p>
        </w:tc>
        <w:tc>
          <w:tcPr>
            <w:tcW w:w="2410" w:type="dxa"/>
          </w:tcPr>
          <w:p>
            <w:pPr>
              <w:pStyle w:val="yTableNAm"/>
            </w:pPr>
            <w:r>
              <w:t>Manjimup</w:t>
            </w:r>
          </w:p>
        </w:tc>
      </w:tr>
      <w:tr>
        <w:trPr>
          <w:cantSplit/>
          <w:trHeight w:val="276"/>
        </w:trPr>
        <w:tc>
          <w:tcPr>
            <w:tcW w:w="2552" w:type="dxa"/>
          </w:tcPr>
          <w:p>
            <w:pPr>
              <w:pStyle w:val="yTableNAm"/>
            </w:pPr>
            <w:r>
              <w:t>Capel</w:t>
            </w:r>
          </w:p>
        </w:tc>
        <w:tc>
          <w:tcPr>
            <w:tcW w:w="2410" w:type="dxa"/>
          </w:tcPr>
          <w:p>
            <w:pPr>
              <w:pStyle w:val="yTableNAm"/>
            </w:pPr>
            <w:r>
              <w:t>Murray</w:t>
            </w:r>
          </w:p>
        </w:tc>
      </w:tr>
      <w:tr>
        <w:trPr>
          <w:cantSplit/>
          <w:trHeight w:val="276"/>
        </w:trPr>
        <w:tc>
          <w:tcPr>
            <w:tcW w:w="2552" w:type="dxa"/>
          </w:tcPr>
          <w:p>
            <w:pPr>
              <w:pStyle w:val="yTableNAm"/>
            </w:pPr>
            <w:r>
              <w:t>Dardanup</w:t>
            </w:r>
          </w:p>
        </w:tc>
        <w:tc>
          <w:tcPr>
            <w:tcW w:w="2410" w:type="dxa"/>
          </w:tcPr>
          <w:p>
            <w:pPr>
              <w:pStyle w:val="yTableNAm"/>
            </w:pPr>
            <w:r>
              <w:t>Waroona</w:t>
            </w:r>
          </w:p>
        </w:tc>
      </w:tr>
    </w:tbl>
    <w:p>
      <w:pPr>
        <w:pStyle w:val="ySubsection"/>
        <w:rPr>
          <w:i/>
        </w:rPr>
      </w:pPr>
      <w:r>
        <w:rPr>
          <w:i/>
        </w:rPr>
        <w:t>Localities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Brown Range</w:t>
            </w:r>
          </w:p>
        </w:tc>
        <w:tc>
          <w:tcPr>
            <w:tcW w:w="2410" w:type="dxa"/>
          </w:tcPr>
          <w:p>
            <w:pPr>
              <w:pStyle w:val="yTableNAm"/>
            </w:pPr>
            <w:r>
              <w:t>Kambalda East</w:t>
            </w:r>
          </w:p>
        </w:tc>
      </w:tr>
      <w:tr>
        <w:trPr>
          <w:cantSplit/>
          <w:trHeight w:val="276"/>
        </w:trPr>
        <w:tc>
          <w:tcPr>
            <w:tcW w:w="2552" w:type="dxa"/>
          </w:tcPr>
          <w:p>
            <w:pPr>
              <w:pStyle w:val="yTableNAm"/>
            </w:pPr>
            <w:r>
              <w:t>Capricorn</w:t>
            </w:r>
          </w:p>
        </w:tc>
        <w:tc>
          <w:tcPr>
            <w:tcW w:w="2410" w:type="dxa"/>
          </w:tcPr>
          <w:p>
            <w:pPr>
              <w:pStyle w:val="yTableNAm"/>
            </w:pPr>
            <w:r>
              <w:t>Kambalda West</w:t>
            </w:r>
          </w:p>
        </w:tc>
      </w:tr>
      <w:tr>
        <w:trPr>
          <w:cantSplit/>
          <w:trHeight w:val="276"/>
        </w:trPr>
        <w:tc>
          <w:tcPr>
            <w:tcW w:w="2552" w:type="dxa"/>
          </w:tcPr>
          <w:p>
            <w:pPr>
              <w:pStyle w:val="yTableNAm"/>
            </w:pPr>
            <w:r>
              <w:t>Cataby</w:t>
            </w:r>
          </w:p>
        </w:tc>
        <w:tc>
          <w:tcPr>
            <w:tcW w:w="2410" w:type="dxa"/>
          </w:tcPr>
          <w:p>
            <w:pPr>
              <w:pStyle w:val="yTableNAm"/>
            </w:pPr>
            <w:r>
              <w:t>Kingsford</w:t>
            </w:r>
          </w:p>
        </w:tc>
      </w:tr>
      <w:tr>
        <w:trPr>
          <w:cantSplit/>
          <w:trHeight w:val="276"/>
        </w:trPr>
        <w:tc>
          <w:tcPr>
            <w:tcW w:w="2552" w:type="dxa"/>
          </w:tcPr>
          <w:p>
            <w:pPr>
              <w:pStyle w:val="yTableNAm"/>
            </w:pPr>
            <w:r>
              <w:t>Dongara</w:t>
            </w:r>
          </w:p>
        </w:tc>
        <w:tc>
          <w:tcPr>
            <w:tcW w:w="2410" w:type="dxa"/>
          </w:tcPr>
          <w:p>
            <w:pPr>
              <w:pStyle w:val="yTableNAm"/>
            </w:pPr>
            <w:r>
              <w:t>Port Denison</w:t>
            </w:r>
          </w:p>
        </w:tc>
      </w:tr>
      <w:tr>
        <w:trPr>
          <w:cantSplit/>
          <w:trHeight w:val="276"/>
        </w:trPr>
        <w:tc>
          <w:tcPr>
            <w:tcW w:w="2552" w:type="dxa"/>
          </w:tcPr>
          <w:p>
            <w:pPr>
              <w:pStyle w:val="yTableNAm"/>
            </w:pPr>
            <w:r>
              <w:t>Fitzroy Crossing</w:t>
            </w:r>
          </w:p>
        </w:tc>
        <w:tc>
          <w:tcPr>
            <w:tcW w:w="2410" w:type="dxa"/>
          </w:tcPr>
          <w:p>
            <w:pPr>
              <w:pStyle w:val="yTableNAm"/>
              <w:rPr>
                <w:b/>
              </w:rPr>
            </w:pPr>
            <w:r>
              <w:t>Wundowie</w:t>
            </w:r>
          </w:p>
        </w:tc>
      </w:tr>
      <w:tr>
        <w:trPr>
          <w:cantSplit/>
          <w:trHeight w:val="276"/>
        </w:trPr>
        <w:tc>
          <w:tcPr>
            <w:tcW w:w="2552" w:type="dxa"/>
          </w:tcPr>
          <w:p>
            <w:pPr>
              <w:pStyle w:val="yTableNAm"/>
            </w:pPr>
            <w:r>
              <w:t>Gap Ridge</w:t>
            </w:r>
          </w:p>
        </w:tc>
        <w:tc>
          <w:tcPr>
            <w:tcW w:w="2410" w:type="dxa"/>
          </w:tcPr>
          <w:p>
            <w:pPr>
              <w:pStyle w:val="yTableNAm"/>
            </w:pPr>
            <w:r>
              <w:t>Yilkari</w:t>
            </w:r>
          </w:p>
        </w:tc>
      </w:tr>
      <w:tr>
        <w:trPr>
          <w:cantSplit/>
          <w:trHeight w:val="276"/>
        </w:trPr>
        <w:tc>
          <w:tcPr>
            <w:tcW w:w="2552" w:type="dxa"/>
          </w:tcPr>
          <w:p>
            <w:pPr>
              <w:pStyle w:val="yTableNAm"/>
            </w:pPr>
            <w:r>
              <w:t>Greys Plain</w:t>
            </w:r>
          </w:p>
        </w:tc>
        <w:tc>
          <w:tcPr>
            <w:tcW w:w="2410" w:type="dxa"/>
          </w:tcPr>
          <w:p>
            <w:pPr>
              <w:pStyle w:val="yTableNAm"/>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NAm"/>
            </w:pPr>
            <w:r>
              <w:t>Boulder</w:t>
            </w:r>
          </w:p>
        </w:tc>
        <w:tc>
          <w:tcPr>
            <w:tcW w:w="2410" w:type="dxa"/>
          </w:tcPr>
          <w:p>
            <w:pPr>
              <w:pStyle w:val="yTableNAm"/>
            </w:pPr>
            <w:r>
              <w:t>Kojonup</w:t>
            </w:r>
          </w:p>
        </w:tc>
      </w:tr>
      <w:tr>
        <w:trPr>
          <w:cantSplit/>
          <w:trHeight w:val="276"/>
        </w:trPr>
        <w:tc>
          <w:tcPr>
            <w:tcW w:w="2552" w:type="dxa"/>
          </w:tcPr>
          <w:p>
            <w:pPr>
              <w:pStyle w:val="yTableNAm"/>
            </w:pPr>
            <w:r>
              <w:t>Broome</w:t>
            </w:r>
          </w:p>
        </w:tc>
        <w:tc>
          <w:tcPr>
            <w:tcW w:w="2410" w:type="dxa"/>
          </w:tcPr>
          <w:p>
            <w:pPr>
              <w:pStyle w:val="yTableNAm"/>
            </w:pPr>
            <w:r>
              <w:t>Kununurra</w:t>
            </w:r>
          </w:p>
        </w:tc>
      </w:tr>
      <w:tr>
        <w:trPr>
          <w:cantSplit/>
          <w:trHeight w:val="276"/>
        </w:trPr>
        <w:tc>
          <w:tcPr>
            <w:tcW w:w="2552" w:type="dxa"/>
          </w:tcPr>
          <w:p>
            <w:pPr>
              <w:pStyle w:val="yTableNAm"/>
            </w:pPr>
            <w:r>
              <w:t>Carnarvon</w:t>
            </w:r>
          </w:p>
        </w:tc>
        <w:tc>
          <w:tcPr>
            <w:tcW w:w="2410" w:type="dxa"/>
          </w:tcPr>
          <w:p>
            <w:pPr>
              <w:pStyle w:val="yTableNAm"/>
            </w:pPr>
            <w:r>
              <w:t>Meckering</w:t>
            </w:r>
          </w:p>
        </w:tc>
      </w:tr>
      <w:tr>
        <w:trPr>
          <w:cantSplit/>
          <w:trHeight w:val="276"/>
        </w:trPr>
        <w:tc>
          <w:tcPr>
            <w:tcW w:w="2552" w:type="dxa"/>
          </w:tcPr>
          <w:p>
            <w:pPr>
              <w:pStyle w:val="yTableNAm"/>
            </w:pPr>
            <w:r>
              <w:t>Collie</w:t>
            </w:r>
          </w:p>
        </w:tc>
        <w:tc>
          <w:tcPr>
            <w:tcW w:w="2410" w:type="dxa"/>
          </w:tcPr>
          <w:p>
            <w:pPr>
              <w:pStyle w:val="yTableNAm"/>
            </w:pPr>
            <w:r>
              <w:t>Meekatharra</w:t>
            </w:r>
          </w:p>
        </w:tc>
      </w:tr>
      <w:tr>
        <w:trPr>
          <w:cantSplit/>
          <w:trHeight w:val="276"/>
        </w:trPr>
        <w:tc>
          <w:tcPr>
            <w:tcW w:w="2552" w:type="dxa"/>
          </w:tcPr>
          <w:p>
            <w:pPr>
              <w:pStyle w:val="yTableNAm"/>
            </w:pPr>
            <w:r>
              <w:t>Coolgardie</w:t>
            </w:r>
          </w:p>
        </w:tc>
        <w:tc>
          <w:tcPr>
            <w:tcW w:w="2410" w:type="dxa"/>
          </w:tcPr>
          <w:p>
            <w:pPr>
              <w:pStyle w:val="yTableNAm"/>
            </w:pPr>
            <w:r>
              <w:t>Moora</w:t>
            </w:r>
          </w:p>
        </w:tc>
      </w:tr>
      <w:tr>
        <w:trPr>
          <w:cantSplit/>
          <w:trHeight w:val="276"/>
        </w:trPr>
        <w:tc>
          <w:tcPr>
            <w:tcW w:w="2552" w:type="dxa"/>
          </w:tcPr>
          <w:p>
            <w:pPr>
              <w:pStyle w:val="yTableNAm"/>
            </w:pPr>
            <w:r>
              <w:t>Cunderdin</w:t>
            </w:r>
          </w:p>
        </w:tc>
        <w:tc>
          <w:tcPr>
            <w:tcW w:w="2410" w:type="dxa"/>
          </w:tcPr>
          <w:p>
            <w:pPr>
              <w:pStyle w:val="yTableNAm"/>
            </w:pPr>
            <w:r>
              <w:t>Mt Barker</w:t>
            </w:r>
          </w:p>
        </w:tc>
      </w:tr>
      <w:tr>
        <w:trPr>
          <w:cantSplit/>
          <w:trHeight w:val="276"/>
        </w:trPr>
        <w:tc>
          <w:tcPr>
            <w:tcW w:w="2552" w:type="dxa"/>
          </w:tcPr>
          <w:p>
            <w:pPr>
              <w:pStyle w:val="yTableNAm"/>
            </w:pPr>
            <w:r>
              <w:t>Dalwallinu</w:t>
            </w:r>
          </w:p>
        </w:tc>
        <w:tc>
          <w:tcPr>
            <w:tcW w:w="2410" w:type="dxa"/>
          </w:tcPr>
          <w:p>
            <w:pPr>
              <w:pStyle w:val="yTableNAm"/>
            </w:pPr>
            <w:r>
              <w:t>Narrogin</w:t>
            </w:r>
          </w:p>
        </w:tc>
      </w:tr>
      <w:tr>
        <w:trPr>
          <w:cantSplit/>
          <w:trHeight w:val="276"/>
        </w:trPr>
        <w:tc>
          <w:tcPr>
            <w:tcW w:w="2552" w:type="dxa"/>
          </w:tcPr>
          <w:p>
            <w:pPr>
              <w:pStyle w:val="yTableNAm"/>
            </w:pPr>
            <w:r>
              <w:t>Dampier</w:t>
            </w:r>
          </w:p>
        </w:tc>
        <w:tc>
          <w:tcPr>
            <w:tcW w:w="2410" w:type="dxa"/>
          </w:tcPr>
          <w:p>
            <w:pPr>
              <w:pStyle w:val="yTableNAm"/>
            </w:pPr>
            <w:r>
              <w:t>Newman</w:t>
            </w:r>
          </w:p>
        </w:tc>
      </w:tr>
      <w:tr>
        <w:trPr>
          <w:cantSplit/>
          <w:trHeight w:val="276"/>
        </w:trPr>
        <w:tc>
          <w:tcPr>
            <w:tcW w:w="2552" w:type="dxa"/>
          </w:tcPr>
          <w:p>
            <w:pPr>
              <w:pStyle w:val="yTableNAm"/>
            </w:pPr>
            <w:r>
              <w:t>Denmark</w:t>
            </w:r>
          </w:p>
        </w:tc>
        <w:tc>
          <w:tcPr>
            <w:tcW w:w="2410" w:type="dxa"/>
          </w:tcPr>
          <w:p>
            <w:pPr>
              <w:pStyle w:val="yTableNAm"/>
            </w:pPr>
            <w:r>
              <w:t>Norseman</w:t>
            </w:r>
          </w:p>
        </w:tc>
      </w:tr>
      <w:tr>
        <w:trPr>
          <w:cantSplit/>
          <w:trHeight w:val="276"/>
        </w:trPr>
        <w:tc>
          <w:tcPr>
            <w:tcW w:w="2552" w:type="dxa"/>
          </w:tcPr>
          <w:p>
            <w:pPr>
              <w:pStyle w:val="yTableNAm"/>
            </w:pPr>
            <w:r>
              <w:t>Derby</w:t>
            </w:r>
          </w:p>
        </w:tc>
        <w:tc>
          <w:tcPr>
            <w:tcW w:w="2410" w:type="dxa"/>
          </w:tcPr>
          <w:p>
            <w:pPr>
              <w:pStyle w:val="yTableNAm"/>
            </w:pPr>
            <w:r>
              <w:t>Northam</w:t>
            </w:r>
          </w:p>
        </w:tc>
      </w:tr>
      <w:tr>
        <w:trPr>
          <w:cantSplit/>
          <w:trHeight w:val="276"/>
        </w:trPr>
        <w:tc>
          <w:tcPr>
            <w:tcW w:w="2552" w:type="dxa"/>
          </w:tcPr>
          <w:p>
            <w:pPr>
              <w:pStyle w:val="yTableNAm"/>
            </w:pPr>
            <w:r>
              <w:t>Dongara</w:t>
            </w:r>
          </w:p>
        </w:tc>
        <w:tc>
          <w:tcPr>
            <w:tcW w:w="2410" w:type="dxa"/>
          </w:tcPr>
          <w:p>
            <w:pPr>
              <w:pStyle w:val="yTableNAm"/>
            </w:pPr>
            <w:r>
              <w:t>Port Hedland</w:t>
            </w:r>
          </w:p>
        </w:tc>
      </w:tr>
      <w:tr>
        <w:trPr>
          <w:cantSplit/>
          <w:trHeight w:val="276"/>
        </w:trPr>
        <w:tc>
          <w:tcPr>
            <w:tcW w:w="2552" w:type="dxa"/>
          </w:tcPr>
          <w:p>
            <w:pPr>
              <w:pStyle w:val="yTableNAm"/>
            </w:pPr>
            <w:r>
              <w:t>Esperance</w:t>
            </w:r>
          </w:p>
        </w:tc>
        <w:tc>
          <w:tcPr>
            <w:tcW w:w="2410" w:type="dxa"/>
          </w:tcPr>
          <w:p>
            <w:pPr>
              <w:pStyle w:val="yTableNAm"/>
            </w:pPr>
            <w:r>
              <w:t>Ravensthorpe</w:t>
            </w:r>
          </w:p>
        </w:tc>
      </w:tr>
      <w:tr>
        <w:trPr>
          <w:cantSplit/>
          <w:trHeight w:val="276"/>
        </w:trPr>
        <w:tc>
          <w:tcPr>
            <w:tcW w:w="2552" w:type="dxa"/>
          </w:tcPr>
          <w:p>
            <w:pPr>
              <w:pStyle w:val="yTableNAm"/>
            </w:pPr>
            <w:r>
              <w:t>Exmouth</w:t>
            </w:r>
          </w:p>
        </w:tc>
        <w:tc>
          <w:tcPr>
            <w:tcW w:w="2410" w:type="dxa"/>
          </w:tcPr>
          <w:p>
            <w:pPr>
              <w:pStyle w:val="yTableNAm"/>
            </w:pPr>
            <w:r>
              <w:t>Regans Ford</w:t>
            </w:r>
          </w:p>
        </w:tc>
      </w:tr>
      <w:tr>
        <w:trPr>
          <w:cantSplit/>
          <w:trHeight w:val="276"/>
        </w:trPr>
        <w:tc>
          <w:tcPr>
            <w:tcW w:w="2552" w:type="dxa"/>
          </w:tcPr>
          <w:p>
            <w:pPr>
              <w:pStyle w:val="yTableNAm"/>
            </w:pPr>
            <w:r>
              <w:t>Fitzroy Crossing</w:t>
            </w:r>
          </w:p>
        </w:tc>
        <w:tc>
          <w:tcPr>
            <w:tcW w:w="2410" w:type="dxa"/>
          </w:tcPr>
          <w:p>
            <w:pPr>
              <w:pStyle w:val="yTableNAm"/>
            </w:pPr>
            <w:r>
              <w:t>Tammin</w:t>
            </w:r>
          </w:p>
        </w:tc>
      </w:tr>
      <w:tr>
        <w:trPr>
          <w:cantSplit/>
          <w:trHeight w:val="276"/>
        </w:trPr>
        <w:tc>
          <w:tcPr>
            <w:tcW w:w="2552" w:type="dxa"/>
          </w:tcPr>
          <w:p>
            <w:pPr>
              <w:pStyle w:val="yTableNAm"/>
            </w:pPr>
            <w:r>
              <w:t>Jurien</w:t>
            </w:r>
          </w:p>
        </w:tc>
        <w:tc>
          <w:tcPr>
            <w:tcW w:w="2410" w:type="dxa"/>
          </w:tcPr>
          <w:p>
            <w:pPr>
              <w:pStyle w:val="yTableNAm"/>
            </w:pPr>
            <w:r>
              <w:t>Williams</w:t>
            </w:r>
          </w:p>
        </w:tc>
      </w:tr>
      <w:tr>
        <w:trPr>
          <w:cantSplit/>
          <w:trHeight w:val="276"/>
        </w:trPr>
        <w:tc>
          <w:tcPr>
            <w:tcW w:w="2552" w:type="dxa"/>
          </w:tcPr>
          <w:p>
            <w:pPr>
              <w:pStyle w:val="yTableNAm"/>
            </w:pPr>
            <w:r>
              <w:t>Kalgoorlie</w:t>
            </w:r>
          </w:p>
        </w:tc>
        <w:tc>
          <w:tcPr>
            <w:tcW w:w="2410" w:type="dxa"/>
          </w:tcPr>
          <w:p>
            <w:pPr>
              <w:pStyle w:val="yTableNAm"/>
            </w:pPr>
            <w:r>
              <w:t>Wubin</w:t>
            </w:r>
          </w:p>
        </w:tc>
      </w:tr>
      <w:tr>
        <w:trPr>
          <w:cantSplit/>
          <w:trHeight w:val="276"/>
        </w:trPr>
        <w:tc>
          <w:tcPr>
            <w:tcW w:w="2552" w:type="dxa"/>
          </w:tcPr>
          <w:p>
            <w:pPr>
              <w:pStyle w:val="yTableNAm"/>
            </w:pPr>
            <w:r>
              <w:t>Karratha</w:t>
            </w:r>
          </w:p>
        </w:tc>
        <w:tc>
          <w:tcPr>
            <w:tcW w:w="2410" w:type="dxa"/>
          </w:tcPr>
          <w:p>
            <w:pPr>
              <w:pStyle w:val="yTableNAm"/>
            </w:pPr>
            <w:r>
              <w:t>York</w:t>
            </w:r>
          </w:p>
        </w:tc>
      </w:tr>
      <w:tr>
        <w:trPr>
          <w:cantSplit/>
          <w:trHeight w:val="276"/>
        </w:trPr>
        <w:tc>
          <w:tcPr>
            <w:tcW w:w="2552" w:type="dxa"/>
          </w:tcPr>
          <w:p>
            <w:pPr>
              <w:pStyle w:val="yTableNAm"/>
            </w:pPr>
            <w:r>
              <w:t>Kellerberrin</w:t>
            </w:r>
          </w:p>
        </w:tc>
        <w:tc>
          <w:tcPr>
            <w:tcW w:w="2410" w:type="dxa"/>
          </w:tcPr>
          <w:p>
            <w:pPr>
              <w:pStyle w:val="yTableNAm"/>
            </w:pPr>
          </w:p>
        </w:tc>
      </w:tr>
    </w:tbl>
    <w:p>
      <w:pPr>
        <w:pStyle w:val="yFootnotesection"/>
      </w:pPr>
      <w:r>
        <w:tab/>
        <w:t>[Schedule 1 inserted in Gazette 13 May 2003 p. 1665</w:t>
      </w:r>
      <w:r>
        <w:noBreakHyphen/>
        <w:t>6; amended in Gazette 3 Oct 2006 p. 4337; 15 May 2015 p. 1720; 21 Oct 2016 p. 4782; 17 Oct 2017 p. 5336</w:t>
      </w:r>
      <w:r>
        <w:noBreakHyphen/>
        <w:t>7; 22 Dec 2017 p. 5977.]</w:t>
      </w:r>
    </w:p>
    <w:p>
      <w:pPr>
        <w:pStyle w:val="yScheduleHeading"/>
      </w:pPr>
      <w:bookmarkStart w:id="25" w:name="_Toc501632259"/>
      <w:r>
        <w:rPr>
          <w:rStyle w:val="CharSchNo"/>
        </w:rPr>
        <w:t>Schedule 2</w:t>
      </w:r>
      <w:r>
        <w:t> — </w:t>
      </w:r>
      <w:r>
        <w:rPr>
          <w:rStyle w:val="CharSchText"/>
        </w:rPr>
        <w:t>Prescribed offences and modified penalties</w:t>
      </w:r>
      <w:bookmarkEnd w:id="25"/>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rPr>
                <w:szCs w:val="22"/>
              </w:rPr>
              <w:t>s. 22B</w:t>
            </w:r>
          </w:p>
        </w:tc>
        <w:tc>
          <w:tcPr>
            <w:tcW w:w="4540" w:type="dxa"/>
          </w:tcPr>
          <w:p>
            <w:pPr>
              <w:pStyle w:val="yTable"/>
            </w:pPr>
            <w:r>
              <w:t xml:space="preserve">Failing to notify Commissioner of </w:t>
            </w:r>
            <w:r>
              <w:rPr>
                <w:szCs w:val="22"/>
              </w:rPr>
              <w:t>proposed price change</w:t>
            </w:r>
            <w:r>
              <w:t xml:space="preserve"> at declared terminal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 xml:space="preserve">Failing to show in invoice </w:t>
            </w:r>
            <w:r>
              <w:rPr>
                <w:szCs w:val="22"/>
              </w:rPr>
              <w:t>relevant</w:t>
            </w:r>
            <w:r>
              <w:t xml:space="preserve">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 xml:space="preserve">Failing to show in invoice </w:t>
            </w:r>
            <w:r>
              <w:rPr>
                <w:szCs w:val="22"/>
              </w:rPr>
              <w:t>relevant</w:t>
            </w:r>
            <w:r>
              <w:t xml:space="preserve">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r>
        <w:trPr>
          <w:cantSplit/>
          <w:trHeight w:val="28"/>
          <w:tblHeader/>
        </w:trPr>
        <w:tc>
          <w:tcPr>
            <w:tcW w:w="5816" w:type="dxa"/>
            <w:gridSpan w:val="2"/>
            <w:tcBorders>
              <w:top w:val="single" w:sz="4" w:space="0" w:color="auto"/>
            </w:tcBorders>
          </w:tcPr>
          <w:p>
            <w:pPr>
              <w:pStyle w:val="yTable"/>
              <w:rPr>
                <w:sz w:val="16"/>
                <w:szCs w:val="16"/>
              </w:rPr>
            </w:pPr>
          </w:p>
        </w:tc>
        <w:tc>
          <w:tcPr>
            <w:tcW w:w="992" w:type="dxa"/>
            <w:tcBorders>
              <w:top w:val="single" w:sz="4" w:space="0" w:color="auto"/>
            </w:tcBorders>
          </w:tcPr>
          <w:p>
            <w:pPr>
              <w:pStyle w:val="yTable"/>
              <w:rPr>
                <w:sz w:val="16"/>
                <w:szCs w:val="16"/>
              </w:rPr>
            </w:pPr>
          </w:p>
        </w:tc>
      </w:tr>
    </w:tbl>
    <w:p>
      <w:pPr>
        <w:pStyle w:val="yFootnotesection"/>
      </w:pPr>
      <w:r>
        <w:tab/>
        <w:t>[Schedule 2 inserted in Gazette 22 Sep 2006 p. 4125</w:t>
      </w:r>
      <w:r>
        <w:noBreakHyphen/>
        <w:t>6; amended in Gazette 18 Nov 2014 p. 4323.]</w:t>
      </w:r>
    </w:p>
    <w:p>
      <w:pPr>
        <w:pStyle w:val="yScheduleHeading"/>
      </w:pPr>
      <w:bookmarkStart w:id="26" w:name="_Toc501632260"/>
      <w:r>
        <w:rPr>
          <w:rStyle w:val="CharSchNo"/>
        </w:rPr>
        <w:t>Schedule 3</w:t>
      </w:r>
      <w:r>
        <w:t> — </w:t>
      </w:r>
      <w:r>
        <w:rPr>
          <w:rStyle w:val="CharSchText"/>
        </w:rPr>
        <w:t>Forms</w:t>
      </w:r>
      <w:bookmarkEnd w:id="26"/>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r>
            <w:r>
              <w:rPr>
                <w:i/>
                <w:szCs w:val="22"/>
              </w:rPr>
              <w:t>[street address to be inserted]</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 amended in Gazette 18 Nov 2014 p. 4324.]</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28" w:name="_Toc501632261"/>
      <w:r>
        <w:t>Notes</w:t>
      </w:r>
      <w:bookmarkEnd w:id="2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9" w:name="_Toc501632262"/>
      <w: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Petroleum Products Pricing Regulations 2000</w:t>
            </w:r>
          </w:p>
        </w:tc>
        <w:tc>
          <w:tcPr>
            <w:tcW w:w="1276" w:type="dxa"/>
            <w:tcBorders>
              <w:top w:val="single" w:sz="8" w:space="0" w:color="auto"/>
            </w:tcBorders>
          </w:tcPr>
          <w:p>
            <w:pPr>
              <w:pStyle w:val="nTable"/>
              <w:spacing w:after="40"/>
            </w:pPr>
            <w:r>
              <w:t>29 Dec 2000 p. 7981</w:t>
            </w:r>
            <w:r>
              <w:noBreakHyphen/>
              <w:t>5</w:t>
            </w:r>
          </w:p>
        </w:tc>
        <w:tc>
          <w:tcPr>
            <w:tcW w:w="2693" w:type="dxa"/>
            <w:tcBorders>
              <w:top w:val="single" w:sz="8" w:space="0" w:color="auto"/>
            </w:tcBorders>
          </w:tcPr>
          <w:p>
            <w:pPr>
              <w:pStyle w:val="nTable"/>
              <w:spacing w:after="40"/>
            </w:pPr>
            <w:r>
              <w:t>1 Jan 2001 (see r. 2)</w:t>
            </w:r>
          </w:p>
        </w:tc>
      </w:tr>
      <w:tr>
        <w:trPr>
          <w:cantSplit/>
        </w:trPr>
        <w:tc>
          <w:tcPr>
            <w:tcW w:w="3119" w:type="dxa"/>
          </w:tcPr>
          <w:p>
            <w:pPr>
              <w:pStyle w:val="nTable"/>
              <w:spacing w:after="40"/>
              <w:ind w:right="113"/>
              <w:rPr>
                <w:i/>
              </w:rPr>
            </w:pPr>
            <w:r>
              <w:rPr>
                <w:i/>
              </w:rPr>
              <w:t>Petroleum Products Pricing Amendment Regulations 2001</w:t>
            </w:r>
            <w:r>
              <w:rPr>
                <w:vertAlign w:val="superscript"/>
              </w:rPr>
              <w:t> 3</w:t>
            </w:r>
          </w:p>
        </w:tc>
        <w:tc>
          <w:tcPr>
            <w:tcW w:w="1276" w:type="dxa"/>
          </w:tcPr>
          <w:p>
            <w:pPr>
              <w:pStyle w:val="nTable"/>
              <w:spacing w:after="40"/>
            </w:pPr>
            <w:r>
              <w:t>11 Jul 2001 p. 3457</w:t>
            </w:r>
            <w:r>
              <w:noBreakHyphen/>
              <w:t>62</w:t>
            </w:r>
          </w:p>
        </w:tc>
        <w:tc>
          <w:tcPr>
            <w:tcW w:w="2693" w:type="dxa"/>
          </w:tcPr>
          <w:p>
            <w:pPr>
              <w:pStyle w:val="nTable"/>
              <w:spacing w:after="40"/>
            </w:pPr>
            <w:r>
              <w:t>12 Jul 2001 (see r. 2)</w:t>
            </w:r>
          </w:p>
        </w:tc>
      </w:tr>
      <w:tr>
        <w:trPr>
          <w:cantSplit/>
        </w:trPr>
        <w:tc>
          <w:tcPr>
            <w:tcW w:w="3119" w:type="dxa"/>
          </w:tcPr>
          <w:p>
            <w:pPr>
              <w:pStyle w:val="nTable"/>
              <w:spacing w:after="40"/>
              <w:ind w:right="113"/>
              <w:rPr>
                <w:i/>
              </w:rPr>
            </w:pPr>
            <w:r>
              <w:rPr>
                <w:i/>
              </w:rPr>
              <w:t>Petroleum Products Pricing Amendment Regulations (No. 2) 2001</w:t>
            </w:r>
          </w:p>
        </w:tc>
        <w:tc>
          <w:tcPr>
            <w:tcW w:w="1276" w:type="dxa"/>
          </w:tcPr>
          <w:p>
            <w:pPr>
              <w:pStyle w:val="nTable"/>
              <w:spacing w:after="40"/>
            </w:pPr>
            <w:r>
              <w:t>23 Aug 2001 p. 4378</w:t>
            </w:r>
            <w:r>
              <w:noBreakHyphen/>
              <w:t>81</w:t>
            </w:r>
          </w:p>
        </w:tc>
        <w:tc>
          <w:tcPr>
            <w:tcW w:w="2693" w:type="dxa"/>
          </w:tcPr>
          <w:p>
            <w:pPr>
              <w:pStyle w:val="nTable"/>
              <w:spacing w:after="40"/>
            </w:pPr>
            <w:r>
              <w:t xml:space="preserve">24 Aug 2001 (see r. 2 and </w:t>
            </w:r>
            <w:r>
              <w:rPr>
                <w:i/>
              </w:rPr>
              <w:t>Gazette</w:t>
            </w:r>
            <w:r>
              <w:t xml:space="preserve"> 23 Aug 2001 p. 4377)</w:t>
            </w:r>
          </w:p>
        </w:tc>
      </w:tr>
      <w:tr>
        <w:trPr>
          <w:cantSplit/>
        </w:trPr>
        <w:tc>
          <w:tcPr>
            <w:tcW w:w="3119" w:type="dxa"/>
          </w:tcPr>
          <w:p>
            <w:pPr>
              <w:pStyle w:val="nTable"/>
              <w:spacing w:after="40"/>
              <w:ind w:right="113"/>
              <w:rPr>
                <w:i/>
              </w:rPr>
            </w:pPr>
            <w:r>
              <w:rPr>
                <w:i/>
              </w:rPr>
              <w:t>Petroleum Products Pricing Amendment Regulations (No. 3) 2001</w:t>
            </w:r>
          </w:p>
        </w:tc>
        <w:tc>
          <w:tcPr>
            <w:tcW w:w="1276" w:type="dxa"/>
          </w:tcPr>
          <w:p>
            <w:pPr>
              <w:pStyle w:val="nTable"/>
              <w:spacing w:after="40"/>
            </w:pPr>
            <w:r>
              <w:t>9 Nov 2001 p. 5925</w:t>
            </w:r>
            <w:r>
              <w:noBreakHyphen/>
              <w:t>9</w:t>
            </w:r>
          </w:p>
        </w:tc>
        <w:tc>
          <w:tcPr>
            <w:tcW w:w="2693" w:type="dxa"/>
          </w:tcPr>
          <w:p>
            <w:pPr>
              <w:pStyle w:val="nTable"/>
              <w:spacing w:after="40"/>
            </w:pPr>
            <w:r>
              <w:t>9 Nov 2001</w:t>
            </w:r>
          </w:p>
        </w:tc>
      </w:tr>
      <w:tr>
        <w:trPr>
          <w:cantSplit/>
        </w:trPr>
        <w:tc>
          <w:tcPr>
            <w:tcW w:w="3119" w:type="dxa"/>
          </w:tcPr>
          <w:p>
            <w:pPr>
              <w:pStyle w:val="nTable"/>
              <w:spacing w:after="40"/>
              <w:ind w:right="113"/>
              <w:rPr>
                <w:i/>
              </w:rPr>
            </w:pPr>
            <w:r>
              <w:rPr>
                <w:i/>
              </w:rPr>
              <w:t>Petroleum Products Pricing Amendment Regulations (No. 4) 2001</w:t>
            </w:r>
            <w:r>
              <w:rPr>
                <w:vertAlign w:val="superscript"/>
              </w:rPr>
              <w:t> 4</w:t>
            </w:r>
          </w:p>
        </w:tc>
        <w:tc>
          <w:tcPr>
            <w:tcW w:w="1276" w:type="dxa"/>
          </w:tcPr>
          <w:p>
            <w:pPr>
              <w:pStyle w:val="nTable"/>
              <w:spacing w:after="40"/>
            </w:pPr>
            <w:r>
              <w:t>16 Nov 2001 p. 5981</w:t>
            </w:r>
            <w:r>
              <w:noBreakHyphen/>
              <w:t>2</w:t>
            </w:r>
          </w:p>
        </w:tc>
        <w:tc>
          <w:tcPr>
            <w:tcW w:w="2693" w:type="dxa"/>
          </w:tcPr>
          <w:p>
            <w:pPr>
              <w:pStyle w:val="nTable"/>
              <w:spacing w:after="40"/>
            </w:pPr>
            <w:r>
              <w:t>23 Nov 2001 (see r. 2)</w:t>
            </w:r>
          </w:p>
        </w:tc>
      </w:tr>
      <w:tr>
        <w:trPr>
          <w:cantSplit/>
        </w:trPr>
        <w:tc>
          <w:tcPr>
            <w:tcW w:w="3119" w:type="dxa"/>
          </w:tcPr>
          <w:p>
            <w:pPr>
              <w:pStyle w:val="nTable"/>
              <w:spacing w:after="40"/>
              <w:ind w:right="113"/>
              <w:rPr>
                <w:i/>
              </w:rPr>
            </w:pPr>
            <w:r>
              <w:rPr>
                <w:i/>
              </w:rPr>
              <w:t>Petroleum Products Pricing Amendment Regulations (No. 5) 2001</w:t>
            </w:r>
          </w:p>
        </w:tc>
        <w:tc>
          <w:tcPr>
            <w:tcW w:w="1276" w:type="dxa"/>
          </w:tcPr>
          <w:p>
            <w:pPr>
              <w:pStyle w:val="nTable"/>
              <w:spacing w:after="40"/>
            </w:pPr>
            <w:r>
              <w:t>31 Dec 2001 p. 6764</w:t>
            </w:r>
            <w:r>
              <w:noBreakHyphen/>
              <w:t>5</w:t>
            </w:r>
          </w:p>
        </w:tc>
        <w:tc>
          <w:tcPr>
            <w:tcW w:w="2693" w:type="dxa"/>
          </w:tcPr>
          <w:p>
            <w:pPr>
              <w:pStyle w:val="nTable"/>
              <w:spacing w:after="40"/>
            </w:pPr>
            <w:r>
              <w:t xml:space="preserve">1 Jan 2002 (see r. 2 and </w:t>
            </w:r>
            <w:r>
              <w:rPr>
                <w:i/>
              </w:rPr>
              <w:t xml:space="preserve">Gazette </w:t>
            </w:r>
            <w:r>
              <w:t>31 Dec 2001 p. 6761)</w:t>
            </w:r>
          </w:p>
        </w:tc>
      </w:tr>
      <w:tr>
        <w:trPr>
          <w:cantSplit/>
        </w:trPr>
        <w:tc>
          <w:tcPr>
            <w:tcW w:w="7088" w:type="dxa"/>
            <w:gridSpan w:val="3"/>
          </w:tcPr>
          <w:p>
            <w:pPr>
              <w:pStyle w:val="nTable"/>
              <w:spacing w:after="40"/>
            </w:pPr>
            <w:r>
              <w:rPr>
                <w:b/>
              </w:rPr>
              <w:t xml:space="preserve">Reprint of the </w:t>
            </w:r>
            <w:r>
              <w:rPr>
                <w:b/>
                <w:i/>
              </w:rPr>
              <w:t>Petroleum Products Pricing Regulations 2000</w:t>
            </w:r>
            <w:r>
              <w:rPr>
                <w:b/>
              </w:rPr>
              <w:t xml:space="preserve"> as at 19 Apr 2002</w:t>
            </w:r>
            <w:r>
              <w:br/>
              <w:t>(includes amendments listed above)</w:t>
            </w:r>
          </w:p>
        </w:tc>
      </w:tr>
      <w:tr>
        <w:trPr>
          <w:cantSplit/>
        </w:trPr>
        <w:tc>
          <w:tcPr>
            <w:tcW w:w="3119" w:type="dxa"/>
          </w:tcPr>
          <w:p>
            <w:pPr>
              <w:pStyle w:val="nTable"/>
              <w:spacing w:after="40"/>
              <w:ind w:right="113"/>
            </w:pPr>
            <w:r>
              <w:rPr>
                <w:i/>
              </w:rPr>
              <w:t>Petroleum Products Pricing Amendment Regulations 2003</w:t>
            </w:r>
            <w:r>
              <w:t xml:space="preserve"> </w:t>
            </w:r>
            <w:r>
              <w:rPr>
                <w:vertAlign w:val="superscript"/>
              </w:rPr>
              <w:t>5</w:t>
            </w:r>
          </w:p>
        </w:tc>
        <w:tc>
          <w:tcPr>
            <w:tcW w:w="1276" w:type="dxa"/>
          </w:tcPr>
          <w:p>
            <w:pPr>
              <w:pStyle w:val="nTable"/>
              <w:spacing w:after="40"/>
            </w:pPr>
            <w:r>
              <w:t>13 May 2003 p. 1665</w:t>
            </w:r>
            <w:r>
              <w:noBreakHyphen/>
              <w:t>6</w:t>
            </w:r>
          </w:p>
        </w:tc>
        <w:tc>
          <w:tcPr>
            <w:tcW w:w="2693" w:type="dxa"/>
          </w:tcPr>
          <w:p>
            <w:pPr>
              <w:pStyle w:val="nTable"/>
              <w:spacing w:after="40"/>
            </w:pPr>
            <w:r>
              <w:t>20 May 2003 (see r. 2)</w:t>
            </w:r>
          </w:p>
        </w:tc>
      </w:tr>
      <w:tr>
        <w:trPr>
          <w:cantSplit/>
        </w:trPr>
        <w:tc>
          <w:tcPr>
            <w:tcW w:w="3119" w:type="dxa"/>
          </w:tcPr>
          <w:p>
            <w:pPr>
              <w:pStyle w:val="nTable"/>
              <w:spacing w:after="40"/>
              <w:ind w:right="113"/>
              <w:rPr>
                <w:i/>
              </w:rPr>
            </w:pPr>
            <w:r>
              <w:rPr>
                <w:i/>
              </w:rPr>
              <w:t>Petroleum Products Pricing Amendment Regulations 2005</w:t>
            </w:r>
          </w:p>
        </w:tc>
        <w:tc>
          <w:tcPr>
            <w:tcW w:w="1276" w:type="dxa"/>
          </w:tcPr>
          <w:p>
            <w:pPr>
              <w:pStyle w:val="nTable"/>
              <w:spacing w:after="40"/>
            </w:pPr>
            <w:r>
              <w:t>9 Dec 2005 p. 5875</w:t>
            </w:r>
            <w:r>
              <w:noBreakHyphen/>
              <w:t>6</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Petroleum Products Pricing Amendment Regulations 2006</w:t>
            </w:r>
          </w:p>
        </w:tc>
        <w:tc>
          <w:tcPr>
            <w:tcW w:w="1276" w:type="dxa"/>
          </w:tcPr>
          <w:p>
            <w:pPr>
              <w:pStyle w:val="nTable"/>
              <w:spacing w:after="40"/>
            </w:pPr>
            <w:r>
              <w:t>22 Sep 2006 p. 4125</w:t>
            </w:r>
            <w:r>
              <w:noBreakHyphen/>
              <w:t>6</w:t>
            </w:r>
          </w:p>
        </w:tc>
        <w:tc>
          <w:tcPr>
            <w:tcW w:w="2693" w:type="dxa"/>
          </w:tcPr>
          <w:p>
            <w:pPr>
              <w:pStyle w:val="nTable"/>
              <w:spacing w:after="40"/>
            </w:pPr>
            <w:r>
              <w:t xml:space="preserve">22 Sep 2006 </w:t>
            </w:r>
          </w:p>
        </w:tc>
      </w:tr>
      <w:tr>
        <w:trPr>
          <w:cantSplit/>
        </w:trPr>
        <w:tc>
          <w:tcPr>
            <w:tcW w:w="3119" w:type="dxa"/>
          </w:tcPr>
          <w:p>
            <w:pPr>
              <w:pStyle w:val="nTable"/>
              <w:spacing w:after="40"/>
              <w:ind w:right="113"/>
              <w:rPr>
                <w:i/>
              </w:rPr>
            </w:pPr>
            <w:r>
              <w:rPr>
                <w:i/>
              </w:rPr>
              <w:t>Petroleum Products Pricing Amendment Regulations (No. 2) 2006</w:t>
            </w:r>
          </w:p>
        </w:tc>
        <w:tc>
          <w:tcPr>
            <w:tcW w:w="1276" w:type="dxa"/>
          </w:tcPr>
          <w:p>
            <w:pPr>
              <w:pStyle w:val="nTable"/>
              <w:spacing w:after="40"/>
            </w:pPr>
            <w:r>
              <w:t>3 Oct 2006 p. 4337</w:t>
            </w:r>
          </w:p>
        </w:tc>
        <w:tc>
          <w:tcPr>
            <w:tcW w:w="2693" w:type="dxa"/>
          </w:tcPr>
          <w:p>
            <w:pPr>
              <w:pStyle w:val="nTable"/>
              <w:spacing w:after="40"/>
            </w:pPr>
            <w:r>
              <w:t>3 Oct 2006</w:t>
            </w:r>
          </w:p>
        </w:tc>
      </w:tr>
      <w:tr>
        <w:trPr>
          <w:cantSplit/>
        </w:trPr>
        <w:tc>
          <w:tcPr>
            <w:tcW w:w="3119" w:type="dxa"/>
          </w:tcPr>
          <w:p>
            <w:pPr>
              <w:pStyle w:val="nTable"/>
              <w:spacing w:after="40"/>
              <w:ind w:right="113"/>
              <w:rPr>
                <w:i/>
              </w:rPr>
            </w:pPr>
            <w:r>
              <w:rPr>
                <w:i/>
              </w:rPr>
              <w:t>Petroleum Products Pricing Amendment Regulations 2008</w:t>
            </w:r>
          </w:p>
        </w:tc>
        <w:tc>
          <w:tcPr>
            <w:tcW w:w="1276" w:type="dxa"/>
          </w:tcPr>
          <w:p>
            <w:pPr>
              <w:pStyle w:val="nTable"/>
              <w:spacing w:after="40"/>
            </w:pPr>
            <w:r>
              <w:t>12 Aug 2008 p. 3535</w:t>
            </w:r>
            <w:r>
              <w:noBreakHyphen/>
              <w:t>6</w:t>
            </w:r>
          </w:p>
        </w:tc>
        <w:tc>
          <w:tcPr>
            <w:tcW w:w="2693" w:type="dxa"/>
          </w:tcPr>
          <w:p>
            <w:pPr>
              <w:pStyle w:val="nTable"/>
              <w:spacing w:after="40"/>
            </w:pPr>
            <w:r>
              <w:t>r. 1 and 2: 12 Aug 2008 (see r. 2(a));</w:t>
            </w:r>
            <w:r>
              <w:br/>
              <w:t>Regulations other than r. 1 and 2: 13 Aug 2008 (see r. 2(b))</w:t>
            </w:r>
          </w:p>
        </w:tc>
      </w:tr>
      <w:tr>
        <w:trPr>
          <w:cantSplit/>
        </w:trPr>
        <w:tc>
          <w:tcPr>
            <w:tcW w:w="7088" w:type="dxa"/>
            <w:gridSpan w:val="3"/>
          </w:tcPr>
          <w:p>
            <w:pPr>
              <w:pStyle w:val="nTable"/>
              <w:spacing w:after="40"/>
            </w:pPr>
            <w:r>
              <w:rPr>
                <w:b/>
              </w:rPr>
              <w:t xml:space="preserve">Reprint 2:  The </w:t>
            </w:r>
            <w:r>
              <w:rPr>
                <w:b/>
                <w:i/>
              </w:rPr>
              <w:t>Petroleum Products Pricing Regulations 2000</w:t>
            </w:r>
            <w:r>
              <w:rPr>
                <w:b/>
              </w:rPr>
              <w:t xml:space="preserve"> as at 14 Aug 2009</w:t>
            </w:r>
            <w:r>
              <w:br/>
              <w:t>(includes amendments listed above)</w:t>
            </w:r>
          </w:p>
        </w:tc>
      </w:tr>
      <w:tr>
        <w:trPr>
          <w:cantSplit/>
        </w:trPr>
        <w:tc>
          <w:tcPr>
            <w:tcW w:w="3119" w:type="dxa"/>
          </w:tcPr>
          <w:p>
            <w:pPr>
              <w:pStyle w:val="nTable"/>
              <w:spacing w:after="40"/>
              <w:ind w:right="113"/>
              <w:rPr>
                <w:i/>
              </w:rPr>
            </w:pPr>
            <w:r>
              <w:rPr>
                <w:i/>
              </w:rPr>
              <w:t>Petroleum Products Pricing Amendment Regulations 2014</w:t>
            </w:r>
          </w:p>
        </w:tc>
        <w:tc>
          <w:tcPr>
            <w:tcW w:w="1276" w:type="dxa"/>
          </w:tcPr>
          <w:p>
            <w:pPr>
              <w:pStyle w:val="nTable"/>
              <w:spacing w:after="40"/>
            </w:pPr>
            <w:r>
              <w:t>15 Aug 2014 p. 2933</w:t>
            </w:r>
            <w:r>
              <w:noBreakHyphen/>
              <w:t>7</w:t>
            </w:r>
          </w:p>
        </w:tc>
        <w:tc>
          <w:tcPr>
            <w:tcW w:w="2693" w:type="dxa"/>
          </w:tcPr>
          <w:p>
            <w:pPr>
              <w:pStyle w:val="nTable"/>
              <w:spacing w:after="40"/>
            </w:pPr>
            <w:r>
              <w:t>r. 1 and 2: 15 Aug 2014 (see r. 2(a));</w:t>
            </w:r>
            <w:r>
              <w:br/>
              <w:t>Regulations other than r. 1 and 2: 16 Aug 2014 (see r. 2(b))</w:t>
            </w:r>
          </w:p>
        </w:tc>
      </w:tr>
      <w:tr>
        <w:trPr>
          <w:cantSplit/>
        </w:trPr>
        <w:tc>
          <w:tcPr>
            <w:tcW w:w="3119" w:type="dxa"/>
          </w:tcPr>
          <w:p>
            <w:pPr>
              <w:pStyle w:val="nTable"/>
              <w:spacing w:after="40"/>
              <w:ind w:right="113"/>
              <w:rPr>
                <w:i/>
              </w:rPr>
            </w:pPr>
            <w:r>
              <w:rPr>
                <w:i/>
              </w:rPr>
              <w:t>Petroleum Products Pricing Amendment Regulations (No. 2) 2014</w:t>
            </w:r>
          </w:p>
        </w:tc>
        <w:tc>
          <w:tcPr>
            <w:tcW w:w="1276" w:type="dxa"/>
          </w:tcPr>
          <w:p>
            <w:pPr>
              <w:pStyle w:val="nTable"/>
              <w:spacing w:after="40"/>
            </w:pPr>
            <w:r>
              <w:t>18 Nov 2014 p. 4322</w:t>
            </w:r>
            <w:r>
              <w:noBreakHyphen/>
              <w:t>4</w:t>
            </w:r>
          </w:p>
        </w:tc>
        <w:tc>
          <w:tcPr>
            <w:tcW w:w="2693" w:type="dxa"/>
          </w:tcPr>
          <w:p>
            <w:pPr>
              <w:pStyle w:val="nTable"/>
              <w:spacing w:after="40"/>
            </w:pPr>
            <w:r>
              <w:t>r. 1 and 2: 18 Nov 2014 (see r. 2(a));</w:t>
            </w:r>
            <w:r>
              <w:br/>
              <w:t>Regulations other than r. 1 and 2: 19 Nov 2014 (see r. 2(b) and Gazette 18 Nov 2014 p. 4315)</w:t>
            </w:r>
          </w:p>
        </w:tc>
      </w:tr>
      <w:tr>
        <w:trPr>
          <w:cantSplit/>
        </w:trPr>
        <w:tc>
          <w:tcPr>
            <w:tcW w:w="3119" w:type="dxa"/>
          </w:tcPr>
          <w:p>
            <w:pPr>
              <w:pStyle w:val="nTable"/>
              <w:spacing w:after="40"/>
              <w:ind w:right="113"/>
            </w:pPr>
            <w:r>
              <w:rPr>
                <w:i/>
              </w:rPr>
              <w:t>Petroleum Products Pricing Amendment Regulations 2015</w:t>
            </w:r>
          </w:p>
        </w:tc>
        <w:tc>
          <w:tcPr>
            <w:tcW w:w="1276" w:type="dxa"/>
          </w:tcPr>
          <w:p>
            <w:pPr>
              <w:pStyle w:val="nTable"/>
              <w:spacing w:after="40"/>
            </w:pPr>
            <w:r>
              <w:t>15 May 2015 p. 1719</w:t>
            </w:r>
            <w:r>
              <w:noBreakHyphen/>
              <w:t>20</w:t>
            </w:r>
          </w:p>
        </w:tc>
        <w:tc>
          <w:tcPr>
            <w:tcW w:w="2693" w:type="dxa"/>
          </w:tcPr>
          <w:p>
            <w:pPr>
              <w:pStyle w:val="nTable"/>
              <w:spacing w:after="40"/>
            </w:pPr>
            <w:r>
              <w:t>r. 1 and 2: 15 May 2015 (see r. 2(a));</w:t>
            </w:r>
            <w:r>
              <w:br/>
              <w:t>Regulations other than r. 1 and 2: 16 May 2015 (see r. 2(b))</w:t>
            </w:r>
          </w:p>
        </w:tc>
      </w:tr>
      <w:tr>
        <w:trPr>
          <w:cantSplit/>
        </w:trPr>
        <w:tc>
          <w:tcPr>
            <w:tcW w:w="3119" w:type="dxa"/>
          </w:tcPr>
          <w:p>
            <w:pPr>
              <w:pStyle w:val="nTable"/>
              <w:spacing w:after="40"/>
              <w:ind w:right="113"/>
              <w:rPr>
                <w:i/>
              </w:rPr>
            </w:pPr>
            <w:r>
              <w:rPr>
                <w:i/>
              </w:rPr>
              <w:t>Petroleum Products Pricing Amendment Regulations 2016</w:t>
            </w:r>
          </w:p>
        </w:tc>
        <w:tc>
          <w:tcPr>
            <w:tcW w:w="1276" w:type="dxa"/>
          </w:tcPr>
          <w:p>
            <w:pPr>
              <w:pStyle w:val="nTable"/>
              <w:spacing w:after="40"/>
            </w:pPr>
            <w:r>
              <w:t>21 Oct 2016 p. 4782</w:t>
            </w:r>
          </w:p>
        </w:tc>
        <w:tc>
          <w:tcPr>
            <w:tcW w:w="2693" w:type="dxa"/>
          </w:tcPr>
          <w:p>
            <w:pPr>
              <w:pStyle w:val="nTable"/>
              <w:spacing w:after="40"/>
            </w:pPr>
            <w:r>
              <w:t>r. 1 and 2: 21 Oct 2016 (see r. 2(a));</w:t>
            </w:r>
            <w:r>
              <w:br/>
              <w:t>Regulations other than r. 1 and 2: 22 Oct 2016 (see r. 2(b))</w:t>
            </w:r>
          </w:p>
        </w:tc>
      </w:tr>
      <w:tr>
        <w:trPr>
          <w:cantSplit/>
        </w:trPr>
        <w:tc>
          <w:tcPr>
            <w:tcW w:w="3119" w:type="dxa"/>
          </w:tcPr>
          <w:p>
            <w:pPr>
              <w:pStyle w:val="nTable"/>
              <w:spacing w:after="40"/>
              <w:ind w:right="113"/>
              <w:rPr>
                <w:i/>
              </w:rPr>
            </w:pPr>
            <w:r>
              <w:rPr>
                <w:i/>
              </w:rPr>
              <w:t>Petroleum Products Pricing Amendment Regulations 2017</w:t>
            </w:r>
          </w:p>
        </w:tc>
        <w:tc>
          <w:tcPr>
            <w:tcW w:w="1276" w:type="dxa"/>
          </w:tcPr>
          <w:p>
            <w:pPr>
              <w:pStyle w:val="nTable"/>
              <w:spacing w:after="40"/>
            </w:pPr>
            <w:r>
              <w:t>17 Oct 2017 p. 5335</w:t>
            </w:r>
            <w:r>
              <w:noBreakHyphen/>
              <w:t>7</w:t>
            </w:r>
          </w:p>
        </w:tc>
        <w:tc>
          <w:tcPr>
            <w:tcW w:w="2693" w:type="dxa"/>
          </w:tcPr>
          <w:p>
            <w:pPr>
              <w:pStyle w:val="nTable"/>
              <w:spacing w:after="40"/>
            </w:pPr>
            <w:r>
              <w:t>r. 1 and 2: 17 Oct 2017 (see r. 2(a));</w:t>
            </w:r>
            <w:r>
              <w:br/>
              <w:t>Regulations other than r. 1 and 2: 18 Oct 2017 (see r. 2(b))</w:t>
            </w:r>
          </w:p>
        </w:tc>
      </w:tr>
      <w:tr>
        <w:trPr>
          <w:cantSplit/>
        </w:trPr>
        <w:tc>
          <w:tcPr>
            <w:tcW w:w="3119" w:type="dxa"/>
            <w:tcBorders>
              <w:bottom w:val="single" w:sz="4" w:space="0" w:color="auto"/>
            </w:tcBorders>
          </w:tcPr>
          <w:p>
            <w:pPr>
              <w:pStyle w:val="nTable"/>
              <w:spacing w:after="40"/>
              <w:ind w:right="113"/>
              <w:rPr>
                <w:i/>
              </w:rPr>
            </w:pPr>
            <w:r>
              <w:rPr>
                <w:i/>
              </w:rPr>
              <w:t>Petroleum Products Pricing Amendment Regulations (No. 2) 2017</w:t>
            </w:r>
          </w:p>
        </w:tc>
        <w:tc>
          <w:tcPr>
            <w:tcW w:w="1276" w:type="dxa"/>
            <w:tcBorders>
              <w:bottom w:val="single" w:sz="4" w:space="0" w:color="auto"/>
            </w:tcBorders>
          </w:tcPr>
          <w:p>
            <w:pPr>
              <w:pStyle w:val="nTable"/>
              <w:spacing w:after="40"/>
            </w:pPr>
            <w:r>
              <w:t>22 Dec 2017 p. 5976</w:t>
            </w:r>
            <w:r>
              <w:noBreakHyphen/>
              <w:t>7</w:t>
            </w:r>
          </w:p>
        </w:tc>
        <w:tc>
          <w:tcPr>
            <w:tcW w:w="2693" w:type="dxa"/>
            <w:tcBorders>
              <w:bottom w:val="single" w:sz="4" w:space="0" w:color="auto"/>
            </w:tcBorders>
          </w:tcPr>
          <w:p>
            <w:pPr>
              <w:pStyle w:val="nTable"/>
              <w:spacing w:after="40"/>
            </w:pPr>
            <w:r>
              <w:t>r. 1 and 2: 22 Dec 2017 (see r. 2(a));</w:t>
            </w:r>
            <w:r>
              <w:br/>
              <w:t>Regulations other than r. 1 and 2: 23 Dec 2017 (see r. 2(b))</w:t>
            </w:r>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keepNext/>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rPr>
          <w:rFonts w:ascii="Times New Roman" w:hAnsi="Times New Roman"/>
          <w:vertAlign w:val="superscript"/>
        </w:r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31" w:name="_Toc501632263"/>
      <w:r>
        <w:rPr>
          <w:sz w:val="28"/>
        </w:rPr>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calendar month</w:t>
      </w:r>
      <w:r>
        <w:tab/>
        <w:t>10(3)</w:t>
      </w:r>
    </w:p>
    <w:p>
      <w:pPr>
        <w:pStyle w:val="DefinedTerms"/>
      </w:pPr>
      <w:r>
        <w:t>day</w:t>
      </w:r>
      <w:r>
        <w:tab/>
        <w:t>2A</w:t>
      </w:r>
    </w:p>
    <w:p>
      <w:pPr>
        <w:pStyle w:val="DefinedTerms"/>
      </w:pPr>
      <w:r>
        <w:t>kinds offered</w:t>
      </w:r>
      <w:r>
        <w:tab/>
        <w:t>6(2)</w:t>
      </w:r>
    </w:p>
    <w:p>
      <w:pPr>
        <w:pStyle w:val="DefinedTerms"/>
      </w:pPr>
      <w:r>
        <w:t>Perth metropolitan region</w:t>
      </w:r>
      <w:r>
        <w:tab/>
        <w:t>2AA</w:t>
      </w:r>
    </w:p>
    <w:p>
      <w:pPr>
        <w:pStyle w:val="DefinedTerms"/>
      </w:pPr>
      <w:r>
        <w:t>regular unleaded petrol</w:t>
      </w:r>
      <w:r>
        <w:tab/>
        <w:t>6(7)</w:t>
      </w:r>
    </w:p>
    <w:p>
      <w:pPr>
        <w:pStyle w:val="DefinedTerms"/>
      </w:pPr>
      <w:r>
        <w:t>retail sale</w:t>
      </w:r>
      <w:r>
        <w:tab/>
        <w:t>2A</w:t>
      </w:r>
    </w:p>
    <w:p>
      <w:pPr>
        <w:pStyle w:val="DefinedTerms"/>
      </w:pPr>
      <w:r>
        <w:t>standard retail sale</w:t>
      </w:r>
      <w:r>
        <w:tab/>
        <w:t>6(7)</w:t>
      </w:r>
    </w:p>
    <w:p>
      <w:pPr>
        <w:pStyle w:val="DefinedTerms"/>
      </w:pPr>
      <w:r>
        <w:t>townsite</w:t>
      </w:r>
      <w:r>
        <w:tab/>
        <w:t>2AA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Dec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01499E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335"/>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 w:name="WAFER_20141118101438" w:val="RemoveTocBookmarks,RemoveUnusedBookmarks,RemoveLanguageTags,UsedStyles,ResetPageSize,UpdateArrangement"/>
    <w:docVar w:name="WAFER_20141118101438_GUID" w:val="352f243f-13c3-4e19-a13d-f37c32e3d7c2"/>
    <w:docVar w:name="WAFER_20150514135133" w:val="ResetPageSize,UpdateArrangement,UpdateNTable"/>
    <w:docVar w:name="WAFER_20150514135133_GUID" w:val="55108bc0-b647-48c0-9322-1eab6ff23858"/>
    <w:docVar w:name="WAFER_20151109114002" w:val="UpdateStyles,UsedStyles"/>
    <w:docVar w:name="WAFER_20151109114002_GUID" w:val="34157ba9-1104-4509-add6-cb7b68974e5e"/>
    <w:docVar w:name="WAFER_20171221105335" w:val="RemoveTocBookmarks,RemoveUnusedBookmarks,RemoveLanguageTags,UsedStyles,ResetPageSize"/>
    <w:docVar w:name="WAFER_20171221105335_GUID" w:val="4cc4b336-1215-45a5-a2f3-0fdffc7165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yperlink" Target="http://www.fuelwatch.wa.gov.au" TargetMode="Externa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4314</Words>
  <Characters>21617</Characters>
  <Application>Microsoft Office Word</Application>
  <DocSecurity>0</DocSecurity>
  <Lines>900</Lines>
  <Paragraphs>540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25391</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2000 - 02-g0-00</dc:title>
  <dc:subject/>
  <dc:creator/>
  <cp:keywords/>
  <dc:description/>
  <cp:lastModifiedBy>svcMRProcess</cp:lastModifiedBy>
  <cp:revision>4</cp:revision>
  <cp:lastPrinted>2009-08-27T00:49:00Z</cp:lastPrinted>
  <dcterms:created xsi:type="dcterms:W3CDTF">2020-02-27T16:16:00Z</dcterms:created>
  <dcterms:modified xsi:type="dcterms:W3CDTF">2020-02-27T16:16:00Z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DocumentType">
    <vt:lpwstr>Reg</vt:lpwstr>
  </property>
  <property fmtid="{D5CDD505-2E9C-101B-9397-08002B2CF9AE}" pid="4" name="OwlsUID">
    <vt:i4>2723</vt:i4>
  </property>
  <property fmtid="{D5CDD505-2E9C-101B-9397-08002B2CF9AE}" pid="5" name="ReprintNo">
    <vt:lpwstr>2</vt:lpwstr>
  </property>
  <property fmtid="{D5CDD505-2E9C-101B-9397-08002B2CF9AE}" pid="6" name="AsAtDate">
    <vt:lpwstr>23 Dec 2017</vt:lpwstr>
  </property>
  <property fmtid="{D5CDD505-2E9C-101B-9397-08002B2CF9AE}" pid="7" name="Suffix">
    <vt:lpwstr>02-g0-00</vt:lpwstr>
  </property>
  <property fmtid="{D5CDD505-2E9C-101B-9397-08002B2CF9AE}" pid="8" name="CommencementDate">
    <vt:lpwstr>20171223</vt:lpwstr>
  </property>
</Properties>
</file>