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(Maximum Wholesale Price) Order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Petroleum Products Pricing (Maximum Wholesale Price) Order 2001</w:t>
      </w:r>
      <w:r>
        <w:fldChar w:fldCharType="end"/>
      </w:r>
    </w:p>
    <w:p>
      <w:pPr>
        <w:pStyle w:val="Arrangement"/>
        <w:spacing w:after="180"/>
        <w:ind w:left="2302" w:right="2302"/>
      </w:pPr>
      <w:r>
        <w:t>CONTENTS</w:t>
      </w:r>
    </w:p>
    <w:p>
      <w:pPr>
        <w:pStyle w:val="TOC4"/>
        <w:tabs>
          <w:tab w:val="clear" w:pos="1134"/>
          <w:tab w:val="left" w:pos="1135"/>
        </w:tabs>
        <w:rPr>
          <w:noProof/>
        </w:rPr>
      </w:pPr>
      <w:r>
        <w:fldChar w:fldCharType="begin"/>
      </w:r>
      <w:r>
        <w:instrText xml:space="preserve"> TOC \o "1</w:instrText>
      </w:r>
      <w:r>
        <w:noBreakHyphen/>
        <w:instrText>3" \t "Heading 4,3,Heading 5,4" \n 2</w:instrText>
      </w:r>
      <w:r>
        <w:noBreakHyphen/>
        <w:instrText>3 \t "yHeading 4,3,yHeading 5,4,nHeading 3,4" \n 2</w:instrText>
      </w:r>
      <w:r>
        <w:noBreakHyphen/>
        <w:instrText xml:space="preserve">3 \* MERGEFORMAT </w:instrText>
      </w:r>
      <w:r>
        <w:fldChar w:fldCharType="separate"/>
      </w:r>
      <w:r>
        <w:rPr>
          <w:noProof/>
        </w:rPr>
        <w:t>1.</w:t>
      </w:r>
      <w:r>
        <w:rPr>
          <w:noProof/>
        </w:rPr>
        <w:tab/>
        <w:t>Citation</w:t>
      </w:r>
      <w:r>
        <w:rPr>
          <w:noProof/>
        </w:rPr>
        <w:tab/>
      </w:r>
      <w:r>
        <w:rPr>
          <w:noProof/>
        </w:rPr>
        <w:fldChar w:fldCharType="begin"/>
      </w:r>
      <w:r>
        <w:rPr>
          <w:noProof/>
        </w:rPr>
        <w:instrText xml:space="preserve"> PAGEREF _Toc511553917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_Toc511553918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rPr>
        <w:tab/>
        <w:t>Definitions</w:t>
      </w:r>
      <w:r>
        <w:rPr>
          <w:noProof/>
        </w:rPr>
        <w:tab/>
      </w:r>
      <w:r>
        <w:rPr>
          <w:noProof/>
        </w:rPr>
        <w:fldChar w:fldCharType="begin"/>
      </w:r>
      <w:r>
        <w:rPr>
          <w:noProof/>
        </w:rPr>
        <w:instrText xml:space="preserve"> PAGEREF _Toc511553919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4.</w:t>
      </w:r>
      <w:r>
        <w:rPr>
          <w:noProof/>
        </w:rPr>
        <w:tab/>
        <w:t>Maximum wholesale price of controlled motor fuels — metropolitan terminals</w:t>
      </w:r>
      <w:r>
        <w:rPr>
          <w:noProof/>
        </w:rPr>
        <w:tab/>
      </w:r>
      <w:r>
        <w:rPr>
          <w:noProof/>
        </w:rPr>
        <w:fldChar w:fldCharType="begin"/>
      </w:r>
      <w:r>
        <w:rPr>
          <w:noProof/>
        </w:rPr>
        <w:instrText xml:space="preserve"> PAGEREF _Toc511553920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rPr>
        <w:tab/>
        <w:t>Maximum wholesale price of controlled motor fuels — non</w:t>
      </w:r>
      <w:r>
        <w:rPr>
          <w:noProof/>
        </w:rPr>
        <w:noBreakHyphen/>
        <w:t>metropolitan terminals</w:t>
      </w:r>
      <w:r>
        <w:rPr>
          <w:noProof/>
        </w:rPr>
        <w:tab/>
      </w:r>
      <w:r>
        <w:rPr>
          <w:noProof/>
        </w:rPr>
        <w:fldChar w:fldCharType="begin"/>
      </w:r>
      <w:r>
        <w:rPr>
          <w:noProof/>
        </w:rPr>
        <w:instrText xml:space="preserve"> PAGEREF _Toc511553921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6.</w:t>
      </w:r>
      <w:r>
        <w:rPr>
          <w:noProof/>
        </w:rPr>
        <w:tab/>
        <w:t>Maximum wholesale price to be fixed the day before the day of delivery</w:t>
      </w:r>
      <w:r>
        <w:rPr>
          <w:noProof/>
        </w:rPr>
        <w:tab/>
      </w:r>
      <w:r>
        <w:rPr>
          <w:noProof/>
        </w:rPr>
        <w:fldChar w:fldCharType="begin"/>
      </w:r>
      <w:r>
        <w:rPr>
          <w:noProof/>
        </w:rPr>
        <w:instrText xml:space="preserve"> PAGEREF _Toc511553922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7.</w:t>
      </w:r>
      <w:r>
        <w:rPr>
          <w:noProof/>
        </w:rPr>
        <w:tab/>
        <w:t>Maximum wholesale price to be notified to Commissioner</w:t>
      </w:r>
      <w:r>
        <w:rPr>
          <w:noProof/>
        </w:rPr>
        <w:tab/>
      </w:r>
      <w:r>
        <w:rPr>
          <w:noProof/>
        </w:rPr>
        <w:fldChar w:fldCharType="begin"/>
      </w:r>
      <w:r>
        <w:rPr>
          <w:noProof/>
        </w:rPr>
        <w:instrText xml:space="preserve"> PAGEREF _Toc511553923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Schedule 1 — Controlled terminals (metropolitan)</w:t>
      </w:r>
    </w:p>
    <w:p>
      <w:pPr>
        <w:pStyle w:val="TOC2"/>
        <w:tabs>
          <w:tab w:val="right" w:leader="dot" w:pos="7086"/>
        </w:tabs>
        <w:rPr>
          <w:noProof/>
        </w:rPr>
      </w:pPr>
      <w:r>
        <w:rPr>
          <w:noProof/>
        </w:rPr>
        <w:t>Schedule 2 — Controlled terminals (non-metropolitan)</w:t>
      </w:r>
    </w:p>
    <w:p>
      <w:pPr>
        <w:pStyle w:val="TOC2"/>
        <w:tabs>
          <w:tab w:val="right" w:leader="dot" w:pos="7086"/>
        </w:tabs>
        <w:rPr>
          <w:noProof/>
        </w:rPr>
      </w:pPr>
      <w:r>
        <w:rPr>
          <w:noProof/>
        </w:rPr>
        <w:t>Schedule 3 — Maximum wholesale price formula</w:t>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_Toc511553924 \h </w:instrText>
      </w:r>
      <w:r>
        <w:rPr>
          <w:noProof/>
        </w:rPr>
      </w:r>
      <w:r>
        <w:rPr>
          <w:noProof/>
        </w:rPr>
        <w:fldChar w:fldCharType="separate"/>
      </w:r>
      <w:r>
        <w:rPr>
          <w:noProof/>
        </w:rPr>
        <w:t>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Petroleum Products Pricing Act 1983</w:t>
      </w:r>
    </w:p>
    <w:p>
      <w:pPr>
        <w:pStyle w:val="NameofActReg"/>
      </w:pPr>
      <w:r>
        <w:t>Petroleum Products Pricing (Maximum Wholesale Price) Order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1553917"/>
      <w:r>
        <w:rPr>
          <w:rStyle w:val="CharSectno"/>
        </w:rPr>
        <w:t>1</w:t>
      </w:r>
      <w:r>
        <w:t>.</w:t>
      </w:r>
      <w:r>
        <w:tab/>
        <w:t>Citation</w:t>
      </w:r>
      <w:bookmarkEnd w:id="1"/>
      <w:bookmarkEnd w:id="2"/>
      <w:bookmarkEnd w:id="3"/>
      <w:bookmarkEnd w:id="4"/>
      <w:bookmarkEnd w:id="5"/>
      <w:bookmarkEnd w:id="6"/>
      <w:bookmarkEnd w:id="7"/>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2001</w:t>
      </w:r>
      <w:r>
        <w:t>.</w:t>
      </w:r>
    </w:p>
    <w:p>
      <w:pPr>
        <w:pStyle w:val="Heading5"/>
        <w:rPr>
          <w:spacing w:val="-2"/>
        </w:rPr>
      </w:pPr>
      <w:bookmarkStart w:id="8" w:name="_Toc423332723"/>
      <w:bookmarkStart w:id="9" w:name="_Toc425219442"/>
      <w:bookmarkStart w:id="10" w:name="_Toc426249309"/>
      <w:bookmarkStart w:id="11" w:name="_Toc449924705"/>
      <w:bookmarkStart w:id="12" w:name="_Toc449947723"/>
      <w:bookmarkStart w:id="13" w:name="_Toc454185714"/>
      <w:bookmarkStart w:id="14" w:name="_Toc511553918"/>
      <w:r>
        <w:rPr>
          <w:rStyle w:val="CharSectno"/>
        </w:rPr>
        <w:t>2</w:t>
      </w:r>
      <w:r>
        <w:rPr>
          <w:spacing w:val="-2"/>
        </w:rPr>
        <w:t>.</w:t>
      </w:r>
      <w:r>
        <w:rPr>
          <w:spacing w:val="-2"/>
        </w:rPr>
        <w:tab/>
        <w:t>Commencement</w:t>
      </w:r>
      <w:bookmarkEnd w:id="8"/>
      <w:bookmarkEnd w:id="9"/>
      <w:bookmarkEnd w:id="10"/>
      <w:bookmarkEnd w:id="11"/>
      <w:bookmarkEnd w:id="12"/>
      <w:bookmarkEnd w:id="13"/>
      <w:bookmarkEnd w:id="14"/>
    </w:p>
    <w:p>
      <w:pPr>
        <w:pStyle w:val="Subsection"/>
        <w:rPr>
          <w:spacing w:val="-2"/>
        </w:rPr>
      </w:pPr>
      <w:r>
        <w:rPr>
          <w:spacing w:val="-2"/>
        </w:rPr>
        <w:tab/>
      </w:r>
      <w:r>
        <w:rPr>
          <w:spacing w:val="-2"/>
        </w:rPr>
        <w:tab/>
        <w:t>This order comes into operation on 12 April 2001.</w:t>
      </w:r>
    </w:p>
    <w:p>
      <w:pPr>
        <w:pStyle w:val="Heading5"/>
      </w:pPr>
      <w:bookmarkStart w:id="15" w:name="_Toc511553919"/>
      <w:r>
        <w:rPr>
          <w:rStyle w:val="CharSectno"/>
        </w:rPr>
        <w:t>3</w:t>
      </w:r>
      <w:r>
        <w:t>.</w:t>
      </w:r>
      <w:r>
        <w:tab/>
        <w:t>Definitions</w:t>
      </w:r>
      <w:bookmarkEnd w:id="15"/>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w:t>
      </w:r>
      <w:bookmarkStart w:id="16" w:name="_Hlt511125387"/>
      <w:r>
        <w:t>1</w:t>
      </w:r>
      <w:bookmarkEnd w:id="16"/>
      <w:r>
        <w:t xml:space="preserve"> or </w:t>
      </w:r>
      <w:bookmarkStart w:id="17" w:name="_Hlt511125409"/>
      <w:r>
        <w:t>2</w:t>
      </w:r>
      <w:bookmarkEnd w:id="17"/>
      <w:r>
        <w:t>;</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Heading5"/>
      </w:pPr>
      <w:bookmarkStart w:id="18" w:name="_Toc511553920"/>
      <w:r>
        <w:rPr>
          <w:rStyle w:val="CharSectno"/>
        </w:rPr>
        <w:t>4</w:t>
      </w:r>
      <w:r>
        <w:t>.</w:t>
      </w:r>
      <w:r>
        <w:tab/>
        <w:t>Maximum wholesale price of controlled motor fuels — metropolitan terminals</w:t>
      </w:r>
      <w:bookmarkEnd w:id="18"/>
    </w:p>
    <w:p>
      <w:pPr>
        <w:pStyle w:val="Subsection"/>
      </w:pPr>
      <w:r>
        <w:tab/>
      </w:r>
      <w:r>
        <w:tab/>
        <w:t xml:space="preserve">The maximum price at which a controlled motor fuel may be sold from a terminal specified in Schedule </w:t>
      </w:r>
      <w:bookmarkStart w:id="19" w:name="_Hlt511125443"/>
      <w:r>
        <w:t>1</w:t>
      </w:r>
      <w:bookmarkEnd w:id="19"/>
      <w:r>
        <w:t xml:space="preserve">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base price that results from applying the formula set out in Schedule 3.</w:t>
      </w:r>
    </w:p>
    <w:p>
      <w:pPr>
        <w:pStyle w:val="Heading5"/>
      </w:pPr>
      <w:bookmarkStart w:id="20" w:name="_Toc511553921"/>
      <w:r>
        <w:rPr>
          <w:rStyle w:val="CharSectno"/>
        </w:rPr>
        <w:t>5</w:t>
      </w:r>
      <w:r>
        <w:t>.</w:t>
      </w:r>
      <w:r>
        <w:tab/>
        <w:t>Maximum wholesale price of controlled motor fuels — non</w:t>
      </w:r>
      <w:r>
        <w:noBreakHyphen/>
        <w:t>metropolitan terminals</w:t>
      </w:r>
      <w:bookmarkEnd w:id="20"/>
    </w:p>
    <w:p>
      <w:pPr>
        <w:pStyle w:val="Subsection"/>
      </w:pPr>
      <w:r>
        <w:tab/>
        <w:t>(1)</w:t>
      </w:r>
      <w:r>
        <w:tab/>
        <w:t xml:space="preserve">The maximum price at which a controlled motor fuel may be sold from a terminal specified in Schedule 2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 xml:space="preserve">is the sum of the base price that results from applying the formula set out in Schedule </w:t>
      </w:r>
      <w:bookmarkStart w:id="21" w:name="_Hlt511125596"/>
      <w:r>
        <w:t>3</w:t>
      </w:r>
      <w:bookmarkEnd w:id="21"/>
      <w:r>
        <w:t xml:space="preserve">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22" w:name="_Toc511553922"/>
      <w:r>
        <w:rPr>
          <w:rStyle w:val="CharSectno"/>
        </w:rPr>
        <w:t>6</w:t>
      </w:r>
      <w:r>
        <w:t>.</w:t>
      </w:r>
      <w:r>
        <w:tab/>
        <w:t>Maximum wholesale price to be fixed the day before the day of delivery</w:t>
      </w:r>
      <w:bookmarkEnd w:id="22"/>
    </w:p>
    <w:p>
      <w:pPr>
        <w:pStyle w:val="Subsection"/>
      </w:pPr>
      <w:r>
        <w:tab/>
      </w:r>
      <w:r>
        <w:tab/>
        <w:t>The maximum price referred to in clause 4 or 5 for the sale of a controlled motor fuel delivered on a particular day at a controlled terminal to a reseller is required to be fixed on the previous day.</w:t>
      </w:r>
    </w:p>
    <w:p>
      <w:pPr>
        <w:pStyle w:val="Heading5"/>
      </w:pPr>
      <w:bookmarkStart w:id="23" w:name="_Toc511553923"/>
      <w:r>
        <w:rPr>
          <w:rStyle w:val="CharSectno"/>
        </w:rPr>
        <w:t>7</w:t>
      </w:r>
      <w:r>
        <w:t>.</w:t>
      </w:r>
      <w:r>
        <w:tab/>
        <w:t>Maximum wholesale price to be notified to Commissioner</w:t>
      </w:r>
      <w:bookmarkEnd w:id="23"/>
    </w:p>
    <w:p>
      <w:pPr>
        <w:pStyle w:val="Subsection"/>
      </w:pPr>
      <w:r>
        <w:tab/>
      </w:r>
      <w:r>
        <w:tab/>
        <w:t xml:space="preserve">A supplier of a controlled motor fuel from a controlled terminal is required to notify the Commissioner of the maximum price referred to in clause 4 or 5, as the case requires — </w:t>
      </w:r>
    </w:p>
    <w:p>
      <w:pPr>
        <w:pStyle w:val="Indenta"/>
      </w:pPr>
      <w:r>
        <w:tab/>
        <w:t>(a)</w:t>
      </w:r>
      <w:r>
        <w:tab/>
        <w:t>not later than 4 p.m. Western Australian Standard Time on the day on which the price is fixed; and</w:t>
      </w:r>
    </w:p>
    <w:p>
      <w:pPr>
        <w:pStyle w:val="Indenta"/>
      </w:pPr>
      <w:r>
        <w:tab/>
        <w:t>(b)</w:t>
      </w:r>
      <w:r>
        <w:tab/>
        <w:t xml:space="preserve">by a message — </w:t>
      </w:r>
    </w:p>
    <w:p>
      <w:pPr>
        <w:pStyle w:val="Indenti"/>
      </w:pPr>
      <w:r>
        <w:tab/>
        <w:t>(i)</w:t>
      </w:r>
      <w:r>
        <w:tab/>
        <w:t>given to the telephone number: (08) 9282 0555; or</w:t>
      </w:r>
    </w:p>
    <w:p>
      <w:pPr>
        <w:pStyle w:val="Indenti"/>
      </w:pPr>
      <w:r>
        <w:tab/>
        <w:t>(ii)</w:t>
      </w:r>
      <w:r>
        <w:tab/>
        <w:t>sent to the email address: wholesalefuelprices@mft.wa.gov.au.</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xml:space="preserve"> — </w:t>
      </w:r>
      <w:r>
        <w:rPr>
          <w:rStyle w:val="CharSchText"/>
        </w:rPr>
        <w:t>Controlled terminals (metropolitan)</w:t>
      </w:r>
    </w:p>
    <w:p>
      <w:pPr>
        <w:pStyle w:val="yShoulderClause"/>
      </w:pPr>
      <w:r>
        <w:t xml:space="preserve">[cl. </w:t>
      </w:r>
      <w:bookmarkStart w:id="24" w:name="_Hlt511125375"/>
      <w:r>
        <w:t>3</w:t>
      </w:r>
      <w:bookmarkEnd w:id="24"/>
      <w:r>
        <w:t xml:space="preserve">, </w:t>
      </w:r>
      <w:bookmarkStart w:id="25" w:name="_Hlt511125550"/>
      <w:r>
        <w:t>4</w:t>
      </w:r>
      <w:bookmarkEnd w:id="25"/>
      <w:r>
        <w:t>]</w:t>
      </w:r>
    </w:p>
    <w:p>
      <w:pPr>
        <w:pStyle w:val="yNumberedItem"/>
      </w:pPr>
      <w:r>
        <w:t>BP Australia Limited, Abernethy Road, Kewdale</w:t>
      </w:r>
    </w:p>
    <w:p>
      <w:pPr>
        <w:pStyle w:val="yNumberedItem"/>
      </w:pPr>
      <w:r>
        <w:t>BP Australia Limited, Swan Street, North Fremantle</w:t>
      </w:r>
    </w:p>
    <w:p>
      <w:pPr>
        <w:pStyle w:val="yNumberedItem"/>
      </w:pPr>
      <w:r>
        <w:t>Caltex Australia Limited, Bracks Street, North Fremantle</w:t>
      </w:r>
    </w:p>
    <w:p>
      <w:pPr>
        <w:pStyle w:val="yNumberedItem"/>
      </w:pPr>
      <w:r>
        <w:t>Gull Petroleum (WA) Pty Ltd, Kwinana Beach Road, Kwinana</w:t>
      </w:r>
    </w:p>
    <w:p>
      <w:pPr>
        <w:pStyle w:val="yNumberedItem"/>
      </w:pPr>
      <w:r>
        <w:t>Mobil Oil Australia Pty Ltd, Kwinana Beach Road, Kwinana</w:t>
      </w:r>
    </w:p>
    <w:p>
      <w:pPr>
        <w:pStyle w:val="yNumberedItem"/>
      </w:pPr>
      <w:r>
        <w:t>The Shell Company of Australia Limited, Bracks Street, North Fremantle</w:t>
      </w:r>
    </w:p>
    <w:p>
      <w:pPr>
        <w:pStyle w:val="yScheduleHeading"/>
      </w:pPr>
      <w:r>
        <w:rPr>
          <w:rStyle w:val="CharSchNo"/>
        </w:rPr>
        <w:t>Schedule 2</w:t>
      </w:r>
      <w:r>
        <w:t xml:space="preserve"> — </w:t>
      </w:r>
      <w:r>
        <w:rPr>
          <w:rStyle w:val="CharSchText"/>
        </w:rPr>
        <w:t>Controlled terminals (non-metropolitan)</w:t>
      </w:r>
    </w:p>
    <w:p>
      <w:pPr>
        <w:pStyle w:val="yShoulderClause"/>
      </w:pPr>
      <w:r>
        <w:t xml:space="preserve">[cl. </w:t>
      </w:r>
      <w:bookmarkStart w:id="26" w:name="_Hlt511125396"/>
      <w:r>
        <w:t>3</w:t>
      </w:r>
      <w:bookmarkEnd w:id="26"/>
      <w:r>
        <w:t xml:space="preserve">, </w:t>
      </w:r>
      <w:bookmarkStart w:id="27" w:name="_Hlt511125583"/>
      <w:r>
        <w:t>5</w:t>
      </w:r>
      <w:bookmarkEnd w:id="27"/>
      <w:r>
        <w:t>]</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Leehey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Gladstone Street, Esperance</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r>
        <w:rPr>
          <w:rStyle w:val="CharSchNo"/>
        </w:rPr>
        <w:t>Schedule 3</w:t>
      </w:r>
      <w:r>
        <w:t xml:space="preserve"> — </w:t>
      </w:r>
      <w:r>
        <w:rPr>
          <w:rStyle w:val="CharSchText"/>
        </w:rPr>
        <w:t>Maximum wholesale price formula</w:t>
      </w:r>
    </w:p>
    <w:p>
      <w:pPr>
        <w:pStyle w:val="yShoulderClause"/>
      </w:pPr>
      <w:r>
        <w:t xml:space="preserve">[cl. </w:t>
      </w:r>
      <w:bookmarkStart w:id="28" w:name="_Hlt511125417"/>
      <w:r>
        <w:t>4</w:t>
      </w:r>
      <w:bookmarkEnd w:id="28"/>
      <w:r>
        <w:t>, 5]</w:t>
      </w:r>
    </w:p>
    <w:p>
      <w:pPr>
        <w:pStyle w:val="yMiscellaneousHeading"/>
        <w:tabs>
          <w:tab w:val="left" w:pos="851"/>
        </w:tabs>
        <w:jc w:val="left"/>
        <w:rPr>
          <w:b/>
        </w:rPr>
      </w:pPr>
      <w:r>
        <w:tab/>
      </w:r>
      <w:r>
        <w:rPr>
          <w:b/>
        </w:rPr>
        <w:t>Maximum wholesale price formula</w:t>
      </w:r>
    </w:p>
    <w:p>
      <w:pPr>
        <w:pStyle w:val="ySubsection"/>
        <w:spacing w:before="240"/>
      </w:pPr>
      <w:r>
        <w:tab/>
      </w:r>
      <w:r>
        <w:tab/>
        <w:t>The base price referred to in clauses 4 and 5 for a controlled motor fuel delivered on a particular day (</w:t>
      </w:r>
      <w:r>
        <w:rPr>
          <w:b/>
        </w:rPr>
        <w:t>“</w:t>
      </w:r>
      <w:r>
        <w:rPr>
          <w:rStyle w:val="CharDefText"/>
        </w:rPr>
        <w:t>the delivery day</w:t>
      </w:r>
      <w:r>
        <w:rPr>
          <w:b/>
        </w:rPr>
        <w:t>”</w:t>
      </w:r>
      <w:r>
        <w:t xml:space="preserve">) is the sum of —  </w:t>
      </w:r>
    </w:p>
    <w:p>
      <w:pPr>
        <w:pStyle w:val="ySubsection"/>
      </w:pPr>
      <w:r>
        <w:rPr>
          <w:snapToGrid w:val="0"/>
        </w:rPr>
        <w:tab/>
      </w:r>
      <w:r>
        <w:rPr>
          <w:snapToGrid w:val="0"/>
        </w:rPr>
        <w:tab/>
      </w:r>
      <w:r>
        <w:rPr>
          <w:snapToGrid w:val="0"/>
        </w:rPr>
        <w:tab/>
        <w:t>SP + F + QA + IW + T + EXE + GST</w:t>
      </w:r>
    </w:p>
    <w:p>
      <w:pPr>
        <w:pStyle w:val="ySubsection"/>
        <w:rPr>
          <w:snapToGrid w:val="0"/>
        </w:rPr>
      </w:pPr>
      <w:r>
        <w:rPr>
          <w:snapToGrid w:val="0"/>
        </w:rPr>
        <w:tab/>
      </w:r>
      <w:r>
        <w:rPr>
          <w:snapToGrid w:val="0"/>
        </w:rPr>
        <w:tab/>
        <w:t xml:space="preserve">where — </w:t>
      </w:r>
    </w:p>
    <w:p>
      <w:pPr>
        <w:pStyle w:val="ySubsection"/>
        <w:ind w:left="1140" w:firstLine="0"/>
      </w:pPr>
      <w:r>
        <w:rPr>
          <w:b/>
          <w:snapToGrid w:val="0"/>
        </w:rPr>
        <w:t>SP</w:t>
      </w:r>
      <w:r>
        <w:rPr>
          <w:snapToGrid w:val="0"/>
        </w:rPr>
        <w:t xml:space="preserve"> is the </w:t>
      </w:r>
      <w:r>
        <w:t>Singapore</w:t>
      </w:r>
      <w:r>
        <w:rPr>
          <w:snapToGrid w:val="0"/>
        </w:rPr>
        <w:t xml:space="preserve"> standard FOB price of the controlled motor fuel, expressed in cents per litre, determined by the formula — </w:t>
      </w:r>
    </w:p>
    <w:p>
      <w:pPr>
        <w:pStyle w:val="Equation"/>
      </w:pPr>
      <w:r>
        <w:tab/>
      </w:r>
      <w:r>
        <w:rPr>
          <w:position w:val="-24"/>
          <w:lang w:eastAsia="en-AU"/>
        </w:rPr>
        <w:drawing>
          <wp:inline distT="0" distB="0" distL="0" distR="0">
            <wp:extent cx="84328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p>
    <w:p>
      <w:pPr>
        <w:pStyle w:val="ySubsection"/>
        <w:tabs>
          <w:tab w:val="clear" w:pos="879"/>
          <w:tab w:val="left" w:pos="1134"/>
        </w:tabs>
        <w:ind w:left="1134" w:hanging="1134"/>
      </w:pPr>
      <w:r>
        <w:tab/>
      </w:r>
      <w:r>
        <w:tab/>
        <w:t>where —</w:t>
      </w:r>
    </w:p>
    <w:p>
      <w:pPr>
        <w:pStyle w:val="ySubsection"/>
        <w:ind w:left="1140" w:firstLine="0"/>
      </w:pPr>
      <w:r>
        <w:rPr>
          <w:b/>
        </w:rPr>
        <w:t>P</w:t>
      </w:r>
      <w:r>
        <w:t xml:space="preserve"> is the amount that is the average of the 7 Platts Singapore Product Assessment Spot Price (</w:t>
      </w:r>
      <w:r>
        <w:rPr>
          <w:b/>
        </w:rPr>
        <w:t>“</w:t>
      </w:r>
      <w:r>
        <w:rPr>
          <w:rStyle w:val="CharDefText"/>
        </w:rPr>
        <w:t>PSPASP</w:t>
      </w:r>
      <w:r>
        <w:rPr>
          <w:b/>
        </w:rPr>
        <w:t>”</w:t>
      </w:r>
      <w:r>
        <w:t>) prices, expressed in United States dollars per barrel, most recently published before the second-last day (</w:t>
      </w:r>
      <w:r>
        <w:rPr>
          <w:b/>
        </w:rPr>
        <w:t>“</w:t>
      </w:r>
      <w:r>
        <w:rPr>
          <w:rStyle w:val="CharDefText"/>
        </w:rPr>
        <w:t>the relevant day</w:t>
      </w:r>
      <w:r>
        <w:rPr>
          <w:b/>
        </w:rPr>
        <w:t>”</w:t>
      </w:r>
      <w:r>
        <w:t xml:space="preserve">) before the delivery day — </w:t>
      </w:r>
    </w:p>
    <w:p>
      <w:pPr>
        <w:pStyle w:val="yIndenta"/>
      </w:pPr>
      <w:r>
        <w:tab/>
        <w:t>(a)</w:t>
      </w:r>
      <w:r>
        <w:tab/>
        <w:t>for the controlled motor fuel; or</w:t>
      </w:r>
    </w:p>
    <w:p>
      <w:pPr>
        <w:pStyle w:val="yIndenta"/>
      </w:pPr>
      <w:r>
        <w:tab/>
        <w:t>(b)</w:t>
      </w:r>
      <w:r>
        <w:tab/>
        <w:t>if, before the relevant day, PSPASP prices for the controlled motor fuel stopped being published — for the motor fuel that most closely approximates that controlled motor fuel;</w:t>
      </w:r>
    </w:p>
    <w:p>
      <w:pPr>
        <w:pStyle w:val="ySubsection"/>
        <w:ind w:left="1140" w:firstLine="0"/>
      </w:pPr>
      <w:r>
        <w:rPr>
          <w:b/>
        </w:rPr>
        <w:t>E</w:t>
      </w:r>
      <w:r>
        <w:t xml:space="preserve"> is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Subsection"/>
        <w:ind w:left="851" w:firstLine="0"/>
      </w:pPr>
      <w:r>
        <w:rPr>
          <w:b/>
        </w:rPr>
        <w:t>F</w:t>
      </w:r>
      <w:r>
        <w:t xml:space="preserve"> is the Worldscale 100 freight rate to Fremantle, expressed in cents per litre, adjusted on the relevant day by the average freight rate adjustment (AFRA) for medium range vessels;</w:t>
      </w:r>
    </w:p>
    <w:p>
      <w:pPr>
        <w:pStyle w:val="ySubsection"/>
        <w:ind w:left="851" w:firstLine="0"/>
      </w:pPr>
      <w:r>
        <w:rPr>
          <w:b/>
        </w:rPr>
        <w:t>QA</w:t>
      </w:r>
      <w:r>
        <w:t xml:space="preserve"> is the rate of 0.85 cents per litre, relating to the quality adjustment to Western Australian specifications;</w:t>
      </w:r>
    </w:p>
    <w:p>
      <w:pPr>
        <w:pStyle w:val="ySubsection"/>
        <w:ind w:left="851" w:firstLine="0"/>
      </w:pPr>
      <w:r>
        <w:rPr>
          <w:b/>
        </w:rPr>
        <w:t>IW</w:t>
      </w:r>
      <w:r>
        <w:t xml:space="preserve"> is the rate of 0.40 cents per litre, relating to insurance and wharfage costs;</w:t>
      </w:r>
    </w:p>
    <w:p>
      <w:pPr>
        <w:pStyle w:val="ySubsection"/>
        <w:ind w:left="851" w:firstLine="0"/>
      </w:pPr>
      <w:r>
        <w:rPr>
          <w:b/>
        </w:rPr>
        <w:t>T</w:t>
      </w:r>
      <w:r>
        <w:t xml:space="preserve"> is the rate of 2.5 cents per litre, relating to terminal costs and wholesale margin;</w:t>
      </w:r>
    </w:p>
    <w:p>
      <w:pPr>
        <w:pStyle w:val="ySubsection"/>
        <w:ind w:left="851" w:firstLine="0"/>
      </w:pPr>
      <w:r>
        <w:rPr>
          <w:b/>
        </w:rPr>
        <w:t>EXE</w:t>
      </w:r>
      <w:r>
        <w:t xml:space="preserve"> is the rate, in cents per litre, of duty imposed on the controlled motor fuel under the </w:t>
      </w:r>
      <w:r>
        <w:rPr>
          <w:i/>
        </w:rPr>
        <w:t>Excise Tariff Act 1921</w:t>
      </w:r>
      <w:r>
        <w:t xml:space="preserve"> of the Commonwealth;</w:t>
      </w:r>
    </w:p>
    <w:p>
      <w:pPr>
        <w:pStyle w:val="ySubsection"/>
        <w:ind w:left="851" w:firstLine="0"/>
      </w:pPr>
      <w:r>
        <w:rPr>
          <w:b/>
        </w:rPr>
        <w:t>GST</w:t>
      </w:r>
      <w:r>
        <w:t xml:space="preserve"> has the same meaning as it has in the </w:t>
      </w:r>
      <w:r>
        <w:rPr>
          <w:i/>
        </w:rPr>
        <w:t>A New Tax System (Goods and Services Tax) Act 1999</w:t>
      </w:r>
      <w:r>
        <w:t xml:space="preserve"> of the Commonwealth, and is expressed in cents per litre.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Petroleum Products Pricing (Maximum Wholesale Price) Order 2001</w:t>
      </w:r>
      <w:r>
        <w:rPr>
          <w:snapToGrid w:val="0"/>
        </w:rPr>
        <w:t xml:space="preserve"> and includes the amendments made by the other written laws referred to in the following table.</w:t>
      </w:r>
    </w:p>
    <w:p>
      <w:pPr>
        <w:pStyle w:val="nHeading3"/>
        <w:spacing w:before="240" w:after="120"/>
        <w:outlineLvl w:val="2"/>
      </w:pPr>
      <w:bookmarkStart w:id="29" w:name="_Toc511102520"/>
      <w:bookmarkStart w:id="30" w:name="_Toc511200306"/>
      <w:bookmarkStart w:id="31" w:name="_Toc511553924"/>
      <w:r>
        <w:t>Compilation table</w:t>
      </w:r>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4" w:space="0" w:color="auto"/>
            </w:tcBorders>
          </w:tcPr>
          <w:p>
            <w:pPr>
              <w:pStyle w:val="nTable"/>
            </w:pPr>
            <w:r>
              <w:rPr>
                <w:i/>
              </w:rPr>
              <w:t>Petroleum Products Pricing (Maximum Wholesale Price) Order 2001</w:t>
            </w:r>
          </w:p>
        </w:tc>
        <w:tc>
          <w:tcPr>
            <w:tcW w:w="1276" w:type="dxa"/>
            <w:tcBorders>
              <w:top w:val="single" w:sz="8" w:space="0" w:color="auto"/>
              <w:bottom w:val="single" w:sz="4" w:space="0" w:color="auto"/>
            </w:tcBorders>
          </w:tcPr>
          <w:p>
            <w:pPr>
              <w:pStyle w:val="nTable"/>
            </w:pPr>
            <w:r>
              <w:t>6 Apr 2001 p. 2065-9</w:t>
            </w:r>
          </w:p>
        </w:tc>
        <w:tc>
          <w:tcPr>
            <w:tcW w:w="2693" w:type="dxa"/>
            <w:tcBorders>
              <w:top w:val="single" w:sz="8" w:space="0" w:color="auto"/>
              <w:bottom w:val="single" w:sz="4" w:space="0" w:color="auto"/>
            </w:tcBorders>
          </w:tcPr>
          <w:p>
            <w:pPr>
              <w:pStyle w:val="nTable"/>
            </w:pPr>
            <w:r>
              <w:t>12 Apr 2001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(Maximum Wholesale Price) Order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o.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o.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(Maximum Wholesale Price) Order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83E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EABA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56C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96EF6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E89D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24C1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903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0ACA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2E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0E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A2C06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FF0573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2"/>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rFonts w:ascii="Times" w:hAnsi="Times"/>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rFonts w:ascii="Times" w:hAnsi="Times"/>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1267</Words>
  <Characters>6467</Characters>
  <Application>Microsoft Office Word</Application>
  <DocSecurity>0</DocSecurity>
  <Lines>215</Lines>
  <Paragraphs>148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Schedule 1 — Controlled terminals (metropolitan)</vt:lpstr>
      <vt:lpstr>    Schedule 2 — Controlled terminals (non-metropolitan)</vt:lpstr>
      <vt:lpstr>    Schedule 3 — Maximum wholesale price formula</vt:lpstr>
      <vt:lpstr>    Notes</vt:lpstr>
      <vt:lpstr>        Compilation table</vt:lpstr>
    </vt:vector>
  </TitlesOfParts>
  <Manager/>
  <Company/>
  <LinksUpToDate>false</LinksUpToDate>
  <CharactersWithSpaces>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2001 - 00-a0-02</dc:title>
  <dc:subject/>
  <dc:creator/>
  <cp:keywords/>
  <dc:description/>
  <cp:lastModifiedBy>svcMRProcess</cp:lastModifiedBy>
  <cp:revision>4</cp:revision>
  <cp:lastPrinted>2006-04-19T08:24:00Z</cp:lastPrinted>
  <dcterms:created xsi:type="dcterms:W3CDTF">2020-02-27T14:23:00Z</dcterms:created>
  <dcterms:modified xsi:type="dcterms:W3CDTF">2020-02-27T14:23:00Z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2001 p. 2065-9</vt:lpwstr>
  </property>
  <property fmtid="{D5CDD505-2E9C-101B-9397-08002B2CF9AE}" pid="3" name="CommencementDate">
    <vt:lpwstr>20010406</vt:lpwstr>
  </property>
  <property fmtid="{D5CDD505-2E9C-101B-9397-08002B2CF9AE}" pid="4" name="DocumentType">
    <vt:lpwstr>Reg</vt:lpwstr>
  </property>
  <property fmtid="{D5CDD505-2E9C-101B-9397-08002B2CF9AE}" pid="5" name="AsAtDate">
    <vt:lpwstr>06 Apr 2001</vt:lpwstr>
  </property>
  <property fmtid="{D5CDD505-2E9C-101B-9397-08002B2CF9AE}" pid="6" name="Suffix">
    <vt:lpwstr>00-a0-02</vt:lpwstr>
  </property>
</Properties>
</file>