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_Toc147648909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_Toc147648910 \h </w:instrText>
      </w:r>
      <w:r>
        <w:fldChar w:fldCharType="separate"/>
      </w:r>
      <w:r>
        <w:t>1</w:t>
      </w:r>
      <w:r>
        <w:fldChar w:fldCharType="end"/>
      </w:r>
    </w:p>
    <w:p>
      <w:pPr>
        <w:pStyle w:val="TOC2"/>
        <w:tabs>
          <w:tab w:val="right" w:leader="dot" w:pos="7078"/>
        </w:tabs>
        <w:rPr>
          <w:b w:val="0"/>
          <w:sz w:val="24"/>
          <w:szCs w:val="24"/>
        </w:rPr>
      </w:pPr>
      <w:r>
        <w:rPr>
          <w:szCs w:val="30"/>
        </w:rPr>
        <w:t>Part 2 — Special provisions about motor fuel</w:t>
      </w:r>
    </w:p>
    <w:p>
      <w:pPr>
        <w:pStyle w:val="TOC4"/>
        <w:tabs>
          <w:tab w:val="right" w:leader="dot" w:pos="7078"/>
        </w:tabs>
        <w:rPr>
          <w:b w:val="0"/>
          <w:sz w:val="24"/>
          <w:szCs w:val="24"/>
        </w:rPr>
      </w:pPr>
      <w:r>
        <w:rPr>
          <w:szCs w:val="26"/>
        </w:rPr>
        <w:t>Division 1 — Retail sale</w:t>
      </w:r>
    </w:p>
    <w:p>
      <w:pPr>
        <w:pStyle w:val="TOC8"/>
        <w:rPr>
          <w:sz w:val="24"/>
          <w:szCs w:val="24"/>
        </w:rPr>
      </w:pPr>
      <w:r>
        <w:rPr>
          <w:szCs w:val="24"/>
        </w:rPr>
        <w:t>2A.</w:t>
      </w:r>
      <w:r>
        <w:rPr>
          <w:szCs w:val="24"/>
        </w:rPr>
        <w:tab/>
        <w:t>Meaning of terms used in regulations 3 and 3A</w:t>
      </w:r>
      <w:r>
        <w:tab/>
      </w:r>
      <w:r>
        <w:fldChar w:fldCharType="begin"/>
      </w:r>
      <w:r>
        <w:instrText xml:space="preserve"> PAGEREF _Toc147648913 \h </w:instrText>
      </w:r>
      <w:r>
        <w:fldChar w:fldCharType="separate"/>
      </w:r>
      <w:r>
        <w:t>2</w:t>
      </w:r>
      <w:r>
        <w:fldChar w:fldCharType="end"/>
      </w:r>
    </w:p>
    <w:p>
      <w:pPr>
        <w:pStyle w:val="TOC8"/>
        <w:rPr>
          <w:sz w:val="24"/>
          <w:szCs w:val="24"/>
        </w:rPr>
      </w:pPr>
      <w:r>
        <w:rPr>
          <w:szCs w:val="24"/>
        </w:rPr>
        <w:t>3.</w:t>
      </w:r>
      <w:r>
        <w:rPr>
          <w:szCs w:val="24"/>
        </w:rPr>
        <w:tab/>
        <w:t>Standard retail price to be as notified</w:t>
      </w:r>
      <w:r>
        <w:tab/>
      </w:r>
      <w:r>
        <w:fldChar w:fldCharType="begin"/>
      </w:r>
      <w:r>
        <w:instrText xml:space="preserve"> PAGEREF _Toc147648914 \h </w:instrText>
      </w:r>
      <w:r>
        <w:fldChar w:fldCharType="separate"/>
      </w:r>
      <w:r>
        <w:t>2</w:t>
      </w:r>
      <w:r>
        <w:fldChar w:fldCharType="end"/>
      </w:r>
    </w:p>
    <w:p>
      <w:pPr>
        <w:pStyle w:val="TOC8"/>
        <w:rPr>
          <w:sz w:val="24"/>
          <w:szCs w:val="24"/>
        </w:rPr>
      </w:pPr>
      <w:r>
        <w:rPr>
          <w:szCs w:val="24"/>
        </w:rPr>
        <w:t>3A.</w:t>
      </w:r>
      <w:r>
        <w:rPr>
          <w:szCs w:val="24"/>
        </w:rPr>
        <w:tab/>
        <w:t>Requirements for giving notification</w:t>
      </w:r>
      <w:r>
        <w:tab/>
      </w:r>
      <w:r>
        <w:fldChar w:fldCharType="begin"/>
      </w:r>
      <w:r>
        <w:instrText xml:space="preserve"> PAGEREF _Toc147648915 \h </w:instrText>
      </w:r>
      <w:r>
        <w:fldChar w:fldCharType="separate"/>
      </w:r>
      <w:r>
        <w:t>3</w:t>
      </w:r>
      <w:r>
        <w:fldChar w:fldCharType="end"/>
      </w:r>
    </w:p>
    <w:p>
      <w:pPr>
        <w:pStyle w:val="TOC8"/>
        <w:rPr>
          <w:sz w:val="24"/>
          <w:szCs w:val="24"/>
        </w:rPr>
      </w:pPr>
      <w:r>
        <w:rPr>
          <w:szCs w:val="24"/>
        </w:rPr>
        <w:t>4.</w:t>
      </w:r>
      <w:r>
        <w:rPr>
          <w:szCs w:val="24"/>
        </w:rPr>
        <w:tab/>
        <w:t>Price changes in certain places need not be notified</w:t>
      </w:r>
      <w:r>
        <w:tab/>
      </w:r>
      <w:r>
        <w:fldChar w:fldCharType="begin"/>
      </w:r>
      <w:r>
        <w:instrText xml:space="preserve"> PAGEREF _Toc147648916 \h </w:instrText>
      </w:r>
      <w:r>
        <w:fldChar w:fldCharType="separate"/>
      </w:r>
      <w:r>
        <w:t>3</w:t>
      </w:r>
      <w:r>
        <w:fldChar w:fldCharType="end"/>
      </w:r>
    </w:p>
    <w:p>
      <w:pPr>
        <w:pStyle w:val="TOC8"/>
        <w:rPr>
          <w:sz w:val="24"/>
          <w:szCs w:val="24"/>
        </w:rPr>
      </w:pPr>
      <w:r>
        <w:rPr>
          <w:szCs w:val="24"/>
        </w:rPr>
        <w:t>5.</w:t>
      </w:r>
      <w:r>
        <w:rPr>
          <w:szCs w:val="24"/>
        </w:rPr>
        <w:tab/>
        <w:t>Places where regulation 6 applies</w:t>
      </w:r>
      <w:r>
        <w:tab/>
      </w:r>
      <w:r>
        <w:fldChar w:fldCharType="begin"/>
      </w:r>
      <w:r>
        <w:instrText xml:space="preserve"> PAGEREF _Toc147648917 \h </w:instrText>
      </w:r>
      <w:r>
        <w:fldChar w:fldCharType="separate"/>
      </w:r>
      <w:r>
        <w:t>4</w:t>
      </w:r>
      <w:r>
        <w:fldChar w:fldCharType="end"/>
      </w:r>
    </w:p>
    <w:p>
      <w:pPr>
        <w:pStyle w:val="TOC8"/>
        <w:rPr>
          <w:sz w:val="24"/>
          <w:szCs w:val="24"/>
        </w:rPr>
      </w:pPr>
      <w:r>
        <w:rPr>
          <w:szCs w:val="24"/>
        </w:rPr>
        <w:t>6.</w:t>
      </w:r>
      <w:r>
        <w:rPr>
          <w:szCs w:val="24"/>
        </w:rPr>
        <w:tab/>
        <w:t>Retailer to display standard retail prices</w:t>
      </w:r>
      <w:r>
        <w:tab/>
      </w:r>
      <w:r>
        <w:fldChar w:fldCharType="begin"/>
      </w:r>
      <w:r>
        <w:instrText xml:space="preserve"> PAGEREF _Toc147648918 \h </w:instrText>
      </w:r>
      <w:r>
        <w:fldChar w:fldCharType="separate"/>
      </w:r>
      <w:r>
        <w:t>4</w:t>
      </w:r>
      <w:r>
        <w:fldChar w:fldCharType="end"/>
      </w:r>
    </w:p>
    <w:p>
      <w:pPr>
        <w:pStyle w:val="TOC4"/>
        <w:tabs>
          <w:tab w:val="right" w:leader="dot" w:pos="7078"/>
        </w:tabs>
        <w:rPr>
          <w:b w:val="0"/>
          <w:sz w:val="24"/>
          <w:szCs w:val="24"/>
        </w:rPr>
      </w:pPr>
      <w:r>
        <w:rPr>
          <w:szCs w:val="26"/>
        </w:rPr>
        <w:t>Division 2 — Before retail sale</w:t>
      </w:r>
    </w:p>
    <w:p>
      <w:pPr>
        <w:pStyle w:val="TOC8"/>
        <w:rPr>
          <w:sz w:val="24"/>
          <w:szCs w:val="24"/>
        </w:rPr>
      </w:pPr>
      <w:r>
        <w:rPr>
          <w:szCs w:val="24"/>
        </w:rPr>
        <w:t>7.</w:t>
      </w:r>
      <w:r>
        <w:rPr>
          <w:szCs w:val="24"/>
        </w:rPr>
        <w:tab/>
        <w:t>How to notify Commissioner of price changes</w:t>
      </w:r>
      <w:r>
        <w:tab/>
      </w:r>
      <w:r>
        <w:fldChar w:fldCharType="begin"/>
      </w:r>
      <w:r>
        <w:instrText xml:space="preserve"> PAGEREF _Toc147648920 \h </w:instrText>
      </w:r>
      <w:r>
        <w:fldChar w:fldCharType="separate"/>
      </w:r>
      <w:r>
        <w:t>6</w:t>
      </w:r>
      <w:r>
        <w:fldChar w:fldCharType="end"/>
      </w:r>
    </w:p>
    <w:p>
      <w:pPr>
        <w:pStyle w:val="TOC8"/>
        <w:rPr>
          <w:sz w:val="24"/>
          <w:szCs w:val="24"/>
        </w:rPr>
      </w:pPr>
      <w:r>
        <w:rPr>
          <w:szCs w:val="24"/>
        </w:rPr>
        <w:t>8.</w:t>
      </w:r>
      <w:r>
        <w:rPr>
          <w:szCs w:val="24"/>
        </w:rPr>
        <w:tab/>
        <w:t>Previous month’s weighted average price</w:t>
      </w:r>
      <w:r>
        <w:tab/>
      </w:r>
      <w:r>
        <w:fldChar w:fldCharType="begin"/>
      </w:r>
      <w:r>
        <w:instrText xml:space="preserve"> PAGEREF _Toc147648921 \h </w:instrText>
      </w:r>
      <w:r>
        <w:fldChar w:fldCharType="separate"/>
      </w:r>
      <w:r>
        <w:t>6</w:t>
      </w:r>
      <w:r>
        <w:fldChar w:fldCharType="end"/>
      </w:r>
    </w:p>
    <w:p>
      <w:pPr>
        <w:pStyle w:val="TOC8"/>
        <w:rPr>
          <w:sz w:val="24"/>
          <w:szCs w:val="24"/>
        </w:rPr>
      </w:pPr>
      <w:r>
        <w:rPr>
          <w:szCs w:val="24"/>
        </w:rPr>
        <w:t>9.</w:t>
      </w:r>
      <w:r>
        <w:rPr>
          <w:szCs w:val="24"/>
        </w:rPr>
        <w:tab/>
        <w:t>Details of price differences</w:t>
      </w:r>
      <w:r>
        <w:tab/>
      </w:r>
      <w:r>
        <w:fldChar w:fldCharType="begin"/>
      </w:r>
      <w:r>
        <w:instrText xml:space="preserve"> PAGEREF _Toc147648922 \h </w:instrText>
      </w:r>
      <w:r>
        <w:fldChar w:fldCharType="separate"/>
      </w:r>
      <w:r>
        <w:t>7</w:t>
      </w:r>
      <w:r>
        <w:fldChar w:fldCharType="end"/>
      </w:r>
    </w:p>
    <w:p>
      <w:pPr>
        <w:pStyle w:val="TOC8"/>
        <w:rPr>
          <w:sz w:val="24"/>
          <w:szCs w:val="24"/>
        </w:rPr>
      </w:pPr>
      <w:r>
        <w:rPr>
          <w:szCs w:val="24"/>
        </w:rPr>
        <w:t>10.</w:t>
      </w:r>
      <w:r>
        <w:rPr>
          <w:szCs w:val="24"/>
        </w:rPr>
        <w:tab/>
        <w:t>Notifying Commissioner of price differences</w:t>
      </w:r>
      <w:r>
        <w:tab/>
      </w:r>
      <w:r>
        <w:fldChar w:fldCharType="begin"/>
      </w:r>
      <w:r>
        <w:instrText xml:space="preserve"> PAGEREF _Toc147648923 \h </w:instrText>
      </w:r>
      <w:r>
        <w:fldChar w:fldCharType="separate"/>
      </w:r>
      <w:r>
        <w:t>7</w:t>
      </w:r>
      <w:r>
        <w:fldChar w:fldCharType="end"/>
      </w:r>
    </w:p>
    <w:p>
      <w:pPr>
        <w:pStyle w:val="TOC2"/>
        <w:tabs>
          <w:tab w:val="right" w:leader="dot" w:pos="7078"/>
        </w:tabs>
        <w:rPr>
          <w:b w:val="0"/>
          <w:sz w:val="24"/>
          <w:szCs w:val="24"/>
        </w:rPr>
      </w:pPr>
      <w:r>
        <w:rPr>
          <w:szCs w:val="30"/>
        </w:rPr>
        <w:t>Part 3 — Infringement notices and modified penalties</w:t>
      </w:r>
    </w:p>
    <w:p>
      <w:pPr>
        <w:pStyle w:val="TOC8"/>
        <w:rPr>
          <w:sz w:val="24"/>
          <w:szCs w:val="24"/>
        </w:rPr>
      </w:pPr>
      <w:r>
        <w:rPr>
          <w:szCs w:val="24"/>
        </w:rPr>
        <w:t>11.</w:t>
      </w:r>
      <w:r>
        <w:rPr>
          <w:szCs w:val="24"/>
        </w:rPr>
        <w:tab/>
        <w:t>Prescribed offences (s. 31B)</w:t>
      </w:r>
      <w:r>
        <w:tab/>
      </w:r>
      <w:r>
        <w:fldChar w:fldCharType="begin"/>
      </w:r>
      <w:r>
        <w:instrText xml:space="preserve"> PAGEREF _Toc147648925 \h </w:instrText>
      </w:r>
      <w:r>
        <w:fldChar w:fldCharType="separate"/>
      </w:r>
      <w:r>
        <w:t>8</w:t>
      </w:r>
      <w:r>
        <w:fldChar w:fldCharType="end"/>
      </w:r>
    </w:p>
    <w:p>
      <w:pPr>
        <w:pStyle w:val="TOC8"/>
        <w:rPr>
          <w:sz w:val="24"/>
          <w:szCs w:val="24"/>
        </w:rPr>
      </w:pPr>
      <w:r>
        <w:rPr>
          <w:szCs w:val="24"/>
        </w:rPr>
        <w:t>12.</w:t>
      </w:r>
      <w:r>
        <w:rPr>
          <w:szCs w:val="24"/>
        </w:rPr>
        <w:tab/>
        <w:t>Prescribed modified penalties (s. 31C)</w:t>
      </w:r>
      <w:r>
        <w:tab/>
      </w:r>
      <w:r>
        <w:fldChar w:fldCharType="begin"/>
      </w:r>
      <w:r>
        <w:instrText xml:space="preserve"> PAGEREF _Toc147648926 \h </w:instrText>
      </w:r>
      <w:r>
        <w:fldChar w:fldCharType="separate"/>
      </w:r>
      <w:r>
        <w:t>8</w:t>
      </w:r>
      <w:r>
        <w:fldChar w:fldCharType="end"/>
      </w:r>
    </w:p>
    <w:p>
      <w:pPr>
        <w:pStyle w:val="TOC8"/>
        <w:rPr>
          <w:sz w:val="24"/>
          <w:szCs w:val="24"/>
        </w:rPr>
      </w:pPr>
      <w:r>
        <w:rPr>
          <w:szCs w:val="24"/>
        </w:rPr>
        <w:t>13.</w:t>
      </w:r>
      <w:r>
        <w:rPr>
          <w:szCs w:val="24"/>
        </w:rPr>
        <w:tab/>
        <w:t>Prescribed form of infringement notice (s. 31C)</w:t>
      </w:r>
      <w:r>
        <w:tab/>
      </w:r>
      <w:r>
        <w:fldChar w:fldCharType="begin"/>
      </w:r>
      <w:r>
        <w:instrText xml:space="preserve"> PAGEREF _Toc147648927 \h </w:instrText>
      </w:r>
      <w:r>
        <w:fldChar w:fldCharType="separate"/>
      </w:r>
      <w:r>
        <w:t>8</w:t>
      </w:r>
      <w:r>
        <w:fldChar w:fldCharType="end"/>
      </w:r>
    </w:p>
    <w:p>
      <w:pPr>
        <w:pStyle w:val="TOC8"/>
        <w:rPr>
          <w:sz w:val="24"/>
          <w:szCs w:val="24"/>
        </w:rPr>
      </w:pPr>
      <w:r>
        <w:rPr>
          <w:szCs w:val="24"/>
        </w:rPr>
        <w:t>14.</w:t>
      </w:r>
      <w:r>
        <w:rPr>
          <w:szCs w:val="24"/>
        </w:rPr>
        <w:tab/>
        <w:t>Prescribed form of withdrawal of notice (s. 31E)</w:t>
      </w:r>
      <w:r>
        <w:tab/>
      </w:r>
      <w:r>
        <w:fldChar w:fldCharType="begin"/>
      </w:r>
      <w:r>
        <w:instrText xml:space="preserve"> PAGEREF _Toc147648928 \h </w:instrText>
      </w:r>
      <w:r>
        <w:fldChar w:fldCharType="separate"/>
      </w:r>
      <w:r>
        <w:t>8</w:t>
      </w:r>
      <w:r>
        <w:fldChar w:fldCharType="end"/>
      </w:r>
    </w:p>
    <w:p>
      <w:pPr>
        <w:pStyle w:val="TOC2"/>
        <w:tabs>
          <w:tab w:val="right" w:leader="dot" w:pos="7078"/>
        </w:tabs>
        <w:rPr>
          <w:b w:val="0"/>
          <w:sz w:val="24"/>
          <w:szCs w:val="24"/>
        </w:rPr>
      </w:pPr>
      <w:r>
        <w:rPr>
          <w:szCs w:val="28"/>
        </w:rPr>
        <w:t>Schedule 1 — Places where regulations 3(1) and 6 apply</w:t>
      </w:r>
    </w:p>
    <w:p>
      <w:pPr>
        <w:pStyle w:val="TOC2"/>
        <w:tabs>
          <w:tab w:val="right" w:leader="dot" w:pos="7078"/>
        </w:tabs>
        <w:rPr>
          <w:b w:val="0"/>
          <w:sz w:val="24"/>
          <w:szCs w:val="24"/>
        </w:rPr>
      </w:pPr>
      <w:r>
        <w:rPr>
          <w:szCs w:val="28"/>
        </w:rPr>
        <w:t>Schedule 2 — Prescribed offences and modified penalties</w:t>
      </w:r>
    </w:p>
    <w:p>
      <w:pPr>
        <w:pStyle w:val="TOC2"/>
        <w:tabs>
          <w:tab w:val="right" w:leader="dot" w:pos="7078"/>
        </w:tabs>
        <w:rPr>
          <w:b w:val="0"/>
          <w:sz w:val="24"/>
          <w:szCs w:val="24"/>
        </w:rPr>
      </w:pPr>
      <w:r>
        <w:rPr>
          <w:szCs w:val="28"/>
        </w:rPr>
        <w:t>Schedule 3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_Toc147648933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121884948"/>
      <w:bookmarkStart w:id="2" w:name="_Toc121885015"/>
      <w:bookmarkStart w:id="3" w:name="_Toc121887022"/>
      <w:bookmarkStart w:id="4" w:name="_Toc124149180"/>
      <w:bookmarkStart w:id="5" w:name="_Toc146621488"/>
      <w:bookmarkStart w:id="6" w:name="_Toc146698975"/>
      <w:bookmarkStart w:id="7" w:name="_Toc147642099"/>
      <w:bookmarkStart w:id="8" w:name="_Toc147648908"/>
      <w:bookmarkStart w:id="9" w:name="_Toc423332722"/>
      <w:bookmarkStart w:id="10" w:name="_Toc425219441"/>
      <w:bookmarkStart w:id="11" w:name="_Toc426249308"/>
      <w:bookmarkStart w:id="12" w:name="_Toc449924704"/>
      <w:bookmarkStart w:id="13" w:name="_Toc449947722"/>
      <w:bookmarkStart w:id="14" w:name="_Toc4541857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Footnoteheading"/>
      </w:pPr>
      <w:r>
        <w:tab/>
        <w:t>[Heading inserted in Gazette 11 Jul 2001 p. 3459.]</w:t>
      </w:r>
    </w:p>
    <w:p>
      <w:pPr>
        <w:pStyle w:val="Heading5"/>
      </w:pPr>
      <w:bookmarkStart w:id="15" w:name="_Toc534441721"/>
      <w:bookmarkStart w:id="16" w:name="_Toc3361897"/>
      <w:bookmarkStart w:id="17" w:name="_Toc121884949"/>
      <w:bookmarkStart w:id="18" w:name="_Toc147648909"/>
      <w:r>
        <w:rPr>
          <w:rStyle w:val="CharSectno"/>
        </w:rPr>
        <w:t>1</w:t>
      </w:r>
      <w:r>
        <w:t>.</w:t>
      </w:r>
      <w:r>
        <w:tab/>
        <w:t>Citation</w:t>
      </w:r>
      <w:bookmarkEnd w:id="9"/>
      <w:bookmarkEnd w:id="10"/>
      <w:bookmarkEnd w:id="11"/>
      <w:bookmarkEnd w:id="12"/>
      <w:bookmarkEnd w:id="13"/>
      <w:bookmarkEnd w:id="14"/>
      <w:bookmarkEnd w:id="15"/>
      <w:bookmarkEnd w:id="16"/>
      <w:bookmarkEnd w:id="17"/>
      <w:bookmarkEnd w:id="18"/>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9" w:name="_Toc423332723"/>
      <w:bookmarkStart w:id="20" w:name="_Toc425219442"/>
      <w:bookmarkStart w:id="21" w:name="_Toc426249309"/>
      <w:bookmarkStart w:id="22" w:name="_Toc449924705"/>
      <w:bookmarkStart w:id="23" w:name="_Toc449947723"/>
      <w:bookmarkStart w:id="24" w:name="_Toc454185714"/>
      <w:bookmarkStart w:id="25" w:name="_Toc534441722"/>
      <w:bookmarkStart w:id="26" w:name="_Toc3361898"/>
      <w:bookmarkStart w:id="27" w:name="_Toc121884950"/>
      <w:bookmarkStart w:id="28" w:name="_Toc147648910"/>
      <w:r>
        <w:rPr>
          <w:rStyle w:val="CharSectno"/>
        </w:rPr>
        <w:t>2</w:t>
      </w:r>
      <w:r>
        <w:rPr>
          <w:spacing w:val="-2"/>
        </w:rPr>
        <w:t>.</w:t>
      </w:r>
      <w:r>
        <w:rPr>
          <w:spacing w:val="-2"/>
        </w:rPr>
        <w:tab/>
        <w:t>Commencement</w:t>
      </w:r>
      <w:bookmarkEnd w:id="19"/>
      <w:bookmarkEnd w:id="20"/>
      <w:bookmarkEnd w:id="21"/>
      <w:bookmarkEnd w:id="22"/>
      <w:bookmarkEnd w:id="23"/>
      <w:bookmarkEnd w:id="24"/>
      <w:bookmarkEnd w:id="25"/>
      <w:bookmarkEnd w:id="26"/>
      <w:bookmarkEnd w:id="27"/>
      <w:bookmarkEnd w:id="28"/>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29" w:name="_Toc121884951"/>
      <w:bookmarkStart w:id="30" w:name="_Toc121885018"/>
      <w:bookmarkStart w:id="31" w:name="_Toc121887025"/>
      <w:bookmarkStart w:id="32" w:name="_Toc124149183"/>
      <w:bookmarkStart w:id="33" w:name="_Toc146621491"/>
      <w:bookmarkStart w:id="34" w:name="_Toc146698978"/>
      <w:bookmarkStart w:id="35" w:name="_Toc147642102"/>
      <w:bookmarkStart w:id="36" w:name="_Toc147648911"/>
      <w:bookmarkStart w:id="37" w:name="_Toc423332724"/>
      <w:bookmarkStart w:id="38" w:name="_Toc425219443"/>
      <w:bookmarkStart w:id="39" w:name="_Toc426249310"/>
      <w:bookmarkStart w:id="40" w:name="_Toc449924706"/>
      <w:bookmarkStart w:id="41" w:name="_Toc449947724"/>
      <w:bookmarkStart w:id="42" w:name="_Toc454185715"/>
      <w:r>
        <w:rPr>
          <w:rStyle w:val="CharPartNo"/>
        </w:rPr>
        <w:t>Part 2</w:t>
      </w:r>
      <w:r>
        <w:t> — </w:t>
      </w:r>
      <w:r>
        <w:rPr>
          <w:rStyle w:val="CharPartText"/>
        </w:rPr>
        <w:t>Special provisions about motor fuel</w:t>
      </w:r>
      <w:bookmarkEnd w:id="29"/>
      <w:bookmarkEnd w:id="30"/>
      <w:bookmarkEnd w:id="31"/>
      <w:bookmarkEnd w:id="32"/>
      <w:bookmarkEnd w:id="33"/>
      <w:bookmarkEnd w:id="34"/>
      <w:bookmarkEnd w:id="35"/>
      <w:bookmarkEnd w:id="36"/>
    </w:p>
    <w:p>
      <w:pPr>
        <w:pStyle w:val="Footnoteheading"/>
      </w:pPr>
      <w:r>
        <w:tab/>
        <w:t>[Heading inserted in Gazette 11 Jul 2001 p. 3459.]</w:t>
      </w:r>
    </w:p>
    <w:p>
      <w:pPr>
        <w:pStyle w:val="Heading3"/>
      </w:pPr>
      <w:bookmarkStart w:id="43" w:name="_Toc121884952"/>
      <w:bookmarkStart w:id="44" w:name="_Toc121885019"/>
      <w:bookmarkStart w:id="45" w:name="_Toc121887026"/>
      <w:bookmarkStart w:id="46" w:name="_Toc124149184"/>
      <w:bookmarkStart w:id="47" w:name="_Toc146621492"/>
      <w:bookmarkStart w:id="48" w:name="_Toc146698979"/>
      <w:bookmarkStart w:id="49" w:name="_Toc147642103"/>
      <w:bookmarkStart w:id="50" w:name="_Toc147648912"/>
      <w:r>
        <w:rPr>
          <w:rStyle w:val="CharDivNo"/>
        </w:rPr>
        <w:t>Division 1</w:t>
      </w:r>
      <w:r>
        <w:t> — </w:t>
      </w:r>
      <w:r>
        <w:rPr>
          <w:rStyle w:val="CharDivText"/>
        </w:rPr>
        <w:t>Retail sale</w:t>
      </w:r>
      <w:bookmarkEnd w:id="43"/>
      <w:bookmarkEnd w:id="44"/>
      <w:bookmarkEnd w:id="45"/>
      <w:bookmarkEnd w:id="46"/>
      <w:bookmarkEnd w:id="47"/>
      <w:bookmarkEnd w:id="48"/>
      <w:bookmarkEnd w:id="49"/>
      <w:bookmarkEnd w:id="50"/>
    </w:p>
    <w:p>
      <w:pPr>
        <w:pStyle w:val="Footnoteheading"/>
      </w:pPr>
      <w:r>
        <w:tab/>
        <w:t>[Heading inserted in Gazette 11 Jul 2001 p. 3459.]</w:t>
      </w:r>
    </w:p>
    <w:p>
      <w:pPr>
        <w:pStyle w:val="Heading5"/>
      </w:pPr>
      <w:bookmarkStart w:id="51" w:name="_Toc534441723"/>
      <w:bookmarkStart w:id="52" w:name="_Toc3361899"/>
      <w:bookmarkStart w:id="53" w:name="_Toc121884953"/>
      <w:bookmarkStart w:id="54" w:name="_Toc147648913"/>
      <w:bookmarkEnd w:id="37"/>
      <w:bookmarkEnd w:id="38"/>
      <w:bookmarkEnd w:id="39"/>
      <w:bookmarkEnd w:id="40"/>
      <w:bookmarkEnd w:id="41"/>
      <w:bookmarkEnd w:id="42"/>
      <w:r>
        <w:rPr>
          <w:rStyle w:val="CharSectno"/>
        </w:rPr>
        <w:t>2A</w:t>
      </w:r>
      <w:r>
        <w:t>.</w:t>
      </w:r>
      <w:r>
        <w:tab/>
        <w:t>Meaning of terms used in regulations 3 and 3A</w:t>
      </w:r>
      <w:bookmarkEnd w:id="51"/>
      <w:bookmarkEnd w:id="52"/>
      <w:bookmarkEnd w:id="53"/>
      <w:bookmarkEnd w:id="54"/>
    </w:p>
    <w:p>
      <w:pPr>
        <w:pStyle w:val="Subsection"/>
        <w:spacing w:before="120"/>
      </w:pPr>
      <w:r>
        <w:tab/>
      </w:r>
      <w:r>
        <w:tab/>
        <w:t xml:space="preserve">In regulations 3 and 3A — </w:t>
      </w:r>
    </w:p>
    <w:p>
      <w:pPr>
        <w:pStyle w:val="Defstart"/>
      </w:pPr>
      <w:r>
        <w:tab/>
      </w:r>
      <w:r>
        <w:rPr>
          <w:b/>
        </w:rPr>
        <w:t>“</w:t>
      </w:r>
      <w:r>
        <w:rPr>
          <w:rStyle w:val="CharDefText"/>
        </w:rPr>
        <w:t>day</w:t>
      </w:r>
      <w:r>
        <w:rPr>
          <w:b/>
        </w:rPr>
        <w:t>”</w:t>
      </w:r>
      <w:r>
        <w:t xml:space="preserve"> means a period of 24 hours beginning immediately after 6.00 a.m.;</w:t>
      </w:r>
    </w:p>
    <w:p>
      <w:pPr>
        <w:pStyle w:val="Defstart"/>
      </w:pPr>
      <w:r>
        <w:tab/>
      </w:r>
      <w:r>
        <w:rPr>
          <w:b/>
        </w:rPr>
        <w:t>“</w:t>
      </w:r>
      <w:r>
        <w:rPr>
          <w:rStyle w:val="CharDefText"/>
        </w:rPr>
        <w:t>retail sale</w:t>
      </w:r>
      <w:r>
        <w:rPr>
          <w:b/>
        </w:rPr>
        <w:t>”</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55" w:name="_Toc534441724"/>
      <w:bookmarkStart w:id="56" w:name="_Toc3361900"/>
      <w:bookmarkStart w:id="57" w:name="_Toc121884954"/>
      <w:bookmarkStart w:id="58" w:name="_Toc147648914"/>
      <w:r>
        <w:rPr>
          <w:rStyle w:val="CharSectno"/>
        </w:rPr>
        <w:t>3</w:t>
      </w:r>
      <w:r>
        <w:t>.</w:t>
      </w:r>
      <w:r>
        <w:tab/>
        <w:t>Standard retail price to be as notified</w:t>
      </w:r>
      <w:bookmarkEnd w:id="55"/>
      <w:bookmarkEnd w:id="56"/>
      <w:bookmarkEnd w:id="57"/>
      <w:bookmarkEnd w:id="58"/>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59" w:name="_Toc534441725"/>
      <w:bookmarkStart w:id="60" w:name="_Toc3361901"/>
      <w:bookmarkStart w:id="61" w:name="_Toc121884955"/>
      <w:bookmarkStart w:id="62" w:name="_Toc147648915"/>
      <w:r>
        <w:rPr>
          <w:rStyle w:val="CharSectno"/>
        </w:rPr>
        <w:t>3A</w:t>
      </w:r>
      <w:r>
        <w:t>.</w:t>
      </w:r>
      <w:r>
        <w:tab/>
        <w:t>Requirements for giving notification</w:t>
      </w:r>
      <w:bookmarkEnd w:id="59"/>
      <w:bookmarkEnd w:id="60"/>
      <w:bookmarkEnd w:id="61"/>
      <w:bookmarkEnd w:id="62"/>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fuelwatch@mft.wa.gov.au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w:t>
      </w:r>
    </w:p>
    <w:p>
      <w:pPr>
        <w:pStyle w:val="Heading5"/>
        <w:keepNext w:val="0"/>
        <w:keepLines w:val="0"/>
        <w:spacing w:before="160"/>
      </w:pPr>
      <w:bookmarkStart w:id="63" w:name="_Toc534441726"/>
      <w:bookmarkStart w:id="64" w:name="_Toc3361902"/>
      <w:bookmarkStart w:id="65" w:name="_Toc121884956"/>
      <w:bookmarkStart w:id="66" w:name="_Toc147648916"/>
      <w:r>
        <w:rPr>
          <w:rStyle w:val="CharSectno"/>
        </w:rPr>
        <w:t>4</w:t>
      </w:r>
      <w:r>
        <w:t>.</w:t>
      </w:r>
      <w:r>
        <w:tab/>
        <w:t>Price changes in certain places need not be notified</w:t>
      </w:r>
      <w:bookmarkEnd w:id="63"/>
      <w:bookmarkEnd w:id="64"/>
      <w:bookmarkEnd w:id="65"/>
      <w:bookmarkEnd w:id="66"/>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pPr>
      <w:r>
        <w:tab/>
        <w:t>(2)</w:t>
      </w:r>
      <w:r>
        <w:tab/>
        <w:t xml:space="preserve">In this regulation — </w:t>
      </w:r>
    </w:p>
    <w:p>
      <w:pPr>
        <w:pStyle w:val="Defstart"/>
      </w:pPr>
      <w:r>
        <w:tab/>
      </w:r>
      <w:r>
        <w:rPr>
          <w:b/>
        </w:rPr>
        <w:t>“</w:t>
      </w:r>
      <w:r>
        <w:rPr>
          <w:rStyle w:val="CharDefText"/>
        </w:rPr>
        <w:t>Perth metropolitan region</w:t>
      </w:r>
      <w:r>
        <w:rPr>
          <w:b/>
        </w:rPr>
        <w:t>”</w:t>
      </w:r>
      <w:r>
        <w:t xml:space="preserve"> means the region described in the Third Schedule to the </w:t>
      </w:r>
      <w:r>
        <w:rPr>
          <w:i/>
        </w:rPr>
        <w:t>Metropolitan Region Town Planning Scheme Act 1959</w:t>
      </w:r>
      <w:r>
        <w:t>;</w:t>
      </w:r>
    </w:p>
    <w:p>
      <w:pPr>
        <w:pStyle w:val="Defstart"/>
      </w:pPr>
      <w:r>
        <w:tab/>
      </w:r>
      <w:r>
        <w:rPr>
          <w:b/>
        </w:rPr>
        <w:t>“</w:t>
      </w:r>
      <w:r>
        <w:rPr>
          <w:rStyle w:val="CharDefText"/>
        </w:rPr>
        <w:t>townsite</w:t>
      </w:r>
      <w:r>
        <w:rPr>
          <w:b/>
        </w:rPr>
        <w:t>”</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w:t>
      </w:r>
    </w:p>
    <w:p>
      <w:pPr>
        <w:pStyle w:val="Heading5"/>
      </w:pPr>
      <w:bookmarkStart w:id="67" w:name="_Toc534441727"/>
      <w:bookmarkStart w:id="68" w:name="_Toc3361903"/>
      <w:bookmarkStart w:id="69" w:name="_Toc121884957"/>
      <w:bookmarkStart w:id="70" w:name="_Toc147648917"/>
      <w:r>
        <w:rPr>
          <w:rStyle w:val="CharSectno"/>
        </w:rPr>
        <w:t>5</w:t>
      </w:r>
      <w:r>
        <w:t>.</w:t>
      </w:r>
      <w:r>
        <w:tab/>
        <w:t>Places where regulation 6 applies</w:t>
      </w:r>
      <w:bookmarkEnd w:id="67"/>
      <w:bookmarkEnd w:id="68"/>
      <w:bookmarkEnd w:id="69"/>
      <w:bookmarkEnd w:id="70"/>
    </w:p>
    <w:p>
      <w:pPr>
        <w:pStyle w:val="Subsection"/>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pPr>
      <w:bookmarkStart w:id="71" w:name="_Toc534441728"/>
      <w:bookmarkStart w:id="72" w:name="_Toc3361904"/>
      <w:bookmarkStart w:id="73" w:name="_Toc121884958"/>
      <w:bookmarkStart w:id="74" w:name="_Toc147648918"/>
      <w:r>
        <w:rPr>
          <w:rStyle w:val="CharSectno"/>
        </w:rPr>
        <w:t>6</w:t>
      </w:r>
      <w:r>
        <w:t>.</w:t>
      </w:r>
      <w:r>
        <w:tab/>
        <w:t>Retailer to display standard retail prices</w:t>
      </w:r>
      <w:bookmarkEnd w:id="71"/>
      <w:bookmarkEnd w:id="72"/>
      <w:bookmarkEnd w:id="73"/>
      <w:bookmarkEnd w:id="74"/>
    </w:p>
    <w:p>
      <w:pPr>
        <w:pStyle w:val="Subsection"/>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pPr>
      <w:r>
        <w:tab/>
        <w:t>(2)</w:t>
      </w:r>
      <w:r>
        <w:tab/>
        <w:t xml:space="preserve">The price display has at least to show — </w:t>
      </w:r>
    </w:p>
    <w:p>
      <w:pPr>
        <w:pStyle w:val="Indenta"/>
        <w:rPr>
          <w:spacing w:val="-4"/>
        </w:rPr>
      </w:pPr>
      <w:r>
        <w:rPr>
          <w:spacing w:val="-4"/>
        </w:rPr>
        <w:tab/>
        <w:t>(a)</w:t>
      </w:r>
      <w:r>
        <w:rPr>
          <w:spacing w:val="-4"/>
        </w:rP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b/>
        </w:rPr>
        <w:t>“</w:t>
      </w:r>
      <w:r>
        <w:rPr>
          <w:rStyle w:val="CharDefText"/>
        </w:rPr>
        <w:t>kinds offered</w:t>
      </w:r>
      <w:r>
        <w:rPr>
          <w:b/>
        </w:rPr>
        <w:t>”</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2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20"/>
        <w:rPr>
          <w:spacing w:val="-4"/>
        </w:rPr>
      </w:pPr>
      <w:r>
        <w:rPr>
          <w:spacing w:val="-4"/>
        </w:rPr>
        <w:tab/>
        <w:t>(4)</w:t>
      </w:r>
      <w:r>
        <w:rPr>
          <w:spacing w:val="-4"/>
        </w:rPr>
        <w:tab/>
        <w:t>The price display may consist of more than one sign or other thing.</w:t>
      </w:r>
    </w:p>
    <w:p>
      <w:pPr>
        <w:pStyle w:val="Subsection"/>
        <w:spacing w:before="120"/>
      </w:pPr>
      <w:r>
        <w:tab/>
        <w:t>(5)</w:t>
      </w:r>
      <w:r>
        <w:tab/>
        <w:t>Subregulation (1) does not apply to a place of sale while it is exempt under subregulation (6) from the requirements of this regulation.</w:t>
      </w:r>
    </w:p>
    <w:p>
      <w:pPr>
        <w:pStyle w:val="Subsection"/>
        <w:spacing w:before="12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20"/>
      </w:pPr>
      <w:r>
        <w:tab/>
        <w:t>(7)</w:t>
      </w:r>
      <w:r>
        <w:tab/>
        <w:t xml:space="preserve">In this regulation — </w:t>
      </w:r>
    </w:p>
    <w:p>
      <w:pPr>
        <w:pStyle w:val="Defstart"/>
      </w:pPr>
      <w:r>
        <w:tab/>
      </w:r>
      <w:r>
        <w:rPr>
          <w:b/>
        </w:rPr>
        <w:t>“</w:t>
      </w:r>
      <w:r>
        <w:rPr>
          <w:rStyle w:val="CharDefText"/>
        </w:rPr>
        <w:t>regular unleaded petrol</w:t>
      </w:r>
      <w:r>
        <w:rPr>
          <w:b/>
        </w:rPr>
        <w:t>”</w:t>
      </w:r>
      <w:r>
        <w:t xml:space="preserve"> means petrol sold as regular unleaded petrol (91 to 93 RON), however described;</w:t>
      </w:r>
    </w:p>
    <w:p>
      <w:pPr>
        <w:pStyle w:val="Defstart"/>
      </w:pPr>
      <w:r>
        <w:tab/>
      </w:r>
      <w:r>
        <w:rPr>
          <w:b/>
        </w:rPr>
        <w:t>“</w:t>
      </w:r>
      <w:r>
        <w:rPr>
          <w:rStyle w:val="CharDefText"/>
        </w:rPr>
        <w:t>standard retail sale</w:t>
      </w:r>
      <w:r>
        <w:rPr>
          <w:b/>
        </w:rPr>
        <w:t>”</w:t>
      </w:r>
      <w:r>
        <w:t xml:space="preserve"> means retail sale not subject to an existing agreement or arrangement between the customer and the retailer.</w:t>
      </w:r>
    </w:p>
    <w:p>
      <w:pPr>
        <w:pStyle w:val="Footnotesection"/>
      </w:pPr>
      <w:r>
        <w:tab/>
        <w:t>[Regulation 6 inserted in Gazette 11 Jul 2001 p. 3460</w:t>
      </w:r>
      <w:r>
        <w:noBreakHyphen/>
        <w:t>1; amended in Gazette 16 Nov 2001 p. 5981; 31 Dec 2001 p. 6764</w:t>
      </w:r>
      <w:r>
        <w:noBreakHyphen/>
        <w:t>5; 9 Dec 2005 p. 5875-6.]</w:t>
      </w:r>
    </w:p>
    <w:p>
      <w:pPr>
        <w:pStyle w:val="Heading3"/>
      </w:pPr>
      <w:bookmarkStart w:id="75" w:name="_Toc121884959"/>
      <w:bookmarkStart w:id="76" w:name="_Toc121885026"/>
      <w:bookmarkStart w:id="77" w:name="_Toc121887033"/>
      <w:bookmarkStart w:id="78" w:name="_Toc124149191"/>
      <w:bookmarkStart w:id="79" w:name="_Toc146621499"/>
      <w:bookmarkStart w:id="80" w:name="_Toc146698986"/>
      <w:bookmarkStart w:id="81" w:name="_Toc147642110"/>
      <w:bookmarkStart w:id="82" w:name="_Toc147648919"/>
      <w:r>
        <w:rPr>
          <w:rStyle w:val="CharDivNo"/>
        </w:rPr>
        <w:t>Division 2</w:t>
      </w:r>
      <w:r>
        <w:t> — </w:t>
      </w:r>
      <w:r>
        <w:rPr>
          <w:rStyle w:val="CharDivText"/>
        </w:rPr>
        <w:t>Before retail sale</w:t>
      </w:r>
      <w:bookmarkEnd w:id="75"/>
      <w:bookmarkEnd w:id="76"/>
      <w:bookmarkEnd w:id="77"/>
      <w:bookmarkEnd w:id="78"/>
      <w:bookmarkEnd w:id="79"/>
      <w:bookmarkEnd w:id="80"/>
      <w:bookmarkEnd w:id="81"/>
      <w:bookmarkEnd w:id="82"/>
    </w:p>
    <w:p>
      <w:pPr>
        <w:pStyle w:val="Footnoteheading"/>
      </w:pPr>
      <w:r>
        <w:tab/>
        <w:t>[Heading inserted in Gazette 11 Jul 2001 p. 3461.]</w:t>
      </w:r>
    </w:p>
    <w:p>
      <w:pPr>
        <w:pStyle w:val="Heading5"/>
      </w:pPr>
      <w:bookmarkStart w:id="83" w:name="_Toc534441729"/>
      <w:bookmarkStart w:id="84" w:name="_Toc3361905"/>
      <w:bookmarkStart w:id="85" w:name="_Toc121884960"/>
      <w:bookmarkStart w:id="86" w:name="_Toc147648920"/>
      <w:r>
        <w:rPr>
          <w:rStyle w:val="CharSectno"/>
        </w:rPr>
        <w:t>7</w:t>
      </w:r>
      <w:r>
        <w:t>.</w:t>
      </w:r>
      <w:r>
        <w:tab/>
        <w:t>How to notify Commissioner of price changes</w:t>
      </w:r>
      <w:bookmarkEnd w:id="83"/>
      <w:bookmarkEnd w:id="84"/>
      <w:bookmarkEnd w:id="85"/>
      <w:bookmarkEnd w:id="86"/>
    </w:p>
    <w:p>
      <w:pPr>
        <w:pStyle w:val="Subsection"/>
      </w:pPr>
      <w:r>
        <w:tab/>
      </w:r>
      <w:r>
        <w:tab/>
        <w:t>If section 22B(3) of the Act requires a supplier to notify the Commissioner of a price change, the way in which notification is to be given is by directly uploading information about the price change using the Commissioner’s Fuel Watch website at the address www.fuelwatch.wa.gov.au on the internet.</w:t>
      </w:r>
    </w:p>
    <w:p>
      <w:pPr>
        <w:pStyle w:val="Footnotesection"/>
      </w:pPr>
      <w:r>
        <w:tab/>
        <w:t>[Regulation 7 inserted in Gazette 11 Jul 2001 p. 3461.]</w:t>
      </w:r>
    </w:p>
    <w:p>
      <w:pPr>
        <w:pStyle w:val="Heading5"/>
      </w:pPr>
      <w:bookmarkStart w:id="87" w:name="_Toc534441730"/>
      <w:bookmarkStart w:id="88" w:name="_Toc3361906"/>
      <w:bookmarkStart w:id="89" w:name="_Toc121884961"/>
      <w:bookmarkStart w:id="90" w:name="_Toc147648921"/>
      <w:r>
        <w:rPr>
          <w:rStyle w:val="CharSectno"/>
        </w:rPr>
        <w:t>8</w:t>
      </w:r>
      <w:r>
        <w:t>.</w:t>
      </w:r>
      <w:r>
        <w:tab/>
        <w:t>Previous month’s weighted average price</w:t>
      </w:r>
      <w:bookmarkEnd w:id="87"/>
      <w:bookmarkEnd w:id="88"/>
      <w:bookmarkEnd w:id="89"/>
      <w:bookmarkEnd w:id="90"/>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object w:dxaOrig="168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48pt" o:ole="" fillcolor="window">
            <v:imagedata r:id="rId19" o:title=""/>
          </v:shape>
          <o:OLEObject Type="Embed" ProgID="Equation.3" ShapeID="_x0000_i1025" DrawAspect="Content" ObjectID="_1644349762" r:id="rId20"/>
        </w:object>
      </w:r>
    </w:p>
    <w:p>
      <w:pPr>
        <w:pStyle w:val="Subsection"/>
      </w:pPr>
      <w:r>
        <w:tab/>
      </w:r>
      <w:r>
        <w:tab/>
        <w:t xml:space="preserve">where — </w:t>
      </w:r>
    </w:p>
    <w:p>
      <w:pPr>
        <w:pStyle w:val="Indenta"/>
      </w:pPr>
      <w:r>
        <w:tab/>
      </w:r>
      <w:r>
        <w:rPr>
          <w:b/>
        </w:rPr>
        <w:t>“</w:t>
      </w:r>
      <w:r>
        <w:rPr>
          <w:rStyle w:val="CharDefText"/>
        </w:rPr>
        <w:t>A</w:t>
      </w:r>
      <w:r>
        <w:rPr>
          <w:b/>
        </w:rPr>
        <w:t>”</w:t>
      </w:r>
      <w:r>
        <w:rPr>
          <w:bCs/>
        </w:rPr>
        <w:tab/>
      </w:r>
      <w:r>
        <w:t>is the weighted average price in cents/litre;</w:t>
      </w:r>
    </w:p>
    <w:p>
      <w:pPr>
        <w:pStyle w:val="Indenta"/>
      </w:pPr>
      <w:r>
        <w:tab/>
      </w:r>
      <w:r>
        <w:rPr>
          <w:b/>
        </w:rPr>
        <w:t>“</w:t>
      </w:r>
      <w:r>
        <w:rPr>
          <w:rStyle w:val="CharDefText"/>
        </w:rPr>
        <w:t>t</w:t>
      </w:r>
      <w:r>
        <w:rPr>
          <w:b/>
        </w:rPr>
        <w:t>”</w:t>
      </w:r>
      <w:r>
        <w:tab/>
        <w:t>is the total number of transactions used to calculate the weighted average price;</w:t>
      </w:r>
    </w:p>
    <w:p>
      <w:pPr>
        <w:pStyle w:val="Indenta"/>
      </w:pPr>
      <w:r>
        <w:tab/>
      </w:r>
      <w:r>
        <w:rPr>
          <w:b/>
        </w:rPr>
        <w:t>“</w:t>
      </w:r>
      <w:r>
        <w:rPr>
          <w:rStyle w:val="CharDefText"/>
        </w:rPr>
        <w:t>P</w:t>
      </w:r>
      <w:r>
        <w:rPr>
          <w:rStyle w:val="CharDefText"/>
          <w:vertAlign w:val="subscript"/>
        </w:rPr>
        <w:t>n</w:t>
      </w:r>
      <w:r>
        <w:rPr>
          <w:b/>
        </w:rPr>
        <w:t>”</w:t>
      </w:r>
      <w:r>
        <w:tab/>
        <w:t>is the price in cents/litre for the n</w:t>
      </w:r>
      <w:r>
        <w:rPr>
          <w:vertAlign w:val="superscript"/>
        </w:rPr>
        <w:t>th</w:t>
      </w:r>
      <w:r>
        <w:t xml:space="preserve"> transaction used to calculate the weighted average price;</w:t>
      </w:r>
    </w:p>
    <w:p>
      <w:pPr>
        <w:pStyle w:val="Indenta"/>
      </w:pPr>
      <w:r>
        <w:tab/>
      </w:r>
      <w:r>
        <w:rPr>
          <w:b/>
        </w:rPr>
        <w:t>“</w:t>
      </w:r>
      <w:r>
        <w:rPr>
          <w:rStyle w:val="CharDefText"/>
        </w:rPr>
        <w:t>V</w:t>
      </w:r>
      <w:r>
        <w:rPr>
          <w:rStyle w:val="CharDefText"/>
          <w:vertAlign w:val="subscript"/>
        </w:rPr>
        <w:t>n</w:t>
      </w:r>
      <w:r>
        <w:rPr>
          <w:b/>
        </w:rPr>
        <w:t>”</w:t>
      </w:r>
      <w:r>
        <w:rPr>
          <w:bCs/>
        </w:rPr>
        <w:tab/>
      </w:r>
      <w:r>
        <w:t>is the volume in litres of the n</w:t>
      </w:r>
      <w:r>
        <w:rPr>
          <w:vertAlign w:val="superscript"/>
        </w:rPr>
        <w:t>th</w:t>
      </w:r>
      <w:r>
        <w:t xml:space="preserve"> transaction used to calculate the weighted average price;</w:t>
      </w:r>
    </w:p>
    <w:p>
      <w:pPr>
        <w:pStyle w:val="Indenta"/>
      </w:pPr>
      <w:r>
        <w:tab/>
      </w:r>
      <w:r>
        <w:rPr>
          <w:b/>
        </w:rPr>
        <w:t>“</w:t>
      </w:r>
      <w:r>
        <w:rPr>
          <w:rStyle w:val="CharDefText"/>
        </w:rPr>
        <w:t>T</w:t>
      </w:r>
      <w:r>
        <w:rPr>
          <w:rStyle w:val="CharDefText"/>
          <w:vertAlign w:val="subscript"/>
        </w:rPr>
        <w:t>v</w:t>
      </w:r>
      <w:r>
        <w:rPr>
          <w:b/>
        </w:rPr>
        <w:t>”</w:t>
      </w:r>
      <w:r>
        <w:tab/>
        <w:t>is the total volume in litres of all the transactions used to calculate the weighted average price.</w:t>
      </w:r>
    </w:p>
    <w:p>
      <w:pPr>
        <w:pStyle w:val="Footnotesection"/>
      </w:pPr>
      <w:r>
        <w:tab/>
        <w:t>[Regulation 8 inserted in Gazette 11 Jul 2001 p. 3461.]</w:t>
      </w:r>
    </w:p>
    <w:p>
      <w:pPr>
        <w:pStyle w:val="Heading5"/>
      </w:pPr>
      <w:bookmarkStart w:id="91" w:name="_Toc534441731"/>
      <w:bookmarkStart w:id="92" w:name="_Toc3361907"/>
      <w:bookmarkStart w:id="93" w:name="_Toc121884962"/>
      <w:bookmarkStart w:id="94" w:name="_Toc147648922"/>
      <w:r>
        <w:rPr>
          <w:rStyle w:val="CharSectno"/>
        </w:rPr>
        <w:t>9</w:t>
      </w:r>
      <w:r>
        <w:t>.</w:t>
      </w:r>
      <w:r>
        <w:tab/>
        <w:t>Details of price differences</w:t>
      </w:r>
      <w:bookmarkEnd w:id="91"/>
      <w:bookmarkEnd w:id="92"/>
      <w:bookmarkEnd w:id="93"/>
      <w:bookmarkEnd w:id="94"/>
    </w:p>
    <w:p>
      <w:pPr>
        <w:pStyle w:val="Subsection"/>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pPr>
      <w:r>
        <w:tab/>
        <w:t>(2)</w:t>
      </w:r>
      <w:r>
        <w:tab/>
        <w:t>A component needs to be described with sufficient particularity to clearly identify the expense or other item concerned.</w:t>
      </w:r>
    </w:p>
    <w:p>
      <w:pPr>
        <w:pStyle w:val="Subsection"/>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pPr>
      <w:bookmarkStart w:id="95" w:name="_Toc534441732"/>
      <w:bookmarkStart w:id="96" w:name="_Toc3361908"/>
      <w:bookmarkStart w:id="97" w:name="_Toc121884963"/>
      <w:bookmarkStart w:id="98" w:name="_Toc147648923"/>
      <w:r>
        <w:rPr>
          <w:rStyle w:val="CharSectno"/>
        </w:rPr>
        <w:t>10</w:t>
      </w:r>
      <w:r>
        <w:t>.</w:t>
      </w:r>
      <w:r>
        <w:tab/>
        <w:t>Notifying Commissioner of price differences</w:t>
      </w:r>
      <w:bookmarkEnd w:id="95"/>
      <w:bookmarkEnd w:id="96"/>
      <w:bookmarkEnd w:id="97"/>
      <w:bookmarkEnd w:id="98"/>
    </w:p>
    <w:p>
      <w:pPr>
        <w:pStyle w:val="Subsection"/>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u w:val="none"/>
          </w:rPr>
          <w:t>www.fu</w:t>
        </w:r>
        <w:bookmarkStart w:id="99" w:name="_Hlt6729056"/>
        <w:r>
          <w:rPr>
            <w:rStyle w:val="Hyperlink"/>
            <w:color w:val="auto"/>
            <w:u w:val="none"/>
          </w:rPr>
          <w:t>e</w:t>
        </w:r>
        <w:bookmarkEnd w:id="99"/>
        <w:r>
          <w:rPr>
            <w:rStyle w:val="Hyperlink"/>
            <w:color w:val="auto"/>
            <w:u w:val="none"/>
          </w:rPr>
          <w:t>lwatch.wa.gov.au</w:t>
        </w:r>
      </w:hyperlink>
      <w:r>
        <w:t xml:space="preserve"> on the internet.</w:t>
      </w:r>
    </w:p>
    <w:p>
      <w:pPr>
        <w:pStyle w:val="Subsection"/>
      </w:pPr>
      <w:r>
        <w:tab/>
        <w:t>(2)</w:t>
      </w:r>
      <w:r>
        <w:tab/>
        <w:t>Details relating to supplies made during a particular calendar month are to be given within a period of 14 days after the end of that month.</w:t>
      </w:r>
    </w:p>
    <w:p>
      <w:pPr>
        <w:pStyle w:val="Subsection"/>
      </w:pPr>
      <w:r>
        <w:tab/>
        <w:t>(3)</w:t>
      </w:r>
      <w:r>
        <w:tab/>
        <w:t xml:space="preserve">In subregulation (2) — </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100" w:name="_Toc121884964"/>
      <w:bookmarkStart w:id="101" w:name="_Toc121885031"/>
      <w:bookmarkStart w:id="102" w:name="_Toc121887038"/>
      <w:bookmarkStart w:id="103" w:name="_Toc124149196"/>
      <w:bookmarkStart w:id="104" w:name="_Toc146621504"/>
      <w:bookmarkStart w:id="105" w:name="_Toc146698991"/>
      <w:bookmarkStart w:id="106" w:name="_Toc147642115"/>
      <w:bookmarkStart w:id="107" w:name="_Toc147648924"/>
      <w:r>
        <w:rPr>
          <w:rStyle w:val="CharPartNo"/>
        </w:rPr>
        <w:t>Part 3</w:t>
      </w:r>
      <w:r>
        <w:t xml:space="preserve"> — </w:t>
      </w:r>
      <w:r>
        <w:rPr>
          <w:rStyle w:val="CharPartText"/>
        </w:rPr>
        <w:t>Infringement notices and modified penalties</w:t>
      </w:r>
      <w:bookmarkEnd w:id="100"/>
      <w:bookmarkEnd w:id="101"/>
      <w:bookmarkEnd w:id="102"/>
      <w:bookmarkEnd w:id="103"/>
      <w:bookmarkEnd w:id="104"/>
      <w:bookmarkEnd w:id="105"/>
      <w:bookmarkEnd w:id="106"/>
      <w:bookmarkEnd w:id="107"/>
    </w:p>
    <w:p>
      <w:pPr>
        <w:pStyle w:val="Footnoteheading"/>
      </w:pPr>
      <w:r>
        <w:tab/>
        <w:t>[Heading inserted in Gazette 9 Nov 2001 p. 5925.]</w:t>
      </w:r>
    </w:p>
    <w:p>
      <w:pPr>
        <w:pStyle w:val="Heading5"/>
      </w:pPr>
      <w:bookmarkStart w:id="108" w:name="_Toc534441733"/>
      <w:bookmarkStart w:id="109" w:name="_Toc3361909"/>
      <w:bookmarkStart w:id="110" w:name="_Toc121884965"/>
      <w:bookmarkStart w:id="111" w:name="_Toc147648925"/>
      <w:r>
        <w:rPr>
          <w:rStyle w:val="CharSectno"/>
        </w:rPr>
        <w:t>11</w:t>
      </w:r>
      <w:r>
        <w:t>.</w:t>
      </w:r>
      <w:r>
        <w:tab/>
        <w:t>Prescribed offences (s. 31B)</w:t>
      </w:r>
      <w:bookmarkEnd w:id="108"/>
      <w:bookmarkEnd w:id="109"/>
      <w:bookmarkEnd w:id="110"/>
      <w:bookmarkEnd w:id="111"/>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112" w:name="_Toc534441734"/>
      <w:bookmarkStart w:id="113" w:name="_Toc3361910"/>
      <w:bookmarkStart w:id="114" w:name="_Toc121884966"/>
      <w:bookmarkStart w:id="115" w:name="_Toc147648926"/>
      <w:r>
        <w:rPr>
          <w:rStyle w:val="CharSectno"/>
        </w:rPr>
        <w:t>12</w:t>
      </w:r>
      <w:r>
        <w:t>.</w:t>
      </w:r>
      <w:r>
        <w:tab/>
        <w:t>Prescribed modified penalties (s. 31C)</w:t>
      </w:r>
      <w:bookmarkEnd w:id="112"/>
      <w:bookmarkEnd w:id="113"/>
      <w:bookmarkEnd w:id="114"/>
      <w:bookmarkEnd w:id="115"/>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116" w:name="_Toc534441735"/>
      <w:bookmarkStart w:id="117" w:name="_Toc3361911"/>
      <w:bookmarkStart w:id="118" w:name="_Toc121884967"/>
      <w:bookmarkStart w:id="119" w:name="_Toc147648927"/>
      <w:r>
        <w:rPr>
          <w:rStyle w:val="CharSectno"/>
        </w:rPr>
        <w:t>13</w:t>
      </w:r>
      <w:r>
        <w:t>.</w:t>
      </w:r>
      <w:r>
        <w:tab/>
        <w:t>Prescribed form of infringement notice (s. 31C)</w:t>
      </w:r>
      <w:bookmarkEnd w:id="116"/>
      <w:bookmarkEnd w:id="117"/>
      <w:bookmarkEnd w:id="118"/>
      <w:bookmarkEnd w:id="119"/>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120" w:name="_Toc534441736"/>
      <w:bookmarkStart w:id="121" w:name="_Toc3361912"/>
      <w:bookmarkStart w:id="122" w:name="_Toc121884968"/>
      <w:bookmarkStart w:id="123" w:name="_Toc147648928"/>
      <w:r>
        <w:rPr>
          <w:rStyle w:val="CharSectno"/>
        </w:rPr>
        <w:t>14</w:t>
      </w:r>
      <w:r>
        <w:t>.</w:t>
      </w:r>
      <w:r>
        <w:tab/>
        <w:t>Prescribed form of withdrawal of notice (s. 31E)</w:t>
      </w:r>
      <w:bookmarkEnd w:id="120"/>
      <w:bookmarkEnd w:id="121"/>
      <w:bookmarkEnd w:id="122"/>
      <w:bookmarkEnd w:id="123"/>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124" w:name="_Toc121884969"/>
      <w:bookmarkStart w:id="125" w:name="_Toc121885036"/>
      <w:bookmarkStart w:id="126" w:name="_Toc121887043"/>
      <w:bookmarkStart w:id="127" w:name="_Toc124149201"/>
      <w:bookmarkStart w:id="128" w:name="_Toc146621509"/>
      <w:bookmarkStart w:id="129" w:name="_Toc146698996"/>
      <w:bookmarkStart w:id="130" w:name="_Toc147642120"/>
      <w:bookmarkStart w:id="131" w:name="_Toc147648929"/>
      <w:r>
        <w:rPr>
          <w:rStyle w:val="CharSchNo"/>
        </w:rPr>
        <w:t>Schedule 1</w:t>
      </w:r>
      <w:r>
        <w:t> — </w:t>
      </w:r>
      <w:r>
        <w:rPr>
          <w:rStyle w:val="CharSchText"/>
        </w:rPr>
        <w:t>Places where regulations 3(1) and 6 apply</w:t>
      </w:r>
      <w:bookmarkEnd w:id="124"/>
      <w:bookmarkEnd w:id="125"/>
      <w:bookmarkEnd w:id="126"/>
      <w:bookmarkEnd w:id="127"/>
      <w:bookmarkEnd w:id="128"/>
      <w:bookmarkEnd w:id="129"/>
      <w:bookmarkEnd w:id="130"/>
      <w:bookmarkEnd w:id="131"/>
    </w:p>
    <w:p>
      <w:pPr>
        <w:pStyle w:val="yShoulderClause"/>
      </w:pPr>
      <w:r>
        <w:t>[r. 4(1)(b), 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 Hedland</w:t>
            </w:r>
          </w:p>
        </w:tc>
      </w:tr>
      <w:tr>
        <w:trPr>
          <w:cantSplit/>
          <w:trHeight w:val="276"/>
        </w:trPr>
        <w:tc>
          <w:tcPr>
            <w:tcW w:w="2552" w:type="dxa"/>
          </w:tcPr>
          <w:p>
            <w:pPr>
              <w:pStyle w:val="yTable"/>
            </w:pPr>
            <w:r>
              <w:t>Exmouth</w:t>
            </w:r>
          </w:p>
        </w:tc>
        <w:tc>
          <w:tcPr>
            <w:tcW w:w="2410" w:type="dxa"/>
          </w:tcPr>
          <w:p>
            <w:pPr>
              <w:pStyle w:val="yTable"/>
            </w:pPr>
            <w:r>
              <w:t>Tammin</w:t>
            </w:r>
          </w:p>
        </w:tc>
      </w:tr>
      <w:tr>
        <w:trPr>
          <w:cantSplit/>
          <w:trHeight w:val="276"/>
        </w:trPr>
        <w:tc>
          <w:tcPr>
            <w:tcW w:w="2552" w:type="dxa"/>
          </w:tcPr>
          <w:p>
            <w:pPr>
              <w:pStyle w:val="yTable"/>
            </w:pPr>
            <w:r>
              <w:t>Fitzroy Crossing</w:t>
            </w:r>
          </w:p>
        </w:tc>
        <w:tc>
          <w:tcPr>
            <w:tcW w:w="2410" w:type="dxa"/>
          </w:tcPr>
          <w:p>
            <w:pPr>
              <w:pStyle w:val="yTable"/>
            </w:pPr>
            <w:r>
              <w:t>Williams</w:t>
            </w:r>
          </w:p>
        </w:tc>
      </w:tr>
      <w:tr>
        <w:trPr>
          <w:cantSplit/>
          <w:trHeight w:val="276"/>
        </w:trPr>
        <w:tc>
          <w:tcPr>
            <w:tcW w:w="2552" w:type="dxa"/>
          </w:tcPr>
          <w:p>
            <w:pPr>
              <w:pStyle w:val="yTable"/>
            </w:pPr>
            <w:r>
              <w:t>Jurien</w:t>
            </w:r>
          </w:p>
        </w:tc>
        <w:tc>
          <w:tcPr>
            <w:tcW w:w="2410" w:type="dxa"/>
          </w:tcPr>
          <w:p>
            <w:pPr>
              <w:pStyle w:val="yTable"/>
              <w:keepNext/>
            </w:pPr>
            <w:r>
              <w:t>Wubin</w:t>
            </w:r>
          </w:p>
        </w:tc>
      </w:tr>
      <w:tr>
        <w:trPr>
          <w:cantSplit/>
          <w:trHeight w:val="276"/>
        </w:trPr>
        <w:tc>
          <w:tcPr>
            <w:tcW w:w="2552" w:type="dxa"/>
          </w:tcPr>
          <w:p>
            <w:pPr>
              <w:pStyle w:val="yTable"/>
              <w:keepNext/>
            </w:pPr>
            <w:r>
              <w:t>Kalgoorlie</w:t>
            </w:r>
          </w:p>
        </w:tc>
        <w:tc>
          <w:tcPr>
            <w:tcW w:w="2410" w:type="dxa"/>
          </w:tcPr>
          <w:p>
            <w:pPr>
              <w:pStyle w:val="yTable"/>
              <w:keepNext/>
            </w:pPr>
            <w:r>
              <w:t>York</w:t>
            </w:r>
          </w:p>
        </w:tc>
      </w:tr>
      <w:tr>
        <w:trPr>
          <w:cantSplit/>
          <w:trHeight w:val="276"/>
        </w:trPr>
        <w:tc>
          <w:tcPr>
            <w:tcW w:w="2552" w:type="dxa"/>
          </w:tcPr>
          <w:p>
            <w:pPr>
              <w:pStyle w:val="yTable"/>
              <w:keepNext/>
            </w:pPr>
            <w:r>
              <w:t>Kambalda (East)</w:t>
            </w:r>
          </w:p>
        </w:tc>
        <w:tc>
          <w:tcPr>
            <w:tcW w:w="2410" w:type="dxa"/>
          </w:tcPr>
          <w:p>
            <w:pPr>
              <w:pStyle w:val="yTable"/>
              <w:keepNext/>
            </w:pP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1665-6; amended in Gazette 3 Oct 2006 p. 4337.]</w:t>
      </w:r>
    </w:p>
    <w:p>
      <w:pPr>
        <w:pStyle w:val="yScheduleHeading"/>
      </w:pPr>
      <w:bookmarkStart w:id="132" w:name="_Toc146621511"/>
      <w:bookmarkStart w:id="133" w:name="_Toc146698997"/>
      <w:bookmarkStart w:id="134" w:name="_Toc147642121"/>
      <w:bookmarkStart w:id="135" w:name="_Toc147648930"/>
      <w:bookmarkStart w:id="136" w:name="_Toc121884971"/>
      <w:bookmarkStart w:id="137" w:name="_Toc121885038"/>
      <w:bookmarkStart w:id="138" w:name="_Toc121887045"/>
      <w:bookmarkStart w:id="139" w:name="_Toc124149203"/>
      <w:r>
        <w:rPr>
          <w:rStyle w:val="CharSchNo"/>
        </w:rPr>
        <w:t>Schedule 2</w:t>
      </w:r>
      <w:r>
        <w:t> — </w:t>
      </w:r>
      <w:r>
        <w:rPr>
          <w:rStyle w:val="CharSchText"/>
        </w:rPr>
        <w:t>Prescribed offences and modified penalties</w:t>
      </w:r>
      <w:bookmarkEnd w:id="132"/>
      <w:bookmarkEnd w:id="133"/>
      <w:bookmarkEnd w:id="134"/>
      <w:bookmarkEnd w:id="135"/>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142"/>
        <w:gridCol w:w="4536"/>
        <w:gridCol w:w="992"/>
      </w:tblGrid>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gridSpan w:val="2"/>
          </w:tcPr>
          <w:p>
            <w:pPr>
              <w:pStyle w:val="yTable"/>
            </w:pPr>
            <w:r>
              <w:t>s. 11(1)</w:t>
            </w:r>
          </w:p>
        </w:tc>
        <w:tc>
          <w:tcPr>
            <w:tcW w:w="4536"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gridSpan w:val="2"/>
          </w:tcPr>
          <w:p>
            <w:pPr>
              <w:pStyle w:val="yTable"/>
            </w:pPr>
            <w:r>
              <w:t>s. 14(1)</w:t>
            </w:r>
          </w:p>
        </w:tc>
        <w:tc>
          <w:tcPr>
            <w:tcW w:w="4536"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gridSpan w:val="2"/>
          </w:tcPr>
          <w:p>
            <w:pPr>
              <w:pStyle w:val="yTable"/>
            </w:pPr>
            <w:r>
              <w:t>s. 14(2)</w:t>
            </w:r>
          </w:p>
        </w:tc>
        <w:tc>
          <w:tcPr>
            <w:tcW w:w="4536"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gridSpan w:val="2"/>
          </w:tcPr>
          <w:p>
            <w:pPr>
              <w:pStyle w:val="yTable"/>
            </w:pPr>
            <w:r>
              <w:t>s. 17</w:t>
            </w:r>
          </w:p>
        </w:tc>
        <w:tc>
          <w:tcPr>
            <w:tcW w:w="4536"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gridSpan w:val="2"/>
          </w:tcPr>
          <w:p>
            <w:pPr>
              <w:pStyle w:val="yTable"/>
            </w:pPr>
            <w:r>
              <w:t>s. 21</w:t>
            </w:r>
          </w:p>
        </w:tc>
        <w:tc>
          <w:tcPr>
            <w:tcW w:w="4536"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gridSpan w:val="2"/>
          </w:tcPr>
          <w:p>
            <w:pPr>
              <w:pStyle w:val="yTable"/>
            </w:pPr>
            <w:r>
              <w:t>s. 22B(1)</w:t>
            </w:r>
          </w:p>
        </w:tc>
        <w:tc>
          <w:tcPr>
            <w:tcW w:w="4536" w:type="dxa"/>
          </w:tcPr>
          <w:p>
            <w:pPr>
              <w:pStyle w:val="yTable"/>
            </w:pPr>
            <w:r>
              <w:t>Failing to display at declared terminal wholesale price of motor fuel ................................................</w:t>
            </w:r>
          </w:p>
        </w:tc>
        <w:tc>
          <w:tcPr>
            <w:tcW w:w="992" w:type="dxa"/>
          </w:tcPr>
          <w:p>
            <w:pPr>
              <w:pStyle w:val="yTable"/>
            </w:pPr>
            <w:r>
              <w:br/>
              <w:t>$4 000</w:t>
            </w:r>
          </w:p>
        </w:tc>
      </w:tr>
      <w:tr>
        <w:trPr>
          <w:cantSplit/>
          <w:trHeight w:val="21"/>
        </w:trPr>
        <w:tc>
          <w:tcPr>
            <w:tcW w:w="1276" w:type="dxa"/>
            <w:gridSpan w:val="2"/>
          </w:tcPr>
          <w:p>
            <w:pPr>
              <w:pStyle w:val="yTable"/>
            </w:pPr>
            <w:r>
              <w:t>s. 22B(3)</w:t>
            </w:r>
          </w:p>
        </w:tc>
        <w:tc>
          <w:tcPr>
            <w:tcW w:w="4536" w:type="dxa"/>
          </w:tcPr>
          <w:p>
            <w:pPr>
              <w:pStyle w:val="yTable"/>
            </w:pPr>
            <w:r>
              <w:t>Failing to notify Commissioner of change to wholesale price at declared terminal .....................</w:t>
            </w:r>
          </w:p>
        </w:tc>
        <w:tc>
          <w:tcPr>
            <w:tcW w:w="992" w:type="dxa"/>
          </w:tcPr>
          <w:p>
            <w:pPr>
              <w:pStyle w:val="yTable"/>
            </w:pPr>
            <w:r>
              <w:br/>
              <w:t>$4 000</w:t>
            </w:r>
          </w:p>
        </w:tc>
      </w:tr>
      <w:tr>
        <w:trPr>
          <w:cantSplit/>
          <w:trHeight w:val="21"/>
        </w:trPr>
        <w:tc>
          <w:tcPr>
            <w:tcW w:w="1276" w:type="dxa"/>
            <w:gridSpan w:val="2"/>
          </w:tcPr>
          <w:p>
            <w:pPr>
              <w:pStyle w:val="yTable"/>
            </w:pPr>
            <w:r>
              <w:t>s. 22C(1)</w:t>
            </w:r>
          </w:p>
        </w:tc>
        <w:tc>
          <w:tcPr>
            <w:tcW w:w="4536" w:type="dxa"/>
          </w:tcPr>
          <w:p>
            <w:pPr>
              <w:pStyle w:val="yTable"/>
            </w:pPr>
            <w:r>
              <w:t>Failing to display at declared terminal weighted average price of motor fuel ...................................</w:t>
            </w:r>
          </w:p>
        </w:tc>
        <w:tc>
          <w:tcPr>
            <w:tcW w:w="992" w:type="dxa"/>
          </w:tcPr>
          <w:p>
            <w:pPr>
              <w:pStyle w:val="yTable"/>
            </w:pPr>
            <w:r>
              <w:br/>
              <w:t>$4 000</w:t>
            </w:r>
          </w:p>
        </w:tc>
      </w:tr>
      <w:tr>
        <w:trPr>
          <w:cantSplit/>
          <w:trHeight w:val="21"/>
        </w:trPr>
        <w:tc>
          <w:tcPr>
            <w:tcW w:w="1276" w:type="dxa"/>
            <w:gridSpan w:val="2"/>
          </w:tcPr>
          <w:p>
            <w:pPr>
              <w:pStyle w:val="yTable"/>
            </w:pPr>
            <w:r>
              <w:t>s. 22D</w:t>
            </w:r>
          </w:p>
        </w:tc>
        <w:tc>
          <w:tcPr>
            <w:tcW w:w="4536" w:type="dxa"/>
          </w:tcPr>
          <w:p>
            <w:pPr>
              <w:pStyle w:val="yTable"/>
            </w:pPr>
            <w:r>
              <w:t>Failing to display maximum price of motor fuel fixed by order ..…..................................................</w:t>
            </w:r>
          </w:p>
        </w:tc>
        <w:tc>
          <w:tcPr>
            <w:tcW w:w="992" w:type="dxa"/>
          </w:tcPr>
          <w:p>
            <w:pPr>
              <w:pStyle w:val="yTable"/>
            </w:pPr>
            <w:r>
              <w:br/>
              <w:t>$4 000</w:t>
            </w:r>
          </w:p>
        </w:tc>
      </w:tr>
      <w:tr>
        <w:trPr>
          <w:cantSplit/>
          <w:trHeight w:val="21"/>
        </w:trPr>
        <w:tc>
          <w:tcPr>
            <w:tcW w:w="1276" w:type="dxa"/>
            <w:gridSpan w:val="2"/>
          </w:tcPr>
          <w:p>
            <w:pPr>
              <w:pStyle w:val="yTable"/>
            </w:pPr>
            <w:r>
              <w:t>s. 22E(1)</w:t>
            </w:r>
          </w:p>
        </w:tc>
        <w:tc>
          <w:tcPr>
            <w:tcW w:w="4536" w:type="dxa"/>
          </w:tcPr>
          <w:p>
            <w:pPr>
              <w:pStyle w:val="yTable"/>
            </w:pPr>
            <w:r>
              <w:t>Failing to show in invoice displayed and maximum prices ....................................................</w:t>
            </w:r>
          </w:p>
        </w:tc>
        <w:tc>
          <w:tcPr>
            <w:tcW w:w="992" w:type="dxa"/>
          </w:tcPr>
          <w:p>
            <w:pPr>
              <w:pStyle w:val="yTable"/>
            </w:pPr>
            <w:r>
              <w:br/>
              <w:t>$4 000</w:t>
            </w:r>
          </w:p>
        </w:tc>
      </w:tr>
      <w:tr>
        <w:trPr>
          <w:cantSplit/>
          <w:trHeight w:val="21"/>
        </w:trPr>
        <w:tc>
          <w:tcPr>
            <w:tcW w:w="1276" w:type="dxa"/>
            <w:gridSpan w:val="2"/>
          </w:tcPr>
          <w:p>
            <w:pPr>
              <w:pStyle w:val="yTable"/>
            </w:pPr>
            <w:r>
              <w:t>s. 22E(2)</w:t>
            </w:r>
          </w:p>
        </w:tc>
        <w:tc>
          <w:tcPr>
            <w:tcW w:w="4536" w:type="dxa"/>
          </w:tcPr>
          <w:p>
            <w:pPr>
              <w:pStyle w:val="yTable"/>
            </w:pPr>
            <w:r>
              <w:t>Failing to show in invoice displayed and maximum prices and details of any difference in prices ......………………………………………...</w:t>
            </w:r>
          </w:p>
        </w:tc>
        <w:tc>
          <w:tcPr>
            <w:tcW w:w="992" w:type="dxa"/>
          </w:tcPr>
          <w:p>
            <w:pPr>
              <w:pStyle w:val="yTable"/>
            </w:pPr>
            <w:r>
              <w:br/>
            </w:r>
            <w:r>
              <w:br/>
              <w:t>$4 000</w:t>
            </w:r>
          </w:p>
        </w:tc>
      </w:tr>
      <w:tr>
        <w:trPr>
          <w:cantSplit/>
          <w:trHeight w:val="21"/>
        </w:trPr>
        <w:tc>
          <w:tcPr>
            <w:tcW w:w="1276" w:type="dxa"/>
            <w:gridSpan w:val="2"/>
          </w:tcPr>
          <w:p>
            <w:pPr>
              <w:pStyle w:val="yTable"/>
            </w:pPr>
            <w:r>
              <w:t>s. 22E(4)</w:t>
            </w:r>
          </w:p>
        </w:tc>
        <w:tc>
          <w:tcPr>
            <w:tcW w:w="4536"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gridSpan w:val="2"/>
          </w:tcPr>
          <w:p>
            <w:pPr>
              <w:pStyle w:val="yTable"/>
            </w:pPr>
            <w:r>
              <w:t>s. 22F(2)</w:t>
            </w:r>
          </w:p>
        </w:tc>
        <w:tc>
          <w:tcPr>
            <w:tcW w:w="4536"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gridSpan w:val="2"/>
          </w:tcPr>
          <w:p>
            <w:pPr>
              <w:pStyle w:val="yTable"/>
            </w:pPr>
            <w:r>
              <w:t>s. 27(5)(a)</w:t>
            </w:r>
          </w:p>
        </w:tc>
        <w:tc>
          <w:tcPr>
            <w:tcW w:w="4536"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gridSpan w:val="2"/>
          </w:tcPr>
          <w:p>
            <w:pPr>
              <w:pStyle w:val="yTable"/>
            </w:pPr>
            <w:r>
              <w:t>s. 27A(5)(a)</w:t>
            </w:r>
          </w:p>
        </w:tc>
        <w:tc>
          <w:tcPr>
            <w:tcW w:w="4536"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134" w:type="dxa"/>
          </w:tcPr>
          <w:p>
            <w:pPr>
              <w:pStyle w:val="yTable"/>
            </w:pPr>
            <w:r>
              <w:t>r. 3(1)</w:t>
            </w:r>
          </w:p>
        </w:tc>
        <w:tc>
          <w:tcPr>
            <w:tcW w:w="4678" w:type="dxa"/>
            <w:gridSpan w:val="2"/>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134" w:type="dxa"/>
            <w:tcBorders>
              <w:bottom w:val="single" w:sz="4" w:space="0" w:color="auto"/>
            </w:tcBorders>
          </w:tcPr>
          <w:p>
            <w:pPr>
              <w:pStyle w:val="yTable"/>
            </w:pPr>
            <w:r>
              <w:t>r. 6(1)</w:t>
            </w:r>
          </w:p>
        </w:tc>
        <w:tc>
          <w:tcPr>
            <w:tcW w:w="4678" w:type="dxa"/>
            <w:gridSpan w:val="2"/>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in Gazette 22 Sep 2006 p. 4125</w:t>
      </w:r>
      <w:r>
        <w:noBreakHyphen/>
        <w:t>6.]</w:t>
      </w:r>
    </w:p>
    <w:p>
      <w:pPr>
        <w:pStyle w:val="yScheduleHeading"/>
      </w:pPr>
      <w:bookmarkStart w:id="140" w:name="_Toc146621512"/>
      <w:bookmarkStart w:id="141" w:name="_Toc146698998"/>
      <w:bookmarkStart w:id="142" w:name="_Toc147642122"/>
      <w:bookmarkStart w:id="143" w:name="_Toc147648931"/>
      <w:r>
        <w:rPr>
          <w:rStyle w:val="CharSchNo"/>
        </w:rPr>
        <w:t>Schedule 3</w:t>
      </w:r>
      <w:r>
        <w:t xml:space="preserve"> — </w:t>
      </w:r>
      <w:r>
        <w:rPr>
          <w:rStyle w:val="CharSchText"/>
        </w:rPr>
        <w:t>Forms</w:t>
      </w:r>
      <w:bookmarkEnd w:id="136"/>
      <w:bookmarkEnd w:id="137"/>
      <w:bookmarkEnd w:id="138"/>
      <w:bookmarkEnd w:id="139"/>
      <w:bookmarkEnd w:id="140"/>
      <w:bookmarkEnd w:id="141"/>
      <w:bookmarkEnd w:id="142"/>
      <w:bookmarkEnd w:id="143"/>
    </w:p>
    <w:p>
      <w:pPr>
        <w:pStyle w:val="yShoulderClause"/>
      </w:pPr>
      <w:r>
        <w:t>[r. 13, 14]</w:t>
      </w:r>
    </w:p>
    <w:p>
      <w:pPr>
        <w:pStyle w:val="ySubsection"/>
        <w:jc w:val="center"/>
      </w:pPr>
      <w:r>
        <w:t>Form 1</w:t>
      </w:r>
    </w:p>
    <w:p>
      <w:pPr>
        <w:pStyle w:val="ySubsection"/>
        <w:jc w:val="center"/>
        <w:rPr>
          <w:i/>
        </w:rPr>
      </w:pPr>
      <w:r>
        <w:rPr>
          <w:i/>
        </w:rPr>
        <w:t>Petroleum Products Pricing Act 1983</w:t>
      </w:r>
    </w:p>
    <w:p>
      <w:pPr>
        <w:pStyle w:val="ySubsection"/>
        <w:jc w:val="center"/>
        <w:rPr>
          <w:b/>
        </w:rPr>
      </w:pPr>
      <w:r>
        <w:rPr>
          <w:b/>
        </w:rPr>
        <w:t>Infringement notice</w:t>
      </w:r>
    </w:p>
    <w:p>
      <w:pPr>
        <w:pStyle w:val="ySubsection"/>
        <w:jc w:val="right"/>
      </w:pPr>
      <w:r>
        <w:t>Serial No ..............</w:t>
      </w:r>
      <w:r>
        <w:tab/>
      </w:r>
      <w:r>
        <w:tab/>
      </w:r>
    </w:p>
    <w:p>
      <w:pPr>
        <w:pStyle w:val="ySubsection"/>
        <w:jc w:val="right"/>
      </w:pPr>
      <w:r>
        <w:t>Date ......./......./.......</w:t>
      </w:r>
    </w:p>
    <w:p>
      <w:pPr>
        <w:pStyle w:val="ySubsection"/>
      </w:pPr>
      <w:r>
        <w:t xml:space="preserve">To: </w:t>
      </w:r>
      <w:r>
        <w:rPr>
          <w:sz w:val="18"/>
          <w:vertAlign w:val="superscript"/>
        </w:rPr>
        <w:t>(1)</w:t>
      </w:r>
      <w:r>
        <w:t xml:space="preserve"> ......................................................................................................................</w:t>
      </w:r>
    </w:p>
    <w:p>
      <w:pPr>
        <w:pStyle w:val="ySubsection"/>
        <w:rPr>
          <w:noProof/>
        </w:rPr>
      </w:pPr>
      <w:r>
        <w:t>of</w:t>
      </w:r>
      <w:r>
        <w:rPr>
          <w:noProof/>
        </w:rPr>
        <w:t xml:space="preserve">: </w:t>
      </w:r>
      <w:r>
        <w:rPr>
          <w:noProof/>
          <w:sz w:val="18"/>
          <w:vertAlign w:val="superscript"/>
        </w:rPr>
        <w:t>(2)</w:t>
      </w:r>
      <w:r>
        <w:rPr>
          <w:noProof/>
        </w:rPr>
        <w:t xml:space="preserve"> .......................................................................................................................</w:t>
      </w:r>
    </w:p>
    <w:p>
      <w:pPr>
        <w:pStyle w:val="ySubsection"/>
        <w:rPr>
          <w:noProof/>
        </w:rPr>
      </w:pPr>
      <w:r>
        <w:rPr>
          <w:noProof/>
        </w:rPr>
        <w:t xml:space="preserve">It is alleged that on ....../....../...... at </w:t>
      </w:r>
      <w:r>
        <w:rPr>
          <w:noProof/>
          <w:sz w:val="18"/>
          <w:vertAlign w:val="superscript"/>
        </w:rPr>
        <w:t>(3)</w:t>
      </w:r>
      <w:r>
        <w:rPr>
          <w:noProof/>
        </w:rPr>
        <w:t xml:space="preserve"> ....................................................................</w:t>
      </w:r>
    </w:p>
    <w:p>
      <w:pPr>
        <w:pStyle w:val="ySubsection"/>
        <w:rPr>
          <w:noProof/>
        </w:rPr>
      </w:pPr>
      <w:r>
        <w:rPr>
          <w:noProof/>
        </w:rPr>
        <w:t xml:space="preserve">at </w:t>
      </w:r>
      <w:r>
        <w:rPr>
          <w:noProof/>
          <w:sz w:val="18"/>
          <w:vertAlign w:val="superscript"/>
        </w:rPr>
        <w:t>(4)</w:t>
      </w:r>
      <w:r>
        <w:rPr>
          <w:noProof/>
        </w:rPr>
        <w:t xml:space="preserve"> .........................................................................................................................</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879"/>
          <w:tab w:val="left" w:pos="0"/>
        </w:tabs>
        <w:ind w:left="0" w:hanging="28"/>
      </w:pPr>
      <w:r>
        <w:t xml:space="preserve">contrary to section/regulation* </w:t>
      </w:r>
      <w:r>
        <w:rPr>
          <w:sz w:val="18"/>
          <w:vertAlign w:val="superscript"/>
        </w:rPr>
        <w:t>(5)</w:t>
      </w:r>
      <w:r>
        <w:t xml:space="preserve"> ............ of the </w:t>
      </w:r>
      <w:r>
        <w:rPr>
          <w:i/>
        </w:rPr>
        <w:t>Petroleum Products Pricing Act 1983/Petroleum Products Pricing Regulations 2000</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pPr>
      <w:r>
        <w:tab/>
        <w:t>(a)</w:t>
      </w:r>
      <w:r>
        <w:tab/>
        <w:t>posting this form with a cheque, money order or postal note for the specified amount of money, payable to the Prices Commissioner,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Petroleum Products Pricing Act 1983</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 xml:space="preserve"> .......................................................................................................................</w:t>
      </w:r>
    </w:p>
    <w:p>
      <w:pPr>
        <w:pStyle w:val="ySubsection"/>
        <w:tabs>
          <w:tab w:val="clear" w:pos="879"/>
          <w:tab w:val="left" w:pos="0"/>
        </w:tabs>
        <w:ind w:left="0" w:hanging="28"/>
      </w:pPr>
      <w:r>
        <w:t xml:space="preserve">of: </w:t>
      </w:r>
      <w:r>
        <w:rPr>
          <w:sz w:val="18"/>
          <w:vertAlign w:val="superscript"/>
        </w:rPr>
        <w:t>(2)</w:t>
      </w:r>
      <w:r>
        <w:t xml:space="preserve"> ........................................................................................................................</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Footnotesection"/>
      </w:pPr>
      <w:r>
        <w:tab/>
        <w:t>[Schedule 3 inserted in Gazette 9 Nov 2001 p. 5927</w:t>
      </w:r>
      <w:r>
        <w:noBreakHyphen/>
        <w:t>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44" w:name="_Toc121884972"/>
      <w:bookmarkStart w:id="145" w:name="_Toc121885039"/>
      <w:bookmarkStart w:id="146" w:name="_Toc121887046"/>
      <w:bookmarkStart w:id="147" w:name="_Toc124149204"/>
      <w:bookmarkStart w:id="148" w:name="_Toc146621513"/>
      <w:bookmarkStart w:id="149" w:name="_Toc146698999"/>
      <w:bookmarkStart w:id="150" w:name="_Toc147642123"/>
      <w:bookmarkStart w:id="151" w:name="_Toc147648932"/>
      <w:r>
        <w:t>Notes</w:t>
      </w:r>
      <w:bookmarkEnd w:id="144"/>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rPr>
        <w:t>Petroleum Products Pricing Regulations 2000</w:t>
      </w:r>
      <w:r>
        <w:rPr>
          <w:snapToGrid w:val="0"/>
        </w:rPr>
        <w:t xml:space="preserve"> and includes the amendments made by the other written laws referred to in the following table.  </w:t>
      </w:r>
      <w:r>
        <w:t>The table also contains information about any reprint.</w:t>
      </w:r>
    </w:p>
    <w:p>
      <w:pPr>
        <w:pStyle w:val="nHeading3"/>
      </w:pPr>
      <w:bookmarkStart w:id="152" w:name="_Toc121884973"/>
      <w:bookmarkStart w:id="153" w:name="_Toc147648933"/>
      <w:r>
        <w:t>Compilation table</w:t>
      </w:r>
      <w:bookmarkEnd w:id="152"/>
      <w:bookmarkEnd w:id="15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Products Pricing Regulations 2000</w:t>
            </w:r>
          </w:p>
        </w:tc>
        <w:tc>
          <w:tcPr>
            <w:tcW w:w="1276" w:type="dxa"/>
          </w:tcPr>
          <w:p>
            <w:pPr>
              <w:pStyle w:val="nTable"/>
              <w:spacing w:before="120"/>
              <w:rPr>
                <w:sz w:val="19"/>
              </w:rPr>
            </w:pPr>
            <w:r>
              <w:rPr>
                <w:sz w:val="19"/>
              </w:rPr>
              <w:t>29 Dec 2000 p. 7981</w:t>
            </w:r>
            <w:r>
              <w:rPr>
                <w:sz w:val="19"/>
              </w:rPr>
              <w:noBreakHyphen/>
              <w:t>5</w:t>
            </w:r>
          </w:p>
        </w:tc>
        <w:tc>
          <w:tcPr>
            <w:tcW w:w="2693" w:type="dxa"/>
          </w:tcPr>
          <w:p>
            <w:pPr>
              <w:pStyle w:val="nTable"/>
              <w:spacing w:before="120"/>
              <w:rPr>
                <w:sz w:val="19"/>
              </w:rPr>
            </w:pPr>
            <w:r>
              <w:rPr>
                <w:sz w:val="19"/>
              </w:rPr>
              <w:t>1 Jan 2001 (see r. 2)</w:t>
            </w:r>
          </w:p>
        </w:tc>
      </w:tr>
      <w:tr>
        <w:trPr>
          <w:cantSplit/>
        </w:trPr>
        <w:tc>
          <w:tcPr>
            <w:tcW w:w="3119" w:type="dxa"/>
          </w:tcPr>
          <w:p>
            <w:pPr>
              <w:pStyle w:val="nTable"/>
              <w:spacing w:before="120"/>
              <w:ind w:right="113"/>
              <w:rPr>
                <w:i/>
                <w:sz w:val="19"/>
              </w:rPr>
            </w:pPr>
            <w:r>
              <w:rPr>
                <w:i/>
                <w:sz w:val="19"/>
              </w:rPr>
              <w:t>Petroleum Products Pricing Amendment Regulations 2001</w:t>
            </w:r>
            <w:r>
              <w:rPr>
                <w:vertAlign w:val="superscript"/>
              </w:rPr>
              <w:t> 2</w:t>
            </w:r>
          </w:p>
        </w:tc>
        <w:tc>
          <w:tcPr>
            <w:tcW w:w="1276" w:type="dxa"/>
          </w:tcPr>
          <w:p>
            <w:pPr>
              <w:pStyle w:val="nTable"/>
              <w:spacing w:before="120"/>
              <w:rPr>
                <w:sz w:val="19"/>
              </w:rPr>
            </w:pPr>
            <w:r>
              <w:rPr>
                <w:sz w:val="19"/>
              </w:rPr>
              <w:t>11 Jul 2001 p. 3457</w:t>
            </w:r>
            <w:r>
              <w:rPr>
                <w:sz w:val="19"/>
              </w:rPr>
              <w:noBreakHyphen/>
              <w:t>62</w:t>
            </w:r>
          </w:p>
        </w:tc>
        <w:tc>
          <w:tcPr>
            <w:tcW w:w="2693" w:type="dxa"/>
          </w:tcPr>
          <w:p>
            <w:pPr>
              <w:pStyle w:val="nTable"/>
              <w:spacing w:before="120"/>
              <w:rPr>
                <w:sz w:val="19"/>
              </w:rPr>
            </w:pPr>
            <w:r>
              <w:rPr>
                <w:sz w:val="19"/>
              </w:rPr>
              <w:t>12 Jul 2001 (see r. 2)</w:t>
            </w:r>
          </w:p>
        </w:tc>
      </w:tr>
      <w:tr>
        <w:trPr>
          <w:cantSplit/>
        </w:trPr>
        <w:tc>
          <w:tcPr>
            <w:tcW w:w="3119" w:type="dxa"/>
          </w:tcPr>
          <w:p>
            <w:pPr>
              <w:pStyle w:val="nTable"/>
              <w:spacing w:before="120"/>
              <w:ind w:right="113"/>
              <w:rPr>
                <w:i/>
                <w:sz w:val="19"/>
              </w:rPr>
            </w:pPr>
            <w:r>
              <w:rPr>
                <w:i/>
                <w:sz w:val="19"/>
              </w:rPr>
              <w:t>Petroleum Products Pricing Amendment Regulations (No. 2) 2001</w:t>
            </w:r>
          </w:p>
        </w:tc>
        <w:tc>
          <w:tcPr>
            <w:tcW w:w="1276" w:type="dxa"/>
          </w:tcPr>
          <w:p>
            <w:pPr>
              <w:pStyle w:val="nTable"/>
              <w:spacing w:before="120"/>
              <w:rPr>
                <w:sz w:val="19"/>
              </w:rPr>
            </w:pPr>
            <w:r>
              <w:rPr>
                <w:sz w:val="19"/>
              </w:rPr>
              <w:t>23 Aug 2001 p. 4378</w:t>
            </w:r>
            <w:r>
              <w:rPr>
                <w:sz w:val="19"/>
              </w:rPr>
              <w:noBreakHyphen/>
              <w:t>81</w:t>
            </w:r>
          </w:p>
        </w:tc>
        <w:tc>
          <w:tcPr>
            <w:tcW w:w="2693" w:type="dxa"/>
          </w:tcPr>
          <w:p>
            <w:pPr>
              <w:pStyle w:val="nTable"/>
              <w:spacing w:before="12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before="120"/>
              <w:ind w:right="113"/>
              <w:rPr>
                <w:i/>
                <w:sz w:val="19"/>
              </w:rPr>
            </w:pPr>
            <w:r>
              <w:rPr>
                <w:i/>
                <w:sz w:val="19"/>
              </w:rPr>
              <w:t>Petroleum Products Pricing Amendment Regulations (No. 3) 2001</w:t>
            </w:r>
          </w:p>
        </w:tc>
        <w:tc>
          <w:tcPr>
            <w:tcW w:w="1276" w:type="dxa"/>
          </w:tcPr>
          <w:p>
            <w:pPr>
              <w:pStyle w:val="nTable"/>
              <w:spacing w:before="120"/>
              <w:rPr>
                <w:sz w:val="19"/>
              </w:rPr>
            </w:pPr>
            <w:r>
              <w:rPr>
                <w:sz w:val="19"/>
              </w:rPr>
              <w:t>9 Nov 2001 p. 5925</w:t>
            </w:r>
            <w:r>
              <w:rPr>
                <w:sz w:val="19"/>
              </w:rPr>
              <w:noBreakHyphen/>
              <w:t>9</w:t>
            </w:r>
          </w:p>
        </w:tc>
        <w:tc>
          <w:tcPr>
            <w:tcW w:w="2693" w:type="dxa"/>
          </w:tcPr>
          <w:p>
            <w:pPr>
              <w:pStyle w:val="nTable"/>
              <w:spacing w:before="120"/>
              <w:rPr>
                <w:sz w:val="19"/>
              </w:rPr>
            </w:pPr>
            <w:r>
              <w:rPr>
                <w:sz w:val="19"/>
              </w:rPr>
              <w:t>9 Nov 2001</w:t>
            </w:r>
          </w:p>
        </w:tc>
      </w:tr>
      <w:tr>
        <w:trPr>
          <w:cantSplit/>
        </w:trPr>
        <w:tc>
          <w:tcPr>
            <w:tcW w:w="3119" w:type="dxa"/>
          </w:tcPr>
          <w:p>
            <w:pPr>
              <w:pStyle w:val="nTable"/>
              <w:spacing w:before="120"/>
              <w:ind w:right="113"/>
              <w:rPr>
                <w:i/>
                <w:sz w:val="19"/>
              </w:rPr>
            </w:pPr>
            <w:r>
              <w:rPr>
                <w:i/>
                <w:sz w:val="19"/>
              </w:rPr>
              <w:t>Petroleum Products Pricing Amendment Regulations (No. 4) 2001</w:t>
            </w:r>
            <w:r>
              <w:rPr>
                <w:vertAlign w:val="superscript"/>
              </w:rPr>
              <w:t> 3</w:t>
            </w:r>
          </w:p>
        </w:tc>
        <w:tc>
          <w:tcPr>
            <w:tcW w:w="1276" w:type="dxa"/>
          </w:tcPr>
          <w:p>
            <w:pPr>
              <w:pStyle w:val="nTable"/>
              <w:spacing w:before="120"/>
              <w:rPr>
                <w:sz w:val="19"/>
              </w:rPr>
            </w:pPr>
            <w:r>
              <w:rPr>
                <w:sz w:val="19"/>
              </w:rPr>
              <w:t>16 Nov 2001 p. 5981</w:t>
            </w:r>
            <w:r>
              <w:rPr>
                <w:sz w:val="19"/>
              </w:rPr>
              <w:noBreakHyphen/>
              <w:t>2</w:t>
            </w:r>
          </w:p>
        </w:tc>
        <w:tc>
          <w:tcPr>
            <w:tcW w:w="2693" w:type="dxa"/>
          </w:tcPr>
          <w:p>
            <w:pPr>
              <w:pStyle w:val="nTable"/>
              <w:spacing w:before="120"/>
              <w:rPr>
                <w:sz w:val="19"/>
              </w:rPr>
            </w:pPr>
            <w:r>
              <w:rPr>
                <w:sz w:val="19"/>
              </w:rPr>
              <w:t>23 Nov 2001 (see r. 2)</w:t>
            </w:r>
          </w:p>
        </w:tc>
      </w:tr>
      <w:tr>
        <w:trPr>
          <w:cantSplit/>
        </w:trPr>
        <w:tc>
          <w:tcPr>
            <w:tcW w:w="3119" w:type="dxa"/>
          </w:tcPr>
          <w:p>
            <w:pPr>
              <w:pStyle w:val="nTable"/>
              <w:spacing w:before="120"/>
              <w:ind w:right="113"/>
              <w:rPr>
                <w:i/>
                <w:sz w:val="19"/>
              </w:rPr>
            </w:pPr>
            <w:r>
              <w:rPr>
                <w:i/>
                <w:sz w:val="19"/>
              </w:rPr>
              <w:t>Petroleum Products Pricing Amendment Regulations (No. 5) 2001</w:t>
            </w:r>
          </w:p>
        </w:tc>
        <w:tc>
          <w:tcPr>
            <w:tcW w:w="1276" w:type="dxa"/>
          </w:tcPr>
          <w:p>
            <w:pPr>
              <w:pStyle w:val="nTable"/>
              <w:spacing w:before="120"/>
              <w:rPr>
                <w:sz w:val="19"/>
              </w:rPr>
            </w:pPr>
            <w:r>
              <w:rPr>
                <w:sz w:val="19"/>
              </w:rPr>
              <w:t>31 Dec 2001 p. 6764</w:t>
            </w:r>
            <w:r>
              <w:rPr>
                <w:sz w:val="19"/>
              </w:rPr>
              <w:noBreakHyphen/>
              <w:t>5</w:t>
            </w:r>
          </w:p>
        </w:tc>
        <w:tc>
          <w:tcPr>
            <w:tcW w:w="2693" w:type="dxa"/>
          </w:tcPr>
          <w:p>
            <w:pPr>
              <w:pStyle w:val="nTable"/>
              <w:spacing w:before="12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before="12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before="120"/>
              <w:ind w:right="113"/>
              <w:rPr>
                <w:sz w:val="19"/>
              </w:rPr>
            </w:pPr>
            <w:r>
              <w:rPr>
                <w:i/>
                <w:sz w:val="19"/>
              </w:rPr>
              <w:t>Petroleum Products Pricing Amendment Regulations 2003</w:t>
            </w:r>
            <w:r>
              <w:rPr>
                <w:sz w:val="19"/>
              </w:rPr>
              <w:t xml:space="preserve"> </w:t>
            </w:r>
            <w:r>
              <w:rPr>
                <w:sz w:val="19"/>
                <w:vertAlign w:val="superscript"/>
              </w:rPr>
              <w:t>4</w:t>
            </w:r>
          </w:p>
        </w:tc>
        <w:tc>
          <w:tcPr>
            <w:tcW w:w="1276" w:type="dxa"/>
          </w:tcPr>
          <w:p>
            <w:pPr>
              <w:pStyle w:val="nTable"/>
              <w:spacing w:before="120"/>
              <w:rPr>
                <w:sz w:val="19"/>
              </w:rPr>
            </w:pPr>
            <w:r>
              <w:rPr>
                <w:sz w:val="19"/>
              </w:rPr>
              <w:t>13 May 2003 p. 1665-6</w:t>
            </w:r>
          </w:p>
        </w:tc>
        <w:tc>
          <w:tcPr>
            <w:tcW w:w="2693" w:type="dxa"/>
          </w:tcPr>
          <w:p>
            <w:pPr>
              <w:pStyle w:val="nTable"/>
              <w:spacing w:before="120"/>
              <w:rPr>
                <w:sz w:val="19"/>
              </w:rPr>
            </w:pPr>
            <w:r>
              <w:rPr>
                <w:sz w:val="19"/>
              </w:rPr>
              <w:t>20 May 2003 (see r. 2)</w:t>
            </w:r>
          </w:p>
        </w:tc>
      </w:tr>
      <w:tr>
        <w:trPr>
          <w:cantSplit/>
        </w:trPr>
        <w:tc>
          <w:tcPr>
            <w:tcW w:w="3119" w:type="dxa"/>
          </w:tcPr>
          <w:p>
            <w:pPr>
              <w:pStyle w:val="nTable"/>
              <w:spacing w:before="120"/>
              <w:ind w:right="113"/>
              <w:rPr>
                <w:i/>
                <w:sz w:val="19"/>
              </w:rPr>
            </w:pPr>
            <w:r>
              <w:rPr>
                <w:i/>
                <w:sz w:val="19"/>
              </w:rPr>
              <w:t>Petroleum Products Pricing Amendment Regulations 2005</w:t>
            </w:r>
          </w:p>
        </w:tc>
        <w:tc>
          <w:tcPr>
            <w:tcW w:w="1276" w:type="dxa"/>
          </w:tcPr>
          <w:p>
            <w:pPr>
              <w:pStyle w:val="nTable"/>
              <w:spacing w:before="120"/>
              <w:rPr>
                <w:sz w:val="19"/>
              </w:rPr>
            </w:pPr>
            <w:r>
              <w:rPr>
                <w:sz w:val="19"/>
              </w:rPr>
              <w:t>9 Dec 2005 p. 5875-6</w:t>
            </w:r>
          </w:p>
        </w:tc>
        <w:tc>
          <w:tcPr>
            <w:tcW w:w="2693" w:type="dxa"/>
          </w:tcPr>
          <w:p>
            <w:pPr>
              <w:pStyle w:val="nTable"/>
              <w:spacing w:before="120"/>
              <w:rPr>
                <w:sz w:val="19"/>
              </w:rPr>
            </w:pPr>
            <w:r>
              <w:rPr>
                <w:sz w:val="19"/>
              </w:rPr>
              <w:t>1 Jan 2006 (see r. 2)</w:t>
            </w:r>
          </w:p>
        </w:tc>
      </w:tr>
      <w:tr>
        <w:trPr>
          <w:cantSplit/>
        </w:trPr>
        <w:tc>
          <w:tcPr>
            <w:tcW w:w="3119" w:type="dxa"/>
          </w:tcPr>
          <w:p>
            <w:pPr>
              <w:pStyle w:val="nTable"/>
              <w:spacing w:before="120"/>
              <w:ind w:right="113"/>
              <w:rPr>
                <w:i/>
                <w:sz w:val="19"/>
              </w:rPr>
            </w:pPr>
            <w:r>
              <w:rPr>
                <w:i/>
                <w:sz w:val="19"/>
              </w:rPr>
              <w:t>Petroleum Products Pricing Amendment Regulations 2006</w:t>
            </w:r>
          </w:p>
        </w:tc>
        <w:tc>
          <w:tcPr>
            <w:tcW w:w="1276" w:type="dxa"/>
          </w:tcPr>
          <w:p>
            <w:pPr>
              <w:pStyle w:val="nTable"/>
              <w:spacing w:before="120"/>
              <w:rPr>
                <w:sz w:val="19"/>
              </w:rPr>
            </w:pPr>
            <w:r>
              <w:rPr>
                <w:sz w:val="19"/>
              </w:rPr>
              <w:t>22 Sep 2006 p. 4125</w:t>
            </w:r>
            <w:r>
              <w:rPr>
                <w:sz w:val="19"/>
              </w:rPr>
              <w:noBreakHyphen/>
              <w:t>6</w:t>
            </w:r>
          </w:p>
        </w:tc>
        <w:tc>
          <w:tcPr>
            <w:tcW w:w="2693" w:type="dxa"/>
          </w:tcPr>
          <w:p>
            <w:pPr>
              <w:pStyle w:val="nTable"/>
              <w:spacing w:before="120"/>
              <w:rPr>
                <w:sz w:val="19"/>
              </w:rPr>
            </w:pPr>
            <w:r>
              <w:rPr>
                <w:sz w:val="19"/>
              </w:rPr>
              <w:t xml:space="preserve">22 Sep 2006 </w:t>
            </w:r>
          </w:p>
        </w:tc>
      </w:tr>
      <w:tr>
        <w:trPr>
          <w:cantSplit/>
        </w:trPr>
        <w:tc>
          <w:tcPr>
            <w:tcW w:w="3119" w:type="dxa"/>
            <w:tcBorders>
              <w:bottom w:val="single" w:sz="4" w:space="0" w:color="auto"/>
            </w:tcBorders>
          </w:tcPr>
          <w:p>
            <w:pPr>
              <w:pStyle w:val="nTable"/>
              <w:spacing w:before="120"/>
              <w:ind w:right="113"/>
              <w:rPr>
                <w:i/>
                <w:sz w:val="19"/>
              </w:rPr>
            </w:pPr>
            <w:r>
              <w:rPr>
                <w:i/>
                <w:sz w:val="19"/>
              </w:rPr>
              <w:t>Petroleum Products Pricing Amendment Regulations (No. 2) 2006</w:t>
            </w:r>
          </w:p>
        </w:tc>
        <w:tc>
          <w:tcPr>
            <w:tcW w:w="1276" w:type="dxa"/>
            <w:tcBorders>
              <w:bottom w:val="single" w:sz="4" w:space="0" w:color="auto"/>
            </w:tcBorders>
          </w:tcPr>
          <w:p>
            <w:pPr>
              <w:pStyle w:val="nTable"/>
              <w:spacing w:before="120"/>
              <w:rPr>
                <w:sz w:val="19"/>
              </w:rPr>
            </w:pPr>
            <w:r>
              <w:rPr>
                <w:sz w:val="19"/>
              </w:rPr>
              <w:t>3 Oct 2006 p. 4337</w:t>
            </w:r>
          </w:p>
        </w:tc>
        <w:tc>
          <w:tcPr>
            <w:tcW w:w="2693" w:type="dxa"/>
            <w:tcBorders>
              <w:bottom w:val="single" w:sz="4" w:space="0" w:color="auto"/>
            </w:tcBorders>
          </w:tcPr>
          <w:p>
            <w:pPr>
              <w:pStyle w:val="nTable"/>
              <w:spacing w:before="120"/>
              <w:rPr>
                <w:sz w:val="19"/>
              </w:rPr>
            </w:pPr>
            <w:r>
              <w:rPr>
                <w:sz w:val="19"/>
              </w:rPr>
              <w:t>3 Oct 2006</w:t>
            </w:r>
          </w:p>
        </w:tc>
      </w:tr>
    </w:tbl>
    <w:p>
      <w:pPr>
        <w:pStyle w:val="nSubsection"/>
      </w:pPr>
      <w:bookmarkStart w:id="154" w:name="UpToHere"/>
      <w:bookmarkEnd w:id="154"/>
      <w:r>
        <w:rPr>
          <w:vertAlign w:val="superscript"/>
        </w:rPr>
        <w:t>2</w:t>
      </w:r>
      <w:r>
        <w:tab/>
        <w:t xml:space="preserve">The </w:t>
      </w:r>
      <w:r>
        <w:rPr>
          <w:i/>
        </w:rPr>
        <w:t>Petroleum Products Pricing Amendment Regulations 2001</w:t>
      </w:r>
      <w:r>
        <w:t xml:space="preserve"> r. 8 reads as follows: </w:t>
      </w:r>
    </w:p>
    <w:p>
      <w:pPr>
        <w:pStyle w:val="MiscOpen"/>
      </w:pPr>
      <w:r>
        <w:t>“</w:t>
      </w:r>
    </w:p>
    <w:p>
      <w:pPr>
        <w:pStyle w:val="nzHeading5"/>
      </w:pPr>
      <w:r>
        <w:t>8.</w:t>
      </w:r>
      <w:r>
        <w:tab/>
        <w:t>Defence during transitional period</w:t>
      </w:r>
    </w:p>
    <w:p>
      <w:pPr>
        <w:pStyle w:val="nzSubsection"/>
      </w:pPr>
      <w:r>
        <w:tab/>
        <w:t>(1)</w:t>
      </w:r>
      <w:r>
        <w:tab/>
        <w:t>It is a defence to a charge of an offence against regulation 6(1) of the Petroleum Products Pricing Regulations 2000 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b/>
        </w:rPr>
        <w:t>“</w:t>
      </w:r>
      <w:r>
        <w:rPr>
          <w:rStyle w:val="CharDefText"/>
        </w:rPr>
        <w:t>transitional period</w:t>
      </w:r>
      <w:r>
        <w:rPr>
          <w:b/>
        </w:rPr>
        <w:t>”</w:t>
      </w:r>
      <w:r>
        <w:t xml:space="preserve"> means the period of 30 days beginning on 19 July 2001.</w:t>
      </w:r>
    </w:p>
    <w:p>
      <w:pPr>
        <w:pStyle w:val="MiscClose"/>
      </w:pPr>
      <w:r>
        <w:t>”.</w:t>
      </w:r>
    </w:p>
    <w:p>
      <w:pPr>
        <w:pStyle w:val="nSubsection"/>
      </w:pPr>
      <w:r>
        <w:rPr>
          <w:vertAlign w:val="superscript"/>
        </w:rPr>
        <w:t>3</w:t>
      </w:r>
      <w:r>
        <w:tab/>
        <w:t xml:space="preserve">The </w:t>
      </w:r>
      <w:r>
        <w:rPr>
          <w:i/>
        </w:rPr>
        <w:t>Petroleum Products Pricing Amendment Regulations (No. 4) 2001</w:t>
      </w:r>
      <w:r>
        <w:t xml:space="preserve"> r. 7 reads as follows:</w:t>
      </w:r>
    </w:p>
    <w:p>
      <w:pPr>
        <w:pStyle w:val="MiscOpen"/>
      </w:pPr>
      <w:r>
        <w:t>“</w:t>
      </w: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fldChar w:fldCharType="begin"/>
      </w:r>
      <w:r>
        <w:instrText xml:space="preserve"> LISTNUM DefinitionNumbers \l1 </w:instrText>
      </w:r>
      <w:r>
        <w:fldChar w:fldCharType="end">
          <w:numberingChange w:id="155" w:author="Isobel Bond" w:date="2003-05-12T11:18:00Z" w:original=""/>
        </w:fldChar>
      </w:r>
      <w:r>
        <w:tab/>
      </w:r>
      <w:r>
        <w:rPr>
          <w:b/>
        </w:rPr>
        <w:t>“</w:t>
      </w:r>
      <w:r>
        <w:rPr>
          <w:rStyle w:val="CharDefText"/>
        </w:rPr>
        <w:t>transitional period</w:t>
      </w:r>
      <w:r>
        <w:rPr>
          <w:b/>
        </w:rPr>
        <w:t>”</w:t>
      </w:r>
      <w:r>
        <w:t xml:space="preserve"> means the period of 30 days beginning on 23 November 2001.</w:t>
      </w:r>
    </w:p>
    <w:p>
      <w:pPr>
        <w:pStyle w:val="MiscClose"/>
      </w:pPr>
      <w:r>
        <w:t>”.</w:t>
      </w:r>
    </w:p>
    <w:p>
      <w:pPr>
        <w:pStyle w:val="nSubsection"/>
      </w:pPr>
      <w:r>
        <w:rPr>
          <w:vertAlign w:val="superscript"/>
        </w:rPr>
        <w:t>4</w:t>
      </w:r>
      <w:r>
        <w:tab/>
        <w:t xml:space="preserve">The </w:t>
      </w:r>
      <w:r>
        <w:rPr>
          <w:i/>
        </w:rPr>
        <w:t>Petroleum Products Pricing Amendment Regulations 2003</w:t>
      </w:r>
      <w:r>
        <w:t xml:space="preserve"> r. 5 reads as follows:</w:t>
      </w:r>
    </w:p>
    <w:p>
      <w:pPr>
        <w:pStyle w:val="MiscOpen"/>
      </w:pPr>
      <w:r>
        <w:t>“</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fldChar w:fldCharType="begin"/>
      </w:r>
      <w:r>
        <w:instrText xml:space="preserve"> LISTNUM DefinitionNumbers \l1 </w:instrText>
      </w:r>
      <w:r>
        <w:fldChar w:fldCharType="end">
          <w:numberingChange w:id="156" w:author="Clare Dias" w:date="2005-12-09T09:30:00Z" w:original=""/>
        </w:fldChar>
      </w:r>
      <w:r>
        <w:tab/>
      </w:r>
      <w:r>
        <w:rPr>
          <w:b/>
        </w:rPr>
        <w:t>“</w:t>
      </w:r>
      <w:r>
        <w:rPr>
          <w:rStyle w:val="CharDefText"/>
        </w:rPr>
        <w:t>transitional period</w:t>
      </w:r>
      <w:r>
        <w:rPr>
          <w:b/>
        </w:rPr>
        <w:t>”</w:t>
      </w:r>
      <w:r>
        <w:t xml:space="preserve"> means the period of 21 days beginning on the day on which these regulations come into operation.</w:t>
      </w:r>
    </w:p>
    <w:p>
      <w:pPr>
        <w:pStyle w:val="MiscClose"/>
      </w:pPr>
      <w:r>
        <w:t>”.</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3640</Words>
  <Characters>20352</Characters>
  <Application>Microsoft Office Word</Application>
  <DocSecurity>0</DocSecurity>
  <Lines>636</Lines>
  <Paragraphs>444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Special provisions about motor fuel</vt:lpstr>
      <vt:lpstr>        Division 1 — Retail sale</vt:lpstr>
      <vt:lpstr>        Division 2 — Before retail sale</vt:lpstr>
      <vt:lpstr>    Part 3 — Infringement notices and modified penalties</vt:lpstr>
      <vt:lpstr>    Schedule 1 — Places where regulations 3(1) and 6 apply</vt:lpstr>
      <vt:lpstr>    Schedule 2 — Prescribed offences and modified penalties</vt:lpstr>
      <vt:lpstr>    Schedule 3 — Forms</vt:lpstr>
      <vt:lpstr>    Notes</vt:lpstr>
    </vt:vector>
  </TitlesOfParts>
  <Manager/>
  <Company/>
  <LinksUpToDate>false</LinksUpToDate>
  <CharactersWithSpaces>23548</CharactersWithSpaces>
  <SharedDoc>false</SharedDoc>
  <HLinks>
    <vt:vector size="6" baseType="variant">
      <vt:variant>
        <vt:i4>3014772</vt:i4>
      </vt:variant>
      <vt:variant>
        <vt:i4>63</vt:i4>
      </vt:variant>
      <vt:variant>
        <vt:i4>0</vt:i4>
      </vt:variant>
      <vt:variant>
        <vt:i4>5</vt:i4>
      </vt:variant>
      <vt:variant>
        <vt:lpwstr>http://www.fuelwatch.wa.gov.au/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2000 - 01-e0-03</dc:title>
  <dc:subject/>
  <dc:creator/>
  <cp:keywords/>
  <dc:description/>
  <cp:lastModifiedBy>svcMRProcess</cp:lastModifiedBy>
  <cp:revision>4</cp:revision>
  <cp:lastPrinted>2002-04-19T02:39:00Z</cp:lastPrinted>
  <dcterms:created xsi:type="dcterms:W3CDTF">2020-02-27T15:03:00Z</dcterms:created>
  <dcterms:modified xsi:type="dcterms:W3CDTF">2020-02-27T15:03:00Z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20061003</vt:lpwstr>
  </property>
  <property fmtid="{D5CDD505-2E9C-101B-9397-08002B2CF9AE}" pid="4" name="DocumentType">
    <vt:lpwstr>Reg</vt:lpwstr>
  </property>
  <property fmtid="{D5CDD505-2E9C-101B-9397-08002B2CF9AE}" pid="5" name="OwlsUID">
    <vt:i4>2723</vt:i4>
  </property>
  <property fmtid="{D5CDD505-2E9C-101B-9397-08002B2CF9AE}" pid="6" name="AsAtDate">
    <vt:lpwstr>03 Oct 2006</vt:lpwstr>
  </property>
  <property fmtid="{D5CDD505-2E9C-101B-9397-08002B2CF9AE}" pid="7" name="Suffix">
    <vt:lpwstr>01-e0-03</vt:lpwstr>
  </property>
</Properties>
</file>