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_Toc502311114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_Toc502311115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_Toc502311116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_Toc502311117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_Toc502311118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_Toc502311119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_Toc502311120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_Toc502311121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_Toc502311122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_Toc502311123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_Toc502311124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_Toc502311126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First Home Owner Grant Act 2000</w:t>
      </w:r>
    </w:p>
    <w:p>
      <w:pPr>
        <w:pStyle w:val="NameofActReg"/>
      </w:pPr>
      <w:r>
        <w:t>First Home Owner Grant Regulations 2000</w:t>
      </w:r>
    </w:p>
    <w:p>
      <w:pPr>
        <w:pStyle w:val="Heading5"/>
      </w:pPr>
      <w:bookmarkStart w:id="3" w:name="_Toc502311114"/>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4" w:name="_Toc502311115"/>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502311116"/>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502311117"/>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502311118"/>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502311119"/>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9" w:name="_Toc502311120"/>
      <w:r>
        <w:rPr>
          <w:rStyle w:val="CharSectno"/>
        </w:rPr>
        <w:t>8</w:t>
      </w:r>
      <w:r>
        <w:t>.</w:t>
      </w:r>
      <w:r>
        <w:tab/>
        <w:t>Prescribed rates of interest (s. 30, 32 and 52)</w:t>
      </w:r>
      <w:bookmarkEnd w:id="9"/>
    </w:p>
    <w:p>
      <w:pPr>
        <w:pStyle w:val="Subsection"/>
      </w:pPr>
      <w:r>
        <w:tab/>
        <w:t>(1)</w:t>
      </w:r>
      <w:r>
        <w:tab/>
        <w:t>The rate of interest for the purposes of section 30(3), (4)(d), (5)(c) and (6)(c) of the Act is 2.2% per annum.</w:t>
      </w:r>
    </w:p>
    <w:p>
      <w:pPr>
        <w:pStyle w:val="Subsection"/>
      </w:pPr>
      <w:r>
        <w:tab/>
        <w:t>(2)</w:t>
      </w:r>
      <w:r>
        <w:tab/>
        <w:t>The rate of interest for the purposes of section 32(2), (3)(d), (4)(c) and (5)(c) of the Act is 2.2% per annum.</w:t>
      </w:r>
    </w:p>
    <w:p>
      <w:pPr>
        <w:pStyle w:val="Subsection"/>
      </w:pPr>
      <w:r>
        <w:tab/>
        <w:t>(3)</w:t>
      </w:r>
      <w:r>
        <w:tab/>
        <w:t>The rate of interest for the purposes of section 52(3)(a) and (7) of the Act is 10.2% per annum.</w:t>
      </w:r>
    </w:p>
    <w:p>
      <w:pPr>
        <w:pStyle w:val="Footnotesection"/>
      </w:pPr>
      <w:r>
        <w:tab/>
        <w:t>[Regulation 8 inserted: Gazette 26 Jun 2015 p. 2278; amended: Gazette 11 Dec 2015 p. 4961; 29 Dec 2017 p. 6085.]</w:t>
      </w:r>
    </w:p>
    <w:p>
      <w:pPr>
        <w:pStyle w:val="Heading5"/>
      </w:pPr>
      <w:bookmarkStart w:id="10" w:name="_Toc502311121"/>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502311122"/>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494900269"/>
      <w:bookmarkStart w:id="13" w:name="_Toc495992835"/>
      <w:bookmarkStart w:id="14" w:name="_Toc502311123"/>
      <w:r>
        <w:rPr>
          <w:rStyle w:val="CharSectno"/>
        </w:rPr>
        <w:t>10A</w:t>
      </w:r>
      <w:r>
        <w:t>.</w:t>
      </w:r>
      <w:r>
        <w:tab/>
        <w:t>Prescribed service times (s. 62(3))</w:t>
      </w:r>
      <w:bookmarkEnd w:id="12"/>
      <w:bookmarkEnd w:id="13"/>
      <w:bookmarkEnd w:id="14"/>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5" w:name="_Toc502311124"/>
      <w:r>
        <w:rPr>
          <w:rStyle w:val="CharSectno"/>
        </w:rPr>
        <w:t>11</w:t>
      </w:r>
      <w:r>
        <w:t>.</w:t>
      </w:r>
      <w:r>
        <w:tab/>
        <w:t>Authorised receipt and permitted disclosure of confidential information (s. 65(3))</w:t>
      </w:r>
      <w:bookmarkEnd w:id="1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3</w:t>
      </w:r>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 w:name="_Toc502311125"/>
      <w:r>
        <w:t>Notes</w:t>
      </w:r>
      <w:bookmarkEnd w:id="16"/>
    </w:p>
    <w:p>
      <w:pPr>
        <w:pStyle w:val="nSubsection"/>
      </w:pPr>
      <w:r>
        <w:rPr>
          <w:vertAlign w:val="superscript"/>
        </w:rPr>
        <w:t>1</w:t>
      </w:r>
      <w:r>
        <w:tab/>
        <w:t xml:space="preserve">This is a compilation of the </w:t>
      </w:r>
      <w:r>
        <w:rPr>
          <w:i/>
          <w:noProof/>
        </w:rPr>
        <w:t>First Home Owner Grant Regulations 2000</w:t>
      </w:r>
      <w:r>
        <w:t xml:space="preserve"> and includes the amendments made by the other written laws referred to in the following table.  The table also contains information about any reprint.</w:t>
      </w:r>
    </w:p>
    <w:p>
      <w:pPr>
        <w:pStyle w:val="nHeading3"/>
        <w:spacing w:before="120" w:after="60"/>
      </w:pPr>
      <w:bookmarkStart w:id="17" w:name="_Toc502311126"/>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9" w:type="dxa"/>
          </w:tcPr>
          <w:p>
            <w:pPr>
              <w:pStyle w:val="nTable"/>
              <w:keepNext/>
              <w:spacing w:after="40"/>
              <w:rPr>
                <w:i/>
              </w:rPr>
            </w:pPr>
            <w:r>
              <w:rPr>
                <w:i/>
              </w:rPr>
              <w:t>First Home Owner Grant Amendment Regulations (No. 3) 2015</w:t>
            </w:r>
          </w:p>
        </w:tc>
        <w:tc>
          <w:tcPr>
            <w:tcW w:w="1276" w:type="dxa"/>
          </w:tcPr>
          <w:p>
            <w:pPr>
              <w:pStyle w:val="nTable"/>
              <w:keepNext/>
              <w:spacing w:after="40"/>
            </w:pPr>
            <w:r>
              <w:t>11 Dec 2015 p. 4961</w:t>
            </w:r>
          </w:p>
        </w:tc>
        <w:tc>
          <w:tcPr>
            <w:tcW w:w="2693" w:type="dxa"/>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c>
          <w:tcPr>
            <w:tcW w:w="7088" w:type="dxa"/>
            <w:gridSpan w:val="3"/>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c>
          <w:tcPr>
            <w:tcW w:w="3119" w:type="dxa"/>
            <w:tcBorders>
              <w:bottom w:val="single" w:sz="4" w:space="0" w:color="auto"/>
            </w:tcBorders>
          </w:tcPr>
          <w:p>
            <w:pPr>
              <w:pStyle w:val="nTable"/>
              <w:keepNext/>
              <w:spacing w:after="40"/>
              <w:rPr>
                <w:i/>
              </w:rPr>
            </w:pPr>
            <w:r>
              <w:rPr>
                <w:i/>
              </w:rPr>
              <w:t>First Home Owner Grant Amendment Regulations 2017</w:t>
            </w:r>
          </w:p>
        </w:tc>
        <w:tc>
          <w:tcPr>
            <w:tcW w:w="1276" w:type="dxa"/>
            <w:tcBorders>
              <w:bottom w:val="single" w:sz="4" w:space="0" w:color="auto"/>
            </w:tcBorders>
          </w:tcPr>
          <w:p>
            <w:pPr>
              <w:pStyle w:val="nTable"/>
              <w:keepNext/>
              <w:spacing w:after="40"/>
            </w:pPr>
            <w:r>
              <w:t>29 Dec 2017 p. 6083</w:t>
            </w:r>
            <w:r>
              <w:noBreakHyphen/>
              <w:t>6</w:t>
            </w:r>
          </w:p>
        </w:tc>
        <w:tc>
          <w:tcPr>
            <w:tcW w:w="2693" w:type="dxa"/>
            <w:tcBorders>
              <w:bottom w:val="single" w:sz="4" w:space="0" w:color="auto"/>
            </w:tcBorders>
          </w:tcPr>
          <w:p>
            <w:pPr>
              <w:pStyle w:val="nTable"/>
              <w:keepNext/>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pPr>
      <w:r>
        <w:rPr>
          <w:vertAlign w:val="superscript"/>
        </w:rPr>
        <w:t>3</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9" w:name="_Toc502311127"/>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910213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3524</Words>
  <Characters>16567</Characters>
  <Application>Microsoft Office Word</Application>
  <DocSecurity>0</DocSecurity>
  <Lines>534</Lines>
  <Paragraphs>282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2000 - 03-b0-02</dc:title>
  <dc:subject/>
  <dc:creator/>
  <cp:keywords/>
  <dc:description/>
  <cp:lastModifiedBy>svcMRProcess</cp:lastModifiedBy>
  <cp:revision>4</cp:revision>
  <cp:lastPrinted>2019-01-18T03:31:00Z</cp:lastPrinted>
  <dcterms:created xsi:type="dcterms:W3CDTF">2019-01-24T08:22:00Z</dcterms:created>
  <dcterms:modified xsi:type="dcterms:W3CDTF">2019-01-24T08:22:00Z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20171230</vt:lpwstr>
  </property>
  <property fmtid="{D5CDD505-2E9C-101B-9397-08002B2CF9AE}" pid="8" name="AsAtDate">
    <vt:lpwstr>30 Dec 2017</vt:lpwstr>
  </property>
  <property fmtid="{D5CDD505-2E9C-101B-9397-08002B2CF9AE}" pid="9" name="Suffix">
    <vt:lpwstr>03-b0-02</vt:lpwstr>
  </property>
</Properties>
</file>