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3.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Energy Operators (Powers) Act 1979</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Energy Operators (Regional Power Corporation) (Charges) By-laws 2006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Energy Operators (Regional Power Corporation) (Charges) By-laws 2006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_Toc502736789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_Toc502736790 \h </w:instrText>
      </w:r>
      <w:r>
        <w:fldChar w:fldCharType="separate"/>
      </w:r>
      <w:r>
        <w:t>1</w:t>
      </w:r>
      <w:r>
        <w:fldChar w:fldCharType="end"/>
      </w:r>
    </w:p>
    <w:p>
      <w:pPr>
        <w:pStyle w:val="TOC8"/>
        <w:rPr>
          <w:rFonts w:asciiTheme="minorHAnsi" w:eastAsiaTheme="minorEastAsia" w:hAnsiTheme="minorHAnsi" w:cstheme="minorBidi"/>
          <w:szCs w:val="22"/>
        </w:rPr>
      </w:pPr>
      <w:r>
        <w:t>3.</w:t>
      </w:r>
      <w:r>
        <w:tab/>
      </w:r>
      <w:r>
        <w:rPr>
          <w:snapToGrid w:val="0"/>
        </w:rPr>
        <w:t>Terms used</w:t>
      </w:r>
      <w:r>
        <w:tab/>
      </w:r>
      <w:r>
        <w:fldChar w:fldCharType="begin"/>
      </w:r>
      <w:r>
        <w:instrText xml:space="preserve"> PAGEREF _Toc502736791 \h </w:instrText>
      </w:r>
      <w:r>
        <w:fldChar w:fldCharType="separate"/>
      </w:r>
      <w:r>
        <w:t>1</w:t>
      </w:r>
      <w:r>
        <w:fldChar w:fldCharType="end"/>
      </w:r>
    </w:p>
    <w:p>
      <w:pPr>
        <w:pStyle w:val="TOC8"/>
        <w:rPr>
          <w:rFonts w:asciiTheme="minorHAnsi" w:eastAsiaTheme="minorEastAsia" w:hAnsiTheme="minorHAnsi" w:cstheme="minorBidi"/>
          <w:szCs w:val="22"/>
        </w:rPr>
      </w:pPr>
      <w:r>
        <w:t>4.</w:t>
      </w:r>
      <w:r>
        <w:tab/>
      </w:r>
      <w:r>
        <w:rPr>
          <w:snapToGrid w:val="0"/>
        </w:rPr>
        <w:t>Electricity charges</w:t>
      </w:r>
      <w:r>
        <w:tab/>
      </w:r>
      <w:r>
        <w:fldChar w:fldCharType="begin"/>
      </w:r>
      <w:r>
        <w:instrText xml:space="preserve"> PAGEREF _Toc502736792 \h </w:instrText>
      </w:r>
      <w:r>
        <w:fldChar w:fldCharType="separate"/>
      </w:r>
      <w:r>
        <w:t>2</w:t>
      </w:r>
      <w:r>
        <w:fldChar w:fldCharType="end"/>
      </w:r>
    </w:p>
    <w:p>
      <w:pPr>
        <w:pStyle w:val="TOC8"/>
        <w:rPr>
          <w:rFonts w:asciiTheme="minorHAnsi" w:eastAsiaTheme="minorEastAsia" w:hAnsiTheme="minorHAnsi" w:cstheme="minorBidi"/>
          <w:szCs w:val="22"/>
        </w:rPr>
      </w:pPr>
      <w:r>
        <w:t>5.</w:t>
      </w:r>
      <w:r>
        <w:tab/>
        <w:t>Application of residential tariffs</w:t>
      </w:r>
      <w:r>
        <w:tab/>
      </w:r>
      <w:r>
        <w:fldChar w:fldCharType="begin"/>
      </w:r>
      <w:r>
        <w:instrText xml:space="preserve"> PAGEREF _Toc502736793 \h </w:instrText>
      </w:r>
      <w:r>
        <w:fldChar w:fldCharType="separate"/>
      </w:r>
      <w:r>
        <w:t>3</w:t>
      </w:r>
      <w:r>
        <w:fldChar w:fldCharType="end"/>
      </w:r>
    </w:p>
    <w:p>
      <w:pPr>
        <w:pStyle w:val="TOC8"/>
        <w:rPr>
          <w:rFonts w:asciiTheme="minorHAnsi" w:eastAsiaTheme="minorEastAsia" w:hAnsiTheme="minorHAnsi" w:cstheme="minorBidi"/>
          <w:szCs w:val="22"/>
        </w:rPr>
      </w:pPr>
      <w:r>
        <w:t>6.</w:t>
      </w:r>
      <w:r>
        <w:tab/>
        <w:t>Meter rental</w:t>
      </w:r>
      <w:r>
        <w:tab/>
      </w:r>
      <w:r>
        <w:fldChar w:fldCharType="begin"/>
      </w:r>
      <w:r>
        <w:instrText xml:space="preserve"> PAGEREF _Toc502736794 \h </w:instrText>
      </w:r>
      <w:r>
        <w:fldChar w:fldCharType="separate"/>
      </w:r>
      <w:r>
        <w:t>3</w:t>
      </w:r>
      <w:r>
        <w:fldChar w:fldCharType="end"/>
      </w:r>
    </w:p>
    <w:p>
      <w:pPr>
        <w:pStyle w:val="TOC8"/>
        <w:rPr>
          <w:rFonts w:asciiTheme="minorHAnsi" w:eastAsiaTheme="minorEastAsia" w:hAnsiTheme="minorHAnsi" w:cstheme="minorBidi"/>
          <w:szCs w:val="22"/>
        </w:rPr>
      </w:pPr>
      <w:r>
        <w:t>7.</w:t>
      </w:r>
      <w:r>
        <w:tab/>
        <w:t>Fees</w:t>
      </w:r>
      <w:r>
        <w:tab/>
      </w:r>
      <w:r>
        <w:fldChar w:fldCharType="begin"/>
      </w:r>
      <w:r>
        <w:instrText xml:space="preserve"> PAGEREF _Toc502736795 \h </w:instrText>
      </w:r>
      <w:r>
        <w:fldChar w:fldCharType="separate"/>
      </w:r>
      <w:r>
        <w:t>3</w:t>
      </w:r>
      <w:r>
        <w:fldChar w:fldCharType="end"/>
      </w:r>
    </w:p>
    <w:p>
      <w:pPr>
        <w:pStyle w:val="TOC8"/>
        <w:rPr>
          <w:rFonts w:asciiTheme="minorHAnsi" w:eastAsiaTheme="minorEastAsia" w:hAnsiTheme="minorHAnsi" w:cstheme="minorBidi"/>
          <w:szCs w:val="22"/>
        </w:rPr>
      </w:pPr>
      <w:r>
        <w:t>8.</w:t>
      </w:r>
      <w:r>
        <w:tab/>
        <w:t>Payment</w:t>
      </w:r>
      <w:r>
        <w:tab/>
      </w:r>
      <w:r>
        <w:fldChar w:fldCharType="begin"/>
      </w:r>
      <w:r>
        <w:instrText xml:space="preserve"> PAGEREF _Toc502736796 \h </w:instrText>
      </w:r>
      <w:r>
        <w:fldChar w:fldCharType="separate"/>
      </w:r>
      <w:r>
        <w:t>3</w:t>
      </w:r>
      <w:r>
        <w:fldChar w:fldCharType="end"/>
      </w:r>
    </w:p>
    <w:p>
      <w:pPr>
        <w:pStyle w:val="TOC8"/>
        <w:rPr>
          <w:rFonts w:asciiTheme="minorHAnsi" w:eastAsiaTheme="minorEastAsia" w:hAnsiTheme="minorHAnsi" w:cstheme="minorBidi"/>
          <w:szCs w:val="22"/>
        </w:rPr>
      </w:pPr>
      <w:r>
        <w:t>10.</w:t>
      </w:r>
      <w:r>
        <w:tab/>
        <w:t>Calculation of charges</w:t>
      </w:r>
      <w:r>
        <w:tab/>
      </w:r>
      <w:r>
        <w:fldChar w:fldCharType="begin"/>
      </w:r>
      <w:r>
        <w:instrText xml:space="preserve"> PAGEREF _Toc502736797 \h </w:instrText>
      </w:r>
      <w:r>
        <w:fldChar w:fldCharType="separate"/>
      </w:r>
      <w:r>
        <w:t>4</w:t>
      </w:r>
      <w:r>
        <w:fldChar w:fldCharType="end"/>
      </w:r>
    </w:p>
    <w:p>
      <w:pPr>
        <w:pStyle w:val="TOC8"/>
        <w:rPr>
          <w:rFonts w:asciiTheme="minorHAnsi" w:eastAsiaTheme="minorEastAsia" w:hAnsiTheme="minorHAnsi" w:cstheme="minorBidi"/>
          <w:szCs w:val="22"/>
        </w:rPr>
      </w:pPr>
      <w:r>
        <w:t>11.</w:t>
      </w:r>
      <w:r>
        <w:tab/>
        <w:t>Changes in rates</w:t>
      </w:r>
      <w:r>
        <w:tab/>
      </w:r>
      <w:r>
        <w:fldChar w:fldCharType="begin"/>
      </w:r>
      <w:r>
        <w:instrText xml:space="preserve"> PAGEREF _Toc502736798 \h </w:instrText>
      </w:r>
      <w:r>
        <w:fldChar w:fldCharType="separate"/>
      </w:r>
      <w:r>
        <w:t>5</w:t>
      </w:r>
      <w:r>
        <w:fldChar w:fldCharType="end"/>
      </w:r>
    </w:p>
    <w:p>
      <w:pPr>
        <w:pStyle w:val="TOC8"/>
        <w:rPr>
          <w:rFonts w:asciiTheme="minorHAnsi" w:eastAsiaTheme="minorEastAsia" w:hAnsiTheme="minorHAnsi" w:cstheme="minorBidi"/>
          <w:szCs w:val="22"/>
        </w:rPr>
      </w:pPr>
      <w:r>
        <w:t>12.</w:t>
      </w:r>
      <w:r>
        <w:tab/>
        <w:t>Prescribed rate of interest for s. 62(16) of Act</w:t>
      </w:r>
      <w:r>
        <w:tab/>
      </w:r>
      <w:r>
        <w:fldChar w:fldCharType="begin"/>
      </w:r>
      <w:r>
        <w:instrText xml:space="preserve"> PAGEREF _Toc502736799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Schedule 1 — Supply charges</w:t>
      </w:r>
    </w:p>
    <w:p>
      <w:pPr>
        <w:pStyle w:val="TOC4"/>
        <w:tabs>
          <w:tab w:val="right" w:leader="dot" w:pos="7077"/>
        </w:tabs>
        <w:rPr>
          <w:rFonts w:asciiTheme="minorHAnsi" w:eastAsiaTheme="minorEastAsia" w:hAnsiTheme="minorHAnsi" w:cstheme="minorBidi"/>
          <w:b w:val="0"/>
          <w:szCs w:val="22"/>
        </w:rPr>
      </w:pPr>
      <w:r>
        <w:t>Division 1 — Tariffs other than MyPower tariffs</w:t>
      </w:r>
    </w:p>
    <w:p>
      <w:pPr>
        <w:pStyle w:val="TOC8"/>
        <w:rPr>
          <w:rFonts w:asciiTheme="minorHAnsi" w:eastAsiaTheme="minorEastAsia" w:hAnsiTheme="minorHAnsi" w:cstheme="minorBidi"/>
          <w:szCs w:val="22"/>
        </w:rPr>
      </w:pPr>
      <w:r>
        <w:t>1.</w:t>
      </w:r>
      <w:r>
        <w:tab/>
        <w:t>Tariff L2 (general supply — low/medium voltage tariff)</w:t>
      </w:r>
      <w:r>
        <w:tab/>
      </w:r>
      <w:r>
        <w:fldChar w:fldCharType="begin"/>
      </w:r>
      <w:r>
        <w:instrText xml:space="preserve"> PAGEREF _Toc502736802 \h </w:instrText>
      </w:r>
      <w:r>
        <w:fldChar w:fldCharType="separate"/>
      </w:r>
      <w:r>
        <w:t>6</w:t>
      </w:r>
      <w:r>
        <w:fldChar w:fldCharType="end"/>
      </w:r>
    </w:p>
    <w:p>
      <w:pPr>
        <w:pStyle w:val="TOC8"/>
        <w:rPr>
          <w:rFonts w:asciiTheme="minorHAnsi" w:eastAsiaTheme="minorEastAsia" w:hAnsiTheme="minorHAnsi" w:cstheme="minorBidi"/>
          <w:szCs w:val="22"/>
        </w:rPr>
      </w:pPr>
      <w:r>
        <w:t>2.</w:t>
      </w:r>
      <w:r>
        <w:tab/>
        <w:t>Tariff L4 (general supply — low/medium voltage tariff)</w:t>
      </w:r>
      <w:r>
        <w:tab/>
      </w:r>
      <w:r>
        <w:fldChar w:fldCharType="begin"/>
      </w:r>
      <w:r>
        <w:instrText xml:space="preserve"> PAGEREF _Toc502736803 \h </w:instrText>
      </w:r>
      <w:r>
        <w:fldChar w:fldCharType="separate"/>
      </w:r>
      <w:r>
        <w:t>6</w:t>
      </w:r>
      <w:r>
        <w:fldChar w:fldCharType="end"/>
      </w:r>
    </w:p>
    <w:p>
      <w:pPr>
        <w:pStyle w:val="TOC8"/>
        <w:rPr>
          <w:rFonts w:asciiTheme="minorHAnsi" w:eastAsiaTheme="minorEastAsia" w:hAnsiTheme="minorHAnsi" w:cstheme="minorBidi"/>
          <w:szCs w:val="22"/>
        </w:rPr>
      </w:pPr>
      <w:r>
        <w:t>3.</w:t>
      </w:r>
      <w:r>
        <w:tab/>
        <w:t>Tariff A2 (residential tariff)</w:t>
      </w:r>
      <w:r>
        <w:tab/>
      </w:r>
      <w:r>
        <w:fldChar w:fldCharType="begin"/>
      </w:r>
      <w:r>
        <w:instrText xml:space="preserve"> PAGEREF _Toc502736804 \h </w:instrText>
      </w:r>
      <w:r>
        <w:fldChar w:fldCharType="separate"/>
      </w:r>
      <w:r>
        <w:t>7</w:t>
      </w:r>
      <w:r>
        <w:fldChar w:fldCharType="end"/>
      </w:r>
    </w:p>
    <w:p>
      <w:pPr>
        <w:pStyle w:val="TOC8"/>
        <w:rPr>
          <w:rFonts w:asciiTheme="minorHAnsi" w:eastAsiaTheme="minorEastAsia" w:hAnsiTheme="minorHAnsi" w:cstheme="minorBidi"/>
          <w:szCs w:val="22"/>
        </w:rPr>
      </w:pPr>
      <w:r>
        <w:t>4.</w:t>
      </w:r>
      <w:r>
        <w:tab/>
        <w:t>Tariff C2 (special community service tariff)</w:t>
      </w:r>
      <w:r>
        <w:tab/>
      </w:r>
      <w:r>
        <w:fldChar w:fldCharType="begin"/>
      </w:r>
      <w:r>
        <w:instrText xml:space="preserve"> PAGEREF _Toc502736805 \h </w:instrText>
      </w:r>
      <w:r>
        <w:fldChar w:fldCharType="separate"/>
      </w:r>
      <w:r>
        <w:t>7</w:t>
      </w:r>
      <w:r>
        <w:fldChar w:fldCharType="end"/>
      </w:r>
    </w:p>
    <w:p>
      <w:pPr>
        <w:pStyle w:val="TOC8"/>
        <w:rPr>
          <w:rFonts w:asciiTheme="minorHAnsi" w:eastAsiaTheme="minorEastAsia" w:hAnsiTheme="minorHAnsi" w:cstheme="minorBidi"/>
          <w:szCs w:val="22"/>
        </w:rPr>
      </w:pPr>
      <w:r>
        <w:t>5.</w:t>
      </w:r>
      <w:r>
        <w:tab/>
        <w:t>Tariff D2 (special tariff for certain premises)</w:t>
      </w:r>
      <w:r>
        <w:tab/>
      </w:r>
      <w:r>
        <w:fldChar w:fldCharType="begin"/>
      </w:r>
      <w:r>
        <w:instrText xml:space="preserve"> PAGEREF _Toc502736806 \h </w:instrText>
      </w:r>
      <w:r>
        <w:fldChar w:fldCharType="separate"/>
      </w:r>
      <w:r>
        <w:t>8</w:t>
      </w:r>
      <w:r>
        <w:fldChar w:fldCharType="end"/>
      </w:r>
    </w:p>
    <w:p>
      <w:pPr>
        <w:pStyle w:val="TOC8"/>
        <w:rPr>
          <w:rFonts w:asciiTheme="minorHAnsi" w:eastAsiaTheme="minorEastAsia" w:hAnsiTheme="minorHAnsi" w:cstheme="minorBidi"/>
          <w:szCs w:val="22"/>
        </w:rPr>
      </w:pPr>
      <w:r>
        <w:t>6.</w:t>
      </w:r>
      <w:r>
        <w:tab/>
        <w:t>Tariff K2 (general supply with residential tariff)</w:t>
      </w:r>
      <w:r>
        <w:tab/>
      </w:r>
      <w:r>
        <w:fldChar w:fldCharType="begin"/>
      </w:r>
      <w:r>
        <w:instrText xml:space="preserve"> PAGEREF _Toc502736807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 — MyPower tariffs</w:t>
      </w:r>
    </w:p>
    <w:p>
      <w:pPr>
        <w:pStyle w:val="TOC8"/>
        <w:rPr>
          <w:rFonts w:asciiTheme="minorHAnsi" w:eastAsiaTheme="minorEastAsia" w:hAnsiTheme="minorHAnsi" w:cstheme="minorBidi"/>
          <w:szCs w:val="22"/>
        </w:rPr>
      </w:pPr>
      <w:r>
        <w:t>7.</w:t>
      </w:r>
      <w:r>
        <w:tab/>
        <w:t>Terms used</w:t>
      </w:r>
      <w:r>
        <w:tab/>
      </w:r>
      <w:r>
        <w:fldChar w:fldCharType="begin"/>
      </w:r>
      <w:r>
        <w:instrText xml:space="preserve"> PAGEREF _Toc502736809 \h </w:instrText>
      </w:r>
      <w:r>
        <w:fldChar w:fldCharType="separate"/>
      </w:r>
      <w:r>
        <w:t>9</w:t>
      </w:r>
      <w:r>
        <w:fldChar w:fldCharType="end"/>
      </w:r>
    </w:p>
    <w:p>
      <w:pPr>
        <w:pStyle w:val="TOC8"/>
        <w:rPr>
          <w:rFonts w:asciiTheme="minorHAnsi" w:eastAsiaTheme="minorEastAsia" w:hAnsiTheme="minorHAnsi" w:cstheme="minorBidi"/>
          <w:szCs w:val="22"/>
        </w:rPr>
      </w:pPr>
      <w:r>
        <w:t>8.</w:t>
      </w:r>
      <w:r>
        <w:tab/>
        <w:t>MyPower residential tariffs</w:t>
      </w:r>
      <w:r>
        <w:tab/>
      </w:r>
      <w:r>
        <w:fldChar w:fldCharType="begin"/>
      </w:r>
      <w:r>
        <w:instrText xml:space="preserve"> PAGEREF _Toc502736810 \h </w:instrText>
      </w:r>
      <w:r>
        <w:fldChar w:fldCharType="separate"/>
      </w:r>
      <w:r>
        <w:t>10</w:t>
      </w:r>
      <w:r>
        <w:fldChar w:fldCharType="end"/>
      </w:r>
    </w:p>
    <w:p>
      <w:pPr>
        <w:pStyle w:val="TOC8"/>
        <w:rPr>
          <w:rFonts w:asciiTheme="minorHAnsi" w:eastAsiaTheme="minorEastAsia" w:hAnsiTheme="minorHAnsi" w:cstheme="minorBidi"/>
          <w:szCs w:val="22"/>
        </w:rPr>
      </w:pPr>
      <w:r>
        <w:t>9.</w:t>
      </w:r>
      <w:r>
        <w:tab/>
        <w:t>MyPower non</w:t>
      </w:r>
      <w:r>
        <w:noBreakHyphen/>
        <w:t>residential tariffs</w:t>
      </w:r>
      <w:r>
        <w:tab/>
      </w:r>
      <w:r>
        <w:fldChar w:fldCharType="begin"/>
      </w:r>
      <w:r>
        <w:instrText xml:space="preserve"> PAGEREF _Toc502736811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2 — Unmetered supply</w:t>
      </w:r>
    </w:p>
    <w:p>
      <w:pPr>
        <w:pStyle w:val="TOC4"/>
        <w:tabs>
          <w:tab w:val="right" w:leader="dot" w:pos="7077"/>
        </w:tabs>
        <w:rPr>
          <w:rFonts w:asciiTheme="minorHAnsi" w:eastAsiaTheme="minorEastAsia" w:hAnsiTheme="minorHAnsi" w:cstheme="minorBidi"/>
          <w:b w:val="0"/>
          <w:szCs w:val="22"/>
        </w:rPr>
      </w:pPr>
      <w:r>
        <w:t>Division 1 — Street lighting</w:t>
      </w:r>
    </w:p>
    <w:p>
      <w:pPr>
        <w:pStyle w:val="TOC4"/>
        <w:tabs>
          <w:tab w:val="right" w:leader="dot" w:pos="7077"/>
        </w:tabs>
        <w:rPr>
          <w:rFonts w:asciiTheme="minorHAnsi" w:eastAsiaTheme="minorEastAsia" w:hAnsiTheme="minorHAnsi" w:cstheme="minorBidi"/>
          <w:b w:val="0"/>
          <w:szCs w:val="22"/>
        </w:rPr>
      </w:pPr>
      <w:r>
        <w:t>Division 2 — Miscellaneous</w:t>
      </w:r>
    </w:p>
    <w:p>
      <w:pPr>
        <w:pStyle w:val="TOC8"/>
        <w:rPr>
          <w:rFonts w:asciiTheme="minorHAnsi" w:eastAsiaTheme="minorEastAsia" w:hAnsiTheme="minorHAnsi" w:cstheme="minorBidi"/>
          <w:szCs w:val="22"/>
        </w:rPr>
      </w:pPr>
      <w:r>
        <w:t>1.</w:t>
      </w:r>
      <w:r>
        <w:tab/>
        <w:t>Traffic light installation</w:t>
      </w:r>
      <w:r>
        <w:tab/>
      </w:r>
      <w:r>
        <w:fldChar w:fldCharType="begin"/>
      </w:r>
      <w:r>
        <w:instrText xml:space="preserve"> PAGEREF _Toc502736815 \h </w:instrText>
      </w:r>
      <w:r>
        <w:fldChar w:fldCharType="separate"/>
      </w:r>
      <w:r>
        <w:t>18</w:t>
      </w:r>
      <w:r>
        <w:fldChar w:fldCharType="end"/>
      </w:r>
    </w:p>
    <w:p>
      <w:pPr>
        <w:pStyle w:val="TOC8"/>
        <w:rPr>
          <w:rFonts w:asciiTheme="minorHAnsi" w:eastAsiaTheme="minorEastAsia" w:hAnsiTheme="minorHAnsi" w:cstheme="minorBidi"/>
          <w:szCs w:val="22"/>
        </w:rPr>
      </w:pPr>
      <w:r>
        <w:t>2.</w:t>
      </w:r>
      <w:r>
        <w:tab/>
        <w:t>Public telephone facility</w:t>
      </w:r>
      <w:r>
        <w:tab/>
      </w:r>
      <w:r>
        <w:fldChar w:fldCharType="begin"/>
      </w:r>
      <w:r>
        <w:instrText xml:space="preserve"> PAGEREF _Toc502736816 \h </w:instrText>
      </w:r>
      <w:r>
        <w:fldChar w:fldCharType="separate"/>
      </w:r>
      <w:r>
        <w:t>18</w:t>
      </w:r>
      <w:r>
        <w:fldChar w:fldCharType="end"/>
      </w:r>
    </w:p>
    <w:p>
      <w:pPr>
        <w:pStyle w:val="TOC8"/>
        <w:rPr>
          <w:rFonts w:asciiTheme="minorHAnsi" w:eastAsiaTheme="minorEastAsia" w:hAnsiTheme="minorHAnsi" w:cstheme="minorBidi"/>
          <w:szCs w:val="22"/>
        </w:rPr>
      </w:pPr>
      <w:r>
        <w:t>3.</w:t>
      </w:r>
      <w:r>
        <w:tab/>
        <w:t>Railway crossing</w:t>
      </w:r>
      <w:r>
        <w:tab/>
      </w:r>
      <w:r>
        <w:fldChar w:fldCharType="begin"/>
      </w:r>
      <w:r>
        <w:instrText xml:space="preserve"> PAGEREF _Toc502736817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Schedule 3 — Meter rentals</w:t>
      </w:r>
    </w:p>
    <w:p>
      <w:pPr>
        <w:pStyle w:val="TOC2"/>
        <w:tabs>
          <w:tab w:val="right" w:leader="dot" w:pos="7077"/>
        </w:tabs>
        <w:rPr>
          <w:rFonts w:asciiTheme="minorHAnsi" w:eastAsiaTheme="minorEastAsia" w:hAnsiTheme="minorHAnsi" w:cstheme="minorBidi"/>
          <w:b w:val="0"/>
          <w:sz w:val="22"/>
          <w:szCs w:val="22"/>
        </w:rPr>
      </w:pPr>
      <w:r>
        <w:t>Schedule 4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_Toc502736821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pPr>
      <w:r>
        <w:t>Energy Operators (Powers) Act 1979</w:t>
      </w:r>
    </w:p>
    <w:p>
      <w:pPr>
        <w:pStyle w:val="NameofActReg"/>
      </w:pPr>
      <w:r>
        <w:t>Energy Operators (Regional Power Corporation) (Charges) By</w:t>
      </w:r>
      <w:r>
        <w:noBreakHyphen/>
        <w:t>laws 2006</w:t>
      </w:r>
    </w:p>
    <w:p>
      <w:pPr>
        <w:pStyle w:val="Heading5"/>
      </w:pPr>
      <w:bookmarkStart w:id="3" w:name="_Toc502736789"/>
      <w:r>
        <w:rPr>
          <w:rStyle w:val="CharSectno"/>
        </w:rPr>
        <w:t>1</w:t>
      </w:r>
      <w:r>
        <w:t>.</w:t>
      </w:r>
      <w:r>
        <w:tab/>
        <w:t>Citation</w:t>
      </w:r>
      <w:bookmarkEnd w:id="3"/>
    </w:p>
    <w:p>
      <w:pPr>
        <w:pStyle w:val="Subsection"/>
      </w:pPr>
      <w:r>
        <w:tab/>
      </w:r>
      <w:r>
        <w:tab/>
        <w:t>These by</w:t>
      </w:r>
      <w:r>
        <w:noBreakHyphen/>
        <w:t xml:space="preserve">laws are the </w:t>
      </w:r>
      <w:r>
        <w:rPr>
          <w:i/>
        </w:rPr>
        <w:t>Energy Operators (Regional Power Corporation) (Charges) By</w:t>
      </w:r>
      <w:r>
        <w:rPr>
          <w:i/>
        </w:rPr>
        <w:noBreakHyphen/>
        <w:t>laws 2006</w:t>
      </w:r>
      <w:r>
        <w:rPr>
          <w:vertAlign w:val="superscript"/>
        </w:rPr>
        <w:t> 1</w:t>
      </w:r>
      <w:r>
        <w:t>.</w:t>
      </w:r>
    </w:p>
    <w:p>
      <w:pPr>
        <w:pStyle w:val="Heading5"/>
      </w:pPr>
      <w:bookmarkStart w:id="4" w:name="_Toc502736790"/>
      <w:r>
        <w:rPr>
          <w:rStyle w:val="CharSectno"/>
        </w:rPr>
        <w:t>2</w:t>
      </w:r>
      <w:r>
        <w:t>.</w:t>
      </w:r>
      <w:r>
        <w:tab/>
        <w:t>Commencement</w:t>
      </w:r>
      <w:bookmarkEnd w:id="4"/>
    </w:p>
    <w:p>
      <w:pPr>
        <w:pStyle w:val="Subsection"/>
      </w:pPr>
      <w:r>
        <w:tab/>
      </w:r>
      <w:r>
        <w:tab/>
        <w:t>These by</w:t>
      </w:r>
      <w:r>
        <w:noBreakHyphen/>
        <w:t>laws come into operation on 1 April 2006.</w:t>
      </w:r>
    </w:p>
    <w:p>
      <w:pPr>
        <w:pStyle w:val="Heading5"/>
        <w:rPr>
          <w:snapToGrid w:val="0"/>
        </w:rPr>
      </w:pPr>
      <w:bookmarkStart w:id="5" w:name="_Toc502736791"/>
      <w:r>
        <w:rPr>
          <w:rStyle w:val="CharSectno"/>
        </w:rPr>
        <w:t>3</w:t>
      </w:r>
      <w:r>
        <w:t>.</w:t>
      </w:r>
      <w:r>
        <w:tab/>
      </w:r>
      <w:r>
        <w:rPr>
          <w:snapToGrid w:val="0"/>
        </w:rPr>
        <w:t>Terms used</w:t>
      </w:r>
      <w:bookmarkEnd w:id="5"/>
    </w:p>
    <w:p>
      <w:pPr>
        <w:pStyle w:val="Subsection"/>
        <w:rPr>
          <w:snapToGrid w:val="0"/>
        </w:rPr>
      </w:pPr>
      <w:r>
        <w:rPr>
          <w:snapToGrid w:val="0"/>
        </w:rPr>
        <w:tab/>
      </w:r>
      <w:r>
        <w:rPr>
          <w:snapToGrid w:val="0"/>
        </w:rPr>
        <w:tab/>
        <w:t>In these by</w:t>
      </w:r>
      <w:r>
        <w:rPr>
          <w:snapToGrid w:val="0"/>
        </w:rPr>
        <w:noBreakHyphen/>
        <w:t xml:space="preserve">laws, unless the contrary intention appears — </w:t>
      </w:r>
    </w:p>
    <w:p>
      <w:pPr>
        <w:pStyle w:val="Defstart"/>
      </w:pPr>
      <w:r>
        <w:rPr>
          <w:b/>
        </w:rPr>
        <w:tab/>
      </w:r>
      <w:r>
        <w:rPr>
          <w:rStyle w:val="CharDefText"/>
        </w:rPr>
        <w:t>corporation</w:t>
      </w:r>
      <w:r>
        <w:t xml:space="preserve"> means the body established by the </w:t>
      </w:r>
      <w:r>
        <w:rPr>
          <w:i/>
        </w:rPr>
        <w:t>Electricity Corporations Act 2005</w:t>
      </w:r>
      <w:r>
        <w:t xml:space="preserve"> section 4(1)(d);</w:t>
      </w:r>
    </w:p>
    <w:p>
      <w:pPr>
        <w:pStyle w:val="Defstart"/>
      </w:pPr>
      <w:r>
        <w:rPr>
          <w:b/>
        </w:rPr>
        <w:tab/>
      </w:r>
      <w:r>
        <w:rPr>
          <w:rStyle w:val="CharDefText"/>
        </w:rPr>
        <w:t>dwelling</w:t>
      </w:r>
      <w:r>
        <w:t xml:space="preserve"> means a house, flat, home unit or other place of residence used solely for residential purposes;</w:t>
      </w:r>
    </w:p>
    <w:p>
      <w:pPr>
        <w:pStyle w:val="Defstart"/>
      </w:pPr>
      <w:r>
        <w:tab/>
      </w:r>
      <w:r>
        <w:rPr>
          <w:rStyle w:val="CharDefText"/>
        </w:rPr>
        <w:t>RBA cash rate</w:t>
      </w:r>
      <w:r>
        <w:t xml:space="preserve"> means the percentage (or maximum percentage) specified by the Reserve Bank of </w:t>
      </w:r>
      <w:smartTag w:uri="urn:schemas-microsoft-com:office:smarttags" w:element="place">
        <w:smartTag w:uri="urn:schemas-microsoft-com:office:smarttags" w:element="country-region">
          <w:r>
            <w:t>Australia</w:t>
          </w:r>
        </w:smartTag>
      </w:smartTag>
      <w:r>
        <w:t xml:space="preserve"> as the Cash Rate Target;</w:t>
      </w:r>
    </w:p>
    <w:p>
      <w:pPr>
        <w:pStyle w:val="Subsection"/>
        <w:spacing w:before="80"/>
      </w:pPr>
      <w:r>
        <w:tab/>
      </w:r>
      <w:r>
        <w:tab/>
      </w:r>
      <w:r>
        <w:rPr>
          <w:rStyle w:val="CharDefText"/>
        </w:rPr>
        <w:t>residential tariff</w:t>
      </w:r>
      <w:r>
        <w:t xml:space="preserve"> means Tariff A2 or a MyPower residential tariff as defined in Schedule 1 clause 8(1);</w:t>
      </w:r>
    </w:p>
    <w:p>
      <w:pPr>
        <w:pStyle w:val="Defstart"/>
      </w:pPr>
      <w:r>
        <w:rPr>
          <w:b/>
        </w:rPr>
        <w:tab/>
      </w:r>
      <w:r>
        <w:rPr>
          <w:rStyle w:val="CharDefText"/>
        </w:rPr>
        <w:t>Tarif</w:t>
      </w:r>
      <w:r>
        <w:rPr>
          <w:rStyle w:val="CharDefText"/>
          <w:spacing w:val="40"/>
        </w:rPr>
        <w:t>f</w:t>
      </w:r>
      <w:r>
        <w:t xml:space="preserve"> followed by a designation means the tariff so designated in Schedule 1;</w:t>
      </w:r>
    </w:p>
    <w:p>
      <w:pPr>
        <w:pStyle w:val="Defstart"/>
      </w:pPr>
      <w:r>
        <w:rPr>
          <w:b/>
        </w:rPr>
        <w:tab/>
      </w:r>
      <w:r>
        <w:rPr>
          <w:rStyle w:val="CharDefText"/>
        </w:rPr>
        <w:t>unit</w:t>
      </w:r>
      <w:r>
        <w:t>, in relation to a charge for electricity, means one kilowatt hour.</w:t>
      </w:r>
    </w:p>
    <w:p>
      <w:pPr>
        <w:pStyle w:val="Footnotesection"/>
      </w:pPr>
      <w:r>
        <w:tab/>
        <w:t>[By</w:t>
      </w:r>
      <w:r>
        <w:noBreakHyphen/>
        <w:t>law 3 amended in Gazette 30 Mar 2009 p. 1000; 29 Jun 2012 p. 2900; 22 Aug 2014 p. 3017; 22 Dec 2017 p. 5979.]</w:t>
      </w:r>
    </w:p>
    <w:p>
      <w:pPr>
        <w:pStyle w:val="Ednotesection"/>
      </w:pPr>
      <w:r>
        <w:t>[</w:t>
      </w:r>
      <w:r>
        <w:rPr>
          <w:b/>
        </w:rPr>
        <w:t>4A.</w:t>
      </w:r>
      <w:r>
        <w:tab/>
        <w:t>Deleted in Gazette 22 Aug 2014 p. 3017.]</w:t>
      </w:r>
    </w:p>
    <w:p>
      <w:pPr>
        <w:pStyle w:val="Heading5"/>
        <w:rPr>
          <w:snapToGrid w:val="0"/>
        </w:rPr>
      </w:pPr>
      <w:bookmarkStart w:id="6" w:name="_Toc502736792"/>
      <w:r>
        <w:rPr>
          <w:rStyle w:val="CharSectno"/>
        </w:rPr>
        <w:t>4</w:t>
      </w:r>
      <w:r>
        <w:t>.</w:t>
      </w:r>
      <w:r>
        <w:tab/>
      </w:r>
      <w:r>
        <w:rPr>
          <w:snapToGrid w:val="0"/>
        </w:rPr>
        <w:t>Electricity charges</w:t>
      </w:r>
      <w:bookmarkEnd w:id="6"/>
    </w:p>
    <w:p>
      <w:pPr>
        <w:pStyle w:val="Subsection"/>
      </w:pPr>
      <w:r>
        <w:tab/>
        <w:t>(1A)</w:t>
      </w:r>
      <w:r>
        <w:tab/>
        <w:t xml:space="preserve">In this </w:t>
      </w:r>
      <w:r>
        <w:rPr>
          <w:snapToGrid w:val="0"/>
        </w:rPr>
        <w:t>by</w:t>
      </w:r>
      <w:r>
        <w:rPr>
          <w:snapToGrid w:val="0"/>
        </w:rPr>
        <w:noBreakHyphen/>
        <w:t>law</w:t>
      </w:r>
      <w:r>
        <w:t xml:space="preserve"> — </w:t>
      </w:r>
    </w:p>
    <w:p>
      <w:pPr>
        <w:pStyle w:val="yDefstart"/>
      </w:pPr>
      <w:r>
        <w:rPr>
          <w:sz w:val="24"/>
          <w:szCs w:val="24"/>
        </w:rPr>
        <w:tab/>
      </w:r>
      <w:r>
        <w:rPr>
          <w:rStyle w:val="CharDefText"/>
          <w:sz w:val="24"/>
          <w:szCs w:val="24"/>
        </w:rPr>
        <w:t>North West interconnected system</w:t>
      </w:r>
      <w:r>
        <w:rPr>
          <w:sz w:val="24"/>
          <w:szCs w:val="24"/>
        </w:rPr>
        <w:t xml:space="preserve"> has the meaning given in the </w:t>
      </w:r>
      <w:r>
        <w:rPr>
          <w:i/>
          <w:sz w:val="24"/>
          <w:szCs w:val="24"/>
        </w:rPr>
        <w:t>Electricity Transmission and Distribution Systems (Access) Act 1994</w:t>
      </w:r>
      <w:r>
        <w:rPr>
          <w:sz w:val="24"/>
          <w:szCs w:val="24"/>
        </w:rPr>
        <w:t xml:space="preserve"> section 2;</w:t>
      </w:r>
    </w:p>
    <w:p>
      <w:pPr>
        <w:pStyle w:val="yDefstart"/>
      </w:pPr>
      <w:r>
        <w:tab/>
      </w:r>
      <w:r>
        <w:rPr>
          <w:rStyle w:val="CharDefText"/>
          <w:sz w:val="24"/>
          <w:szCs w:val="24"/>
        </w:rPr>
        <w:t>regional non</w:t>
      </w:r>
      <w:r>
        <w:rPr>
          <w:rStyle w:val="CharDefText"/>
          <w:sz w:val="24"/>
          <w:szCs w:val="24"/>
        </w:rPr>
        <w:noBreakHyphen/>
        <w:t>integrated system</w:t>
      </w:r>
      <w:r>
        <w:t xml:space="preserve"> means any electrical system of or conducted by the corporation from which electricity is supplied to consumers, other than the South West interconnected system and the North West interconnected system;</w:t>
      </w:r>
    </w:p>
    <w:p>
      <w:pPr>
        <w:pStyle w:val="yDefstart"/>
      </w:pPr>
      <w:r>
        <w:tab/>
      </w:r>
      <w:r>
        <w:rPr>
          <w:rStyle w:val="CharDefText"/>
          <w:sz w:val="24"/>
          <w:szCs w:val="24"/>
        </w:rPr>
        <w:t>South West interconnected system</w:t>
      </w:r>
      <w:r>
        <w:t xml:space="preserve"> has the meaning given in the </w:t>
      </w:r>
      <w:r>
        <w:rPr>
          <w:i/>
        </w:rPr>
        <w:t>Electricity Industry Act 2004</w:t>
      </w:r>
      <w:r>
        <w:t xml:space="preserve"> section 3.</w:t>
      </w:r>
    </w:p>
    <w:p>
      <w:pPr>
        <w:pStyle w:val="Subsection"/>
        <w:rPr>
          <w:snapToGrid w:val="0"/>
        </w:rPr>
      </w:pPr>
      <w:r>
        <w:rPr>
          <w:snapToGrid w:val="0"/>
        </w:rPr>
        <w:tab/>
        <w:t>(1)</w:t>
      </w:r>
      <w:r>
        <w:rPr>
          <w:snapToGrid w:val="0"/>
        </w:rPr>
        <w:tab/>
        <w:t xml:space="preserve">The charges to be paid by consumers for </w:t>
      </w:r>
      <w:r>
        <w:t>the metered supply of electricity</w:t>
      </w:r>
      <w:r>
        <w:rPr>
          <w:snapToGrid w:val="0"/>
        </w:rPr>
        <w:t xml:space="preserve"> by the</w:t>
      </w:r>
      <w:r>
        <w:t xml:space="preserve"> corporation</w:t>
      </w:r>
      <w:r>
        <w:rPr>
          <w:snapToGrid w:val="0"/>
        </w:rPr>
        <w:t xml:space="preserve"> are those specified in, or calculated in accordance with, Schedule 1.</w:t>
      </w:r>
    </w:p>
    <w:p>
      <w:pPr>
        <w:pStyle w:val="Subsection"/>
        <w:rPr>
          <w:snapToGrid w:val="0"/>
        </w:rPr>
      </w:pPr>
      <w:r>
        <w:tab/>
        <w:t>(2A)</w:t>
      </w:r>
      <w:r>
        <w:tab/>
      </w:r>
      <w:r>
        <w:rPr>
          <w:snapToGrid w:val="0"/>
        </w:rPr>
        <w:t>Sub</w:t>
      </w:r>
      <w:r>
        <w:rPr>
          <w:snapToGrid w:val="0"/>
        </w:rPr>
        <w:noBreakHyphen/>
        <w:t>bylaw (</w:t>
      </w:r>
      <w:r>
        <w:t>1) does not apply to electricity supplied from a regional non</w:t>
      </w:r>
      <w:r>
        <w:noBreakHyphen/>
        <w:t xml:space="preserve">integrated system or the </w:t>
      </w:r>
      <w:r>
        <w:rPr>
          <w:rStyle w:val="CharDefText"/>
          <w:szCs w:val="24"/>
        </w:rPr>
        <w:t>North West interconnected system</w:t>
      </w:r>
      <w:r>
        <w:t xml:space="preserve"> to Commonwealth, State or foreign government departments, instrumentalities, agencies or trading concerns (except for local governments, regional local governments or other bodies corporate not prohibited by the </w:t>
      </w:r>
      <w:r>
        <w:rPr>
          <w:i/>
        </w:rPr>
        <w:t>Local Government Act 1995</w:t>
      </w:r>
      <w:r>
        <w:t xml:space="preserve"> section 3.60).</w:t>
      </w:r>
    </w:p>
    <w:p>
      <w:pPr>
        <w:pStyle w:val="Subsection"/>
      </w:pPr>
      <w:r>
        <w:tab/>
        <w:t>(2)</w:t>
      </w:r>
      <w:r>
        <w:tab/>
        <w:t>The charges to be paid by consumers for the unmetered supply of street lighting by the corporation are those specified in Schedule 2 Division 1.</w:t>
      </w:r>
    </w:p>
    <w:p>
      <w:pPr>
        <w:pStyle w:val="Subsection"/>
      </w:pPr>
      <w:r>
        <w:tab/>
        <w:t>(3)</w:t>
      </w:r>
      <w:r>
        <w:tab/>
        <w:t>The charges to be paid by consumers for the unmetered supply of electricity except street lighting by the corporation are those specified in, or calculated in accordance with, Schedule 2 Division 2.</w:t>
      </w:r>
    </w:p>
    <w:p>
      <w:pPr>
        <w:pStyle w:val="Footnotesection"/>
        <w:ind w:left="890" w:hanging="890"/>
      </w:pPr>
      <w:r>
        <w:tab/>
        <w:t>[By</w:t>
      </w:r>
      <w:r>
        <w:noBreakHyphen/>
        <w:t>law 4 amended in Gazette 30 Aug 2013 p. 4093-4; 26 Jun 2015 p. 2247</w:t>
      </w:r>
      <w:r>
        <w:noBreakHyphen/>
        <w:t>8.]</w:t>
      </w:r>
    </w:p>
    <w:p>
      <w:pPr>
        <w:pStyle w:val="Heading5"/>
      </w:pPr>
      <w:bookmarkStart w:id="7" w:name="_Toc502736793"/>
      <w:r>
        <w:rPr>
          <w:rStyle w:val="CharSectno"/>
        </w:rPr>
        <w:t>5</w:t>
      </w:r>
      <w:r>
        <w:t>.</w:t>
      </w:r>
      <w:r>
        <w:tab/>
        <w:t>Application of residential tariffs</w:t>
      </w:r>
      <w:bookmarkEnd w:id="7"/>
    </w:p>
    <w:p>
      <w:pPr>
        <w:pStyle w:val="Subsection"/>
        <w:tabs>
          <w:tab w:val="left" w:pos="5529"/>
        </w:tabs>
        <w:rPr>
          <w:snapToGrid w:val="0"/>
        </w:rPr>
      </w:pPr>
      <w:r>
        <w:rPr>
          <w:snapToGrid w:val="0"/>
        </w:rPr>
        <w:tab/>
        <w:t>(1)</w:t>
      </w:r>
      <w:r>
        <w:rPr>
          <w:snapToGrid w:val="0"/>
        </w:rPr>
        <w:tab/>
        <w:t xml:space="preserve">A consumer is entitled to be supplied on the basis of </w:t>
      </w:r>
      <w:r>
        <w:t>a residential tariff</w:t>
      </w:r>
      <w:r>
        <w:rPr>
          <w:snapToGrid w:val="0"/>
        </w:rPr>
        <w:t xml:space="preserve"> only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w:t>
      </w:r>
    </w:p>
    <w:p>
      <w:pPr>
        <w:pStyle w:val="Subsection"/>
      </w:pPr>
      <w:r>
        <w:rPr>
          <w:snapToGrid w:val="0"/>
        </w:rPr>
        <w:tab/>
        <w:t>(2)</w:t>
      </w:r>
      <w:r>
        <w:rPr>
          <w:snapToGrid w:val="0"/>
        </w:rPr>
        <w:tab/>
        <w:t>Notwithstanding that any premises would not otherwise be treated as a dwelling for the purposes of this by</w:t>
      </w:r>
      <w:r>
        <w:rPr>
          <w:snapToGrid w:val="0"/>
        </w:rPr>
        <w:noBreakHyphen/>
        <w:t xml:space="preserve">law, </w:t>
      </w:r>
      <w:r>
        <w:t>a residential tariff</w:t>
      </w:r>
      <w:r>
        <w:rPr>
          <w:snapToGrid w:val="0"/>
        </w:rPr>
        <w:t xml:space="preserve"> may be applied if the premises or any part of the premises is independently supplied and separately metered solely for the purpose of a residential supply.</w:t>
      </w:r>
    </w:p>
    <w:p>
      <w:pPr>
        <w:pStyle w:val="Footnotesection"/>
        <w:ind w:left="890" w:hanging="890"/>
      </w:pPr>
      <w:r>
        <w:tab/>
        <w:t>[By</w:t>
      </w:r>
      <w:r>
        <w:noBreakHyphen/>
        <w:t>law 5 amended in Gazette 22 Dec 2017 p. 5979.]</w:t>
      </w:r>
    </w:p>
    <w:p>
      <w:pPr>
        <w:pStyle w:val="Heading5"/>
      </w:pPr>
      <w:bookmarkStart w:id="8" w:name="_Toc502736794"/>
      <w:r>
        <w:rPr>
          <w:rStyle w:val="CharSectno"/>
        </w:rPr>
        <w:t>6</w:t>
      </w:r>
      <w:r>
        <w:t>.</w:t>
      </w:r>
      <w:r>
        <w:tab/>
        <w:t>Meter rental</w:t>
      </w:r>
      <w:bookmarkEnd w:id="8"/>
    </w:p>
    <w:p>
      <w:pPr>
        <w:pStyle w:val="Subsection"/>
        <w:rPr>
          <w:snapToGrid w:val="0"/>
        </w:rPr>
      </w:pPr>
      <w:r>
        <w:rPr>
          <w:snapToGrid w:val="0"/>
        </w:rPr>
        <w:tab/>
        <w:t>(1)</w:t>
      </w:r>
      <w:r>
        <w:rPr>
          <w:snapToGrid w:val="0"/>
        </w:rPr>
        <w:tab/>
        <w:t>A consumer supplied by the corporation with electricity is liable to pay the rental specified in Schedule 3 in respect of each subsidiary meter used to meter the supply.</w:t>
      </w:r>
    </w:p>
    <w:p>
      <w:pPr>
        <w:pStyle w:val="Subsection"/>
        <w:rPr>
          <w:snapToGrid w:val="0"/>
        </w:rPr>
      </w:pPr>
      <w:r>
        <w:rPr>
          <w:snapToGrid w:val="0"/>
        </w:rPr>
        <w:tab/>
        <w:t>(2)</w:t>
      </w:r>
      <w:r>
        <w:rPr>
          <w:snapToGrid w:val="0"/>
        </w:rPr>
        <w:tab/>
        <w:t>Sub</w:t>
      </w:r>
      <w:r>
        <w:rPr>
          <w:snapToGrid w:val="0"/>
        </w:rPr>
        <w:noBreakHyphen/>
        <w:t xml:space="preserve">bylaw (1) does not apply to a consumer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 and</w:t>
      </w:r>
    </w:p>
    <w:p>
      <w:pPr>
        <w:pStyle w:val="Indenta"/>
        <w:rPr>
          <w:snapToGrid w:val="0"/>
        </w:rPr>
      </w:pPr>
      <w:r>
        <w:rPr>
          <w:snapToGrid w:val="0"/>
        </w:rPr>
        <w:tab/>
        <w:t>(c)</w:t>
      </w:r>
      <w:r>
        <w:rPr>
          <w:snapToGrid w:val="0"/>
        </w:rPr>
        <w:tab/>
        <w:t>the master account is supplied under the residential tariff.</w:t>
      </w:r>
    </w:p>
    <w:p>
      <w:pPr>
        <w:pStyle w:val="Heading5"/>
      </w:pPr>
      <w:bookmarkStart w:id="9" w:name="_Toc502736795"/>
      <w:r>
        <w:rPr>
          <w:rStyle w:val="CharSectno"/>
        </w:rPr>
        <w:t>7</w:t>
      </w:r>
      <w:r>
        <w:t>.</w:t>
      </w:r>
      <w:r>
        <w:tab/>
        <w:t>Fees</w:t>
      </w:r>
      <w:bookmarkEnd w:id="9"/>
    </w:p>
    <w:p>
      <w:pPr>
        <w:pStyle w:val="Subsection"/>
        <w:rPr>
          <w:snapToGrid w:val="0"/>
        </w:rPr>
      </w:pPr>
      <w:r>
        <w:rPr>
          <w:snapToGrid w:val="0"/>
        </w:rPr>
        <w:tab/>
      </w:r>
      <w:r>
        <w:rPr>
          <w:snapToGrid w:val="0"/>
        </w:rPr>
        <w:tab/>
        <w:t>The fees specified in Schedule 4 are payable in respect of the matters specified in that Schedule.</w:t>
      </w:r>
    </w:p>
    <w:p>
      <w:pPr>
        <w:pStyle w:val="Heading5"/>
      </w:pPr>
      <w:bookmarkStart w:id="10" w:name="_Toc502736796"/>
      <w:r>
        <w:rPr>
          <w:rStyle w:val="CharSectno"/>
        </w:rPr>
        <w:t>8</w:t>
      </w:r>
      <w:r>
        <w:t>.</w:t>
      </w:r>
      <w:r>
        <w:tab/>
        <w:t>Payment</w:t>
      </w:r>
      <w:bookmarkEnd w:id="10"/>
    </w:p>
    <w:p>
      <w:pPr>
        <w:pStyle w:val="Subsection"/>
      </w:pPr>
      <w:r>
        <w:tab/>
        <w:t>(1)</w:t>
      </w:r>
      <w:r>
        <w:tab/>
        <w:t>In this by</w:t>
      </w:r>
      <w:r>
        <w:noBreakHyphen/>
        <w:t xml:space="preserve">law — </w:t>
      </w:r>
    </w:p>
    <w:p>
      <w:pPr>
        <w:pStyle w:val="Defstart"/>
      </w:pPr>
      <w:r>
        <w:rPr>
          <w:b/>
        </w:rPr>
        <w:tab/>
      </w:r>
      <w:r>
        <w:rPr>
          <w:rStyle w:val="CharDefText"/>
        </w:rPr>
        <w:t>relevant period</w:t>
      </w:r>
      <w:r>
        <w:t xml:space="preserve"> means — </w:t>
      </w:r>
    </w:p>
    <w:p>
      <w:pPr>
        <w:pStyle w:val="Defpara"/>
      </w:pPr>
      <w:r>
        <w:tab/>
        <w:t>(a)</w:t>
      </w:r>
      <w:r>
        <w:tab/>
        <w:t xml:space="preserve">in the case of a consumer to whom the </w:t>
      </w:r>
      <w:r>
        <w:rPr>
          <w:i/>
          <w:iCs/>
        </w:rPr>
        <w:t xml:space="preserve">Code of Conduct for the Supply of Electricity to Small Use Customers </w:t>
      </w:r>
      <w:r>
        <w:t>applies, the period ending on the due date for payment as specified by the corporation; and</w:t>
      </w:r>
    </w:p>
    <w:p>
      <w:pPr>
        <w:pStyle w:val="Defpara"/>
      </w:pPr>
      <w:r>
        <w:tab/>
        <w:t>(b)</w:t>
      </w:r>
      <w:r>
        <w:tab/>
        <w:t>in any other case, the period of 14 days after payment is requested by the corporation.</w:t>
      </w:r>
    </w:p>
    <w:p>
      <w:pPr>
        <w:pStyle w:val="Subsection"/>
        <w:rPr>
          <w:snapToGrid w:val="0"/>
        </w:rPr>
      </w:pPr>
      <w:r>
        <w:rPr>
          <w:snapToGrid w:val="0"/>
        </w:rPr>
        <w:tab/>
        <w:t>(2)</w:t>
      </w:r>
      <w:r>
        <w:rPr>
          <w:snapToGrid w:val="0"/>
        </w:rPr>
        <w:tab/>
        <w:t>A consumer supplied by the corporation must pay the appropriate charges specified in the Schedules within the relevant period.</w:t>
      </w:r>
    </w:p>
    <w:p>
      <w:pPr>
        <w:pStyle w:val="Subsection"/>
        <w:rPr>
          <w:snapToGrid w:val="0"/>
        </w:rPr>
      </w:pPr>
      <w:r>
        <w:rPr>
          <w:snapToGrid w:val="0"/>
        </w:rPr>
        <w:tab/>
        <w:t>(3)</w:t>
      </w:r>
      <w:r>
        <w:rPr>
          <w:snapToGrid w:val="0"/>
        </w:rPr>
        <w:tab/>
        <w:t xml:space="preserve">Subject to the Act section 124(4a), if payment of a charge exceeding $1 000 is not made in full within the relevant period, the consumer must pay an additional amount by way of interest </w:t>
      </w:r>
      <w:r>
        <w:t>for each day that the charge remains unpaid at a rate that is equal to the RBA cash rate as at that day increased by 6 percentage points.</w:t>
      </w:r>
    </w:p>
    <w:p>
      <w:pPr>
        <w:pStyle w:val="Subsection"/>
        <w:rPr>
          <w:snapToGrid w:val="0"/>
        </w:rPr>
      </w:pPr>
      <w:r>
        <w:rPr>
          <w:snapToGrid w:val="0"/>
        </w:rPr>
        <w:tab/>
        <w:t>(4)</w:t>
      </w:r>
      <w:r>
        <w:rPr>
          <w:snapToGrid w:val="0"/>
        </w:rPr>
        <w:tab/>
        <w:t>An amount payable under sub</w:t>
      </w:r>
      <w:r>
        <w:rPr>
          <w:snapToGrid w:val="0"/>
        </w:rPr>
        <w:noBreakHyphen/>
        <w:t>bylaw (2) or (3) is recoverable in any court of competent jurisdiction as a debt due to the</w:t>
      </w:r>
      <w:r>
        <w:t xml:space="preserve"> corporation</w:t>
      </w:r>
      <w:r>
        <w:rPr>
          <w:snapToGrid w:val="0"/>
        </w:rPr>
        <w:t>.</w:t>
      </w:r>
    </w:p>
    <w:p>
      <w:pPr>
        <w:pStyle w:val="Footnotesection"/>
      </w:pPr>
      <w:r>
        <w:tab/>
        <w:t>[By</w:t>
      </w:r>
      <w:r>
        <w:noBreakHyphen/>
        <w:t>law 8 amended in Gazette 30 Mar 2009 p. 1000.]</w:t>
      </w:r>
    </w:p>
    <w:p>
      <w:pPr>
        <w:pStyle w:val="Ednotesection"/>
      </w:pPr>
      <w:r>
        <w:t>[</w:t>
      </w:r>
      <w:r>
        <w:rPr>
          <w:b/>
        </w:rPr>
        <w:t>9.</w:t>
      </w:r>
      <w:r>
        <w:tab/>
        <w:t>Deleted in Gazette 21 Sep 2012 p. 4423.]</w:t>
      </w:r>
    </w:p>
    <w:p>
      <w:pPr>
        <w:pStyle w:val="Heading5"/>
      </w:pPr>
      <w:bookmarkStart w:id="11" w:name="_Toc502736797"/>
      <w:r>
        <w:rPr>
          <w:rStyle w:val="CharSectno"/>
        </w:rPr>
        <w:t>10</w:t>
      </w:r>
      <w:r>
        <w:t>.</w:t>
      </w:r>
      <w:r>
        <w:tab/>
        <w:t>Calculation of charges</w:t>
      </w:r>
      <w:bookmarkEnd w:id="11"/>
    </w:p>
    <w:p>
      <w:pPr>
        <w:pStyle w:val="Subsection"/>
        <w:rPr>
          <w:snapToGrid w:val="0"/>
        </w:rPr>
      </w:pPr>
      <w:r>
        <w:rPr>
          <w:snapToGrid w:val="0"/>
        </w:rPr>
        <w:tab/>
        <w:t>(1)</w:t>
      </w:r>
      <w:r>
        <w:rPr>
          <w:snapToGrid w:val="0"/>
        </w:rPr>
        <w:tab/>
        <w:t>Where a charge per unit specified in Schedule 1 depends on the number of units consumed per day the charge per unit is to be based on the average daily consumption in the accounting period.</w:t>
      </w:r>
    </w:p>
    <w:p>
      <w:pPr>
        <w:pStyle w:val="Ednotesubsection"/>
      </w:pPr>
      <w:r>
        <w:tab/>
        <w:t>[(2)</w:t>
      </w:r>
      <w:r>
        <w:tab/>
        <w:t>deleted]</w:t>
      </w:r>
    </w:p>
    <w:p>
      <w:pPr>
        <w:pStyle w:val="Subsection"/>
        <w:rPr>
          <w:snapToGrid w:val="0"/>
        </w:rPr>
      </w:pPr>
      <w:r>
        <w:rPr>
          <w:snapToGrid w:val="0"/>
        </w:rPr>
        <w:tab/>
        <w:t>(3)</w:t>
      </w:r>
      <w:r>
        <w:rPr>
          <w:snapToGrid w:val="0"/>
        </w:rPr>
        <w:tab/>
        <w:t>Where a charge calculated in accordance with a Schedule is an amount which is not a whole number multiple of 5 cents the amount is to be rounded up or down, as the case may be, to the nearest whole number multiple of 5 cents.</w:t>
      </w:r>
    </w:p>
    <w:p>
      <w:pPr>
        <w:pStyle w:val="Footnotesection"/>
      </w:pPr>
      <w:r>
        <w:tab/>
        <w:t>[By-law 10 amended in Gazette 27 Jun 2014 p. 2320.]</w:t>
      </w:r>
    </w:p>
    <w:p>
      <w:pPr>
        <w:pStyle w:val="Heading5"/>
      </w:pPr>
      <w:bookmarkStart w:id="12" w:name="_Toc502736798"/>
      <w:r>
        <w:rPr>
          <w:rStyle w:val="CharSectno"/>
        </w:rPr>
        <w:t>11</w:t>
      </w:r>
      <w:r>
        <w:t>.</w:t>
      </w:r>
      <w:r>
        <w:tab/>
        <w:t>Changes in rates</w:t>
      </w:r>
      <w:bookmarkEnd w:id="12"/>
    </w:p>
    <w:p>
      <w:pPr>
        <w:pStyle w:val="Subsection"/>
        <w:rPr>
          <w:snapToGrid w:val="0"/>
        </w:rPr>
      </w:pPr>
      <w:r>
        <w:rPr>
          <w:snapToGrid w:val="0"/>
        </w:rPr>
        <w:tab/>
      </w:r>
      <w:r>
        <w:rPr>
          <w:snapToGrid w:val="0"/>
        </w:rPr>
        <w:tab/>
        <w:t>Where during any accounting period a change in the applicable rate of charges occurs, the charge payable may be adjusted by reference to the date on which the change is to take effect or by reference to the date on which the change is applied to any applicable account, whichever results in the lower charge.</w:t>
      </w:r>
    </w:p>
    <w:p>
      <w:pPr>
        <w:pStyle w:val="Heading5"/>
      </w:pPr>
      <w:bookmarkStart w:id="13" w:name="_Toc502736799"/>
      <w:r>
        <w:rPr>
          <w:rStyle w:val="CharSectno"/>
        </w:rPr>
        <w:t>12</w:t>
      </w:r>
      <w:r>
        <w:t>.</w:t>
      </w:r>
      <w:r>
        <w:tab/>
        <w:t>Prescribed rate of interest for s. 62(16) of Act</w:t>
      </w:r>
      <w:bookmarkEnd w:id="13"/>
    </w:p>
    <w:p>
      <w:pPr>
        <w:pStyle w:val="Subsection"/>
      </w:pPr>
      <w:r>
        <w:tab/>
        <w:t>(1)</w:t>
      </w:r>
      <w:r>
        <w:tab/>
        <w:t>In this by</w:t>
      </w:r>
      <w:r>
        <w:noBreakHyphen/>
        <w:t xml:space="preserve">law — </w:t>
      </w:r>
    </w:p>
    <w:p>
      <w:pPr>
        <w:pStyle w:val="Defstart"/>
      </w:pPr>
      <w:r>
        <w:tab/>
      </w:r>
      <w:r>
        <w:rPr>
          <w:rStyle w:val="CharDefText"/>
        </w:rPr>
        <w:t>interest period</w:t>
      </w:r>
      <w:r>
        <w:t xml:space="preserve"> means the period in respect of which payment is made or credit is given.</w:t>
      </w:r>
    </w:p>
    <w:p>
      <w:pPr>
        <w:pStyle w:val="Subsection"/>
      </w:pPr>
      <w:r>
        <w:tab/>
        <w:t>(2)</w:t>
      </w:r>
      <w:r>
        <w:tab/>
        <w:t xml:space="preserve">For the purposes of section 62(16) of the Act, the rate at which interest is to be paid, or given credit for, by the corporation is — </w:t>
      </w:r>
    </w:p>
    <w:p>
      <w:pPr>
        <w:pStyle w:val="Indenta"/>
      </w:pPr>
      <w:r>
        <w:tab/>
        <w:t>(a)</w:t>
      </w:r>
      <w:r>
        <w:tab/>
        <w:t>the rate that is equal to the RBA cash rate for the interest period; or</w:t>
      </w:r>
    </w:p>
    <w:p>
      <w:pPr>
        <w:pStyle w:val="Indenta"/>
      </w:pPr>
      <w:r>
        <w:tab/>
        <w:t>(b)</w:t>
      </w:r>
      <w:r>
        <w:tab/>
        <w:t>if there is more than one RBA cash rate for the interest period — the rate that is equal to the average of the RBA cash rates for that period.</w:t>
      </w:r>
    </w:p>
    <w:p>
      <w:pPr>
        <w:pStyle w:val="Footnotesection"/>
      </w:pPr>
      <w:r>
        <w:tab/>
        <w:t>[By</w:t>
      </w:r>
      <w:r>
        <w:noBreakHyphen/>
        <w:t>law 12 inserted in Gazette 30 Mar 2009 p. 1000</w:t>
      </w:r>
      <w:r>
        <w:noBreakHyphen/>
        <w:t>1.]</w:t>
      </w:r>
    </w:p>
    <w:p>
      <w:pPr>
        <w:sectPr>
          <w:headerReference w:type="even" r:id="rId22"/>
          <w:headerReference w:type="default" r:id="rId23"/>
          <w:footerReference w:type="even" r:id="rId24"/>
          <w:footerReference w:type="default" r:id="rId25"/>
          <w:headerReference w:type="first" r:id="rId26"/>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14" w:name="_Toc501633152"/>
      <w:bookmarkStart w:id="15" w:name="_Toc501633205"/>
      <w:bookmarkStart w:id="16" w:name="_Toc502736800"/>
      <w:r>
        <w:rPr>
          <w:rStyle w:val="CharSchNo"/>
        </w:rPr>
        <w:t>Schedule 1</w:t>
      </w:r>
      <w:r>
        <w:t> — </w:t>
      </w:r>
      <w:r>
        <w:rPr>
          <w:rStyle w:val="CharSchText"/>
        </w:rPr>
        <w:t>Supply charges</w:t>
      </w:r>
      <w:bookmarkEnd w:id="14"/>
      <w:bookmarkEnd w:id="15"/>
      <w:bookmarkEnd w:id="16"/>
    </w:p>
    <w:p>
      <w:pPr>
        <w:pStyle w:val="yShoulderClause"/>
      </w:pPr>
      <w:r>
        <w:t>[bl. 3, 4(1) and 10(1)]</w:t>
      </w:r>
    </w:p>
    <w:p>
      <w:pPr>
        <w:pStyle w:val="yFootnoteheading"/>
      </w:pPr>
      <w:r>
        <w:tab/>
        <w:t>[Heading inserted in Gazette 27 Jun 2017 p. 3420.]</w:t>
      </w:r>
    </w:p>
    <w:p>
      <w:pPr>
        <w:pStyle w:val="yHeading3"/>
      </w:pPr>
      <w:bookmarkStart w:id="17" w:name="_Toc502736801"/>
      <w:r>
        <w:rPr>
          <w:rStyle w:val="CharSDivNo"/>
        </w:rPr>
        <w:t>Division 1</w:t>
      </w:r>
      <w:r>
        <w:t> — </w:t>
      </w:r>
      <w:r>
        <w:rPr>
          <w:rStyle w:val="CharSDivText"/>
        </w:rPr>
        <w:t>Tariffs other than MyPower tariffs</w:t>
      </w:r>
      <w:bookmarkEnd w:id="17"/>
    </w:p>
    <w:p>
      <w:pPr>
        <w:pStyle w:val="yFootnoteheading"/>
      </w:pPr>
      <w:r>
        <w:tab/>
        <w:t>[Heading inserted in Gazette 22 Dec 2017 p. 5979.]</w:t>
      </w:r>
    </w:p>
    <w:p>
      <w:pPr>
        <w:pStyle w:val="yHeading5"/>
      </w:pPr>
      <w:bookmarkStart w:id="18" w:name="_Toc502736802"/>
      <w:r>
        <w:rPr>
          <w:rStyle w:val="CharSClsNo"/>
        </w:rPr>
        <w:t>1</w:t>
      </w:r>
      <w:r>
        <w:t>.</w:t>
      </w:r>
      <w:r>
        <w:tab/>
        <w:t>Tariff L2 (general supply — low/medium voltage tariff)</w:t>
      </w:r>
      <w:bookmarkEnd w:id="18"/>
    </w:p>
    <w:p>
      <w:pPr>
        <w:pStyle w:val="ySubsection"/>
      </w:pPr>
      <w:r>
        <w:tab/>
        <w:t>(1)</w:t>
      </w:r>
      <w:r>
        <w:tab/>
        <w:t>Tariff L2 is available for low/medium voltage supply.</w:t>
      </w:r>
    </w:p>
    <w:p>
      <w:pPr>
        <w:pStyle w:val="ySubsection"/>
      </w:pPr>
      <w:r>
        <w:tab/>
        <w:t>(2)</w:t>
      </w:r>
      <w:r>
        <w:tab/>
        <w:t xml:space="preserve">Tariff L2 comprises — </w:t>
      </w:r>
    </w:p>
    <w:p>
      <w:pPr>
        <w:pStyle w:val="yIndenta"/>
      </w:pPr>
      <w:r>
        <w:tab/>
        <w:t>(a)</w:t>
      </w:r>
      <w:r>
        <w:tab/>
        <w:t>a fixed charge at the rate of 50.7504 cents per day; and</w:t>
      </w:r>
    </w:p>
    <w:p>
      <w:pPr>
        <w:pStyle w:val="yIndenta"/>
      </w:pPr>
      <w:r>
        <w:tab/>
        <w:t>(b)</w:t>
      </w:r>
      <w:r>
        <w:tab/>
        <w:t xml:space="preserve">a charge for metered consumption at the rate of — </w:t>
      </w:r>
    </w:p>
    <w:p>
      <w:pPr>
        <w:pStyle w:val="yIndenti0"/>
      </w:pPr>
      <w:r>
        <w:tab/>
        <w:t>(i)</w:t>
      </w:r>
      <w:r>
        <w:tab/>
        <w:t>33.3546 cents per unit for the first 1 650 units per day; and</w:t>
      </w:r>
    </w:p>
    <w:p>
      <w:pPr>
        <w:pStyle w:val="yIndenti0"/>
      </w:pPr>
      <w:r>
        <w:tab/>
        <w:t>(ii)</w:t>
      </w:r>
      <w:r>
        <w:tab/>
        <w:t>30.0972 cents per unit for all units exceeding 1 650 units per day.</w:t>
      </w:r>
    </w:p>
    <w:p>
      <w:pPr>
        <w:pStyle w:val="ySubsection"/>
      </w:pPr>
      <w:r>
        <w:tab/>
        <w:t>(3)</w:t>
      </w:r>
      <w:r>
        <w:tab/>
        <w:t>Tariff L2 is available subject to the condition that the consumer satisfies the corporation that the amount of electricity supplied to the consumer’s premises will be less than 50 MW hours per annum.</w:t>
      </w:r>
    </w:p>
    <w:p>
      <w:pPr>
        <w:pStyle w:val="yFootnotesection"/>
      </w:pPr>
      <w:r>
        <w:tab/>
        <w:t>[Clause 1 inserted in Gazette 27 Jun 2017 p. 3420.]</w:t>
      </w:r>
    </w:p>
    <w:p>
      <w:pPr>
        <w:pStyle w:val="yHeading5"/>
      </w:pPr>
      <w:bookmarkStart w:id="19" w:name="_Toc502736803"/>
      <w:r>
        <w:rPr>
          <w:rStyle w:val="CharSClsNo"/>
        </w:rPr>
        <w:t>2</w:t>
      </w:r>
      <w:r>
        <w:t>.</w:t>
      </w:r>
      <w:r>
        <w:tab/>
        <w:t>Tariff L4 (general supply — low/medium voltage tariff)</w:t>
      </w:r>
      <w:bookmarkEnd w:id="19"/>
      <w:r>
        <w:t xml:space="preserve"> </w:t>
      </w:r>
    </w:p>
    <w:p>
      <w:pPr>
        <w:pStyle w:val="ySubsection"/>
      </w:pPr>
      <w:r>
        <w:tab/>
        <w:t>(1)</w:t>
      </w:r>
      <w:r>
        <w:tab/>
        <w:t>Tariff L4 is available for low/medium voltage supply.</w:t>
      </w:r>
    </w:p>
    <w:p>
      <w:pPr>
        <w:pStyle w:val="ySubsection"/>
      </w:pPr>
      <w:r>
        <w:tab/>
        <w:t>(2)</w:t>
      </w:r>
      <w:r>
        <w:tab/>
        <w:t xml:space="preserve">Tariff L4 comprises — </w:t>
      </w:r>
    </w:p>
    <w:p>
      <w:pPr>
        <w:pStyle w:val="yIndenta"/>
      </w:pPr>
      <w:r>
        <w:tab/>
        <w:t>(a)</w:t>
      </w:r>
      <w:r>
        <w:tab/>
        <w:t>a fixed charge at the rate of 53.7522 cents per day; and</w:t>
      </w:r>
    </w:p>
    <w:p>
      <w:pPr>
        <w:pStyle w:val="yIndenta"/>
      </w:pPr>
      <w:r>
        <w:tab/>
        <w:t>(b)</w:t>
      </w:r>
      <w:r>
        <w:tab/>
        <w:t xml:space="preserve">a charge for metered consumption at the rate of — </w:t>
      </w:r>
    </w:p>
    <w:p>
      <w:pPr>
        <w:pStyle w:val="yIndenti0"/>
      </w:pPr>
      <w:r>
        <w:tab/>
        <w:t>(i)</w:t>
      </w:r>
      <w:r>
        <w:tab/>
      </w:r>
      <w:r>
        <w:rPr>
          <w:szCs w:val="22"/>
        </w:rPr>
        <w:t xml:space="preserve">35.3197 </w:t>
      </w:r>
      <w:r>
        <w:t>cents per unit for the first 1 650 units per day; and</w:t>
      </w:r>
    </w:p>
    <w:p>
      <w:pPr>
        <w:pStyle w:val="yIndenti0"/>
      </w:pPr>
      <w:r>
        <w:tab/>
        <w:t>(ii)</w:t>
      </w:r>
      <w:r>
        <w:tab/>
      </w:r>
      <w:r>
        <w:rPr>
          <w:szCs w:val="22"/>
        </w:rPr>
        <w:t xml:space="preserve">31.8798 </w:t>
      </w:r>
      <w:r>
        <w:t>cents per unit for all units exceeding 1 650 units per day.</w:t>
      </w:r>
    </w:p>
    <w:p>
      <w:pPr>
        <w:pStyle w:val="ySubsection"/>
      </w:pPr>
      <w:r>
        <w:tab/>
        <w:t>(3)</w:t>
      </w:r>
      <w:r>
        <w:tab/>
        <w:t>Tariff L4 is available subject to the condition that the consumer satisfies the corporation that the amount of electricity supplied to the consumer’s premises will be 50 MW hours or more per annum.</w:t>
      </w:r>
    </w:p>
    <w:p>
      <w:pPr>
        <w:pStyle w:val="yFootnotesection"/>
      </w:pPr>
      <w:r>
        <w:tab/>
        <w:t>[Clause 2 inserted in Gazette 27 Jun 2017 p. 3420.]</w:t>
      </w:r>
    </w:p>
    <w:p>
      <w:pPr>
        <w:pStyle w:val="yHeading5"/>
      </w:pPr>
      <w:bookmarkStart w:id="20" w:name="_Toc502736804"/>
      <w:r>
        <w:rPr>
          <w:rStyle w:val="CharSClsNo"/>
        </w:rPr>
        <w:t>3</w:t>
      </w:r>
      <w:r>
        <w:t>.</w:t>
      </w:r>
      <w:r>
        <w:tab/>
        <w:t>Tariff A2 (residential tariff)</w:t>
      </w:r>
      <w:bookmarkEnd w:id="20"/>
    </w:p>
    <w:p>
      <w:pPr>
        <w:pStyle w:val="ySubsection"/>
      </w:pPr>
      <w:r>
        <w:tab/>
        <w:t>(1)</w:t>
      </w:r>
      <w:r>
        <w:tab/>
        <w:t>Tariff A2 is available for residential use only.</w:t>
      </w:r>
    </w:p>
    <w:p>
      <w:pPr>
        <w:pStyle w:val="ySubsection"/>
      </w:pPr>
      <w:r>
        <w:tab/>
        <w:t>(2)</w:t>
      </w:r>
      <w:r>
        <w:tab/>
        <w:t xml:space="preserve">Tariff A2 comprises — </w:t>
      </w:r>
    </w:p>
    <w:p>
      <w:pPr>
        <w:pStyle w:val="yIndenta"/>
      </w:pPr>
      <w:r>
        <w:tab/>
        <w:t>(a)</w:t>
      </w:r>
      <w:r>
        <w:tab/>
        <w:t>a fixed charge at the rate of 94.9058 cents per day or, for multiple dwellings supplied through one metered supply point, a fixed charge at the rate of —</w:t>
      </w:r>
    </w:p>
    <w:p>
      <w:pPr>
        <w:pStyle w:val="yIndenti0"/>
      </w:pPr>
      <w:r>
        <w:tab/>
        <w:t>(i)</w:t>
      </w:r>
      <w:r>
        <w:tab/>
        <w:t>94.9058 cents per day for the first dwelling; and</w:t>
      </w:r>
    </w:p>
    <w:p>
      <w:pPr>
        <w:pStyle w:val="yIndenti0"/>
      </w:pPr>
      <w:r>
        <w:tab/>
        <w:t>(ii)</w:t>
      </w:r>
      <w:r>
        <w:tab/>
        <w:t>37.7348 cents per day for each additional dwelling;</w:t>
      </w:r>
    </w:p>
    <w:p>
      <w:pPr>
        <w:pStyle w:val="yIndenta"/>
      </w:pPr>
      <w:r>
        <w:tab/>
      </w:r>
      <w:r>
        <w:tab/>
        <w:t>and</w:t>
      </w:r>
    </w:p>
    <w:p>
      <w:pPr>
        <w:pStyle w:val="yIndenta"/>
      </w:pPr>
      <w:r>
        <w:tab/>
        <w:t>(b)</w:t>
      </w:r>
      <w:r>
        <w:tab/>
        <w:t>a charge for metered consumption at the rate of 26.4740 cents per unit.</w:t>
      </w:r>
    </w:p>
    <w:p>
      <w:pPr>
        <w:pStyle w:val="yFootnotesection"/>
      </w:pPr>
      <w:r>
        <w:tab/>
        <w:t>[Clause 3 inserted in Gazette 27 Jun 2017 p. 3420</w:t>
      </w:r>
      <w:r>
        <w:noBreakHyphen/>
        <w:t>1.]</w:t>
      </w:r>
    </w:p>
    <w:p>
      <w:pPr>
        <w:pStyle w:val="yHeading5"/>
      </w:pPr>
      <w:bookmarkStart w:id="21" w:name="_Toc502736805"/>
      <w:r>
        <w:rPr>
          <w:rStyle w:val="CharSClsNo"/>
        </w:rPr>
        <w:t>4</w:t>
      </w:r>
      <w:r>
        <w:t>.</w:t>
      </w:r>
      <w:r>
        <w:tab/>
        <w:t>Tariff C2 (special community service tariff)</w:t>
      </w:r>
      <w:bookmarkEnd w:id="21"/>
    </w:p>
    <w:p>
      <w:pPr>
        <w:pStyle w:val="ySubsection"/>
      </w:pPr>
      <w:r>
        <w:tab/>
        <w:t>(1)</w:t>
      </w:r>
      <w:r>
        <w:tab/>
        <w:t>Tariff C2 is available for small voluntary and charitable organisations, subject to the conditions listed in subclause (3).</w:t>
      </w:r>
    </w:p>
    <w:p>
      <w:pPr>
        <w:pStyle w:val="ySubsection"/>
      </w:pPr>
      <w:r>
        <w:tab/>
        <w:t>(2)</w:t>
      </w:r>
      <w:r>
        <w:tab/>
        <w:t xml:space="preserve">Tariff C2 comprises — </w:t>
      </w:r>
    </w:p>
    <w:p>
      <w:pPr>
        <w:pStyle w:val="yIndenta"/>
      </w:pPr>
      <w:r>
        <w:tab/>
        <w:t>(a)</w:t>
      </w:r>
      <w:r>
        <w:tab/>
        <w:t>a fixed charge at the rate of 36.6182 cents per day; and</w:t>
      </w:r>
    </w:p>
    <w:p>
      <w:pPr>
        <w:pStyle w:val="yIndenta"/>
      </w:pPr>
      <w:r>
        <w:tab/>
        <w:t>(b)</w:t>
      </w:r>
      <w:r>
        <w:tab/>
        <w:t xml:space="preserve">a charge for metered consumption at the rate of — </w:t>
      </w:r>
    </w:p>
    <w:p>
      <w:pPr>
        <w:pStyle w:val="yIndenti0"/>
      </w:pPr>
      <w:r>
        <w:tab/>
        <w:t>(i)</w:t>
      </w:r>
      <w:r>
        <w:tab/>
        <w:t>19.9600 cents per unit for the first 20 units per day; and</w:t>
      </w:r>
    </w:p>
    <w:p>
      <w:pPr>
        <w:pStyle w:val="yIndenti0"/>
      </w:pPr>
      <w:r>
        <w:tab/>
        <w:t>(ii)</w:t>
      </w:r>
      <w:r>
        <w:tab/>
        <w:t>25.0081 cents per unit for the next 1 630 units per day; and</w:t>
      </w:r>
    </w:p>
    <w:p>
      <w:pPr>
        <w:pStyle w:val="yIndenti0"/>
      </w:pPr>
      <w:r>
        <w:tab/>
        <w:t>(iii)</w:t>
      </w:r>
      <w:r>
        <w:tab/>
        <w:t>22.5658 cents per unit for all units exceeding 1 650 units per day.</w:t>
      </w:r>
    </w:p>
    <w:p>
      <w:pPr>
        <w:pStyle w:val="ySubsection"/>
      </w:pPr>
      <w:r>
        <w:tab/>
        <w:t>(3)</w:t>
      </w:r>
      <w:r>
        <w:tab/>
        <w:t xml:space="preserve">Tariff C2 is available subject to the following conditions — </w:t>
      </w:r>
    </w:p>
    <w:p>
      <w:pPr>
        <w:pStyle w:val="yIndenta"/>
      </w:pPr>
      <w:r>
        <w:tab/>
        <w:t>(a)</w:t>
      </w:r>
      <w:r>
        <w:tab/>
        <w:t>the consumer must be a direct customer of the corporation;</w:t>
      </w:r>
    </w:p>
    <w:p>
      <w:pPr>
        <w:pStyle w:val="yIndenta"/>
      </w:pPr>
      <w:r>
        <w:tab/>
        <w:t>(b)</w:t>
      </w:r>
      <w:r>
        <w:tab/>
        <w:t>the consumer must be a voluntary, non</w:t>
      </w:r>
      <w:r>
        <w:noBreakHyphen/>
        <w:t>profit making organisation;</w:t>
      </w:r>
    </w:p>
    <w:p>
      <w:pPr>
        <w:pStyle w:val="yIndenta"/>
      </w:pPr>
      <w:r>
        <w:tab/>
        <w:t>(c)</w:t>
      </w:r>
      <w:r>
        <w:tab/>
        <w:t xml:space="preserve">the consumer must be endorsed as exempt from income tax under the </w:t>
      </w:r>
      <w:r>
        <w:rPr>
          <w:i/>
        </w:rPr>
        <w:t xml:space="preserve">Income Tax Assessment Act 1997 </w:t>
      </w:r>
      <w:r>
        <w:t>(Commonwealth) Subdivision 50</w:t>
      </w:r>
      <w:r>
        <w:noBreakHyphen/>
        <w:t>B;</w:t>
      </w:r>
    </w:p>
    <w:p>
      <w:pPr>
        <w:pStyle w:val="yIndenta"/>
      </w:pPr>
      <w:r>
        <w:tab/>
        <w:t>(d)</w:t>
      </w:r>
      <w:r>
        <w:tab/>
        <w:t>the consumer must provide a public service, which is available to any member of the public without discrimination;</w:t>
      </w:r>
    </w:p>
    <w:p>
      <w:pPr>
        <w:pStyle w:val="yIndenta"/>
      </w:pPr>
      <w:r>
        <w:tab/>
        <w:t>(e)</w:t>
      </w:r>
      <w:r>
        <w:tab/>
        <w:t>the consumer must not be a Commonwealth, State or local government department, instrumentality or agency;</w:t>
      </w:r>
    </w:p>
    <w:p>
      <w:pPr>
        <w:pStyle w:val="yIndenta"/>
      </w:pPr>
      <w:r>
        <w:tab/>
        <w:t>(f)</w:t>
      </w:r>
      <w:r>
        <w:tab/>
        <w:t>the consumer must not receive the major part of its funding from any organisation mentioned in paragraph (e).</w:t>
      </w:r>
    </w:p>
    <w:p>
      <w:pPr>
        <w:pStyle w:val="ySubsection"/>
      </w:pPr>
      <w:r>
        <w:tab/>
        <w:t>(4)</w:t>
      </w:r>
      <w:r>
        <w:tab/>
        <w:t>A consumer seeking supply under Tariff C2 must make an application to the corporation in writing accompanied by evidence which clearly demonstrates that the consumer meets all the conditions listed in subclause (3).</w:t>
      </w:r>
    </w:p>
    <w:p>
      <w:pPr>
        <w:pStyle w:val="yFootnotesection"/>
      </w:pPr>
      <w:r>
        <w:tab/>
        <w:t>[Clause 4 inserted in Gazette 27 Jun 2017 p. 3421.]</w:t>
      </w:r>
    </w:p>
    <w:p>
      <w:pPr>
        <w:pStyle w:val="yHeading5"/>
      </w:pPr>
      <w:bookmarkStart w:id="22" w:name="_Toc502736806"/>
      <w:r>
        <w:rPr>
          <w:rStyle w:val="CharSClsNo"/>
        </w:rPr>
        <w:t>5</w:t>
      </w:r>
      <w:r>
        <w:t>.</w:t>
      </w:r>
      <w:r>
        <w:tab/>
        <w:t>Tariff D2 (special tariff for certain premises)</w:t>
      </w:r>
      <w:bookmarkEnd w:id="22"/>
    </w:p>
    <w:p>
      <w:pPr>
        <w:pStyle w:val="ySubsection"/>
      </w:pPr>
      <w:r>
        <w:tab/>
        <w:t>(1)</w:t>
      </w:r>
      <w:r>
        <w:tab/>
        <w:t>Tariff D2 is available for premises wholly used by a charitable or benevolent organisation for providing residential accommodation other than for commercial gain, being premises for which Tariff A2 is not available.</w:t>
      </w:r>
    </w:p>
    <w:p>
      <w:pPr>
        <w:pStyle w:val="ySubsection"/>
      </w:pPr>
      <w:r>
        <w:tab/>
        <w:t>(2)</w:t>
      </w:r>
      <w:r>
        <w:tab/>
        <w:t xml:space="preserve">Tariff D2 comprises — </w:t>
      </w:r>
    </w:p>
    <w:p>
      <w:pPr>
        <w:pStyle w:val="yIndenta"/>
      </w:pPr>
      <w:r>
        <w:tab/>
        <w:t>(a)</w:t>
      </w:r>
      <w:r>
        <w:tab/>
        <w:t>a fixed charge at the rate of 45.3145 cents per day; and</w:t>
      </w:r>
    </w:p>
    <w:p>
      <w:pPr>
        <w:pStyle w:val="yIndenta"/>
      </w:pPr>
      <w:r>
        <w:tab/>
        <w:t>(b)</w:t>
      </w:r>
      <w:r>
        <w:tab/>
        <w:t>if under subclause (3) there is deemed to be more than one equivalent domestic residence in the premises, a charge of 35.1848 cents per day for each equivalent domestic residence except the first that is deemed to be in the premises; and</w:t>
      </w:r>
    </w:p>
    <w:p>
      <w:pPr>
        <w:pStyle w:val="yIndenta"/>
      </w:pPr>
      <w:r>
        <w:tab/>
        <w:t>(c)</w:t>
      </w:r>
      <w:r>
        <w:tab/>
        <w:t>a charge for metered consumption at the rate of 24.7001 cents per unit.</w:t>
      </w:r>
    </w:p>
    <w:p>
      <w:pPr>
        <w:pStyle w:val="ySubsection"/>
      </w:pPr>
      <w:r>
        <w:tab/>
        <w:t>(3)</w:t>
      </w:r>
      <w:r>
        <w:tab/>
        <w:t>The number of equivalent domestic residences deemed to be in particular premises is ascertained by dividing the facility’s total bed capacity by 5 and, where the quotient is not a whole number, by increasing it to the next highest whole number.</w:t>
      </w:r>
    </w:p>
    <w:p>
      <w:pPr>
        <w:pStyle w:val="yFootnotesection"/>
      </w:pPr>
      <w:r>
        <w:tab/>
        <w:t>[Clause 5 inserted in Gazette 27 Jun 2017 p. 3421</w:t>
      </w:r>
      <w:r>
        <w:noBreakHyphen/>
        <w:t>2.]</w:t>
      </w:r>
    </w:p>
    <w:p>
      <w:pPr>
        <w:pStyle w:val="yHeading5"/>
      </w:pPr>
      <w:bookmarkStart w:id="23" w:name="_Toc502736807"/>
      <w:r>
        <w:rPr>
          <w:rStyle w:val="CharSClsNo"/>
        </w:rPr>
        <w:t>6</w:t>
      </w:r>
      <w:r>
        <w:t>.</w:t>
      </w:r>
      <w:r>
        <w:tab/>
        <w:t>Tariff K2 (general supply with residential tariff)</w:t>
      </w:r>
      <w:bookmarkEnd w:id="23"/>
    </w:p>
    <w:p>
      <w:pPr>
        <w:pStyle w:val="ySubsection"/>
      </w:pPr>
      <w:r>
        <w:tab/>
        <w:t>(1)</w:t>
      </w:r>
      <w:r>
        <w:tab/>
        <w:t>Tariff K1 is available for premises where the circuit wiring is not separate and the electricity is used partly for general purposes and partly for residential purposes.</w:t>
      </w:r>
    </w:p>
    <w:p>
      <w:pPr>
        <w:pStyle w:val="ySubsection"/>
      </w:pPr>
      <w:r>
        <w:tab/>
        <w:t>(2)</w:t>
      </w:r>
      <w:r>
        <w:tab/>
        <w:t xml:space="preserve">Tariff K2 comprises — </w:t>
      </w:r>
    </w:p>
    <w:p>
      <w:pPr>
        <w:pStyle w:val="yIndenta"/>
      </w:pPr>
      <w:r>
        <w:tab/>
        <w:t>(a)</w:t>
      </w:r>
      <w:r>
        <w:tab/>
        <w:t>a fixed charge at the rate of 53.8864 cents per day; and</w:t>
      </w:r>
    </w:p>
    <w:p>
      <w:pPr>
        <w:pStyle w:val="yIndenta"/>
      </w:pPr>
      <w:r>
        <w:tab/>
        <w:t>(b)</w:t>
      </w:r>
      <w:r>
        <w:tab/>
        <w:t>a charge for metered consumption at the rate of —</w:t>
      </w:r>
    </w:p>
    <w:p>
      <w:pPr>
        <w:pStyle w:val="yIndenti0"/>
      </w:pPr>
      <w:r>
        <w:tab/>
        <w:t>(i)</w:t>
      </w:r>
      <w:r>
        <w:tab/>
        <w:t>29.3544 cents per unit for the first 20 units per day; and</w:t>
      </w:r>
    </w:p>
    <w:p>
      <w:pPr>
        <w:pStyle w:val="yIndenti0"/>
      </w:pPr>
      <w:r>
        <w:tab/>
        <w:t>(ii)</w:t>
      </w:r>
      <w:r>
        <w:tab/>
        <w:t>33.6081 cents per unit for the next 1 630 units per day; and</w:t>
      </w:r>
    </w:p>
    <w:p>
      <w:pPr>
        <w:pStyle w:val="yIndenti0"/>
      </w:pPr>
      <w:r>
        <w:tab/>
        <w:t>(iii)</w:t>
      </w:r>
      <w:r>
        <w:tab/>
        <w:t>30.3260 cents per unit for all units exceeding 1 650 units per day.</w:t>
      </w:r>
    </w:p>
    <w:p>
      <w:pPr>
        <w:pStyle w:val="yFootnotesection"/>
      </w:pPr>
      <w:r>
        <w:tab/>
        <w:t>[Clause 6 inserted in Gazette 27 Jun 2017 p. 3422.]</w:t>
      </w:r>
    </w:p>
    <w:p>
      <w:pPr>
        <w:pStyle w:val="yHeading3"/>
      </w:pPr>
      <w:bookmarkStart w:id="24" w:name="_Toc502736808"/>
      <w:r>
        <w:rPr>
          <w:rStyle w:val="CharSDivNo"/>
        </w:rPr>
        <w:t>Division 2</w:t>
      </w:r>
      <w:r>
        <w:t> — </w:t>
      </w:r>
      <w:r>
        <w:rPr>
          <w:rStyle w:val="CharSDivText"/>
        </w:rPr>
        <w:t>MyPower tariffs</w:t>
      </w:r>
      <w:bookmarkEnd w:id="24"/>
    </w:p>
    <w:p>
      <w:pPr>
        <w:pStyle w:val="yFootnoteheading"/>
      </w:pPr>
      <w:r>
        <w:tab/>
        <w:t>[Heading inserted in Gazette 22 Dec 2017 p. 5979.]</w:t>
      </w:r>
    </w:p>
    <w:p>
      <w:pPr>
        <w:pStyle w:val="yHeading5"/>
      </w:pPr>
      <w:bookmarkStart w:id="25" w:name="_Toc502736809"/>
      <w:r>
        <w:rPr>
          <w:rStyle w:val="CharSClsNo"/>
        </w:rPr>
        <w:t>7</w:t>
      </w:r>
      <w:r>
        <w:t>.</w:t>
      </w:r>
      <w:r>
        <w:tab/>
        <w:t>Terms used</w:t>
      </w:r>
      <w:bookmarkEnd w:id="25"/>
    </w:p>
    <w:p>
      <w:pPr>
        <w:pStyle w:val="ySubsection"/>
      </w:pPr>
      <w:r>
        <w:tab/>
        <w:t>(1)</w:t>
      </w:r>
      <w:r>
        <w:tab/>
        <w:t xml:space="preserve">In this Division — </w:t>
      </w:r>
    </w:p>
    <w:p>
      <w:pPr>
        <w:pStyle w:val="yDefstart"/>
      </w:pPr>
      <w:r>
        <w:tab/>
      </w:r>
      <w:r>
        <w:rPr>
          <w:rStyle w:val="CharDefText"/>
        </w:rPr>
        <w:t>Esperance network</w:t>
      </w:r>
      <w:r>
        <w:t xml:space="preserve"> means the electricity network operated by the corporation that supplies electricity to the town of Esperance and surrounding areas;</w:t>
      </w:r>
    </w:p>
    <w:p>
      <w:pPr>
        <w:pStyle w:val="yDefstart"/>
      </w:pPr>
      <w:r>
        <w:tab/>
      </w:r>
      <w:r>
        <w:rPr>
          <w:rStyle w:val="CharDefText"/>
        </w:rPr>
        <w:t>peak day</w:t>
      </w:r>
      <w:r>
        <w:t xml:space="preserve"> means — </w:t>
      </w:r>
    </w:p>
    <w:p>
      <w:pPr>
        <w:pStyle w:val="yDefpara"/>
      </w:pPr>
      <w:r>
        <w:tab/>
        <w:t>(a)</w:t>
      </w:r>
      <w:r>
        <w:tab/>
        <w:t>in relation to a tariff determined under clause 8 — a day that is in a peak period and is not a Saturday, a Sunday or a public holiday in the place in which the relevant premises to which electricity is supplied are situated; or</w:t>
      </w:r>
    </w:p>
    <w:p>
      <w:pPr>
        <w:pStyle w:val="yDefpara"/>
      </w:pPr>
      <w:r>
        <w:tab/>
        <w:t>(b)</w:t>
      </w:r>
      <w:r>
        <w:tab/>
        <w:t>in relation to a tariff determined under clause 9 — a day that is in a peak period and is not a public holiday in the place in which the relevant premises to which electricity is supplied are situated;</w:t>
      </w:r>
    </w:p>
    <w:p>
      <w:pPr>
        <w:pStyle w:val="yDefstart"/>
      </w:pPr>
      <w:r>
        <w:tab/>
      </w:r>
      <w:r>
        <w:rPr>
          <w:rStyle w:val="CharDefText"/>
        </w:rPr>
        <w:t>peak period</w:t>
      </w:r>
      <w:r>
        <w:t xml:space="preserve"> means — </w:t>
      </w:r>
    </w:p>
    <w:p>
      <w:pPr>
        <w:pStyle w:val="yDefpara"/>
      </w:pPr>
      <w:r>
        <w:tab/>
        <w:t>(a)</w:t>
      </w:r>
      <w:r>
        <w:tab/>
        <w:t>in relation to electricity supplied otherwise than as described in paragraph (b) — a period beginning on 1 December in a year and ending on 30 April in the following year; or</w:t>
      </w:r>
    </w:p>
    <w:p>
      <w:pPr>
        <w:pStyle w:val="yDefpara"/>
      </w:pPr>
      <w:r>
        <w:tab/>
        <w:t>(b)</w:t>
      </w:r>
      <w:r>
        <w:tab/>
        <w:t>in relation to electricity supplied on the Esperance network — a period beginning on 1 July in a year and ending on 31 March in the following year, but excluding the months of September, October, November and December;</w:t>
      </w:r>
    </w:p>
    <w:p>
      <w:pPr>
        <w:pStyle w:val="yDefstart"/>
      </w:pPr>
      <w:r>
        <w:tab/>
      </w:r>
      <w:r>
        <w:rPr>
          <w:rStyle w:val="CharDefText"/>
        </w:rPr>
        <w:t>peak time</w:t>
      </w:r>
      <w:r>
        <w:t xml:space="preserve"> means a period beginning at 1 pm and ending at 8 pm.</w:t>
      </w:r>
    </w:p>
    <w:p>
      <w:pPr>
        <w:pStyle w:val="ySubsection"/>
      </w:pPr>
      <w:r>
        <w:tab/>
        <w:t>(2)</w:t>
      </w:r>
      <w:r>
        <w:tab/>
        <w:t xml:space="preserve">For the purposes of this Division, a consumer </w:t>
      </w:r>
      <w:r>
        <w:rPr>
          <w:rStyle w:val="CharDefText"/>
        </w:rPr>
        <w:t>exceeds the applicable peak allowance</w:t>
      </w:r>
      <w:r>
        <w:t xml:space="preserve"> in relation to a tariff if, on a peak day, the consumer consumes more electricity during 1 or more hours in a peak time than the applicable peak allowance for the tariff, unless — </w:t>
      </w:r>
    </w:p>
    <w:p>
      <w:pPr>
        <w:pStyle w:val="yIndenta"/>
      </w:pPr>
      <w:r>
        <w:tab/>
        <w:t>(a)</w:t>
      </w:r>
      <w:r>
        <w:tab/>
        <w:t>the contract under which the electricity is supplied has been in force for a period of 14 days or fewer; or</w:t>
      </w:r>
    </w:p>
    <w:p>
      <w:pPr>
        <w:pStyle w:val="yIndenta"/>
      </w:pPr>
      <w:r>
        <w:tab/>
        <w:t>(b)</w:t>
      </w:r>
      <w:r>
        <w:tab/>
        <w:t>the corporation considers that on the relevant day the consumer was affected by an emergency event (for example, a cyclone or bushfire).</w:t>
      </w:r>
    </w:p>
    <w:p>
      <w:pPr>
        <w:pStyle w:val="yFootnotesection"/>
      </w:pPr>
      <w:r>
        <w:tab/>
        <w:t>[Clause 7 inserted in Gazette 22 Dec 2017 p. 5979</w:t>
      </w:r>
      <w:r>
        <w:noBreakHyphen/>
        <w:t>80.]</w:t>
      </w:r>
    </w:p>
    <w:p>
      <w:pPr>
        <w:pStyle w:val="yHeading5"/>
      </w:pPr>
      <w:bookmarkStart w:id="26" w:name="_Toc502736810"/>
      <w:r>
        <w:rPr>
          <w:rStyle w:val="CharSClsNo"/>
        </w:rPr>
        <w:t>8</w:t>
      </w:r>
      <w:r>
        <w:t>.</w:t>
      </w:r>
      <w:r>
        <w:tab/>
        <w:t>MyPower residential tariffs</w:t>
      </w:r>
      <w:bookmarkEnd w:id="26"/>
    </w:p>
    <w:p>
      <w:pPr>
        <w:pStyle w:val="ySubsection"/>
      </w:pPr>
      <w:r>
        <w:tab/>
        <w:t>(1)</w:t>
      </w:r>
      <w:r>
        <w:tab/>
        <w:t xml:space="preserve">Each tariff determined under this clause (a </w:t>
      </w:r>
      <w:r>
        <w:rPr>
          <w:rStyle w:val="CharDefText"/>
        </w:rPr>
        <w:t>MyPower residential tariff</w:t>
      </w:r>
      <w:r>
        <w:t xml:space="preserve">) is available only — </w:t>
      </w:r>
    </w:p>
    <w:p>
      <w:pPr>
        <w:pStyle w:val="yIndenta"/>
      </w:pPr>
      <w:r>
        <w:tab/>
        <w:t>(a)</w:t>
      </w:r>
      <w:r>
        <w:tab/>
        <w:t>for residential use; and</w:t>
      </w:r>
    </w:p>
    <w:p>
      <w:pPr>
        <w:pStyle w:val="yIndenta"/>
      </w:pPr>
      <w:r>
        <w:tab/>
        <w:t>(b)</w:t>
      </w:r>
      <w:r>
        <w:tab/>
        <w:t>if the consumer has entered into a non</w:t>
      </w:r>
      <w:r>
        <w:noBreakHyphen/>
        <w:t xml:space="preserve">standard contract (as defined in the </w:t>
      </w:r>
      <w:r>
        <w:rPr>
          <w:i/>
        </w:rPr>
        <w:t>Electricity Industry Act 2004</w:t>
      </w:r>
      <w:r>
        <w:t xml:space="preserve"> section 47) with the corporation for the supply of electricity at a MyPower residential tariff.</w:t>
      </w:r>
    </w:p>
    <w:p>
      <w:pPr>
        <w:pStyle w:val="ySubsection"/>
      </w:pPr>
      <w:r>
        <w:tab/>
        <w:t>(2)</w:t>
      </w:r>
      <w:r>
        <w:tab/>
        <w:t xml:space="preserve">Each MyPower residential tariff comprises the following charges, adjusted (where relevant) in accordance with subclause (3) — </w:t>
      </w:r>
    </w:p>
    <w:p>
      <w:pPr>
        <w:pStyle w:val="yIndenta"/>
      </w:pPr>
      <w:r>
        <w:tab/>
        <w:t>(a)</w:t>
      </w:r>
      <w:r>
        <w:tab/>
        <w:t>a fixed charge at the applicable rate; and</w:t>
      </w:r>
    </w:p>
    <w:p>
      <w:pPr>
        <w:pStyle w:val="yIndenta"/>
      </w:pPr>
      <w:r>
        <w:tab/>
        <w:t>(b)</w:t>
      </w:r>
      <w:r>
        <w:tab/>
        <w:t>a charge for metered consumption at the applicable rate.</w:t>
      </w:r>
    </w:p>
    <w:p>
      <w:pPr>
        <w:pStyle w:val="ySubsection"/>
      </w:pPr>
      <w:r>
        <w:tab/>
        <w:t>(3)</w:t>
      </w:r>
      <w:r>
        <w:tab/>
        <w:t xml:space="preserve">The charges calculated under subclause (2) for electricity supplied to a consumer during a peak period are to be adjusted as follows — </w:t>
      </w:r>
    </w:p>
    <w:p>
      <w:pPr>
        <w:pStyle w:val="yIndenta"/>
      </w:pPr>
      <w:r>
        <w:tab/>
        <w:t>(a)</w:t>
      </w:r>
      <w:r>
        <w:tab/>
        <w:t>3 rebates of the applicable peak rebate amount are to be applied to the consumer’s account at the end of the peak period; but</w:t>
      </w:r>
    </w:p>
    <w:p>
      <w:pPr>
        <w:pStyle w:val="yIndenta"/>
      </w:pPr>
      <w:r>
        <w:tab/>
        <w:t>(b)</w:t>
      </w:r>
      <w:r>
        <w:tab/>
        <w:t>for each peak day on which the consumer exceeds the applicable peak allowance, 1 of the rebates referred to in paragraph (a) is not to be applied.</w:t>
      </w:r>
    </w:p>
    <w:p>
      <w:pPr>
        <w:pStyle w:val="ySubsection"/>
      </w:pPr>
      <w:r>
        <w:tab/>
        <w:t>(4)</w:t>
      </w:r>
      <w:r>
        <w:tab/>
        <w:t xml:space="preserve">If electricity is supplied to a consumer at a MyPower residential tariff for part only of a peak period (the </w:t>
      </w:r>
      <w:r>
        <w:rPr>
          <w:rStyle w:val="CharDefText"/>
        </w:rPr>
        <w:t>part</w:t>
      </w:r>
      <w:r>
        <w:rPr>
          <w:rStyle w:val="CharDefText"/>
        </w:rPr>
        <w:noBreakHyphen/>
        <w:t>period</w:t>
      </w:r>
      <w:r>
        <w:t xml:space="preserve">) — </w:t>
      </w:r>
    </w:p>
    <w:p>
      <w:pPr>
        <w:pStyle w:val="yIndenta"/>
      </w:pPr>
      <w:r>
        <w:tab/>
        <w:t>(a)</w:t>
      </w:r>
      <w:r>
        <w:tab/>
        <w:t>subclause (3) applies as if a reference to the peak period were a reference to the part</w:t>
      </w:r>
      <w:r>
        <w:noBreakHyphen/>
        <w:t>period; and</w:t>
      </w:r>
    </w:p>
    <w:p>
      <w:pPr>
        <w:pStyle w:val="yIndenta"/>
      </w:pPr>
      <w:r>
        <w:tab/>
        <w:t>(b)</w:t>
      </w:r>
      <w:r>
        <w:tab/>
        <w:t>the applicable peak rebate amount is to be reduced on a pro rata basis.</w:t>
      </w:r>
    </w:p>
    <w:p>
      <w:pPr>
        <w:pStyle w:val="ySubsection"/>
      </w:pPr>
      <w:r>
        <w:tab/>
        <w:t>(5)</w:t>
      </w:r>
      <w:r>
        <w:tab/>
        <w:t>For each MyPower residential tariff, the applicable rates of the fixed charge and metered consumption charge, the applicable peak allowance and the applicable peak rebate amount are to be determined under the Table.</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1417"/>
        <w:gridCol w:w="1560"/>
        <w:gridCol w:w="1275"/>
        <w:gridCol w:w="1276"/>
      </w:tblGrid>
      <w:tr>
        <w:trPr>
          <w:cantSplit/>
          <w:tblHeader/>
        </w:trPr>
        <w:tc>
          <w:tcPr>
            <w:tcW w:w="1276" w:type="dxa"/>
          </w:tcPr>
          <w:p>
            <w:pPr>
              <w:pStyle w:val="yTableNAm"/>
            </w:pPr>
            <w:r>
              <w:rPr>
                <w:b/>
              </w:rPr>
              <w:t>Tariff name</w:t>
            </w:r>
          </w:p>
        </w:tc>
        <w:tc>
          <w:tcPr>
            <w:tcW w:w="1417" w:type="dxa"/>
          </w:tcPr>
          <w:p>
            <w:pPr>
              <w:pStyle w:val="yTableNAm"/>
            </w:pPr>
            <w:r>
              <w:rPr>
                <w:b/>
              </w:rPr>
              <w:t>Rate of fixed charge</w:t>
            </w:r>
          </w:p>
        </w:tc>
        <w:tc>
          <w:tcPr>
            <w:tcW w:w="1560" w:type="dxa"/>
          </w:tcPr>
          <w:p>
            <w:pPr>
              <w:pStyle w:val="yTableNAm"/>
            </w:pPr>
            <w:r>
              <w:rPr>
                <w:b/>
              </w:rPr>
              <w:t>Rate of metered consumption charge</w:t>
            </w:r>
          </w:p>
        </w:tc>
        <w:tc>
          <w:tcPr>
            <w:tcW w:w="1275" w:type="dxa"/>
          </w:tcPr>
          <w:p>
            <w:pPr>
              <w:pStyle w:val="yTableNAm"/>
            </w:pPr>
            <w:r>
              <w:rPr>
                <w:b/>
              </w:rPr>
              <w:t>Peak allowance</w:t>
            </w:r>
          </w:p>
        </w:tc>
        <w:tc>
          <w:tcPr>
            <w:tcW w:w="1276" w:type="dxa"/>
          </w:tcPr>
          <w:p>
            <w:pPr>
              <w:pStyle w:val="yTableNAm"/>
            </w:pPr>
            <w:r>
              <w:rPr>
                <w:b/>
              </w:rPr>
              <w:t>Peak rebate amount</w:t>
            </w:r>
          </w:p>
        </w:tc>
      </w:tr>
      <w:tr>
        <w:trPr>
          <w:cantSplit/>
        </w:trPr>
        <w:tc>
          <w:tcPr>
            <w:tcW w:w="1276" w:type="dxa"/>
          </w:tcPr>
          <w:p>
            <w:pPr>
              <w:pStyle w:val="yTableNAm"/>
            </w:pPr>
            <w:r>
              <w:t>MyPower residential 1.5 fixed plan price</w:t>
            </w:r>
          </w:p>
        </w:tc>
        <w:tc>
          <w:tcPr>
            <w:tcW w:w="1417" w:type="dxa"/>
          </w:tcPr>
          <w:p>
            <w:pPr>
              <w:pStyle w:val="yTableNAm"/>
            </w:pPr>
            <w:r>
              <w:t>$1.836595 per day</w:t>
            </w:r>
          </w:p>
        </w:tc>
        <w:tc>
          <w:tcPr>
            <w:tcW w:w="1560" w:type="dxa"/>
          </w:tcPr>
          <w:p>
            <w:pPr>
              <w:pStyle w:val="yTableNAm"/>
            </w:pPr>
            <w:r>
              <w:t>$0.099703 per unit</w:t>
            </w:r>
          </w:p>
        </w:tc>
        <w:tc>
          <w:tcPr>
            <w:tcW w:w="1275" w:type="dxa"/>
          </w:tcPr>
          <w:p>
            <w:pPr>
              <w:pStyle w:val="yTableNAm"/>
            </w:pPr>
            <w:r>
              <w:t>1.5 units per hour</w:t>
            </w:r>
          </w:p>
        </w:tc>
        <w:tc>
          <w:tcPr>
            <w:tcW w:w="1276" w:type="dxa"/>
          </w:tcPr>
          <w:p>
            <w:pPr>
              <w:pStyle w:val="yTableNAm"/>
            </w:pPr>
            <w:r>
              <w:t>$100</w:t>
            </w:r>
          </w:p>
        </w:tc>
      </w:tr>
      <w:tr>
        <w:trPr>
          <w:cantSplit/>
        </w:trPr>
        <w:tc>
          <w:tcPr>
            <w:tcW w:w="1276" w:type="dxa"/>
          </w:tcPr>
          <w:p>
            <w:pPr>
              <w:pStyle w:val="yTableNAm"/>
            </w:pPr>
            <w:r>
              <w:t>MyPower residential 3 fixed plan price</w:t>
            </w:r>
          </w:p>
        </w:tc>
        <w:tc>
          <w:tcPr>
            <w:tcW w:w="1417" w:type="dxa"/>
          </w:tcPr>
          <w:p>
            <w:pPr>
              <w:pStyle w:val="yTableNAm"/>
            </w:pPr>
            <w:r>
              <w:t>$3.017641 per day</w:t>
            </w:r>
          </w:p>
        </w:tc>
        <w:tc>
          <w:tcPr>
            <w:tcW w:w="1560" w:type="dxa"/>
          </w:tcPr>
          <w:p>
            <w:pPr>
              <w:pStyle w:val="yTableNAm"/>
            </w:pPr>
            <w:r>
              <w:t>$0.099703 per unit</w:t>
            </w:r>
          </w:p>
        </w:tc>
        <w:tc>
          <w:tcPr>
            <w:tcW w:w="1275" w:type="dxa"/>
          </w:tcPr>
          <w:p>
            <w:pPr>
              <w:pStyle w:val="yTableNAm"/>
            </w:pPr>
            <w:r>
              <w:t xml:space="preserve">3 units </w:t>
            </w:r>
            <w:r>
              <w:br/>
              <w:t>per hour</w:t>
            </w:r>
          </w:p>
        </w:tc>
        <w:tc>
          <w:tcPr>
            <w:tcW w:w="1276" w:type="dxa"/>
          </w:tcPr>
          <w:p>
            <w:pPr>
              <w:pStyle w:val="yTableNAm"/>
            </w:pPr>
            <w:r>
              <w:t>$100</w:t>
            </w:r>
          </w:p>
        </w:tc>
      </w:tr>
      <w:tr>
        <w:trPr>
          <w:cantSplit/>
        </w:trPr>
        <w:tc>
          <w:tcPr>
            <w:tcW w:w="1276" w:type="dxa"/>
          </w:tcPr>
          <w:p>
            <w:pPr>
              <w:pStyle w:val="yTableNAm"/>
            </w:pPr>
            <w:r>
              <w:t>MyPower residential 5 fixed plan price</w:t>
            </w:r>
          </w:p>
        </w:tc>
        <w:tc>
          <w:tcPr>
            <w:tcW w:w="1417" w:type="dxa"/>
          </w:tcPr>
          <w:p>
            <w:pPr>
              <w:pStyle w:val="yTableNAm"/>
            </w:pPr>
            <w:r>
              <w:t>$5.265043 per day</w:t>
            </w:r>
          </w:p>
        </w:tc>
        <w:tc>
          <w:tcPr>
            <w:tcW w:w="1560" w:type="dxa"/>
          </w:tcPr>
          <w:p>
            <w:pPr>
              <w:pStyle w:val="yTableNAm"/>
            </w:pPr>
            <w:r>
              <w:t>$0.099703 per unit</w:t>
            </w:r>
          </w:p>
        </w:tc>
        <w:tc>
          <w:tcPr>
            <w:tcW w:w="1275" w:type="dxa"/>
          </w:tcPr>
          <w:p>
            <w:pPr>
              <w:pStyle w:val="yTableNAm"/>
            </w:pPr>
            <w:r>
              <w:t xml:space="preserve">5 units </w:t>
            </w:r>
            <w:r>
              <w:br/>
              <w:t>per hour</w:t>
            </w:r>
          </w:p>
        </w:tc>
        <w:tc>
          <w:tcPr>
            <w:tcW w:w="1276" w:type="dxa"/>
          </w:tcPr>
          <w:p>
            <w:pPr>
              <w:pStyle w:val="yTableNAm"/>
            </w:pPr>
            <w:r>
              <w:t>$100</w:t>
            </w:r>
          </w:p>
        </w:tc>
      </w:tr>
      <w:tr>
        <w:trPr>
          <w:cantSplit/>
        </w:trPr>
        <w:tc>
          <w:tcPr>
            <w:tcW w:w="1276" w:type="dxa"/>
          </w:tcPr>
          <w:p>
            <w:pPr>
              <w:pStyle w:val="yTableNAm"/>
            </w:pPr>
            <w:r>
              <w:t>MyPower residential 7 fixed plan price</w:t>
            </w:r>
          </w:p>
        </w:tc>
        <w:tc>
          <w:tcPr>
            <w:tcW w:w="1417" w:type="dxa"/>
          </w:tcPr>
          <w:p>
            <w:pPr>
              <w:pStyle w:val="yTableNAm"/>
            </w:pPr>
            <w:r>
              <w:t>$8.139920 per day</w:t>
            </w:r>
          </w:p>
        </w:tc>
        <w:tc>
          <w:tcPr>
            <w:tcW w:w="1560" w:type="dxa"/>
          </w:tcPr>
          <w:p>
            <w:pPr>
              <w:pStyle w:val="yTableNAm"/>
            </w:pPr>
            <w:r>
              <w:t>$0.099703 per unit</w:t>
            </w:r>
          </w:p>
        </w:tc>
        <w:tc>
          <w:tcPr>
            <w:tcW w:w="1275" w:type="dxa"/>
          </w:tcPr>
          <w:p>
            <w:pPr>
              <w:pStyle w:val="yTableNAm"/>
            </w:pPr>
            <w:r>
              <w:t xml:space="preserve">7 units </w:t>
            </w:r>
            <w:r>
              <w:br/>
              <w:t>per hour</w:t>
            </w:r>
          </w:p>
        </w:tc>
        <w:tc>
          <w:tcPr>
            <w:tcW w:w="1276" w:type="dxa"/>
          </w:tcPr>
          <w:p>
            <w:pPr>
              <w:pStyle w:val="yTableNAm"/>
            </w:pPr>
            <w:r>
              <w:t>$100</w:t>
            </w:r>
          </w:p>
        </w:tc>
      </w:tr>
      <w:tr>
        <w:trPr>
          <w:cantSplit/>
        </w:trPr>
        <w:tc>
          <w:tcPr>
            <w:tcW w:w="1276" w:type="dxa"/>
          </w:tcPr>
          <w:p>
            <w:pPr>
              <w:pStyle w:val="yTableNAm"/>
            </w:pPr>
            <w:r>
              <w:t>MyPower residential 10 fixed plan price</w:t>
            </w:r>
          </w:p>
        </w:tc>
        <w:tc>
          <w:tcPr>
            <w:tcW w:w="1417" w:type="dxa"/>
          </w:tcPr>
          <w:p>
            <w:pPr>
              <w:pStyle w:val="yTableNAm"/>
            </w:pPr>
            <w:r>
              <w:t>$11.868759 per day</w:t>
            </w:r>
          </w:p>
        </w:tc>
        <w:tc>
          <w:tcPr>
            <w:tcW w:w="1560" w:type="dxa"/>
          </w:tcPr>
          <w:p>
            <w:pPr>
              <w:pStyle w:val="yTableNAm"/>
            </w:pPr>
            <w:r>
              <w:t>$0.099703 per unit</w:t>
            </w:r>
          </w:p>
        </w:tc>
        <w:tc>
          <w:tcPr>
            <w:tcW w:w="1275" w:type="dxa"/>
          </w:tcPr>
          <w:p>
            <w:pPr>
              <w:pStyle w:val="yTableNAm"/>
            </w:pPr>
            <w:r>
              <w:t>10 units per hour</w:t>
            </w:r>
          </w:p>
        </w:tc>
        <w:tc>
          <w:tcPr>
            <w:tcW w:w="1276" w:type="dxa"/>
          </w:tcPr>
          <w:p>
            <w:pPr>
              <w:pStyle w:val="yTableNAm"/>
            </w:pPr>
            <w:r>
              <w:t>$100</w:t>
            </w:r>
          </w:p>
        </w:tc>
      </w:tr>
      <w:tr>
        <w:trPr>
          <w:cantSplit/>
        </w:trPr>
        <w:tc>
          <w:tcPr>
            <w:tcW w:w="1276" w:type="dxa"/>
          </w:tcPr>
          <w:p>
            <w:pPr>
              <w:pStyle w:val="yTableNAm"/>
            </w:pPr>
            <w:r>
              <w:t>MyPower residential 15 fixed plan price</w:t>
            </w:r>
          </w:p>
        </w:tc>
        <w:tc>
          <w:tcPr>
            <w:tcW w:w="1417" w:type="dxa"/>
          </w:tcPr>
          <w:p>
            <w:pPr>
              <w:pStyle w:val="yTableNAm"/>
            </w:pPr>
            <w:r>
              <w:t>$25.258053 per day</w:t>
            </w:r>
          </w:p>
        </w:tc>
        <w:tc>
          <w:tcPr>
            <w:tcW w:w="1560" w:type="dxa"/>
          </w:tcPr>
          <w:p>
            <w:pPr>
              <w:pStyle w:val="yTableNAm"/>
            </w:pPr>
            <w:r>
              <w:t>$0.099703 per unit</w:t>
            </w:r>
          </w:p>
        </w:tc>
        <w:tc>
          <w:tcPr>
            <w:tcW w:w="1275" w:type="dxa"/>
          </w:tcPr>
          <w:p>
            <w:pPr>
              <w:pStyle w:val="yTableNAm"/>
            </w:pPr>
            <w:r>
              <w:t>15 units per hour</w:t>
            </w:r>
          </w:p>
        </w:tc>
        <w:tc>
          <w:tcPr>
            <w:tcW w:w="1276" w:type="dxa"/>
          </w:tcPr>
          <w:p>
            <w:pPr>
              <w:pStyle w:val="yTableNAm"/>
            </w:pPr>
            <w:r>
              <w:t>$100</w:t>
            </w:r>
          </w:p>
        </w:tc>
      </w:tr>
    </w:tbl>
    <w:p>
      <w:pPr>
        <w:pStyle w:val="ySubsection"/>
      </w:pPr>
      <w:r>
        <w:tab/>
        <w:t>(6)</w:t>
      </w:r>
      <w:r>
        <w:tab/>
        <w:t>Each MyPower residential tariff is available subject to the condition that the consumer does not exceed the applicable peak allowance on 4 or more peak days in a peak period.</w:t>
      </w:r>
    </w:p>
    <w:p>
      <w:pPr>
        <w:pStyle w:val="yFootnotesection"/>
      </w:pPr>
      <w:r>
        <w:tab/>
        <w:t>[Clause 8 inserted in Gazette 22 Dec 2017 p. 5980</w:t>
      </w:r>
      <w:r>
        <w:noBreakHyphen/>
        <w:t>1.]</w:t>
      </w:r>
    </w:p>
    <w:p>
      <w:pPr>
        <w:pStyle w:val="yHeading5"/>
      </w:pPr>
      <w:bookmarkStart w:id="27" w:name="_Toc502736811"/>
      <w:r>
        <w:rPr>
          <w:rStyle w:val="CharSClsNo"/>
        </w:rPr>
        <w:t>9</w:t>
      </w:r>
      <w:r>
        <w:t>.</w:t>
      </w:r>
      <w:r>
        <w:tab/>
        <w:t>MyPower non</w:t>
      </w:r>
      <w:r>
        <w:noBreakHyphen/>
        <w:t>residential tariffs</w:t>
      </w:r>
      <w:bookmarkEnd w:id="27"/>
    </w:p>
    <w:p>
      <w:pPr>
        <w:pStyle w:val="ySubsection"/>
      </w:pPr>
      <w:r>
        <w:tab/>
        <w:t>(1)</w:t>
      </w:r>
      <w:r>
        <w:tab/>
        <w:t xml:space="preserve">Each tariff determined under this clause (a </w:t>
      </w:r>
      <w:r>
        <w:rPr>
          <w:rStyle w:val="CharDefText"/>
        </w:rPr>
        <w:t>MyPower non</w:t>
      </w:r>
      <w:r>
        <w:rPr>
          <w:rStyle w:val="CharDefText"/>
        </w:rPr>
        <w:noBreakHyphen/>
        <w:t>residential tariff</w:t>
      </w:r>
      <w:r>
        <w:t xml:space="preserve">) is available only — </w:t>
      </w:r>
    </w:p>
    <w:p>
      <w:pPr>
        <w:pStyle w:val="yIndenta"/>
      </w:pPr>
      <w:r>
        <w:tab/>
        <w:t>(a)</w:t>
      </w:r>
      <w:r>
        <w:tab/>
        <w:t>for non</w:t>
      </w:r>
      <w:r>
        <w:noBreakHyphen/>
        <w:t>residential use; and</w:t>
      </w:r>
    </w:p>
    <w:p>
      <w:pPr>
        <w:pStyle w:val="yIndenta"/>
      </w:pPr>
      <w:r>
        <w:tab/>
        <w:t>(b)</w:t>
      </w:r>
      <w:r>
        <w:tab/>
        <w:t>if the consumer has entered into a non</w:t>
      </w:r>
      <w:r>
        <w:noBreakHyphen/>
        <w:t xml:space="preserve">standard contract (as defined in the </w:t>
      </w:r>
      <w:r>
        <w:rPr>
          <w:i/>
        </w:rPr>
        <w:t>Electricity Industry Act 2004</w:t>
      </w:r>
      <w:r>
        <w:t xml:space="preserve"> section 47) with the corporation for the supply of electricity at a MyPower non</w:t>
      </w:r>
      <w:r>
        <w:noBreakHyphen/>
        <w:t>residential tariff.</w:t>
      </w:r>
    </w:p>
    <w:p>
      <w:pPr>
        <w:pStyle w:val="ySubsection"/>
      </w:pPr>
      <w:r>
        <w:tab/>
        <w:t>(2)</w:t>
      </w:r>
      <w:r>
        <w:tab/>
        <w:t>Each MyPower non</w:t>
      </w:r>
      <w:r>
        <w:noBreakHyphen/>
        <w:t xml:space="preserve">residential tariff comprises the following charges, adjusted (where relevant) in accordance with subclause (3) — </w:t>
      </w:r>
    </w:p>
    <w:p>
      <w:pPr>
        <w:pStyle w:val="yIndenta"/>
      </w:pPr>
      <w:r>
        <w:tab/>
        <w:t>(a)</w:t>
      </w:r>
      <w:r>
        <w:tab/>
        <w:t>a fixed charge at applicable rate; and</w:t>
      </w:r>
    </w:p>
    <w:p>
      <w:pPr>
        <w:pStyle w:val="yIndenta"/>
      </w:pPr>
      <w:r>
        <w:tab/>
        <w:t>(b)</w:t>
      </w:r>
      <w:r>
        <w:tab/>
        <w:t>a charge for metered consumption at the applicable rate.</w:t>
      </w:r>
    </w:p>
    <w:p>
      <w:pPr>
        <w:pStyle w:val="ySubsection"/>
      </w:pPr>
      <w:r>
        <w:tab/>
        <w:t>(3)</w:t>
      </w:r>
      <w:r>
        <w:tab/>
        <w:t xml:space="preserve">The charges calculated under subclause (2) for electricity supplied to a consumer during a peak period are to be adjusted as follows — </w:t>
      </w:r>
    </w:p>
    <w:p>
      <w:pPr>
        <w:pStyle w:val="yIndenta"/>
      </w:pPr>
      <w:r>
        <w:tab/>
        <w:t>(a)</w:t>
      </w:r>
      <w:r>
        <w:tab/>
        <w:t>3 rebates of the applicable peak rebate amount are to be applied to the consumer’s account at the end of the peak period; but</w:t>
      </w:r>
    </w:p>
    <w:p>
      <w:pPr>
        <w:pStyle w:val="yIndenta"/>
      </w:pPr>
      <w:r>
        <w:tab/>
        <w:t>(b)</w:t>
      </w:r>
      <w:r>
        <w:tab/>
        <w:t>for each peak day on which the consumer exceeds the applicable peak allowance, 1 of the rebates referred to in paragraph (a) is not to be applied.</w:t>
      </w:r>
    </w:p>
    <w:p>
      <w:pPr>
        <w:pStyle w:val="ySubsection"/>
      </w:pPr>
      <w:r>
        <w:tab/>
        <w:t>(4)</w:t>
      </w:r>
      <w:r>
        <w:tab/>
        <w:t>If electricity is supplied to a consumer at a MyPower non</w:t>
      </w:r>
      <w:r>
        <w:noBreakHyphen/>
        <w:t xml:space="preserve">residential tariff for part only of a peak period (the </w:t>
      </w:r>
      <w:r>
        <w:rPr>
          <w:rStyle w:val="CharDefText"/>
        </w:rPr>
        <w:t>part</w:t>
      </w:r>
      <w:r>
        <w:rPr>
          <w:rStyle w:val="CharDefText"/>
        </w:rPr>
        <w:noBreakHyphen/>
        <w:t>period</w:t>
      </w:r>
      <w:r>
        <w:t xml:space="preserve">) — </w:t>
      </w:r>
    </w:p>
    <w:p>
      <w:pPr>
        <w:pStyle w:val="yIndenta"/>
      </w:pPr>
      <w:r>
        <w:tab/>
        <w:t>(a)</w:t>
      </w:r>
      <w:r>
        <w:tab/>
        <w:t>subclause (3) applies as if a reference to the peak period were a reference to the part</w:t>
      </w:r>
      <w:r>
        <w:noBreakHyphen/>
        <w:t>period; and</w:t>
      </w:r>
    </w:p>
    <w:p>
      <w:pPr>
        <w:pStyle w:val="yIndenta"/>
      </w:pPr>
      <w:r>
        <w:tab/>
        <w:t>(b)</w:t>
      </w:r>
      <w:r>
        <w:tab/>
        <w:t>the applicable peak rebate amount is to be reduced on a pro rata basis.</w:t>
      </w:r>
    </w:p>
    <w:p>
      <w:pPr>
        <w:pStyle w:val="ySubsection"/>
      </w:pPr>
      <w:r>
        <w:tab/>
        <w:t>(5)</w:t>
      </w:r>
      <w:r>
        <w:tab/>
        <w:t>For each MyPower non</w:t>
      </w:r>
      <w:r>
        <w:noBreakHyphen/>
        <w:t>residential tariff, the applicable rates of the fixed charge and metered consumption charge, the applicable peak allowance and the applicable peak rebate amount are to be determined under the Table.</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1417"/>
        <w:gridCol w:w="1560"/>
        <w:gridCol w:w="1275"/>
        <w:gridCol w:w="1276"/>
      </w:tblGrid>
      <w:tr>
        <w:trPr>
          <w:cantSplit/>
          <w:tblHeader/>
        </w:trPr>
        <w:tc>
          <w:tcPr>
            <w:tcW w:w="1276" w:type="dxa"/>
          </w:tcPr>
          <w:p>
            <w:pPr>
              <w:pStyle w:val="yTableNAm"/>
            </w:pPr>
            <w:r>
              <w:rPr>
                <w:b/>
              </w:rPr>
              <w:t>Tariff name</w:t>
            </w:r>
          </w:p>
        </w:tc>
        <w:tc>
          <w:tcPr>
            <w:tcW w:w="1417" w:type="dxa"/>
          </w:tcPr>
          <w:p>
            <w:pPr>
              <w:pStyle w:val="yTableNAm"/>
            </w:pPr>
            <w:r>
              <w:rPr>
                <w:b/>
              </w:rPr>
              <w:t>Rate of fixed charge</w:t>
            </w:r>
          </w:p>
        </w:tc>
        <w:tc>
          <w:tcPr>
            <w:tcW w:w="1560" w:type="dxa"/>
          </w:tcPr>
          <w:p>
            <w:pPr>
              <w:pStyle w:val="yTableNAm"/>
            </w:pPr>
            <w:r>
              <w:rPr>
                <w:b/>
              </w:rPr>
              <w:t>Rate of metered consumption charge</w:t>
            </w:r>
          </w:p>
        </w:tc>
        <w:tc>
          <w:tcPr>
            <w:tcW w:w="1275" w:type="dxa"/>
          </w:tcPr>
          <w:p>
            <w:pPr>
              <w:pStyle w:val="yTableNAm"/>
            </w:pPr>
            <w:r>
              <w:rPr>
                <w:b/>
              </w:rPr>
              <w:t>Peak allowance</w:t>
            </w:r>
          </w:p>
        </w:tc>
        <w:tc>
          <w:tcPr>
            <w:tcW w:w="1276" w:type="dxa"/>
          </w:tcPr>
          <w:p>
            <w:pPr>
              <w:pStyle w:val="yTableNAm"/>
            </w:pPr>
            <w:r>
              <w:rPr>
                <w:b/>
              </w:rPr>
              <w:t>Peak rebate amount</w:t>
            </w:r>
          </w:p>
        </w:tc>
      </w:tr>
      <w:tr>
        <w:trPr>
          <w:cantSplit/>
        </w:trPr>
        <w:tc>
          <w:tcPr>
            <w:tcW w:w="1276" w:type="dxa"/>
          </w:tcPr>
          <w:p>
            <w:pPr>
              <w:pStyle w:val="yTableNAm"/>
            </w:pPr>
            <w:r>
              <w:t>MyPower business 3 fixed plan price</w:t>
            </w:r>
          </w:p>
        </w:tc>
        <w:tc>
          <w:tcPr>
            <w:tcW w:w="1417" w:type="dxa"/>
          </w:tcPr>
          <w:p>
            <w:pPr>
              <w:pStyle w:val="yTableNAm"/>
            </w:pPr>
            <w:r>
              <w:t>$3.330959 per day</w:t>
            </w:r>
          </w:p>
        </w:tc>
        <w:tc>
          <w:tcPr>
            <w:tcW w:w="1560" w:type="dxa"/>
          </w:tcPr>
          <w:p>
            <w:pPr>
              <w:pStyle w:val="yTableNAm"/>
            </w:pPr>
            <w:r>
              <w:t>$0.099703 per unit</w:t>
            </w:r>
          </w:p>
        </w:tc>
        <w:tc>
          <w:tcPr>
            <w:tcW w:w="1275" w:type="dxa"/>
          </w:tcPr>
          <w:p>
            <w:pPr>
              <w:pStyle w:val="yTableNAm"/>
            </w:pPr>
            <w:r>
              <w:t xml:space="preserve">3 units </w:t>
            </w:r>
            <w:r>
              <w:br/>
              <w:t>per hour</w:t>
            </w:r>
          </w:p>
        </w:tc>
        <w:tc>
          <w:tcPr>
            <w:tcW w:w="1276" w:type="dxa"/>
          </w:tcPr>
          <w:p>
            <w:pPr>
              <w:pStyle w:val="yTableNAm"/>
            </w:pPr>
            <w:r>
              <w:t>$100</w:t>
            </w:r>
          </w:p>
        </w:tc>
      </w:tr>
      <w:tr>
        <w:trPr>
          <w:cantSplit/>
        </w:trPr>
        <w:tc>
          <w:tcPr>
            <w:tcW w:w="1276" w:type="dxa"/>
          </w:tcPr>
          <w:p>
            <w:pPr>
              <w:pStyle w:val="yTableNAm"/>
            </w:pPr>
            <w:r>
              <w:t>MyPower business 5 fixed plan price</w:t>
            </w:r>
          </w:p>
        </w:tc>
        <w:tc>
          <w:tcPr>
            <w:tcW w:w="1417" w:type="dxa"/>
          </w:tcPr>
          <w:p>
            <w:pPr>
              <w:pStyle w:val="yTableNAm"/>
            </w:pPr>
            <w:r>
              <w:t>$6.792026 per day</w:t>
            </w:r>
          </w:p>
        </w:tc>
        <w:tc>
          <w:tcPr>
            <w:tcW w:w="1560" w:type="dxa"/>
          </w:tcPr>
          <w:p>
            <w:pPr>
              <w:pStyle w:val="yTableNAm"/>
            </w:pPr>
            <w:r>
              <w:t>$0.099703 per unit</w:t>
            </w:r>
          </w:p>
        </w:tc>
        <w:tc>
          <w:tcPr>
            <w:tcW w:w="1275" w:type="dxa"/>
          </w:tcPr>
          <w:p>
            <w:pPr>
              <w:pStyle w:val="yTableNAm"/>
            </w:pPr>
            <w:r>
              <w:t xml:space="preserve">5 units </w:t>
            </w:r>
            <w:r>
              <w:br/>
              <w:t>per hour</w:t>
            </w:r>
          </w:p>
        </w:tc>
        <w:tc>
          <w:tcPr>
            <w:tcW w:w="1276" w:type="dxa"/>
          </w:tcPr>
          <w:p>
            <w:pPr>
              <w:pStyle w:val="yTableNAm"/>
            </w:pPr>
            <w:r>
              <w:t>$100</w:t>
            </w:r>
          </w:p>
        </w:tc>
      </w:tr>
      <w:tr>
        <w:trPr>
          <w:cantSplit/>
        </w:trPr>
        <w:tc>
          <w:tcPr>
            <w:tcW w:w="1276" w:type="dxa"/>
          </w:tcPr>
          <w:p>
            <w:pPr>
              <w:pStyle w:val="yTableNAm"/>
            </w:pPr>
            <w:r>
              <w:t>MyPower business 7 fixed plan price</w:t>
            </w:r>
          </w:p>
        </w:tc>
        <w:tc>
          <w:tcPr>
            <w:tcW w:w="1417" w:type="dxa"/>
          </w:tcPr>
          <w:p>
            <w:pPr>
              <w:pStyle w:val="yTableNAm"/>
            </w:pPr>
            <w:r>
              <w:t>$11.504898 per day</w:t>
            </w:r>
          </w:p>
        </w:tc>
        <w:tc>
          <w:tcPr>
            <w:tcW w:w="1560" w:type="dxa"/>
          </w:tcPr>
          <w:p>
            <w:pPr>
              <w:pStyle w:val="yTableNAm"/>
            </w:pPr>
            <w:r>
              <w:t>$0.099703 per unit</w:t>
            </w:r>
          </w:p>
        </w:tc>
        <w:tc>
          <w:tcPr>
            <w:tcW w:w="1275" w:type="dxa"/>
          </w:tcPr>
          <w:p>
            <w:pPr>
              <w:pStyle w:val="yTableNAm"/>
            </w:pPr>
            <w:r>
              <w:t xml:space="preserve">7 units </w:t>
            </w:r>
            <w:r>
              <w:br/>
              <w:t>per hour</w:t>
            </w:r>
          </w:p>
        </w:tc>
        <w:tc>
          <w:tcPr>
            <w:tcW w:w="1276" w:type="dxa"/>
          </w:tcPr>
          <w:p>
            <w:pPr>
              <w:pStyle w:val="yTableNAm"/>
            </w:pPr>
            <w:r>
              <w:t>$100</w:t>
            </w:r>
          </w:p>
        </w:tc>
      </w:tr>
      <w:tr>
        <w:trPr>
          <w:cantSplit/>
        </w:trPr>
        <w:tc>
          <w:tcPr>
            <w:tcW w:w="1276" w:type="dxa"/>
          </w:tcPr>
          <w:p>
            <w:pPr>
              <w:pStyle w:val="yTableNAm"/>
            </w:pPr>
            <w:r>
              <w:t>MyPower business 10 fixed plan price</w:t>
            </w:r>
          </w:p>
        </w:tc>
        <w:tc>
          <w:tcPr>
            <w:tcW w:w="1417" w:type="dxa"/>
          </w:tcPr>
          <w:p>
            <w:pPr>
              <w:pStyle w:val="yTableNAm"/>
            </w:pPr>
            <w:r>
              <w:t>$16.739049 per day</w:t>
            </w:r>
          </w:p>
        </w:tc>
        <w:tc>
          <w:tcPr>
            <w:tcW w:w="1560" w:type="dxa"/>
          </w:tcPr>
          <w:p>
            <w:pPr>
              <w:pStyle w:val="yTableNAm"/>
            </w:pPr>
            <w:r>
              <w:t>$0.099703 per unit</w:t>
            </w:r>
          </w:p>
        </w:tc>
        <w:tc>
          <w:tcPr>
            <w:tcW w:w="1275" w:type="dxa"/>
          </w:tcPr>
          <w:p>
            <w:pPr>
              <w:pStyle w:val="yTableNAm"/>
            </w:pPr>
            <w:r>
              <w:t>10 units per hour</w:t>
            </w:r>
          </w:p>
        </w:tc>
        <w:tc>
          <w:tcPr>
            <w:tcW w:w="1276" w:type="dxa"/>
          </w:tcPr>
          <w:p>
            <w:pPr>
              <w:pStyle w:val="yTableNAm"/>
            </w:pPr>
            <w:r>
              <w:t>$100</w:t>
            </w:r>
          </w:p>
        </w:tc>
      </w:tr>
      <w:tr>
        <w:trPr>
          <w:cantSplit/>
        </w:trPr>
        <w:tc>
          <w:tcPr>
            <w:tcW w:w="1276" w:type="dxa"/>
          </w:tcPr>
          <w:p>
            <w:pPr>
              <w:pStyle w:val="yTableNAm"/>
            </w:pPr>
            <w:r>
              <w:t>MyPower business 15 fixed plan price</w:t>
            </w:r>
          </w:p>
        </w:tc>
        <w:tc>
          <w:tcPr>
            <w:tcW w:w="1417" w:type="dxa"/>
          </w:tcPr>
          <w:p>
            <w:pPr>
              <w:pStyle w:val="yTableNAm"/>
            </w:pPr>
            <w:r>
              <w:t>$25.258053 per day</w:t>
            </w:r>
          </w:p>
        </w:tc>
        <w:tc>
          <w:tcPr>
            <w:tcW w:w="1560" w:type="dxa"/>
          </w:tcPr>
          <w:p>
            <w:pPr>
              <w:pStyle w:val="yTableNAm"/>
            </w:pPr>
            <w:r>
              <w:t>$0.099703 per unit</w:t>
            </w:r>
          </w:p>
        </w:tc>
        <w:tc>
          <w:tcPr>
            <w:tcW w:w="1275" w:type="dxa"/>
          </w:tcPr>
          <w:p>
            <w:pPr>
              <w:pStyle w:val="yTableNAm"/>
            </w:pPr>
            <w:r>
              <w:t>15 units per hour</w:t>
            </w:r>
          </w:p>
        </w:tc>
        <w:tc>
          <w:tcPr>
            <w:tcW w:w="1276" w:type="dxa"/>
          </w:tcPr>
          <w:p>
            <w:pPr>
              <w:pStyle w:val="yTableNAm"/>
            </w:pPr>
            <w:r>
              <w:t>$100</w:t>
            </w:r>
          </w:p>
        </w:tc>
      </w:tr>
      <w:tr>
        <w:trPr>
          <w:cantSplit/>
        </w:trPr>
        <w:tc>
          <w:tcPr>
            <w:tcW w:w="1276" w:type="dxa"/>
          </w:tcPr>
          <w:p>
            <w:pPr>
              <w:pStyle w:val="yTableNAm"/>
            </w:pPr>
            <w:r>
              <w:t>MyPower business 20 fixed plan price</w:t>
            </w:r>
          </w:p>
        </w:tc>
        <w:tc>
          <w:tcPr>
            <w:tcW w:w="1417" w:type="dxa"/>
          </w:tcPr>
          <w:p>
            <w:pPr>
              <w:pStyle w:val="yTableNAm"/>
            </w:pPr>
            <w:r>
              <w:t>$43.025630 per day</w:t>
            </w:r>
          </w:p>
        </w:tc>
        <w:tc>
          <w:tcPr>
            <w:tcW w:w="1560" w:type="dxa"/>
          </w:tcPr>
          <w:p>
            <w:pPr>
              <w:pStyle w:val="yTableNAm"/>
            </w:pPr>
            <w:r>
              <w:t>$0.099703 per unit</w:t>
            </w:r>
          </w:p>
        </w:tc>
        <w:tc>
          <w:tcPr>
            <w:tcW w:w="1275" w:type="dxa"/>
          </w:tcPr>
          <w:p>
            <w:pPr>
              <w:pStyle w:val="yTableNAm"/>
            </w:pPr>
            <w:r>
              <w:t>20 units per hour</w:t>
            </w:r>
          </w:p>
        </w:tc>
        <w:tc>
          <w:tcPr>
            <w:tcW w:w="1276" w:type="dxa"/>
          </w:tcPr>
          <w:p>
            <w:pPr>
              <w:pStyle w:val="yTableNAm"/>
            </w:pPr>
            <w:r>
              <w:t>$200</w:t>
            </w:r>
          </w:p>
        </w:tc>
      </w:tr>
      <w:tr>
        <w:trPr>
          <w:cantSplit/>
        </w:trPr>
        <w:tc>
          <w:tcPr>
            <w:tcW w:w="1276" w:type="dxa"/>
          </w:tcPr>
          <w:p>
            <w:pPr>
              <w:pStyle w:val="yTableNAm"/>
            </w:pPr>
            <w:r>
              <w:t>MyPower business 30 fixed plan price</w:t>
            </w:r>
          </w:p>
        </w:tc>
        <w:tc>
          <w:tcPr>
            <w:tcW w:w="1417" w:type="dxa"/>
          </w:tcPr>
          <w:p>
            <w:pPr>
              <w:pStyle w:val="yTableNAm"/>
            </w:pPr>
            <w:r>
              <w:t>$60.033161 per day</w:t>
            </w:r>
          </w:p>
        </w:tc>
        <w:tc>
          <w:tcPr>
            <w:tcW w:w="1560" w:type="dxa"/>
          </w:tcPr>
          <w:p>
            <w:pPr>
              <w:pStyle w:val="yTableNAm"/>
            </w:pPr>
            <w:r>
              <w:t>$0.099703 per unit</w:t>
            </w:r>
          </w:p>
        </w:tc>
        <w:tc>
          <w:tcPr>
            <w:tcW w:w="1275" w:type="dxa"/>
          </w:tcPr>
          <w:p>
            <w:pPr>
              <w:pStyle w:val="yTableNAm"/>
            </w:pPr>
            <w:r>
              <w:t>30 units per hour</w:t>
            </w:r>
          </w:p>
        </w:tc>
        <w:tc>
          <w:tcPr>
            <w:tcW w:w="1276" w:type="dxa"/>
          </w:tcPr>
          <w:p>
            <w:pPr>
              <w:pStyle w:val="yTableNAm"/>
            </w:pPr>
            <w:r>
              <w:t>$200</w:t>
            </w:r>
          </w:p>
        </w:tc>
      </w:tr>
      <w:tr>
        <w:trPr>
          <w:cantSplit/>
        </w:trPr>
        <w:tc>
          <w:tcPr>
            <w:tcW w:w="1276" w:type="dxa"/>
          </w:tcPr>
          <w:p>
            <w:pPr>
              <w:pStyle w:val="yTableNAm"/>
            </w:pPr>
            <w:r>
              <w:t>MyPower business 40 fixed plan price</w:t>
            </w:r>
          </w:p>
        </w:tc>
        <w:tc>
          <w:tcPr>
            <w:tcW w:w="1417" w:type="dxa"/>
          </w:tcPr>
          <w:p>
            <w:pPr>
              <w:pStyle w:val="yTableNAm"/>
            </w:pPr>
            <w:r>
              <w:t>$86.834447 per day</w:t>
            </w:r>
          </w:p>
        </w:tc>
        <w:tc>
          <w:tcPr>
            <w:tcW w:w="1560" w:type="dxa"/>
          </w:tcPr>
          <w:p>
            <w:pPr>
              <w:pStyle w:val="yTableNAm"/>
            </w:pPr>
            <w:r>
              <w:t>$0.099703 per unit</w:t>
            </w:r>
          </w:p>
        </w:tc>
        <w:tc>
          <w:tcPr>
            <w:tcW w:w="1275" w:type="dxa"/>
          </w:tcPr>
          <w:p>
            <w:pPr>
              <w:pStyle w:val="yTableNAm"/>
            </w:pPr>
            <w:r>
              <w:t>40 units per hour</w:t>
            </w:r>
          </w:p>
        </w:tc>
        <w:tc>
          <w:tcPr>
            <w:tcW w:w="1276" w:type="dxa"/>
          </w:tcPr>
          <w:p>
            <w:pPr>
              <w:pStyle w:val="yTableNAm"/>
            </w:pPr>
            <w:r>
              <w:t>$200</w:t>
            </w:r>
          </w:p>
        </w:tc>
      </w:tr>
      <w:tr>
        <w:trPr>
          <w:cantSplit/>
        </w:trPr>
        <w:tc>
          <w:tcPr>
            <w:tcW w:w="1276" w:type="dxa"/>
          </w:tcPr>
          <w:p>
            <w:pPr>
              <w:pStyle w:val="yTableNAm"/>
            </w:pPr>
            <w:r>
              <w:t>MyPower business 50 fixed plan price</w:t>
            </w:r>
          </w:p>
        </w:tc>
        <w:tc>
          <w:tcPr>
            <w:tcW w:w="1417" w:type="dxa"/>
          </w:tcPr>
          <w:p>
            <w:pPr>
              <w:pStyle w:val="yTableNAm"/>
            </w:pPr>
            <w:r>
              <w:t>$119.302041 per day</w:t>
            </w:r>
          </w:p>
        </w:tc>
        <w:tc>
          <w:tcPr>
            <w:tcW w:w="1560" w:type="dxa"/>
          </w:tcPr>
          <w:p>
            <w:pPr>
              <w:pStyle w:val="yTableNAm"/>
            </w:pPr>
            <w:r>
              <w:t>$0.099703 per unit</w:t>
            </w:r>
          </w:p>
        </w:tc>
        <w:tc>
          <w:tcPr>
            <w:tcW w:w="1275" w:type="dxa"/>
          </w:tcPr>
          <w:p>
            <w:pPr>
              <w:pStyle w:val="yTableNAm"/>
            </w:pPr>
            <w:r>
              <w:t>50 units per hour</w:t>
            </w:r>
          </w:p>
        </w:tc>
        <w:tc>
          <w:tcPr>
            <w:tcW w:w="1276" w:type="dxa"/>
          </w:tcPr>
          <w:p>
            <w:pPr>
              <w:pStyle w:val="yTableNAm"/>
            </w:pPr>
            <w:r>
              <w:t>$300</w:t>
            </w:r>
          </w:p>
        </w:tc>
      </w:tr>
    </w:tbl>
    <w:p>
      <w:pPr>
        <w:pStyle w:val="ySubsection"/>
        <w:rPr>
          <w:b/>
        </w:rPr>
      </w:pPr>
      <w:r>
        <w:tab/>
        <w:t>(6)</w:t>
      </w:r>
      <w:r>
        <w:tab/>
        <w:t>Each MyPower non</w:t>
      </w:r>
      <w:r>
        <w:noBreakHyphen/>
        <w:t>residential tariff is available subject to the condition that the consumer does not exceed the applicable peak allowance on 4 or more peak days in a peak period.</w:t>
      </w:r>
    </w:p>
    <w:p>
      <w:pPr>
        <w:pStyle w:val="yFootnotesection"/>
      </w:pPr>
      <w:r>
        <w:tab/>
        <w:t>[Clause 9 inserted in Gazette 22 Dec 2017 p. 5981</w:t>
      </w:r>
      <w:r>
        <w:noBreakHyphen/>
        <w:t>3.]</w:t>
      </w:r>
    </w:p>
    <w:p>
      <w:pPr>
        <w:pStyle w:val="yEdnoteschedule"/>
      </w:pPr>
      <w:r>
        <w:t>[Schedule 2A deleted in Gazette 22 Aug 2014 p. 3021.]</w:t>
      </w:r>
    </w:p>
    <w:p>
      <w:pPr>
        <w:sectPr>
          <w:headerReference w:type="even" r:id="rId27"/>
          <w:headerReference w:type="default" r:id="rId28"/>
          <w:endnotePr>
            <w:numFmt w:val="decimal"/>
          </w:endnotePr>
          <w:pgSz w:w="11907" w:h="16840" w:code="9"/>
          <w:pgMar w:top="2381" w:right="2410" w:bottom="3544" w:left="2410" w:header="720" w:footer="3380" w:gutter="0"/>
          <w:cols w:space="720"/>
          <w:docGrid w:linePitch="326"/>
        </w:sectPr>
      </w:pPr>
    </w:p>
    <w:p>
      <w:pPr>
        <w:pStyle w:val="yScheduleHeading"/>
      </w:pPr>
      <w:bookmarkStart w:id="29" w:name="_Toc501633159"/>
      <w:bookmarkStart w:id="30" w:name="_Toc501633212"/>
      <w:bookmarkStart w:id="31" w:name="_Toc502736812"/>
      <w:r>
        <w:rPr>
          <w:rStyle w:val="CharSchNo"/>
        </w:rPr>
        <w:t>Schedule 2</w:t>
      </w:r>
      <w:r>
        <w:t> — </w:t>
      </w:r>
      <w:r>
        <w:rPr>
          <w:rStyle w:val="CharSchText"/>
        </w:rPr>
        <w:t>Unmetered supply</w:t>
      </w:r>
      <w:bookmarkEnd w:id="29"/>
      <w:bookmarkEnd w:id="30"/>
      <w:bookmarkEnd w:id="31"/>
    </w:p>
    <w:p>
      <w:pPr>
        <w:pStyle w:val="yShoulderClause"/>
      </w:pPr>
      <w:r>
        <w:t>[bl. 4(2) and (3)]</w:t>
      </w:r>
    </w:p>
    <w:p>
      <w:pPr>
        <w:pStyle w:val="yFootnoteheading"/>
      </w:pPr>
      <w:r>
        <w:tab/>
        <w:t>[Heading inserted in Gazette 27 Jun 2017 p. 3422.]</w:t>
      </w:r>
    </w:p>
    <w:p>
      <w:pPr>
        <w:pStyle w:val="yHeading3"/>
      </w:pPr>
      <w:bookmarkStart w:id="32" w:name="_Toc501633160"/>
      <w:bookmarkStart w:id="33" w:name="_Toc501633213"/>
      <w:bookmarkStart w:id="34" w:name="_Toc502736813"/>
      <w:r>
        <w:rPr>
          <w:rStyle w:val="CharSDivNo"/>
        </w:rPr>
        <w:t>Division 1</w:t>
      </w:r>
      <w:r>
        <w:t> — </w:t>
      </w:r>
      <w:r>
        <w:rPr>
          <w:rStyle w:val="CharSDivText"/>
        </w:rPr>
        <w:t>Street lighting</w:t>
      </w:r>
      <w:bookmarkEnd w:id="32"/>
      <w:bookmarkEnd w:id="33"/>
      <w:bookmarkEnd w:id="34"/>
    </w:p>
    <w:p>
      <w:pPr>
        <w:pStyle w:val="yFootnoteheading"/>
        <w:spacing w:after="60"/>
      </w:pPr>
      <w:r>
        <w:tab/>
        <w:t>[Heading inserted in Gazette 27 Jun 2017 p. 3422.]</w:t>
      </w:r>
    </w:p>
    <w:tbl>
      <w:tblPr>
        <w:tblW w:w="6804" w:type="dxa"/>
        <w:tblInd w:w="212" w:type="dxa"/>
        <w:tblLayout w:type="fixed"/>
        <w:tblCellMar>
          <w:left w:w="70" w:type="dxa"/>
          <w:right w:w="70" w:type="dxa"/>
        </w:tblCellMar>
        <w:tblLook w:val="0000" w:firstRow="0" w:lastRow="0" w:firstColumn="0" w:lastColumn="0" w:noHBand="0" w:noVBand="0"/>
      </w:tblPr>
      <w:tblGrid>
        <w:gridCol w:w="567"/>
        <w:gridCol w:w="851"/>
        <w:gridCol w:w="992"/>
        <w:gridCol w:w="142"/>
        <w:gridCol w:w="1370"/>
        <w:gridCol w:w="1512"/>
        <w:gridCol w:w="1370"/>
      </w:tblGrid>
      <w:tr>
        <w:trPr>
          <w:cantSplit/>
          <w:tblHeader/>
        </w:trPr>
        <w:tc>
          <w:tcPr>
            <w:tcW w:w="567" w:type="dxa"/>
            <w:tcBorders>
              <w:top w:val="single" w:sz="4" w:space="0" w:color="auto"/>
              <w:bottom w:val="single" w:sz="4" w:space="0" w:color="auto"/>
            </w:tcBorders>
          </w:tcPr>
          <w:p>
            <w:pPr>
              <w:pStyle w:val="yTableNAm"/>
            </w:pPr>
            <w:r>
              <w:rPr>
                <w:b/>
                <w:bCs/>
                <w:sz w:val="16"/>
                <w:szCs w:val="16"/>
              </w:rPr>
              <w:t>Item</w:t>
            </w:r>
          </w:p>
        </w:tc>
        <w:tc>
          <w:tcPr>
            <w:tcW w:w="851" w:type="dxa"/>
            <w:tcBorders>
              <w:top w:val="single" w:sz="4" w:space="0" w:color="auto"/>
              <w:bottom w:val="single" w:sz="4" w:space="0" w:color="auto"/>
            </w:tcBorders>
          </w:tcPr>
          <w:p>
            <w:pPr>
              <w:pStyle w:val="yTableNAm"/>
            </w:pPr>
            <w:r>
              <w:rPr>
                <w:b/>
                <w:bCs/>
                <w:sz w:val="16"/>
                <w:szCs w:val="16"/>
              </w:rPr>
              <w:t>Wattage</w:t>
            </w:r>
          </w:p>
        </w:tc>
        <w:tc>
          <w:tcPr>
            <w:tcW w:w="992" w:type="dxa"/>
            <w:tcBorders>
              <w:top w:val="single" w:sz="4" w:space="0" w:color="auto"/>
              <w:bottom w:val="single" w:sz="4" w:space="0" w:color="auto"/>
            </w:tcBorders>
          </w:tcPr>
          <w:p>
            <w:pPr>
              <w:pStyle w:val="yTableNAm"/>
            </w:pPr>
            <w:r>
              <w:rPr>
                <w:b/>
                <w:bCs/>
                <w:sz w:val="16"/>
                <w:szCs w:val="16"/>
              </w:rPr>
              <w:t>Type</w:t>
            </w:r>
          </w:p>
        </w:tc>
        <w:tc>
          <w:tcPr>
            <w:tcW w:w="1512" w:type="dxa"/>
            <w:gridSpan w:val="2"/>
            <w:tcBorders>
              <w:top w:val="single" w:sz="4" w:space="0" w:color="auto"/>
              <w:bottom w:val="single" w:sz="4" w:space="0" w:color="auto"/>
            </w:tcBorders>
          </w:tcPr>
          <w:p>
            <w:pPr>
              <w:pStyle w:val="yTableNAm"/>
            </w:pPr>
            <w:r>
              <w:rPr>
                <w:b/>
                <w:bCs/>
                <w:spacing w:val="-4"/>
                <w:sz w:val="16"/>
                <w:szCs w:val="16"/>
              </w:rPr>
              <w:t>Midnight Switch</w:t>
            </w:r>
            <w:r>
              <w:rPr>
                <w:b/>
                <w:bCs/>
                <w:spacing w:val="-4"/>
                <w:sz w:val="16"/>
                <w:szCs w:val="16"/>
              </w:rPr>
              <w:noBreakHyphen/>
              <w:t xml:space="preserve">off (Obsolescent) </w:t>
            </w:r>
            <w:r>
              <w:rPr>
                <w:b/>
                <w:bCs/>
                <w:spacing w:val="-4"/>
                <w:sz w:val="16"/>
                <w:szCs w:val="16"/>
              </w:rPr>
              <w:br/>
              <w:t>Cents per day</w:t>
            </w:r>
          </w:p>
        </w:tc>
        <w:tc>
          <w:tcPr>
            <w:tcW w:w="1512" w:type="dxa"/>
            <w:tcBorders>
              <w:top w:val="single" w:sz="4" w:space="0" w:color="auto"/>
              <w:bottom w:val="single" w:sz="4" w:space="0" w:color="auto"/>
            </w:tcBorders>
          </w:tcPr>
          <w:p>
            <w:pPr>
              <w:pStyle w:val="yTableNAm"/>
            </w:pPr>
            <w:r>
              <w:rPr>
                <w:b/>
                <w:bCs/>
                <w:spacing w:val="-8"/>
                <w:sz w:val="16"/>
                <w:szCs w:val="16"/>
              </w:rPr>
              <w:t>1.15 a.m. Switch</w:t>
            </w:r>
            <w:r>
              <w:rPr>
                <w:b/>
                <w:bCs/>
                <w:spacing w:val="-8"/>
                <w:sz w:val="16"/>
                <w:szCs w:val="16"/>
              </w:rPr>
              <w:noBreakHyphen/>
              <w:t>off Cents per day</w:t>
            </w:r>
          </w:p>
        </w:tc>
        <w:tc>
          <w:tcPr>
            <w:tcW w:w="1370" w:type="dxa"/>
            <w:tcBorders>
              <w:top w:val="single" w:sz="4" w:space="0" w:color="auto"/>
              <w:bottom w:val="single" w:sz="4" w:space="0" w:color="auto"/>
            </w:tcBorders>
          </w:tcPr>
          <w:p>
            <w:pPr>
              <w:pStyle w:val="yTableNAm"/>
            </w:pPr>
            <w:r>
              <w:rPr>
                <w:b/>
                <w:bCs/>
                <w:spacing w:val="-8"/>
                <w:sz w:val="16"/>
                <w:szCs w:val="16"/>
              </w:rPr>
              <w:t>Dawn Switch</w:t>
            </w:r>
            <w:r>
              <w:rPr>
                <w:b/>
                <w:bCs/>
                <w:spacing w:val="-8"/>
                <w:sz w:val="16"/>
                <w:szCs w:val="16"/>
              </w:rPr>
              <w:noBreakHyphen/>
              <w:t>off Cents per day</w:t>
            </w:r>
          </w:p>
        </w:tc>
      </w:tr>
      <w:tr>
        <w:trPr>
          <w:cantSplit/>
        </w:trPr>
        <w:tc>
          <w:tcPr>
            <w:tcW w:w="6804" w:type="dxa"/>
            <w:gridSpan w:val="7"/>
          </w:tcPr>
          <w:p>
            <w:pPr>
              <w:pStyle w:val="yTableNAm"/>
            </w:pPr>
            <w:r>
              <w:rPr>
                <w:b/>
                <w:i/>
                <w:iCs/>
                <w:sz w:val="16"/>
                <w:szCs w:val="16"/>
              </w:rPr>
              <w:t>Street lighting on current offer and for existing services</w:t>
            </w:r>
          </w:p>
        </w:tc>
      </w:tr>
      <w:tr>
        <w:trPr>
          <w:cantSplit/>
        </w:trPr>
        <w:tc>
          <w:tcPr>
            <w:tcW w:w="567" w:type="dxa"/>
          </w:tcPr>
          <w:p>
            <w:pPr>
              <w:pStyle w:val="yTableNAm"/>
            </w:pPr>
            <w:r>
              <w:rPr>
                <w:sz w:val="16"/>
                <w:szCs w:val="16"/>
              </w:rPr>
              <w:t>Z.01</w:t>
            </w:r>
          </w:p>
        </w:tc>
        <w:tc>
          <w:tcPr>
            <w:tcW w:w="851" w:type="dxa"/>
          </w:tcPr>
          <w:p>
            <w:pPr>
              <w:pStyle w:val="yTableNAm"/>
            </w:pPr>
            <w:r>
              <w:rPr>
                <w:sz w:val="16"/>
                <w:szCs w:val="16"/>
              </w:rPr>
              <w:t>50</w:t>
            </w:r>
          </w:p>
        </w:tc>
        <w:tc>
          <w:tcPr>
            <w:tcW w:w="992" w:type="dxa"/>
          </w:tcPr>
          <w:p>
            <w:pPr>
              <w:pStyle w:val="yTableNAm"/>
            </w:pPr>
            <w:r>
              <w:rPr>
                <w:sz w:val="16"/>
                <w:szCs w:val="16"/>
              </w:rPr>
              <w:t>Mercury Vapour</w:t>
            </w:r>
          </w:p>
        </w:tc>
        <w:tc>
          <w:tcPr>
            <w:tcW w:w="1512" w:type="dxa"/>
            <w:gridSpan w:val="2"/>
          </w:tcPr>
          <w:p>
            <w:pPr>
              <w:pStyle w:val="yTableNAm"/>
            </w:pPr>
            <w:r>
              <w:rPr>
                <w:sz w:val="16"/>
                <w:szCs w:val="16"/>
              </w:rPr>
              <w:t>33.7892</w:t>
            </w:r>
          </w:p>
        </w:tc>
        <w:tc>
          <w:tcPr>
            <w:tcW w:w="1512" w:type="dxa"/>
          </w:tcPr>
          <w:p>
            <w:pPr>
              <w:pStyle w:val="yTableNAm"/>
            </w:pPr>
            <w:r>
              <w:rPr>
                <w:sz w:val="16"/>
                <w:szCs w:val="16"/>
              </w:rPr>
              <w:t>34.5129</w:t>
            </w:r>
          </w:p>
        </w:tc>
        <w:tc>
          <w:tcPr>
            <w:tcW w:w="1370" w:type="dxa"/>
          </w:tcPr>
          <w:p>
            <w:pPr>
              <w:pStyle w:val="yTableNAm"/>
            </w:pPr>
            <w:r>
              <w:rPr>
                <w:sz w:val="16"/>
                <w:szCs w:val="16"/>
              </w:rPr>
              <w:t>37.1271</w:t>
            </w:r>
          </w:p>
        </w:tc>
      </w:tr>
      <w:tr>
        <w:trPr>
          <w:cantSplit/>
        </w:trPr>
        <w:tc>
          <w:tcPr>
            <w:tcW w:w="567" w:type="dxa"/>
          </w:tcPr>
          <w:p>
            <w:pPr>
              <w:pStyle w:val="yTableNAm"/>
            </w:pPr>
            <w:r>
              <w:rPr>
                <w:sz w:val="16"/>
                <w:szCs w:val="16"/>
              </w:rPr>
              <w:t>Z.02</w:t>
            </w:r>
          </w:p>
        </w:tc>
        <w:tc>
          <w:tcPr>
            <w:tcW w:w="851" w:type="dxa"/>
          </w:tcPr>
          <w:p>
            <w:pPr>
              <w:pStyle w:val="yTableNAm"/>
            </w:pPr>
            <w:r>
              <w:rPr>
                <w:sz w:val="16"/>
                <w:szCs w:val="16"/>
              </w:rPr>
              <w:t>80</w:t>
            </w:r>
          </w:p>
        </w:tc>
        <w:tc>
          <w:tcPr>
            <w:tcW w:w="992" w:type="dxa"/>
          </w:tcPr>
          <w:p>
            <w:pPr>
              <w:pStyle w:val="yTableNAm"/>
            </w:pPr>
            <w:r>
              <w:rPr>
                <w:sz w:val="16"/>
                <w:szCs w:val="16"/>
              </w:rPr>
              <w:t>Mercury Vapour</w:t>
            </w:r>
          </w:p>
        </w:tc>
        <w:tc>
          <w:tcPr>
            <w:tcW w:w="1512" w:type="dxa"/>
            <w:gridSpan w:val="2"/>
          </w:tcPr>
          <w:p>
            <w:pPr>
              <w:pStyle w:val="yTableNAm"/>
            </w:pPr>
            <w:r>
              <w:rPr>
                <w:sz w:val="16"/>
                <w:szCs w:val="16"/>
              </w:rPr>
              <w:t>39.7906</w:t>
            </w:r>
          </w:p>
        </w:tc>
        <w:tc>
          <w:tcPr>
            <w:tcW w:w="1512" w:type="dxa"/>
          </w:tcPr>
          <w:p>
            <w:pPr>
              <w:pStyle w:val="yTableNAm"/>
            </w:pPr>
            <w:r>
              <w:rPr>
                <w:sz w:val="16"/>
                <w:szCs w:val="16"/>
              </w:rPr>
              <w:t>40.6786</w:t>
            </w:r>
          </w:p>
        </w:tc>
        <w:tc>
          <w:tcPr>
            <w:tcW w:w="1370" w:type="dxa"/>
          </w:tcPr>
          <w:p>
            <w:pPr>
              <w:pStyle w:val="yTableNAm"/>
            </w:pPr>
            <w:r>
              <w:rPr>
                <w:sz w:val="16"/>
                <w:szCs w:val="16"/>
              </w:rPr>
              <w:t>44.7566</w:t>
            </w:r>
          </w:p>
        </w:tc>
      </w:tr>
      <w:tr>
        <w:trPr>
          <w:cantSplit/>
        </w:trPr>
        <w:tc>
          <w:tcPr>
            <w:tcW w:w="567" w:type="dxa"/>
          </w:tcPr>
          <w:p>
            <w:pPr>
              <w:pStyle w:val="yTableNAm"/>
            </w:pPr>
            <w:r>
              <w:rPr>
                <w:sz w:val="16"/>
                <w:szCs w:val="16"/>
              </w:rPr>
              <w:t>Z.03</w:t>
            </w:r>
          </w:p>
        </w:tc>
        <w:tc>
          <w:tcPr>
            <w:tcW w:w="851" w:type="dxa"/>
          </w:tcPr>
          <w:p>
            <w:pPr>
              <w:pStyle w:val="yTableNAm"/>
            </w:pPr>
            <w:r>
              <w:rPr>
                <w:sz w:val="16"/>
                <w:szCs w:val="16"/>
              </w:rPr>
              <w:t>125</w:t>
            </w:r>
          </w:p>
        </w:tc>
        <w:tc>
          <w:tcPr>
            <w:tcW w:w="992" w:type="dxa"/>
          </w:tcPr>
          <w:p>
            <w:pPr>
              <w:pStyle w:val="yTableNAm"/>
            </w:pPr>
            <w:r>
              <w:rPr>
                <w:sz w:val="16"/>
                <w:szCs w:val="16"/>
              </w:rPr>
              <w:t>Mercury Vapour</w:t>
            </w:r>
          </w:p>
        </w:tc>
        <w:tc>
          <w:tcPr>
            <w:tcW w:w="1512" w:type="dxa"/>
            <w:gridSpan w:val="2"/>
          </w:tcPr>
          <w:p>
            <w:pPr>
              <w:pStyle w:val="yTableNAm"/>
            </w:pPr>
            <w:r>
              <w:rPr>
                <w:sz w:val="16"/>
                <w:szCs w:val="16"/>
              </w:rPr>
              <w:t>49.2123</w:t>
            </w:r>
          </w:p>
        </w:tc>
        <w:tc>
          <w:tcPr>
            <w:tcW w:w="1512" w:type="dxa"/>
          </w:tcPr>
          <w:p>
            <w:pPr>
              <w:pStyle w:val="yTableNAm"/>
            </w:pPr>
            <w:r>
              <w:rPr>
                <w:sz w:val="16"/>
                <w:szCs w:val="16"/>
              </w:rPr>
              <w:t>50.8074</w:t>
            </w:r>
          </w:p>
        </w:tc>
        <w:tc>
          <w:tcPr>
            <w:tcW w:w="1370" w:type="dxa"/>
          </w:tcPr>
          <w:p>
            <w:pPr>
              <w:pStyle w:val="yTableNAm"/>
            </w:pPr>
            <w:r>
              <w:rPr>
                <w:sz w:val="16"/>
                <w:szCs w:val="16"/>
              </w:rPr>
              <w:t>56.5621</w:t>
            </w:r>
          </w:p>
        </w:tc>
      </w:tr>
      <w:tr>
        <w:trPr>
          <w:cantSplit/>
        </w:trPr>
        <w:tc>
          <w:tcPr>
            <w:tcW w:w="567" w:type="dxa"/>
          </w:tcPr>
          <w:p>
            <w:pPr>
              <w:pStyle w:val="yTableNAm"/>
            </w:pPr>
            <w:r>
              <w:rPr>
                <w:sz w:val="16"/>
                <w:szCs w:val="16"/>
              </w:rPr>
              <w:t>Z.04</w:t>
            </w:r>
          </w:p>
        </w:tc>
        <w:tc>
          <w:tcPr>
            <w:tcW w:w="851" w:type="dxa"/>
          </w:tcPr>
          <w:p>
            <w:pPr>
              <w:pStyle w:val="yTableNAm"/>
            </w:pPr>
            <w:r>
              <w:rPr>
                <w:sz w:val="16"/>
                <w:szCs w:val="16"/>
              </w:rPr>
              <w:t>140</w:t>
            </w:r>
          </w:p>
        </w:tc>
        <w:tc>
          <w:tcPr>
            <w:tcW w:w="992" w:type="dxa"/>
          </w:tcPr>
          <w:p>
            <w:pPr>
              <w:pStyle w:val="yTableNAm"/>
            </w:pPr>
            <w:r>
              <w:rPr>
                <w:sz w:val="16"/>
                <w:szCs w:val="16"/>
              </w:rPr>
              <w:t>Low Pressure Sodium</w:t>
            </w:r>
          </w:p>
        </w:tc>
        <w:tc>
          <w:tcPr>
            <w:tcW w:w="1512" w:type="dxa"/>
            <w:gridSpan w:val="2"/>
          </w:tcPr>
          <w:p>
            <w:pPr>
              <w:pStyle w:val="yTableNAm"/>
            </w:pPr>
            <w:r>
              <w:rPr>
                <w:sz w:val="16"/>
                <w:szCs w:val="16"/>
              </w:rPr>
              <w:t>50.3634</w:t>
            </w:r>
          </w:p>
        </w:tc>
        <w:tc>
          <w:tcPr>
            <w:tcW w:w="1512" w:type="dxa"/>
          </w:tcPr>
          <w:p>
            <w:pPr>
              <w:pStyle w:val="yTableNAm"/>
            </w:pPr>
            <w:r>
              <w:rPr>
                <w:sz w:val="16"/>
                <w:szCs w:val="16"/>
              </w:rPr>
              <w:t>52.0077</w:t>
            </w:r>
          </w:p>
        </w:tc>
        <w:tc>
          <w:tcPr>
            <w:tcW w:w="1370" w:type="dxa"/>
          </w:tcPr>
          <w:p>
            <w:pPr>
              <w:pStyle w:val="yTableNAm"/>
            </w:pPr>
            <w:r>
              <w:rPr>
                <w:sz w:val="16"/>
                <w:szCs w:val="16"/>
              </w:rPr>
              <w:t>58.6175</w:t>
            </w:r>
          </w:p>
        </w:tc>
      </w:tr>
      <w:tr>
        <w:trPr>
          <w:cantSplit/>
        </w:trPr>
        <w:tc>
          <w:tcPr>
            <w:tcW w:w="567" w:type="dxa"/>
          </w:tcPr>
          <w:p>
            <w:pPr>
              <w:pStyle w:val="yTableNAm"/>
            </w:pPr>
            <w:r>
              <w:rPr>
                <w:sz w:val="16"/>
                <w:szCs w:val="16"/>
              </w:rPr>
              <w:t>Z.07</w:t>
            </w:r>
          </w:p>
        </w:tc>
        <w:tc>
          <w:tcPr>
            <w:tcW w:w="851" w:type="dxa"/>
          </w:tcPr>
          <w:p>
            <w:pPr>
              <w:pStyle w:val="yTableNAm"/>
            </w:pPr>
            <w:r>
              <w:rPr>
                <w:sz w:val="16"/>
                <w:szCs w:val="16"/>
              </w:rPr>
              <w:t>250</w:t>
            </w:r>
          </w:p>
        </w:tc>
        <w:tc>
          <w:tcPr>
            <w:tcW w:w="992" w:type="dxa"/>
          </w:tcPr>
          <w:p>
            <w:pPr>
              <w:pStyle w:val="yTableNAm"/>
            </w:pPr>
            <w:r>
              <w:rPr>
                <w:sz w:val="16"/>
                <w:szCs w:val="16"/>
              </w:rPr>
              <w:t>Mercury Vapour</w:t>
            </w:r>
          </w:p>
        </w:tc>
        <w:tc>
          <w:tcPr>
            <w:tcW w:w="1512" w:type="dxa"/>
            <w:gridSpan w:val="2"/>
          </w:tcPr>
          <w:p>
            <w:pPr>
              <w:pStyle w:val="yTableNAm"/>
            </w:pPr>
            <w:r>
              <w:rPr>
                <w:sz w:val="16"/>
                <w:szCs w:val="16"/>
              </w:rPr>
              <w:t>61.0674</w:t>
            </w:r>
          </w:p>
        </w:tc>
        <w:tc>
          <w:tcPr>
            <w:tcW w:w="1512" w:type="dxa"/>
          </w:tcPr>
          <w:p>
            <w:pPr>
              <w:pStyle w:val="yTableNAm"/>
            </w:pPr>
            <w:r>
              <w:rPr>
                <w:sz w:val="16"/>
                <w:szCs w:val="16"/>
              </w:rPr>
              <w:t>64.1750</w:t>
            </w:r>
          </w:p>
        </w:tc>
        <w:tc>
          <w:tcPr>
            <w:tcW w:w="1370" w:type="dxa"/>
          </w:tcPr>
          <w:p>
            <w:pPr>
              <w:pStyle w:val="yTableNAm"/>
            </w:pPr>
            <w:r>
              <w:rPr>
                <w:sz w:val="16"/>
                <w:szCs w:val="16"/>
              </w:rPr>
              <w:t>75.7669</w:t>
            </w:r>
          </w:p>
        </w:tc>
      </w:tr>
      <w:tr>
        <w:trPr>
          <w:cantSplit/>
        </w:trPr>
        <w:tc>
          <w:tcPr>
            <w:tcW w:w="567" w:type="dxa"/>
          </w:tcPr>
          <w:p>
            <w:pPr>
              <w:pStyle w:val="yTableNAm"/>
            </w:pPr>
            <w:r>
              <w:rPr>
                <w:sz w:val="16"/>
                <w:szCs w:val="16"/>
              </w:rPr>
              <w:t>Z.10</w:t>
            </w:r>
          </w:p>
        </w:tc>
        <w:tc>
          <w:tcPr>
            <w:tcW w:w="851" w:type="dxa"/>
          </w:tcPr>
          <w:p>
            <w:pPr>
              <w:pStyle w:val="yTableNAm"/>
            </w:pPr>
            <w:r>
              <w:rPr>
                <w:sz w:val="16"/>
                <w:szCs w:val="16"/>
              </w:rPr>
              <w:t>400</w:t>
            </w:r>
          </w:p>
        </w:tc>
        <w:tc>
          <w:tcPr>
            <w:tcW w:w="992" w:type="dxa"/>
          </w:tcPr>
          <w:p>
            <w:pPr>
              <w:pStyle w:val="yTableNAm"/>
            </w:pPr>
            <w:r>
              <w:rPr>
                <w:sz w:val="16"/>
                <w:szCs w:val="16"/>
              </w:rPr>
              <w:t>Mercury Vapour</w:t>
            </w:r>
          </w:p>
        </w:tc>
        <w:tc>
          <w:tcPr>
            <w:tcW w:w="1512" w:type="dxa"/>
            <w:gridSpan w:val="2"/>
          </w:tcPr>
          <w:p>
            <w:pPr>
              <w:pStyle w:val="yTableNAm"/>
            </w:pPr>
            <w:r>
              <w:rPr>
                <w:sz w:val="16"/>
                <w:szCs w:val="16"/>
              </w:rPr>
              <w:t>90.4665</w:t>
            </w:r>
          </w:p>
        </w:tc>
        <w:tc>
          <w:tcPr>
            <w:tcW w:w="1512" w:type="dxa"/>
          </w:tcPr>
          <w:p>
            <w:pPr>
              <w:pStyle w:val="yTableNAm"/>
            </w:pPr>
            <w:r>
              <w:rPr>
                <w:sz w:val="16"/>
                <w:szCs w:val="16"/>
              </w:rPr>
              <w:t>95.2019</w:t>
            </w:r>
          </w:p>
        </w:tc>
        <w:tc>
          <w:tcPr>
            <w:tcW w:w="1370" w:type="dxa"/>
          </w:tcPr>
          <w:p>
            <w:pPr>
              <w:pStyle w:val="yTableNAm"/>
            </w:pPr>
            <w:r>
              <w:rPr>
                <w:sz w:val="16"/>
                <w:szCs w:val="16"/>
              </w:rPr>
              <w:t>113.2886</w:t>
            </w:r>
          </w:p>
        </w:tc>
      </w:tr>
      <w:tr>
        <w:trPr>
          <w:cantSplit/>
        </w:trPr>
        <w:tc>
          <w:tcPr>
            <w:tcW w:w="567" w:type="dxa"/>
          </w:tcPr>
          <w:p>
            <w:pPr>
              <w:pStyle w:val="yTableNAm"/>
            </w:pPr>
            <w:r>
              <w:rPr>
                <w:sz w:val="16"/>
                <w:szCs w:val="16"/>
              </w:rPr>
              <w:t>Z.13</w:t>
            </w:r>
          </w:p>
        </w:tc>
        <w:tc>
          <w:tcPr>
            <w:tcW w:w="851" w:type="dxa"/>
          </w:tcPr>
          <w:p>
            <w:pPr>
              <w:pStyle w:val="yTableNAm"/>
            </w:pPr>
            <w:r>
              <w:rPr>
                <w:sz w:val="16"/>
                <w:szCs w:val="16"/>
              </w:rPr>
              <w:t>150</w:t>
            </w:r>
          </w:p>
        </w:tc>
        <w:tc>
          <w:tcPr>
            <w:tcW w:w="992" w:type="dxa"/>
          </w:tcPr>
          <w:p>
            <w:pPr>
              <w:pStyle w:val="yTableNAm"/>
            </w:pPr>
            <w:r>
              <w:rPr>
                <w:sz w:val="16"/>
                <w:szCs w:val="16"/>
              </w:rPr>
              <w:t>High Pressure Sodium</w:t>
            </w:r>
          </w:p>
        </w:tc>
        <w:tc>
          <w:tcPr>
            <w:tcW w:w="1512" w:type="dxa"/>
            <w:gridSpan w:val="2"/>
          </w:tcPr>
          <w:p>
            <w:pPr>
              <w:pStyle w:val="yTableNAm"/>
            </w:pPr>
            <w:r>
              <w:rPr>
                <w:sz w:val="16"/>
                <w:szCs w:val="16"/>
              </w:rPr>
              <w:t>46.6144</w:t>
            </w:r>
          </w:p>
        </w:tc>
        <w:tc>
          <w:tcPr>
            <w:tcW w:w="1512" w:type="dxa"/>
          </w:tcPr>
          <w:p>
            <w:pPr>
              <w:pStyle w:val="yTableNAm"/>
            </w:pPr>
            <w:r>
              <w:rPr>
                <w:sz w:val="16"/>
                <w:szCs w:val="16"/>
              </w:rPr>
              <w:t>48.3245</w:t>
            </w:r>
          </w:p>
        </w:tc>
        <w:tc>
          <w:tcPr>
            <w:tcW w:w="1370" w:type="dxa"/>
          </w:tcPr>
          <w:p>
            <w:pPr>
              <w:pStyle w:val="yTableNAm"/>
            </w:pPr>
            <w:r>
              <w:rPr>
                <w:sz w:val="16"/>
                <w:szCs w:val="16"/>
              </w:rPr>
              <w:t>57.8938</w:t>
            </w:r>
          </w:p>
        </w:tc>
      </w:tr>
      <w:tr>
        <w:trPr>
          <w:cantSplit/>
        </w:trPr>
        <w:tc>
          <w:tcPr>
            <w:tcW w:w="567" w:type="dxa"/>
          </w:tcPr>
          <w:p>
            <w:pPr>
              <w:pStyle w:val="yTableNAm"/>
            </w:pPr>
            <w:r>
              <w:rPr>
                <w:sz w:val="16"/>
                <w:szCs w:val="16"/>
              </w:rPr>
              <w:t>Z.15</w:t>
            </w:r>
          </w:p>
        </w:tc>
        <w:tc>
          <w:tcPr>
            <w:tcW w:w="851" w:type="dxa"/>
          </w:tcPr>
          <w:p>
            <w:pPr>
              <w:pStyle w:val="yTableNAm"/>
            </w:pPr>
            <w:r>
              <w:rPr>
                <w:sz w:val="16"/>
                <w:szCs w:val="16"/>
              </w:rPr>
              <w:t>250</w:t>
            </w:r>
          </w:p>
        </w:tc>
        <w:tc>
          <w:tcPr>
            <w:tcW w:w="992" w:type="dxa"/>
          </w:tcPr>
          <w:p>
            <w:pPr>
              <w:pStyle w:val="yTableNAm"/>
            </w:pPr>
            <w:r>
              <w:rPr>
                <w:sz w:val="16"/>
                <w:szCs w:val="16"/>
              </w:rPr>
              <w:t>High Pressure Sodium</w:t>
            </w:r>
          </w:p>
        </w:tc>
        <w:tc>
          <w:tcPr>
            <w:tcW w:w="1512" w:type="dxa"/>
            <w:gridSpan w:val="2"/>
          </w:tcPr>
          <w:p>
            <w:pPr>
              <w:pStyle w:val="yTableNAm"/>
            </w:pPr>
            <w:r>
              <w:rPr>
                <w:sz w:val="16"/>
                <w:szCs w:val="16"/>
              </w:rPr>
              <w:t>69.1077</w:t>
            </w:r>
          </w:p>
        </w:tc>
        <w:tc>
          <w:tcPr>
            <w:tcW w:w="1512" w:type="dxa"/>
          </w:tcPr>
          <w:p>
            <w:pPr>
              <w:pStyle w:val="yTableNAm"/>
            </w:pPr>
            <w:r>
              <w:rPr>
                <w:sz w:val="16"/>
                <w:szCs w:val="16"/>
              </w:rPr>
              <w:t>72.7909</w:t>
            </w:r>
          </w:p>
        </w:tc>
        <w:tc>
          <w:tcPr>
            <w:tcW w:w="1370" w:type="dxa"/>
          </w:tcPr>
          <w:p>
            <w:pPr>
              <w:pStyle w:val="yTableNAm"/>
            </w:pPr>
            <w:r>
              <w:rPr>
                <w:sz w:val="16"/>
                <w:szCs w:val="16"/>
              </w:rPr>
              <w:t>86.9971</w:t>
            </w:r>
          </w:p>
        </w:tc>
      </w:tr>
      <w:tr>
        <w:trPr>
          <w:cantSplit/>
        </w:trPr>
        <w:tc>
          <w:tcPr>
            <w:tcW w:w="567" w:type="dxa"/>
          </w:tcPr>
          <w:p>
            <w:pPr>
              <w:pStyle w:val="yTableNAm"/>
            </w:pPr>
            <w:r>
              <w:rPr>
                <w:sz w:val="16"/>
                <w:szCs w:val="16"/>
              </w:rPr>
              <w:t>Z.18</w:t>
            </w:r>
          </w:p>
        </w:tc>
        <w:tc>
          <w:tcPr>
            <w:tcW w:w="851" w:type="dxa"/>
          </w:tcPr>
          <w:p>
            <w:pPr>
              <w:pStyle w:val="yTableNAm"/>
            </w:pPr>
            <w:r>
              <w:rPr>
                <w:sz w:val="16"/>
                <w:szCs w:val="16"/>
              </w:rPr>
              <w:t>per kW</w:t>
            </w:r>
          </w:p>
        </w:tc>
        <w:tc>
          <w:tcPr>
            <w:tcW w:w="992" w:type="dxa"/>
          </w:tcPr>
          <w:p>
            <w:pPr>
              <w:pStyle w:val="yTableNAm"/>
            </w:pPr>
            <w:r>
              <w:rPr>
                <w:sz w:val="16"/>
                <w:szCs w:val="16"/>
              </w:rPr>
              <w:t>Auxiliary Lighting in Public Places</w:t>
            </w:r>
          </w:p>
        </w:tc>
        <w:tc>
          <w:tcPr>
            <w:tcW w:w="1512" w:type="dxa"/>
            <w:gridSpan w:val="2"/>
          </w:tcPr>
          <w:p>
            <w:pPr>
              <w:pStyle w:val="yTableNAm"/>
            </w:pPr>
            <w:r>
              <w:rPr>
                <w:sz w:val="16"/>
                <w:szCs w:val="16"/>
              </w:rPr>
              <w:t>Not applicable</w:t>
            </w:r>
          </w:p>
        </w:tc>
        <w:tc>
          <w:tcPr>
            <w:tcW w:w="1512" w:type="dxa"/>
          </w:tcPr>
          <w:p>
            <w:pPr>
              <w:pStyle w:val="yTableNAm"/>
            </w:pPr>
            <w:r>
              <w:rPr>
                <w:sz w:val="16"/>
                <w:szCs w:val="16"/>
              </w:rPr>
              <w:t>Not applicable</w:t>
            </w:r>
          </w:p>
        </w:tc>
        <w:tc>
          <w:tcPr>
            <w:tcW w:w="1370" w:type="dxa"/>
          </w:tcPr>
          <w:p>
            <w:pPr>
              <w:pStyle w:val="yTableNAm"/>
            </w:pPr>
            <w:r>
              <w:rPr>
                <w:sz w:val="16"/>
                <w:szCs w:val="16"/>
              </w:rPr>
              <w:t>252.2766</w:t>
            </w:r>
          </w:p>
        </w:tc>
      </w:tr>
      <w:tr>
        <w:trPr>
          <w:cantSplit/>
        </w:trPr>
        <w:tc>
          <w:tcPr>
            <w:tcW w:w="567" w:type="dxa"/>
          </w:tcPr>
          <w:p>
            <w:pPr>
              <w:pStyle w:val="yTableNAm"/>
            </w:pPr>
            <w:r>
              <w:rPr>
                <w:sz w:val="16"/>
                <w:szCs w:val="16"/>
              </w:rPr>
              <w:t>Z.59</w:t>
            </w:r>
          </w:p>
        </w:tc>
        <w:tc>
          <w:tcPr>
            <w:tcW w:w="851" w:type="dxa"/>
          </w:tcPr>
          <w:p>
            <w:pPr>
              <w:pStyle w:val="yTableNAm"/>
            </w:pPr>
            <w:r>
              <w:rPr>
                <w:sz w:val="16"/>
                <w:szCs w:val="16"/>
              </w:rPr>
              <w:t>66</w:t>
            </w:r>
          </w:p>
        </w:tc>
        <w:tc>
          <w:tcPr>
            <w:tcW w:w="992" w:type="dxa"/>
          </w:tcPr>
          <w:p>
            <w:pPr>
              <w:pStyle w:val="yTableNAm"/>
            </w:pPr>
            <w:r>
              <w:rPr>
                <w:sz w:val="16"/>
                <w:szCs w:val="16"/>
              </w:rPr>
              <w:t>LED</w:t>
            </w:r>
          </w:p>
        </w:tc>
        <w:tc>
          <w:tcPr>
            <w:tcW w:w="1512" w:type="dxa"/>
            <w:gridSpan w:val="2"/>
          </w:tcPr>
          <w:p>
            <w:pPr>
              <w:pStyle w:val="yTableNAm"/>
            </w:pPr>
            <w:r>
              <w:rPr>
                <w:sz w:val="16"/>
                <w:szCs w:val="16"/>
              </w:rPr>
              <w:t>34.3468</w:t>
            </w:r>
          </w:p>
        </w:tc>
        <w:tc>
          <w:tcPr>
            <w:tcW w:w="1512" w:type="dxa"/>
          </w:tcPr>
          <w:p>
            <w:pPr>
              <w:pStyle w:val="yTableNAm"/>
            </w:pPr>
            <w:r>
              <w:rPr>
                <w:sz w:val="16"/>
                <w:szCs w:val="16"/>
              </w:rPr>
              <w:t>35.3603</w:t>
            </w:r>
          </w:p>
        </w:tc>
        <w:tc>
          <w:tcPr>
            <w:tcW w:w="1370" w:type="dxa"/>
          </w:tcPr>
          <w:p>
            <w:pPr>
              <w:pStyle w:val="yTableNAm"/>
            </w:pPr>
            <w:r>
              <w:rPr>
                <w:sz w:val="16"/>
                <w:szCs w:val="16"/>
              </w:rPr>
              <w:t>38.2559</w:t>
            </w:r>
          </w:p>
        </w:tc>
      </w:tr>
      <w:tr>
        <w:trPr>
          <w:cantSplit/>
        </w:trPr>
        <w:tc>
          <w:tcPr>
            <w:tcW w:w="567" w:type="dxa"/>
          </w:tcPr>
          <w:p>
            <w:pPr>
              <w:pStyle w:val="yTableNAm"/>
            </w:pPr>
            <w:r>
              <w:rPr>
                <w:sz w:val="16"/>
                <w:szCs w:val="16"/>
              </w:rPr>
              <w:t>Z.60</w:t>
            </w:r>
          </w:p>
        </w:tc>
        <w:tc>
          <w:tcPr>
            <w:tcW w:w="851" w:type="dxa"/>
          </w:tcPr>
          <w:p>
            <w:pPr>
              <w:pStyle w:val="yTableNAm"/>
            </w:pPr>
            <w:r>
              <w:rPr>
                <w:sz w:val="16"/>
                <w:szCs w:val="16"/>
              </w:rPr>
              <w:t>132</w:t>
            </w:r>
          </w:p>
        </w:tc>
        <w:tc>
          <w:tcPr>
            <w:tcW w:w="992" w:type="dxa"/>
          </w:tcPr>
          <w:p>
            <w:pPr>
              <w:pStyle w:val="yTableNAm"/>
            </w:pPr>
            <w:r>
              <w:rPr>
                <w:sz w:val="16"/>
                <w:szCs w:val="16"/>
              </w:rPr>
              <w:t>LED</w:t>
            </w:r>
          </w:p>
        </w:tc>
        <w:tc>
          <w:tcPr>
            <w:tcW w:w="1512" w:type="dxa"/>
            <w:gridSpan w:val="2"/>
          </w:tcPr>
          <w:p>
            <w:pPr>
              <w:pStyle w:val="yTableNAm"/>
            </w:pPr>
            <w:r>
              <w:rPr>
                <w:sz w:val="16"/>
                <w:szCs w:val="16"/>
              </w:rPr>
              <w:t>45.8493</w:t>
            </w:r>
          </w:p>
        </w:tc>
        <w:tc>
          <w:tcPr>
            <w:tcW w:w="1512" w:type="dxa"/>
          </w:tcPr>
          <w:p>
            <w:pPr>
              <w:pStyle w:val="yTableNAm"/>
            </w:pPr>
            <w:r>
              <w:rPr>
                <w:sz w:val="16"/>
                <w:szCs w:val="16"/>
              </w:rPr>
              <w:t>48.0285</w:t>
            </w:r>
          </w:p>
        </w:tc>
        <w:tc>
          <w:tcPr>
            <w:tcW w:w="1370" w:type="dxa"/>
          </w:tcPr>
          <w:p>
            <w:pPr>
              <w:pStyle w:val="yTableNAm"/>
            </w:pPr>
            <w:r>
              <w:rPr>
                <w:sz w:val="16"/>
                <w:szCs w:val="16"/>
              </w:rPr>
              <w:t>58.2494</w:t>
            </w:r>
          </w:p>
        </w:tc>
      </w:tr>
      <w:tr>
        <w:trPr>
          <w:cantSplit/>
        </w:trPr>
        <w:tc>
          <w:tcPr>
            <w:tcW w:w="567" w:type="dxa"/>
          </w:tcPr>
          <w:p>
            <w:pPr>
              <w:pStyle w:val="yTableNAm"/>
            </w:pPr>
            <w:r>
              <w:rPr>
                <w:sz w:val="16"/>
                <w:szCs w:val="16"/>
              </w:rPr>
              <w:t>Z.61</w:t>
            </w:r>
          </w:p>
        </w:tc>
        <w:tc>
          <w:tcPr>
            <w:tcW w:w="851" w:type="dxa"/>
          </w:tcPr>
          <w:p>
            <w:pPr>
              <w:pStyle w:val="yTableNAm"/>
            </w:pPr>
            <w:r>
              <w:rPr>
                <w:sz w:val="16"/>
                <w:szCs w:val="16"/>
              </w:rPr>
              <w:t>198</w:t>
            </w:r>
          </w:p>
        </w:tc>
        <w:tc>
          <w:tcPr>
            <w:tcW w:w="992" w:type="dxa"/>
          </w:tcPr>
          <w:p>
            <w:pPr>
              <w:pStyle w:val="yTableNAm"/>
            </w:pPr>
            <w:r>
              <w:rPr>
                <w:sz w:val="16"/>
                <w:szCs w:val="16"/>
              </w:rPr>
              <w:t>LED</w:t>
            </w:r>
          </w:p>
        </w:tc>
        <w:tc>
          <w:tcPr>
            <w:tcW w:w="1512" w:type="dxa"/>
            <w:gridSpan w:val="2"/>
          </w:tcPr>
          <w:p>
            <w:pPr>
              <w:pStyle w:val="yTableNAm"/>
            </w:pPr>
            <w:r>
              <w:rPr>
                <w:sz w:val="16"/>
                <w:szCs w:val="16"/>
              </w:rPr>
              <w:t>49.9658</w:t>
            </w:r>
          </w:p>
        </w:tc>
        <w:tc>
          <w:tcPr>
            <w:tcW w:w="1512" w:type="dxa"/>
          </w:tcPr>
          <w:p>
            <w:pPr>
              <w:pStyle w:val="yTableNAm"/>
            </w:pPr>
            <w:r>
              <w:rPr>
                <w:sz w:val="16"/>
                <w:szCs w:val="16"/>
              </w:rPr>
              <w:t>53.5122</w:t>
            </w:r>
          </w:p>
        </w:tc>
        <w:tc>
          <w:tcPr>
            <w:tcW w:w="1370" w:type="dxa"/>
          </w:tcPr>
          <w:p>
            <w:pPr>
              <w:pStyle w:val="yTableNAm"/>
            </w:pPr>
            <w:r>
              <w:rPr>
                <w:sz w:val="16"/>
                <w:szCs w:val="16"/>
              </w:rPr>
              <w:t>69.5104</w:t>
            </w:r>
          </w:p>
        </w:tc>
      </w:tr>
      <w:tr>
        <w:trPr>
          <w:cantSplit/>
        </w:trPr>
        <w:tc>
          <w:tcPr>
            <w:tcW w:w="567" w:type="dxa"/>
          </w:tcPr>
          <w:p>
            <w:pPr>
              <w:pStyle w:val="yTableNAm"/>
            </w:pPr>
            <w:r>
              <w:rPr>
                <w:sz w:val="16"/>
                <w:szCs w:val="16"/>
              </w:rPr>
              <w:t>Z.62</w:t>
            </w:r>
          </w:p>
        </w:tc>
        <w:tc>
          <w:tcPr>
            <w:tcW w:w="851" w:type="dxa"/>
          </w:tcPr>
          <w:p>
            <w:pPr>
              <w:pStyle w:val="yTableNAm"/>
            </w:pPr>
            <w:r>
              <w:rPr>
                <w:sz w:val="16"/>
                <w:szCs w:val="16"/>
              </w:rPr>
              <w:t>25</w:t>
            </w:r>
          </w:p>
        </w:tc>
        <w:tc>
          <w:tcPr>
            <w:tcW w:w="992" w:type="dxa"/>
          </w:tcPr>
          <w:p>
            <w:pPr>
              <w:pStyle w:val="yTableNAm"/>
            </w:pPr>
            <w:r>
              <w:rPr>
                <w:sz w:val="16"/>
                <w:szCs w:val="16"/>
              </w:rPr>
              <w:t>LED</w:t>
            </w:r>
          </w:p>
        </w:tc>
        <w:tc>
          <w:tcPr>
            <w:tcW w:w="1512" w:type="dxa"/>
            <w:gridSpan w:val="2"/>
          </w:tcPr>
          <w:p>
            <w:pPr>
              <w:pStyle w:val="yTableNAm"/>
            </w:pPr>
            <w:r>
              <w:rPr>
                <w:sz w:val="16"/>
                <w:szCs w:val="16"/>
              </w:rPr>
              <w:t>31.6270</w:t>
            </w:r>
          </w:p>
        </w:tc>
        <w:tc>
          <w:tcPr>
            <w:tcW w:w="1512" w:type="dxa"/>
          </w:tcPr>
          <w:p>
            <w:pPr>
              <w:pStyle w:val="yTableNAm"/>
            </w:pPr>
            <w:r>
              <w:rPr>
                <w:sz w:val="16"/>
                <w:szCs w:val="16"/>
              </w:rPr>
              <w:t>31.9752</w:t>
            </w:r>
          </w:p>
        </w:tc>
        <w:tc>
          <w:tcPr>
            <w:tcW w:w="1370" w:type="dxa"/>
          </w:tcPr>
          <w:p>
            <w:pPr>
              <w:pStyle w:val="yTableNAm"/>
            </w:pPr>
            <w:r>
              <w:rPr>
                <w:sz w:val="16"/>
                <w:szCs w:val="16"/>
              </w:rPr>
              <w:t>32.3461</w:t>
            </w:r>
          </w:p>
        </w:tc>
      </w:tr>
      <w:tr>
        <w:trPr>
          <w:cantSplit/>
        </w:trPr>
        <w:tc>
          <w:tcPr>
            <w:tcW w:w="6804" w:type="dxa"/>
            <w:gridSpan w:val="7"/>
          </w:tcPr>
          <w:p>
            <w:pPr>
              <w:pStyle w:val="yTableNAm"/>
            </w:pPr>
            <w:r>
              <w:rPr>
                <w:b/>
                <w:i/>
                <w:iCs/>
                <w:sz w:val="16"/>
                <w:szCs w:val="16"/>
              </w:rPr>
              <w:t>Street lighting for existing services only</w:t>
            </w:r>
          </w:p>
        </w:tc>
      </w:tr>
      <w:tr>
        <w:trPr>
          <w:cantSplit/>
        </w:trPr>
        <w:tc>
          <w:tcPr>
            <w:tcW w:w="567" w:type="dxa"/>
          </w:tcPr>
          <w:p>
            <w:pPr>
              <w:pStyle w:val="yTableNAm"/>
            </w:pPr>
            <w:r>
              <w:rPr>
                <w:sz w:val="16"/>
                <w:szCs w:val="16"/>
              </w:rPr>
              <w:t>Z.05</w:t>
            </w:r>
          </w:p>
        </w:tc>
        <w:tc>
          <w:tcPr>
            <w:tcW w:w="851" w:type="dxa"/>
          </w:tcPr>
          <w:p>
            <w:pPr>
              <w:pStyle w:val="yTableNAm"/>
            </w:pPr>
            <w:r>
              <w:rPr>
                <w:sz w:val="16"/>
                <w:szCs w:val="16"/>
              </w:rPr>
              <w:t>250</w:t>
            </w:r>
          </w:p>
        </w:tc>
        <w:tc>
          <w:tcPr>
            <w:tcW w:w="1134" w:type="dxa"/>
            <w:gridSpan w:val="2"/>
          </w:tcPr>
          <w:p>
            <w:pPr>
              <w:pStyle w:val="yTableNAm"/>
            </w:pPr>
            <w:r>
              <w:rPr>
                <w:sz w:val="16"/>
                <w:szCs w:val="16"/>
              </w:rPr>
              <w:t>Mercury Vapour</w:t>
            </w:r>
          </w:p>
        </w:tc>
        <w:tc>
          <w:tcPr>
            <w:tcW w:w="1370" w:type="dxa"/>
          </w:tcPr>
          <w:p>
            <w:pPr>
              <w:pStyle w:val="yTableNAm"/>
            </w:pPr>
            <w:r>
              <w:rPr>
                <w:sz w:val="16"/>
                <w:szCs w:val="16"/>
              </w:rPr>
              <w:t>79.1376</w:t>
            </w:r>
          </w:p>
        </w:tc>
        <w:tc>
          <w:tcPr>
            <w:tcW w:w="1512" w:type="dxa"/>
          </w:tcPr>
          <w:p>
            <w:pPr>
              <w:pStyle w:val="yTableNAm"/>
            </w:pPr>
            <w:r>
              <w:rPr>
                <w:sz w:val="16"/>
                <w:szCs w:val="16"/>
              </w:rPr>
              <w:t>82.2288</w:t>
            </w:r>
          </w:p>
        </w:tc>
        <w:tc>
          <w:tcPr>
            <w:tcW w:w="1370" w:type="dxa"/>
          </w:tcPr>
          <w:p>
            <w:pPr>
              <w:pStyle w:val="yTableNAm"/>
            </w:pPr>
            <w:r>
              <w:rPr>
                <w:sz w:val="16"/>
                <w:szCs w:val="16"/>
              </w:rPr>
              <w:t>93.8372</w:t>
            </w:r>
          </w:p>
        </w:tc>
      </w:tr>
      <w:tr>
        <w:trPr>
          <w:cantSplit/>
        </w:trPr>
        <w:tc>
          <w:tcPr>
            <w:tcW w:w="567" w:type="dxa"/>
          </w:tcPr>
          <w:p>
            <w:pPr>
              <w:pStyle w:val="yTableNAm"/>
            </w:pPr>
            <w:r>
              <w:rPr>
                <w:sz w:val="16"/>
                <w:szCs w:val="16"/>
              </w:rPr>
              <w:t>Z.06</w:t>
            </w:r>
          </w:p>
        </w:tc>
        <w:tc>
          <w:tcPr>
            <w:tcW w:w="851" w:type="dxa"/>
          </w:tcPr>
          <w:p>
            <w:pPr>
              <w:pStyle w:val="yTableNAm"/>
            </w:pPr>
            <w:r>
              <w:rPr>
                <w:sz w:val="16"/>
                <w:szCs w:val="16"/>
              </w:rPr>
              <w:t>400</w:t>
            </w:r>
          </w:p>
        </w:tc>
        <w:tc>
          <w:tcPr>
            <w:tcW w:w="1134" w:type="dxa"/>
            <w:gridSpan w:val="2"/>
          </w:tcPr>
          <w:p>
            <w:pPr>
              <w:pStyle w:val="yTableNAm"/>
            </w:pPr>
            <w:r>
              <w:rPr>
                <w:sz w:val="16"/>
                <w:szCs w:val="16"/>
              </w:rPr>
              <w:t>Mercury Vapour</w:t>
            </w:r>
          </w:p>
        </w:tc>
        <w:tc>
          <w:tcPr>
            <w:tcW w:w="1370" w:type="dxa"/>
          </w:tcPr>
          <w:p>
            <w:pPr>
              <w:pStyle w:val="yTableNAm"/>
            </w:pPr>
            <w:r>
              <w:rPr>
                <w:sz w:val="16"/>
                <w:szCs w:val="16"/>
              </w:rPr>
              <w:t>108.5532</w:t>
            </w:r>
          </w:p>
        </w:tc>
        <w:tc>
          <w:tcPr>
            <w:tcW w:w="1512" w:type="dxa"/>
          </w:tcPr>
          <w:p>
            <w:pPr>
              <w:pStyle w:val="yTableNAm"/>
            </w:pPr>
            <w:r>
              <w:rPr>
                <w:sz w:val="16"/>
                <w:szCs w:val="16"/>
              </w:rPr>
              <w:t>113.2886</w:t>
            </w:r>
          </w:p>
        </w:tc>
        <w:tc>
          <w:tcPr>
            <w:tcW w:w="1370" w:type="dxa"/>
          </w:tcPr>
          <w:p>
            <w:pPr>
              <w:pStyle w:val="yTableNAm"/>
            </w:pPr>
            <w:r>
              <w:rPr>
                <w:sz w:val="16"/>
                <w:szCs w:val="16"/>
              </w:rPr>
              <w:t>131.2931</w:t>
            </w:r>
          </w:p>
        </w:tc>
      </w:tr>
      <w:tr>
        <w:trPr>
          <w:cantSplit/>
        </w:trPr>
        <w:tc>
          <w:tcPr>
            <w:tcW w:w="567" w:type="dxa"/>
          </w:tcPr>
          <w:p>
            <w:pPr>
              <w:pStyle w:val="yTableNAm"/>
            </w:pPr>
            <w:r>
              <w:rPr>
                <w:sz w:val="16"/>
                <w:szCs w:val="16"/>
              </w:rPr>
              <w:t>Z.08</w:t>
            </w:r>
          </w:p>
        </w:tc>
        <w:tc>
          <w:tcPr>
            <w:tcW w:w="851" w:type="dxa"/>
          </w:tcPr>
          <w:p>
            <w:pPr>
              <w:pStyle w:val="yTableNAm"/>
            </w:pPr>
            <w:r>
              <w:rPr>
                <w:sz w:val="16"/>
                <w:szCs w:val="16"/>
              </w:rPr>
              <w:t>250</w:t>
            </w:r>
          </w:p>
        </w:tc>
        <w:tc>
          <w:tcPr>
            <w:tcW w:w="1134" w:type="dxa"/>
            <w:gridSpan w:val="2"/>
          </w:tcPr>
          <w:p>
            <w:pPr>
              <w:pStyle w:val="yTableNAm"/>
            </w:pPr>
            <w:r>
              <w:rPr>
                <w:sz w:val="16"/>
                <w:szCs w:val="16"/>
              </w:rPr>
              <w:t xml:space="preserve">Mercury Vapour </w:t>
            </w:r>
            <w:r>
              <w:rPr>
                <w:sz w:val="16"/>
                <w:szCs w:val="16"/>
              </w:rPr>
              <w:br/>
              <w:t>50% E.C. cost</w:t>
            </w:r>
          </w:p>
        </w:tc>
        <w:tc>
          <w:tcPr>
            <w:tcW w:w="1370" w:type="dxa"/>
          </w:tcPr>
          <w:p>
            <w:pPr>
              <w:pStyle w:val="yTableNAm"/>
            </w:pPr>
            <w:r>
              <w:rPr>
                <w:sz w:val="16"/>
                <w:szCs w:val="16"/>
              </w:rPr>
              <w:t>70.0942</w:t>
            </w:r>
          </w:p>
        </w:tc>
        <w:tc>
          <w:tcPr>
            <w:tcW w:w="1512" w:type="dxa"/>
          </w:tcPr>
          <w:p>
            <w:pPr>
              <w:pStyle w:val="yTableNAm"/>
            </w:pPr>
            <w:r>
              <w:rPr>
                <w:sz w:val="16"/>
                <w:szCs w:val="16"/>
              </w:rPr>
              <w:t>73.1527</w:t>
            </w:r>
          </w:p>
        </w:tc>
        <w:tc>
          <w:tcPr>
            <w:tcW w:w="1370" w:type="dxa"/>
          </w:tcPr>
          <w:p>
            <w:pPr>
              <w:pStyle w:val="yTableNAm"/>
            </w:pPr>
            <w:r>
              <w:rPr>
                <w:sz w:val="16"/>
                <w:szCs w:val="16"/>
              </w:rPr>
              <w:t>84.7939</w:t>
            </w:r>
          </w:p>
        </w:tc>
      </w:tr>
      <w:tr>
        <w:trPr>
          <w:cantSplit/>
        </w:trPr>
        <w:tc>
          <w:tcPr>
            <w:tcW w:w="567" w:type="dxa"/>
          </w:tcPr>
          <w:p>
            <w:pPr>
              <w:pStyle w:val="yTableNAm"/>
            </w:pPr>
            <w:r>
              <w:rPr>
                <w:sz w:val="16"/>
                <w:szCs w:val="16"/>
              </w:rPr>
              <w:t>Z.09</w:t>
            </w:r>
          </w:p>
        </w:tc>
        <w:tc>
          <w:tcPr>
            <w:tcW w:w="851" w:type="dxa"/>
          </w:tcPr>
          <w:p>
            <w:pPr>
              <w:pStyle w:val="yTableNAm"/>
            </w:pPr>
            <w:r>
              <w:rPr>
                <w:sz w:val="16"/>
                <w:szCs w:val="16"/>
              </w:rPr>
              <w:t>250</w:t>
            </w:r>
          </w:p>
        </w:tc>
        <w:tc>
          <w:tcPr>
            <w:tcW w:w="1134" w:type="dxa"/>
            <w:gridSpan w:val="2"/>
          </w:tcPr>
          <w:p>
            <w:pPr>
              <w:pStyle w:val="yTableNAm"/>
            </w:pPr>
            <w:r>
              <w:rPr>
                <w:sz w:val="16"/>
                <w:szCs w:val="16"/>
              </w:rPr>
              <w:t>Mercury Vapour</w:t>
            </w:r>
            <w:r>
              <w:rPr>
                <w:sz w:val="16"/>
                <w:szCs w:val="16"/>
              </w:rPr>
              <w:br/>
              <w:t>100% E.C. cost</w:t>
            </w:r>
          </w:p>
        </w:tc>
        <w:tc>
          <w:tcPr>
            <w:tcW w:w="1370" w:type="dxa"/>
          </w:tcPr>
          <w:p>
            <w:pPr>
              <w:pStyle w:val="yTableNAm"/>
            </w:pPr>
            <w:r>
              <w:rPr>
                <w:sz w:val="16"/>
                <w:szCs w:val="16"/>
              </w:rPr>
              <w:t>79.1376</w:t>
            </w:r>
          </w:p>
        </w:tc>
        <w:tc>
          <w:tcPr>
            <w:tcW w:w="1512" w:type="dxa"/>
          </w:tcPr>
          <w:p>
            <w:pPr>
              <w:pStyle w:val="yTableNAm"/>
            </w:pPr>
            <w:r>
              <w:rPr>
                <w:sz w:val="16"/>
                <w:szCs w:val="16"/>
              </w:rPr>
              <w:t>82.2288</w:t>
            </w:r>
          </w:p>
        </w:tc>
        <w:tc>
          <w:tcPr>
            <w:tcW w:w="1370" w:type="dxa"/>
          </w:tcPr>
          <w:p>
            <w:pPr>
              <w:pStyle w:val="yTableNAm"/>
            </w:pPr>
            <w:r>
              <w:rPr>
                <w:sz w:val="16"/>
                <w:szCs w:val="16"/>
              </w:rPr>
              <w:t>93.8372</w:t>
            </w:r>
          </w:p>
        </w:tc>
      </w:tr>
      <w:tr>
        <w:trPr>
          <w:cantSplit/>
        </w:trPr>
        <w:tc>
          <w:tcPr>
            <w:tcW w:w="567" w:type="dxa"/>
          </w:tcPr>
          <w:p>
            <w:pPr>
              <w:pStyle w:val="yTableNAm"/>
            </w:pPr>
            <w:r>
              <w:rPr>
                <w:sz w:val="16"/>
                <w:szCs w:val="16"/>
              </w:rPr>
              <w:t>Z.11</w:t>
            </w:r>
          </w:p>
        </w:tc>
        <w:tc>
          <w:tcPr>
            <w:tcW w:w="851" w:type="dxa"/>
          </w:tcPr>
          <w:p>
            <w:pPr>
              <w:pStyle w:val="yTableNAm"/>
            </w:pPr>
            <w:r>
              <w:rPr>
                <w:sz w:val="16"/>
                <w:szCs w:val="16"/>
              </w:rPr>
              <w:t>400</w:t>
            </w:r>
          </w:p>
        </w:tc>
        <w:tc>
          <w:tcPr>
            <w:tcW w:w="1134" w:type="dxa"/>
            <w:gridSpan w:val="2"/>
          </w:tcPr>
          <w:p>
            <w:pPr>
              <w:pStyle w:val="yTableNAm"/>
            </w:pPr>
            <w:r>
              <w:rPr>
                <w:sz w:val="16"/>
                <w:szCs w:val="16"/>
              </w:rPr>
              <w:t xml:space="preserve">Mercury Vapour </w:t>
            </w:r>
            <w:r>
              <w:rPr>
                <w:sz w:val="16"/>
                <w:szCs w:val="16"/>
              </w:rPr>
              <w:br/>
              <w:t>50% E.C. cost</w:t>
            </w:r>
          </w:p>
        </w:tc>
        <w:tc>
          <w:tcPr>
            <w:tcW w:w="1370" w:type="dxa"/>
          </w:tcPr>
          <w:p>
            <w:pPr>
              <w:pStyle w:val="yTableNAm"/>
            </w:pPr>
            <w:r>
              <w:rPr>
                <w:sz w:val="16"/>
                <w:szCs w:val="16"/>
              </w:rPr>
              <w:t>99.5098</w:t>
            </w:r>
          </w:p>
        </w:tc>
        <w:tc>
          <w:tcPr>
            <w:tcW w:w="1512" w:type="dxa"/>
          </w:tcPr>
          <w:p>
            <w:pPr>
              <w:pStyle w:val="yTableNAm"/>
            </w:pPr>
            <w:r>
              <w:rPr>
                <w:sz w:val="16"/>
                <w:szCs w:val="16"/>
              </w:rPr>
              <w:t>104.2619</w:t>
            </w:r>
          </w:p>
        </w:tc>
        <w:tc>
          <w:tcPr>
            <w:tcW w:w="1370" w:type="dxa"/>
          </w:tcPr>
          <w:p>
            <w:pPr>
              <w:pStyle w:val="yTableNAm"/>
            </w:pPr>
            <w:r>
              <w:rPr>
                <w:sz w:val="16"/>
                <w:szCs w:val="16"/>
              </w:rPr>
              <w:t>122.2827</w:t>
            </w:r>
          </w:p>
        </w:tc>
      </w:tr>
      <w:tr>
        <w:trPr>
          <w:cantSplit/>
        </w:trPr>
        <w:tc>
          <w:tcPr>
            <w:tcW w:w="567" w:type="dxa"/>
          </w:tcPr>
          <w:p>
            <w:pPr>
              <w:pStyle w:val="yTableNAm"/>
            </w:pPr>
            <w:r>
              <w:rPr>
                <w:sz w:val="16"/>
                <w:szCs w:val="16"/>
              </w:rPr>
              <w:t>Z.12</w:t>
            </w:r>
          </w:p>
        </w:tc>
        <w:tc>
          <w:tcPr>
            <w:tcW w:w="851" w:type="dxa"/>
          </w:tcPr>
          <w:p>
            <w:pPr>
              <w:pStyle w:val="yTableNAm"/>
            </w:pPr>
            <w:r>
              <w:rPr>
                <w:sz w:val="16"/>
                <w:szCs w:val="16"/>
              </w:rPr>
              <w:t>400</w:t>
            </w:r>
          </w:p>
        </w:tc>
        <w:tc>
          <w:tcPr>
            <w:tcW w:w="1134" w:type="dxa"/>
            <w:gridSpan w:val="2"/>
          </w:tcPr>
          <w:p>
            <w:pPr>
              <w:pStyle w:val="yTableNAm"/>
            </w:pPr>
            <w:r>
              <w:rPr>
                <w:sz w:val="16"/>
                <w:szCs w:val="16"/>
              </w:rPr>
              <w:t xml:space="preserve">Mercury Vapour </w:t>
            </w:r>
            <w:r>
              <w:rPr>
                <w:sz w:val="16"/>
                <w:szCs w:val="16"/>
              </w:rPr>
              <w:br/>
              <w:t>100% E.C. cost</w:t>
            </w:r>
          </w:p>
        </w:tc>
        <w:tc>
          <w:tcPr>
            <w:tcW w:w="1370" w:type="dxa"/>
          </w:tcPr>
          <w:p>
            <w:pPr>
              <w:pStyle w:val="yTableNAm"/>
            </w:pPr>
            <w:r>
              <w:rPr>
                <w:sz w:val="16"/>
                <w:szCs w:val="16"/>
              </w:rPr>
              <w:t>108.5532</w:t>
            </w:r>
          </w:p>
        </w:tc>
        <w:tc>
          <w:tcPr>
            <w:tcW w:w="1512" w:type="dxa"/>
          </w:tcPr>
          <w:p>
            <w:pPr>
              <w:pStyle w:val="yTableNAm"/>
            </w:pPr>
            <w:r>
              <w:rPr>
                <w:sz w:val="16"/>
                <w:szCs w:val="16"/>
              </w:rPr>
              <w:t>113.2886</w:t>
            </w:r>
          </w:p>
        </w:tc>
        <w:tc>
          <w:tcPr>
            <w:tcW w:w="1370" w:type="dxa"/>
          </w:tcPr>
          <w:p>
            <w:pPr>
              <w:pStyle w:val="yTableNAm"/>
            </w:pPr>
            <w:r>
              <w:rPr>
                <w:sz w:val="16"/>
                <w:szCs w:val="16"/>
              </w:rPr>
              <w:t>131.2931</w:t>
            </w:r>
          </w:p>
        </w:tc>
      </w:tr>
      <w:tr>
        <w:trPr>
          <w:cantSplit/>
        </w:trPr>
        <w:tc>
          <w:tcPr>
            <w:tcW w:w="567" w:type="dxa"/>
          </w:tcPr>
          <w:p>
            <w:pPr>
              <w:pStyle w:val="yTableNAm"/>
            </w:pPr>
            <w:r>
              <w:rPr>
                <w:sz w:val="16"/>
                <w:szCs w:val="16"/>
              </w:rPr>
              <w:t>Z.14</w:t>
            </w:r>
          </w:p>
        </w:tc>
        <w:tc>
          <w:tcPr>
            <w:tcW w:w="851" w:type="dxa"/>
          </w:tcPr>
          <w:p>
            <w:pPr>
              <w:pStyle w:val="yTableNAm"/>
            </w:pPr>
            <w:r>
              <w:rPr>
                <w:sz w:val="16"/>
                <w:szCs w:val="16"/>
              </w:rPr>
              <w:t>150</w:t>
            </w:r>
          </w:p>
        </w:tc>
        <w:tc>
          <w:tcPr>
            <w:tcW w:w="1134" w:type="dxa"/>
            <w:gridSpan w:val="2"/>
          </w:tcPr>
          <w:p>
            <w:pPr>
              <w:pStyle w:val="yTableNAm"/>
            </w:pPr>
            <w:r>
              <w:rPr>
                <w:sz w:val="16"/>
                <w:szCs w:val="16"/>
              </w:rPr>
              <w:t>High Pressure Sodium</w:t>
            </w:r>
          </w:p>
        </w:tc>
        <w:tc>
          <w:tcPr>
            <w:tcW w:w="1370" w:type="dxa"/>
          </w:tcPr>
          <w:p>
            <w:pPr>
              <w:pStyle w:val="yTableNAm"/>
            </w:pPr>
            <w:r>
              <w:rPr>
                <w:sz w:val="16"/>
                <w:szCs w:val="16"/>
              </w:rPr>
              <w:t>71.9193</w:t>
            </w:r>
          </w:p>
        </w:tc>
        <w:tc>
          <w:tcPr>
            <w:tcW w:w="1512" w:type="dxa"/>
          </w:tcPr>
          <w:p>
            <w:pPr>
              <w:pStyle w:val="yTableNAm"/>
            </w:pPr>
            <w:r>
              <w:rPr>
                <w:sz w:val="16"/>
                <w:szCs w:val="16"/>
              </w:rPr>
              <w:t>73.5965</w:t>
            </w:r>
          </w:p>
        </w:tc>
        <w:tc>
          <w:tcPr>
            <w:tcW w:w="1370" w:type="dxa"/>
          </w:tcPr>
          <w:p>
            <w:pPr>
              <w:pStyle w:val="yTableNAm"/>
            </w:pPr>
            <w:r>
              <w:rPr>
                <w:sz w:val="16"/>
                <w:szCs w:val="16"/>
              </w:rPr>
              <w:t>83.1331</w:t>
            </w:r>
          </w:p>
        </w:tc>
      </w:tr>
      <w:tr>
        <w:trPr>
          <w:cantSplit/>
        </w:trPr>
        <w:tc>
          <w:tcPr>
            <w:tcW w:w="567" w:type="dxa"/>
          </w:tcPr>
          <w:p>
            <w:pPr>
              <w:pStyle w:val="yTableNAm"/>
            </w:pPr>
            <w:r>
              <w:rPr>
                <w:sz w:val="16"/>
                <w:szCs w:val="16"/>
              </w:rPr>
              <w:t>Z.16</w:t>
            </w:r>
          </w:p>
        </w:tc>
        <w:tc>
          <w:tcPr>
            <w:tcW w:w="851" w:type="dxa"/>
          </w:tcPr>
          <w:p>
            <w:pPr>
              <w:pStyle w:val="yTableNAm"/>
            </w:pPr>
            <w:r>
              <w:rPr>
                <w:sz w:val="16"/>
                <w:szCs w:val="16"/>
              </w:rPr>
              <w:t>250</w:t>
            </w:r>
          </w:p>
        </w:tc>
        <w:tc>
          <w:tcPr>
            <w:tcW w:w="1134" w:type="dxa"/>
            <w:gridSpan w:val="2"/>
          </w:tcPr>
          <w:p>
            <w:pPr>
              <w:pStyle w:val="yTableNAm"/>
            </w:pPr>
            <w:r>
              <w:rPr>
                <w:sz w:val="16"/>
                <w:szCs w:val="16"/>
              </w:rPr>
              <w:t>High Pressure Sodium</w:t>
            </w:r>
            <w:r>
              <w:rPr>
                <w:sz w:val="16"/>
                <w:szCs w:val="16"/>
              </w:rPr>
              <w:br/>
              <w:t>50% E.C. cost</w:t>
            </w:r>
          </w:p>
        </w:tc>
        <w:tc>
          <w:tcPr>
            <w:tcW w:w="1370" w:type="dxa"/>
          </w:tcPr>
          <w:p>
            <w:pPr>
              <w:pStyle w:val="yTableNAm"/>
            </w:pPr>
            <w:r>
              <w:rPr>
                <w:sz w:val="16"/>
                <w:szCs w:val="16"/>
              </w:rPr>
              <w:t>82.6399</w:t>
            </w:r>
          </w:p>
        </w:tc>
        <w:tc>
          <w:tcPr>
            <w:tcW w:w="1512" w:type="dxa"/>
          </w:tcPr>
          <w:p>
            <w:pPr>
              <w:pStyle w:val="yTableNAm"/>
            </w:pPr>
            <w:r>
              <w:rPr>
                <w:sz w:val="16"/>
                <w:szCs w:val="16"/>
              </w:rPr>
              <w:t>86.3559</w:t>
            </w:r>
          </w:p>
        </w:tc>
        <w:tc>
          <w:tcPr>
            <w:tcW w:w="1370" w:type="dxa"/>
          </w:tcPr>
          <w:p>
            <w:pPr>
              <w:pStyle w:val="yTableNAm"/>
            </w:pPr>
            <w:r>
              <w:rPr>
                <w:sz w:val="16"/>
                <w:szCs w:val="16"/>
              </w:rPr>
              <w:t>100.5293</w:t>
            </w:r>
          </w:p>
        </w:tc>
      </w:tr>
      <w:tr>
        <w:trPr>
          <w:cantSplit/>
        </w:trPr>
        <w:tc>
          <w:tcPr>
            <w:tcW w:w="567" w:type="dxa"/>
          </w:tcPr>
          <w:p>
            <w:pPr>
              <w:pStyle w:val="yTableNAm"/>
            </w:pPr>
            <w:r>
              <w:rPr>
                <w:sz w:val="16"/>
                <w:szCs w:val="16"/>
              </w:rPr>
              <w:t>Z.17</w:t>
            </w:r>
          </w:p>
        </w:tc>
        <w:tc>
          <w:tcPr>
            <w:tcW w:w="851" w:type="dxa"/>
          </w:tcPr>
          <w:p>
            <w:pPr>
              <w:pStyle w:val="yTableNAm"/>
            </w:pPr>
            <w:r>
              <w:rPr>
                <w:sz w:val="16"/>
                <w:szCs w:val="16"/>
              </w:rPr>
              <w:t>250</w:t>
            </w:r>
          </w:p>
        </w:tc>
        <w:tc>
          <w:tcPr>
            <w:tcW w:w="1134" w:type="dxa"/>
            <w:gridSpan w:val="2"/>
          </w:tcPr>
          <w:p>
            <w:pPr>
              <w:pStyle w:val="yTableNAm"/>
            </w:pPr>
            <w:r>
              <w:rPr>
                <w:sz w:val="16"/>
                <w:szCs w:val="16"/>
              </w:rPr>
              <w:t xml:space="preserve">High Pressure Sodium </w:t>
            </w:r>
            <w:r>
              <w:rPr>
                <w:sz w:val="16"/>
                <w:szCs w:val="16"/>
              </w:rPr>
              <w:br/>
              <w:t>100% E.C. cost</w:t>
            </w:r>
          </w:p>
        </w:tc>
        <w:tc>
          <w:tcPr>
            <w:tcW w:w="1370" w:type="dxa"/>
          </w:tcPr>
          <w:p>
            <w:pPr>
              <w:pStyle w:val="yTableNAm"/>
            </w:pPr>
            <w:r>
              <w:rPr>
                <w:sz w:val="16"/>
                <w:szCs w:val="16"/>
              </w:rPr>
              <w:t>96.1390</w:t>
            </w:r>
          </w:p>
        </w:tc>
        <w:tc>
          <w:tcPr>
            <w:tcW w:w="1512" w:type="dxa"/>
          </w:tcPr>
          <w:p>
            <w:pPr>
              <w:pStyle w:val="yTableNAm"/>
            </w:pPr>
            <w:r>
              <w:rPr>
                <w:sz w:val="16"/>
                <w:szCs w:val="16"/>
              </w:rPr>
              <w:t>99.9044</w:t>
            </w:r>
          </w:p>
        </w:tc>
        <w:tc>
          <w:tcPr>
            <w:tcW w:w="1370" w:type="dxa"/>
          </w:tcPr>
          <w:p>
            <w:pPr>
              <w:pStyle w:val="yTableNAm"/>
            </w:pPr>
            <w:r>
              <w:rPr>
                <w:sz w:val="16"/>
                <w:szCs w:val="16"/>
              </w:rPr>
              <w:t>114.0943</w:t>
            </w:r>
          </w:p>
        </w:tc>
      </w:tr>
      <w:tr>
        <w:trPr>
          <w:cantSplit/>
        </w:trPr>
        <w:tc>
          <w:tcPr>
            <w:tcW w:w="567" w:type="dxa"/>
          </w:tcPr>
          <w:p>
            <w:pPr>
              <w:pStyle w:val="yTableNAm"/>
            </w:pPr>
            <w:r>
              <w:rPr>
                <w:sz w:val="16"/>
                <w:szCs w:val="16"/>
              </w:rPr>
              <w:t>Z.51</w:t>
            </w:r>
          </w:p>
        </w:tc>
        <w:tc>
          <w:tcPr>
            <w:tcW w:w="851" w:type="dxa"/>
          </w:tcPr>
          <w:p>
            <w:pPr>
              <w:pStyle w:val="yTableNAm"/>
            </w:pPr>
            <w:r>
              <w:rPr>
                <w:sz w:val="16"/>
                <w:szCs w:val="16"/>
              </w:rPr>
              <w:t>60</w:t>
            </w:r>
          </w:p>
        </w:tc>
        <w:tc>
          <w:tcPr>
            <w:tcW w:w="1134" w:type="dxa"/>
            <w:gridSpan w:val="2"/>
          </w:tcPr>
          <w:p>
            <w:pPr>
              <w:pStyle w:val="yTableNAm"/>
            </w:pPr>
            <w:r>
              <w:rPr>
                <w:sz w:val="16"/>
                <w:szCs w:val="16"/>
              </w:rPr>
              <w:t>Incandescent</w:t>
            </w:r>
          </w:p>
        </w:tc>
        <w:tc>
          <w:tcPr>
            <w:tcW w:w="1370" w:type="dxa"/>
          </w:tcPr>
          <w:p>
            <w:pPr>
              <w:pStyle w:val="yTableNAm"/>
            </w:pPr>
            <w:r>
              <w:rPr>
                <w:sz w:val="16"/>
                <w:szCs w:val="16"/>
              </w:rPr>
              <w:t xml:space="preserve">33.7893 </w:t>
            </w:r>
          </w:p>
        </w:tc>
        <w:tc>
          <w:tcPr>
            <w:tcW w:w="1512" w:type="dxa"/>
          </w:tcPr>
          <w:p>
            <w:pPr>
              <w:pStyle w:val="yTableNAm"/>
            </w:pPr>
            <w:r>
              <w:rPr>
                <w:sz w:val="16"/>
                <w:szCs w:val="16"/>
              </w:rPr>
              <w:t>34.5128</w:t>
            </w:r>
          </w:p>
        </w:tc>
        <w:tc>
          <w:tcPr>
            <w:tcW w:w="1370" w:type="dxa"/>
          </w:tcPr>
          <w:p>
            <w:pPr>
              <w:pStyle w:val="yTableNAm"/>
            </w:pPr>
            <w:r>
              <w:rPr>
                <w:sz w:val="16"/>
                <w:szCs w:val="16"/>
              </w:rPr>
              <w:t>37.1270</w:t>
            </w:r>
          </w:p>
        </w:tc>
      </w:tr>
      <w:tr>
        <w:trPr>
          <w:cantSplit/>
        </w:trPr>
        <w:tc>
          <w:tcPr>
            <w:tcW w:w="567" w:type="dxa"/>
          </w:tcPr>
          <w:p>
            <w:pPr>
              <w:pStyle w:val="yTableNAm"/>
            </w:pPr>
            <w:r>
              <w:rPr>
                <w:sz w:val="16"/>
                <w:szCs w:val="16"/>
              </w:rPr>
              <w:t>Z.52</w:t>
            </w:r>
          </w:p>
        </w:tc>
        <w:tc>
          <w:tcPr>
            <w:tcW w:w="851" w:type="dxa"/>
          </w:tcPr>
          <w:p>
            <w:pPr>
              <w:pStyle w:val="yTableNAm"/>
            </w:pPr>
            <w:r>
              <w:rPr>
                <w:sz w:val="16"/>
                <w:szCs w:val="16"/>
              </w:rPr>
              <w:t>100</w:t>
            </w:r>
          </w:p>
        </w:tc>
        <w:tc>
          <w:tcPr>
            <w:tcW w:w="1134" w:type="dxa"/>
            <w:gridSpan w:val="2"/>
          </w:tcPr>
          <w:p>
            <w:pPr>
              <w:pStyle w:val="yTableNAm"/>
            </w:pPr>
            <w:r>
              <w:rPr>
                <w:sz w:val="16"/>
                <w:szCs w:val="16"/>
              </w:rPr>
              <w:t>Incandescent</w:t>
            </w:r>
          </w:p>
        </w:tc>
        <w:tc>
          <w:tcPr>
            <w:tcW w:w="1370" w:type="dxa"/>
          </w:tcPr>
          <w:p>
            <w:pPr>
              <w:pStyle w:val="yTableNAm"/>
            </w:pPr>
            <w:r>
              <w:rPr>
                <w:sz w:val="16"/>
                <w:szCs w:val="16"/>
              </w:rPr>
              <w:t>33.7892</w:t>
            </w:r>
          </w:p>
        </w:tc>
        <w:tc>
          <w:tcPr>
            <w:tcW w:w="1512" w:type="dxa"/>
          </w:tcPr>
          <w:p>
            <w:pPr>
              <w:pStyle w:val="yTableNAm"/>
            </w:pPr>
            <w:r>
              <w:rPr>
                <w:sz w:val="16"/>
                <w:szCs w:val="16"/>
              </w:rPr>
              <w:t>34.5128</w:t>
            </w:r>
          </w:p>
        </w:tc>
        <w:tc>
          <w:tcPr>
            <w:tcW w:w="1370" w:type="dxa"/>
          </w:tcPr>
          <w:p>
            <w:pPr>
              <w:pStyle w:val="yTableNAm"/>
            </w:pPr>
            <w:r>
              <w:rPr>
                <w:sz w:val="16"/>
                <w:szCs w:val="16"/>
              </w:rPr>
              <w:t>37.1269</w:t>
            </w:r>
          </w:p>
        </w:tc>
      </w:tr>
      <w:tr>
        <w:trPr>
          <w:cantSplit/>
        </w:trPr>
        <w:tc>
          <w:tcPr>
            <w:tcW w:w="567" w:type="dxa"/>
          </w:tcPr>
          <w:p>
            <w:pPr>
              <w:pStyle w:val="yTableNAm"/>
            </w:pPr>
            <w:r>
              <w:rPr>
                <w:sz w:val="16"/>
                <w:szCs w:val="16"/>
              </w:rPr>
              <w:t>Z.53</w:t>
            </w:r>
          </w:p>
        </w:tc>
        <w:tc>
          <w:tcPr>
            <w:tcW w:w="851" w:type="dxa"/>
          </w:tcPr>
          <w:p>
            <w:pPr>
              <w:pStyle w:val="yTableNAm"/>
            </w:pPr>
            <w:r>
              <w:rPr>
                <w:sz w:val="16"/>
                <w:szCs w:val="16"/>
              </w:rPr>
              <w:t>200</w:t>
            </w:r>
          </w:p>
        </w:tc>
        <w:tc>
          <w:tcPr>
            <w:tcW w:w="1134" w:type="dxa"/>
            <w:gridSpan w:val="2"/>
          </w:tcPr>
          <w:p>
            <w:pPr>
              <w:pStyle w:val="yTableNAm"/>
            </w:pPr>
            <w:r>
              <w:rPr>
                <w:sz w:val="16"/>
                <w:szCs w:val="16"/>
              </w:rPr>
              <w:t>Incandescent</w:t>
            </w:r>
          </w:p>
        </w:tc>
        <w:tc>
          <w:tcPr>
            <w:tcW w:w="1370" w:type="dxa"/>
          </w:tcPr>
          <w:p>
            <w:pPr>
              <w:pStyle w:val="yTableNAm"/>
            </w:pPr>
            <w:r>
              <w:rPr>
                <w:sz w:val="16"/>
                <w:szCs w:val="16"/>
              </w:rPr>
              <w:t>39.7908</w:t>
            </w:r>
          </w:p>
        </w:tc>
        <w:tc>
          <w:tcPr>
            <w:tcW w:w="1512" w:type="dxa"/>
          </w:tcPr>
          <w:p>
            <w:pPr>
              <w:pStyle w:val="yTableNAm"/>
            </w:pPr>
            <w:r>
              <w:rPr>
                <w:sz w:val="16"/>
                <w:szCs w:val="16"/>
              </w:rPr>
              <w:t>40.6786</w:t>
            </w:r>
          </w:p>
        </w:tc>
        <w:tc>
          <w:tcPr>
            <w:tcW w:w="1370" w:type="dxa"/>
          </w:tcPr>
          <w:p>
            <w:pPr>
              <w:pStyle w:val="yTableNAm"/>
            </w:pPr>
            <w:r>
              <w:rPr>
                <w:sz w:val="16"/>
                <w:szCs w:val="16"/>
              </w:rPr>
              <w:t>44.7566</w:t>
            </w:r>
          </w:p>
        </w:tc>
      </w:tr>
      <w:tr>
        <w:trPr>
          <w:cantSplit/>
        </w:trPr>
        <w:tc>
          <w:tcPr>
            <w:tcW w:w="567" w:type="dxa"/>
          </w:tcPr>
          <w:p>
            <w:pPr>
              <w:pStyle w:val="yTableNAm"/>
            </w:pPr>
            <w:r>
              <w:rPr>
                <w:sz w:val="16"/>
                <w:szCs w:val="16"/>
              </w:rPr>
              <w:t>Z.54</w:t>
            </w:r>
          </w:p>
        </w:tc>
        <w:tc>
          <w:tcPr>
            <w:tcW w:w="851" w:type="dxa"/>
          </w:tcPr>
          <w:p>
            <w:pPr>
              <w:pStyle w:val="yTableNAm"/>
            </w:pPr>
            <w:r>
              <w:rPr>
                <w:sz w:val="16"/>
                <w:szCs w:val="16"/>
              </w:rPr>
              <w:t>300</w:t>
            </w:r>
          </w:p>
        </w:tc>
        <w:tc>
          <w:tcPr>
            <w:tcW w:w="1134" w:type="dxa"/>
            <w:gridSpan w:val="2"/>
          </w:tcPr>
          <w:p>
            <w:pPr>
              <w:pStyle w:val="yTableNAm"/>
            </w:pPr>
            <w:r>
              <w:rPr>
                <w:sz w:val="16"/>
                <w:szCs w:val="16"/>
              </w:rPr>
              <w:t>Incandescent</w:t>
            </w:r>
          </w:p>
        </w:tc>
        <w:tc>
          <w:tcPr>
            <w:tcW w:w="1370" w:type="dxa"/>
          </w:tcPr>
          <w:p>
            <w:pPr>
              <w:pStyle w:val="yTableNAm"/>
            </w:pPr>
            <w:r>
              <w:rPr>
                <w:sz w:val="16"/>
                <w:szCs w:val="16"/>
              </w:rPr>
              <w:t>49.2123</w:t>
            </w:r>
          </w:p>
        </w:tc>
        <w:tc>
          <w:tcPr>
            <w:tcW w:w="1512" w:type="dxa"/>
          </w:tcPr>
          <w:p>
            <w:pPr>
              <w:pStyle w:val="yTableNAm"/>
            </w:pPr>
            <w:r>
              <w:rPr>
                <w:sz w:val="16"/>
                <w:szCs w:val="16"/>
              </w:rPr>
              <w:t>50.8072</w:t>
            </w:r>
          </w:p>
        </w:tc>
        <w:tc>
          <w:tcPr>
            <w:tcW w:w="1370" w:type="dxa"/>
          </w:tcPr>
          <w:p>
            <w:pPr>
              <w:pStyle w:val="yTableNAm"/>
            </w:pPr>
            <w:r>
              <w:rPr>
                <w:sz w:val="16"/>
                <w:szCs w:val="16"/>
              </w:rPr>
              <w:t>56.5620</w:t>
            </w:r>
          </w:p>
        </w:tc>
      </w:tr>
      <w:tr>
        <w:trPr>
          <w:cantSplit/>
        </w:trPr>
        <w:tc>
          <w:tcPr>
            <w:tcW w:w="567" w:type="dxa"/>
          </w:tcPr>
          <w:p>
            <w:pPr>
              <w:pStyle w:val="yTableNAm"/>
            </w:pPr>
            <w:r>
              <w:rPr>
                <w:sz w:val="16"/>
                <w:szCs w:val="16"/>
              </w:rPr>
              <w:t>Z.55</w:t>
            </w:r>
          </w:p>
        </w:tc>
        <w:tc>
          <w:tcPr>
            <w:tcW w:w="851" w:type="dxa"/>
          </w:tcPr>
          <w:p>
            <w:pPr>
              <w:pStyle w:val="yTableNAm"/>
            </w:pPr>
            <w:r>
              <w:rPr>
                <w:sz w:val="16"/>
                <w:szCs w:val="16"/>
              </w:rPr>
              <w:t>500</w:t>
            </w:r>
          </w:p>
        </w:tc>
        <w:tc>
          <w:tcPr>
            <w:tcW w:w="1134" w:type="dxa"/>
            <w:gridSpan w:val="2"/>
          </w:tcPr>
          <w:p>
            <w:pPr>
              <w:pStyle w:val="yTableNAm"/>
            </w:pPr>
            <w:r>
              <w:rPr>
                <w:sz w:val="16"/>
                <w:szCs w:val="16"/>
              </w:rPr>
              <w:t>Incandescent</w:t>
            </w:r>
          </w:p>
        </w:tc>
        <w:tc>
          <w:tcPr>
            <w:tcW w:w="1370" w:type="dxa"/>
          </w:tcPr>
          <w:p>
            <w:pPr>
              <w:pStyle w:val="yTableNAm"/>
            </w:pPr>
            <w:r>
              <w:rPr>
                <w:sz w:val="16"/>
                <w:szCs w:val="16"/>
              </w:rPr>
              <w:t>79.1375</w:t>
            </w:r>
          </w:p>
        </w:tc>
        <w:tc>
          <w:tcPr>
            <w:tcW w:w="1512" w:type="dxa"/>
          </w:tcPr>
          <w:p>
            <w:pPr>
              <w:pStyle w:val="yTableNAm"/>
            </w:pPr>
            <w:r>
              <w:rPr>
                <w:sz w:val="16"/>
                <w:szCs w:val="16"/>
              </w:rPr>
              <w:t>82.2287</w:t>
            </w:r>
          </w:p>
        </w:tc>
        <w:tc>
          <w:tcPr>
            <w:tcW w:w="1370" w:type="dxa"/>
          </w:tcPr>
          <w:p>
            <w:pPr>
              <w:pStyle w:val="yTableNAm"/>
            </w:pPr>
            <w:r>
              <w:rPr>
                <w:sz w:val="16"/>
                <w:szCs w:val="16"/>
              </w:rPr>
              <w:t>93.8371</w:t>
            </w:r>
          </w:p>
        </w:tc>
      </w:tr>
      <w:tr>
        <w:trPr>
          <w:cantSplit/>
        </w:trPr>
        <w:tc>
          <w:tcPr>
            <w:tcW w:w="567" w:type="dxa"/>
          </w:tcPr>
          <w:p>
            <w:pPr>
              <w:pStyle w:val="yTableNAm"/>
            </w:pPr>
            <w:r>
              <w:rPr>
                <w:sz w:val="16"/>
                <w:szCs w:val="16"/>
              </w:rPr>
              <w:t>Z.56</w:t>
            </w:r>
          </w:p>
        </w:tc>
        <w:tc>
          <w:tcPr>
            <w:tcW w:w="851" w:type="dxa"/>
          </w:tcPr>
          <w:p>
            <w:pPr>
              <w:pStyle w:val="yTableNAm"/>
            </w:pPr>
            <w:r>
              <w:rPr>
                <w:sz w:val="16"/>
                <w:szCs w:val="16"/>
              </w:rPr>
              <w:t>40</w:t>
            </w:r>
          </w:p>
        </w:tc>
        <w:tc>
          <w:tcPr>
            <w:tcW w:w="1134" w:type="dxa"/>
            <w:gridSpan w:val="2"/>
          </w:tcPr>
          <w:p>
            <w:pPr>
              <w:pStyle w:val="yTableNAm"/>
            </w:pPr>
            <w:r>
              <w:rPr>
                <w:sz w:val="16"/>
                <w:szCs w:val="16"/>
              </w:rPr>
              <w:t>Fluorescent</w:t>
            </w:r>
          </w:p>
        </w:tc>
        <w:tc>
          <w:tcPr>
            <w:tcW w:w="1370" w:type="dxa"/>
          </w:tcPr>
          <w:p>
            <w:pPr>
              <w:pStyle w:val="yTableNAm"/>
            </w:pPr>
            <w:r>
              <w:rPr>
                <w:sz w:val="16"/>
                <w:szCs w:val="16"/>
              </w:rPr>
              <w:t>33.7892</w:t>
            </w:r>
          </w:p>
        </w:tc>
        <w:tc>
          <w:tcPr>
            <w:tcW w:w="1512" w:type="dxa"/>
          </w:tcPr>
          <w:p>
            <w:pPr>
              <w:pStyle w:val="yTableNAm"/>
            </w:pPr>
            <w:r>
              <w:rPr>
                <w:sz w:val="16"/>
                <w:szCs w:val="16"/>
              </w:rPr>
              <w:t>34.5128</w:t>
            </w:r>
          </w:p>
        </w:tc>
        <w:tc>
          <w:tcPr>
            <w:tcW w:w="1370" w:type="dxa"/>
          </w:tcPr>
          <w:p>
            <w:pPr>
              <w:pStyle w:val="yTableNAm"/>
            </w:pPr>
            <w:r>
              <w:rPr>
                <w:sz w:val="16"/>
                <w:szCs w:val="16"/>
              </w:rPr>
              <w:t>37.1270</w:t>
            </w:r>
          </w:p>
        </w:tc>
      </w:tr>
      <w:tr>
        <w:trPr>
          <w:cantSplit/>
        </w:trPr>
        <w:tc>
          <w:tcPr>
            <w:tcW w:w="567" w:type="dxa"/>
          </w:tcPr>
          <w:p>
            <w:pPr>
              <w:pStyle w:val="yTableNAm"/>
            </w:pPr>
            <w:r>
              <w:rPr>
                <w:sz w:val="16"/>
                <w:szCs w:val="16"/>
              </w:rPr>
              <w:t>Z.57</w:t>
            </w:r>
          </w:p>
        </w:tc>
        <w:tc>
          <w:tcPr>
            <w:tcW w:w="851" w:type="dxa"/>
          </w:tcPr>
          <w:p>
            <w:pPr>
              <w:pStyle w:val="yTableNAm"/>
            </w:pPr>
            <w:r>
              <w:rPr>
                <w:sz w:val="16"/>
                <w:szCs w:val="16"/>
              </w:rPr>
              <w:t>80</w:t>
            </w:r>
          </w:p>
        </w:tc>
        <w:tc>
          <w:tcPr>
            <w:tcW w:w="1134" w:type="dxa"/>
            <w:gridSpan w:val="2"/>
          </w:tcPr>
          <w:p>
            <w:pPr>
              <w:pStyle w:val="yTableNAm"/>
            </w:pPr>
            <w:r>
              <w:rPr>
                <w:sz w:val="16"/>
                <w:szCs w:val="16"/>
              </w:rPr>
              <w:t>Fluorescent</w:t>
            </w:r>
          </w:p>
        </w:tc>
        <w:tc>
          <w:tcPr>
            <w:tcW w:w="1370" w:type="dxa"/>
          </w:tcPr>
          <w:p>
            <w:pPr>
              <w:pStyle w:val="yTableNAm"/>
            </w:pPr>
            <w:r>
              <w:rPr>
                <w:sz w:val="16"/>
                <w:szCs w:val="16"/>
              </w:rPr>
              <w:t>39.7906</w:t>
            </w:r>
          </w:p>
        </w:tc>
        <w:tc>
          <w:tcPr>
            <w:tcW w:w="1512" w:type="dxa"/>
          </w:tcPr>
          <w:p>
            <w:pPr>
              <w:pStyle w:val="yTableNAm"/>
            </w:pPr>
            <w:r>
              <w:rPr>
                <w:sz w:val="16"/>
                <w:szCs w:val="16"/>
              </w:rPr>
              <w:t>40.6786</w:t>
            </w:r>
          </w:p>
        </w:tc>
        <w:tc>
          <w:tcPr>
            <w:tcW w:w="1370" w:type="dxa"/>
          </w:tcPr>
          <w:p>
            <w:pPr>
              <w:pStyle w:val="yTableNAm"/>
            </w:pPr>
            <w:r>
              <w:rPr>
                <w:sz w:val="16"/>
                <w:szCs w:val="16"/>
              </w:rPr>
              <w:t>44.7566</w:t>
            </w:r>
          </w:p>
        </w:tc>
      </w:tr>
      <w:tr>
        <w:trPr>
          <w:cantSplit/>
        </w:trPr>
        <w:tc>
          <w:tcPr>
            <w:tcW w:w="567" w:type="dxa"/>
            <w:tcBorders>
              <w:bottom w:val="single" w:sz="4" w:space="0" w:color="auto"/>
            </w:tcBorders>
          </w:tcPr>
          <w:p>
            <w:pPr>
              <w:pStyle w:val="yTableNAm"/>
            </w:pPr>
            <w:r>
              <w:rPr>
                <w:sz w:val="16"/>
                <w:szCs w:val="16"/>
              </w:rPr>
              <w:t>Z.58</w:t>
            </w:r>
          </w:p>
        </w:tc>
        <w:tc>
          <w:tcPr>
            <w:tcW w:w="851" w:type="dxa"/>
            <w:tcBorders>
              <w:bottom w:val="single" w:sz="4" w:space="0" w:color="auto"/>
            </w:tcBorders>
          </w:tcPr>
          <w:p>
            <w:pPr>
              <w:pStyle w:val="yTableNAm"/>
            </w:pPr>
            <w:r>
              <w:rPr>
                <w:sz w:val="16"/>
                <w:szCs w:val="16"/>
              </w:rPr>
              <w:t>160</w:t>
            </w:r>
          </w:p>
        </w:tc>
        <w:tc>
          <w:tcPr>
            <w:tcW w:w="1134" w:type="dxa"/>
            <w:gridSpan w:val="2"/>
            <w:tcBorders>
              <w:bottom w:val="single" w:sz="4" w:space="0" w:color="auto"/>
            </w:tcBorders>
          </w:tcPr>
          <w:p>
            <w:pPr>
              <w:pStyle w:val="yTableNAm"/>
            </w:pPr>
            <w:r>
              <w:rPr>
                <w:sz w:val="16"/>
                <w:szCs w:val="16"/>
              </w:rPr>
              <w:t>Fluorescent</w:t>
            </w:r>
          </w:p>
        </w:tc>
        <w:tc>
          <w:tcPr>
            <w:tcW w:w="1370" w:type="dxa"/>
            <w:tcBorders>
              <w:bottom w:val="single" w:sz="4" w:space="0" w:color="auto"/>
            </w:tcBorders>
          </w:tcPr>
          <w:p>
            <w:pPr>
              <w:pStyle w:val="yTableNAm"/>
            </w:pPr>
            <w:r>
              <w:rPr>
                <w:sz w:val="16"/>
                <w:szCs w:val="16"/>
              </w:rPr>
              <w:t>55.6580</w:t>
            </w:r>
          </w:p>
        </w:tc>
        <w:tc>
          <w:tcPr>
            <w:tcW w:w="1512" w:type="dxa"/>
            <w:tcBorders>
              <w:bottom w:val="single" w:sz="4" w:space="0" w:color="auto"/>
            </w:tcBorders>
          </w:tcPr>
          <w:p>
            <w:pPr>
              <w:pStyle w:val="yTableNAm"/>
            </w:pPr>
            <w:r>
              <w:rPr>
                <w:sz w:val="16"/>
                <w:szCs w:val="16"/>
              </w:rPr>
              <w:t>56.4305</w:t>
            </w:r>
          </w:p>
        </w:tc>
        <w:tc>
          <w:tcPr>
            <w:tcW w:w="1370" w:type="dxa"/>
            <w:tcBorders>
              <w:bottom w:val="single" w:sz="4" w:space="0" w:color="auto"/>
            </w:tcBorders>
          </w:tcPr>
          <w:p>
            <w:pPr>
              <w:pStyle w:val="yTableNAm"/>
            </w:pPr>
            <w:r>
              <w:rPr>
                <w:sz w:val="16"/>
                <w:szCs w:val="16"/>
              </w:rPr>
              <w:t>65.4738</w:t>
            </w:r>
          </w:p>
        </w:tc>
      </w:tr>
    </w:tbl>
    <w:p>
      <w:pPr>
        <w:pStyle w:val="yFootnotesection"/>
      </w:pPr>
      <w:r>
        <w:tab/>
        <w:t>[Division 1 inserted in Gazette 27 Jun 2017 p. 3422</w:t>
      </w:r>
      <w:r>
        <w:noBreakHyphen/>
        <w:t>3.]</w:t>
      </w:r>
    </w:p>
    <w:p>
      <w:pPr>
        <w:pStyle w:val="yHeading3"/>
      </w:pPr>
      <w:bookmarkStart w:id="35" w:name="_Toc501633161"/>
      <w:bookmarkStart w:id="36" w:name="_Toc501633214"/>
      <w:bookmarkStart w:id="37" w:name="_Toc502736814"/>
      <w:r>
        <w:rPr>
          <w:rStyle w:val="CharSDivNo"/>
        </w:rPr>
        <w:t>Division 2</w:t>
      </w:r>
      <w:r>
        <w:t> — </w:t>
      </w:r>
      <w:r>
        <w:rPr>
          <w:rStyle w:val="CharSDivText"/>
        </w:rPr>
        <w:t>Miscellaneous</w:t>
      </w:r>
      <w:bookmarkEnd w:id="35"/>
      <w:bookmarkEnd w:id="36"/>
      <w:bookmarkEnd w:id="37"/>
    </w:p>
    <w:p>
      <w:pPr>
        <w:pStyle w:val="yFootnoteheading"/>
        <w:spacing w:after="60"/>
      </w:pPr>
      <w:r>
        <w:tab/>
        <w:t>[Heading inserted in Gazette 27 Jun 2017 p. 3423.]</w:t>
      </w:r>
    </w:p>
    <w:p>
      <w:pPr>
        <w:pStyle w:val="yHeading5"/>
      </w:pPr>
      <w:bookmarkStart w:id="38" w:name="_Toc502736815"/>
      <w:r>
        <w:rPr>
          <w:rStyle w:val="CharSClsNo"/>
        </w:rPr>
        <w:t>1</w:t>
      </w:r>
      <w:r>
        <w:t>.</w:t>
      </w:r>
      <w:r>
        <w:tab/>
        <w:t>Traffic light installation</w:t>
      </w:r>
      <w:bookmarkEnd w:id="38"/>
    </w:p>
    <w:p>
      <w:pPr>
        <w:pStyle w:val="ySubsection"/>
      </w:pPr>
      <w:r>
        <w:tab/>
      </w:r>
      <w:r>
        <w:tab/>
        <w:t xml:space="preserve">Supply of electricity to traffic light installations comprises a charge of </w:t>
      </w:r>
      <w:r>
        <w:rPr>
          <w:szCs w:val="22"/>
        </w:rPr>
        <w:t xml:space="preserve">$6.8593 </w:t>
      </w:r>
      <w:r>
        <w:t>per day per kW of installed wattage.</w:t>
      </w:r>
    </w:p>
    <w:p>
      <w:pPr>
        <w:pStyle w:val="yFootnotesection"/>
      </w:pPr>
      <w:r>
        <w:tab/>
        <w:t>[Clause 1 inserted in Gazette 27 Jun 2017 p. 3423.]</w:t>
      </w:r>
    </w:p>
    <w:p>
      <w:pPr>
        <w:pStyle w:val="yHeading5"/>
      </w:pPr>
      <w:bookmarkStart w:id="39" w:name="_Toc502736816"/>
      <w:r>
        <w:rPr>
          <w:rStyle w:val="CharSClsNo"/>
        </w:rPr>
        <w:t>2</w:t>
      </w:r>
      <w:r>
        <w:t>.</w:t>
      </w:r>
      <w:r>
        <w:tab/>
        <w:t>Public telephone facility</w:t>
      </w:r>
      <w:bookmarkEnd w:id="39"/>
    </w:p>
    <w:p>
      <w:pPr>
        <w:pStyle w:val="ySubsection"/>
      </w:pPr>
      <w:r>
        <w:tab/>
      </w:r>
      <w:r>
        <w:tab/>
        <w:t xml:space="preserve">Supply of electricity to a standard public telephone facility where supply is not independently metered comprises a charge of </w:t>
      </w:r>
      <w:r>
        <w:rPr>
          <w:szCs w:val="22"/>
        </w:rPr>
        <w:t>59.7018</w:t>
      </w:r>
      <w:r>
        <w:t xml:space="preserve"> cents per day.</w:t>
      </w:r>
    </w:p>
    <w:p>
      <w:pPr>
        <w:pStyle w:val="yFootnotesection"/>
      </w:pPr>
      <w:r>
        <w:tab/>
        <w:t>[Clause 2 inserted in Gazette 27 Jun 2017 p. 3424.]</w:t>
      </w:r>
    </w:p>
    <w:p>
      <w:pPr>
        <w:pStyle w:val="yHeading5"/>
      </w:pPr>
      <w:bookmarkStart w:id="40" w:name="_Toc502736817"/>
      <w:r>
        <w:rPr>
          <w:rStyle w:val="CharSClsNo"/>
        </w:rPr>
        <w:t>3</w:t>
      </w:r>
      <w:r>
        <w:t>.</w:t>
      </w:r>
      <w:r>
        <w:tab/>
        <w:t>Railway crossing</w:t>
      </w:r>
      <w:bookmarkEnd w:id="40"/>
    </w:p>
    <w:p>
      <w:pPr>
        <w:pStyle w:val="ySubsection"/>
      </w:pPr>
      <w:r>
        <w:tab/>
      </w:r>
      <w:r>
        <w:tab/>
        <w:t xml:space="preserve">Supply of electricity to standard railway crossing lights comprises a charge of </w:t>
      </w:r>
      <w:r>
        <w:rPr>
          <w:szCs w:val="22"/>
        </w:rPr>
        <w:t xml:space="preserve">76.2950 </w:t>
      </w:r>
      <w:r>
        <w:t>cents per day.</w:t>
      </w:r>
    </w:p>
    <w:p>
      <w:pPr>
        <w:pStyle w:val="yFootnotesection"/>
      </w:pPr>
      <w:r>
        <w:tab/>
        <w:t>[Clause 3 inserted in Gazette 27 Jun 2017 p. 3424.]</w:t>
      </w:r>
    </w:p>
    <w:p>
      <w:pPr>
        <w:sectPr>
          <w:headerReference w:type="even" r:id="rId29"/>
          <w:headerReference w:type="default" r:id="rId30"/>
          <w:endnotePr>
            <w:numFmt w:val="decimal"/>
          </w:endnotePr>
          <w:pgSz w:w="11907" w:h="16840" w:code="9"/>
          <w:pgMar w:top="2376" w:right="2405" w:bottom="3542" w:left="2405" w:header="706" w:footer="3380" w:gutter="0"/>
          <w:cols w:space="720"/>
          <w:noEndnote/>
          <w:docGrid w:linePitch="326"/>
        </w:sectPr>
      </w:pPr>
    </w:p>
    <w:p>
      <w:pPr>
        <w:pStyle w:val="yScheduleHeading"/>
      </w:pPr>
      <w:bookmarkStart w:id="41" w:name="_Toc501633165"/>
      <w:bookmarkStart w:id="42" w:name="_Toc501633218"/>
      <w:bookmarkStart w:id="43" w:name="_Toc502736818"/>
      <w:r>
        <w:rPr>
          <w:rStyle w:val="CharSchNo"/>
        </w:rPr>
        <w:t>Schedule 3</w:t>
      </w:r>
      <w:r>
        <w:rPr>
          <w:rStyle w:val="CharSDivNo"/>
        </w:rPr>
        <w:t> </w:t>
      </w:r>
      <w:r>
        <w:t>—</w:t>
      </w:r>
      <w:r>
        <w:rPr>
          <w:rStyle w:val="CharSDivText"/>
        </w:rPr>
        <w:t> </w:t>
      </w:r>
      <w:r>
        <w:rPr>
          <w:rStyle w:val="CharSchText"/>
        </w:rPr>
        <w:t>Meter rentals</w:t>
      </w:r>
      <w:bookmarkEnd w:id="41"/>
      <w:bookmarkEnd w:id="42"/>
      <w:bookmarkEnd w:id="43"/>
    </w:p>
    <w:p>
      <w:pPr>
        <w:pStyle w:val="yShoulderClause"/>
        <w:spacing w:after="60"/>
      </w:pPr>
      <w:r>
        <w:t>[bl. 6(1)]</w:t>
      </w:r>
    </w:p>
    <w:p>
      <w:pPr>
        <w:pStyle w:val="yMiscellaneousBody"/>
      </w:pPr>
      <w:r>
        <w:t>The rental payable in respect of a subsidiary meter is 16.25 cents per day.</w:t>
      </w:r>
    </w:p>
    <w:p>
      <w:pPr>
        <w:pStyle w:val="yMiscellaneousBody"/>
        <w:ind w:left="709" w:hanging="709"/>
        <w:rPr>
          <w:i/>
          <w:sz w:val="20"/>
        </w:rPr>
      </w:pPr>
      <w:r>
        <w:rPr>
          <w:i/>
          <w:sz w:val="20"/>
        </w:rPr>
        <w:t>Note:</w:t>
      </w:r>
      <w:r>
        <w:rPr>
          <w:i/>
          <w:sz w:val="20"/>
        </w:rPr>
        <w:tab/>
        <w:t>Subsidiary meters are available on application for purposes approved by the</w:t>
      </w:r>
      <w:r>
        <w:t xml:space="preserve"> </w:t>
      </w:r>
      <w:r>
        <w:rPr>
          <w:i/>
          <w:sz w:val="20"/>
        </w:rPr>
        <w:t>corporation.</w:t>
      </w:r>
    </w:p>
    <w:p>
      <w:pPr>
        <w:pStyle w:val="yFootnotesection"/>
      </w:pPr>
      <w:r>
        <w:tab/>
        <w:t>[Schedule 3 amended in Gazette 30 Jun 2017 p. 3562.]</w:t>
      </w:r>
    </w:p>
    <w:p>
      <w:pPr>
        <w:pStyle w:val="yScheduleHeading"/>
      </w:pPr>
      <w:bookmarkStart w:id="44" w:name="_Toc501633166"/>
      <w:bookmarkStart w:id="45" w:name="_Toc501633219"/>
      <w:bookmarkStart w:id="46" w:name="_Toc502736819"/>
      <w:r>
        <w:rPr>
          <w:rStyle w:val="CharSchNo"/>
        </w:rPr>
        <w:t>Schedule 4</w:t>
      </w:r>
      <w:r>
        <w:rPr>
          <w:rStyle w:val="CharSDivNo"/>
        </w:rPr>
        <w:t> </w:t>
      </w:r>
      <w:r>
        <w:t>—</w:t>
      </w:r>
      <w:r>
        <w:rPr>
          <w:rStyle w:val="CharSDivText"/>
        </w:rPr>
        <w:t> </w:t>
      </w:r>
      <w:r>
        <w:rPr>
          <w:rStyle w:val="CharSchText"/>
        </w:rPr>
        <w:t>Fees</w:t>
      </w:r>
      <w:bookmarkEnd w:id="44"/>
      <w:bookmarkEnd w:id="45"/>
      <w:bookmarkEnd w:id="46"/>
    </w:p>
    <w:p>
      <w:pPr>
        <w:pStyle w:val="yShoulderClause"/>
      </w:pPr>
      <w:r>
        <w:t>[bl. 7]</w:t>
      </w:r>
    </w:p>
    <w:p>
      <w:pPr>
        <w:pStyle w:val="yFootnoteheading"/>
        <w:spacing w:after="60"/>
      </w:pPr>
      <w:r>
        <w:tab/>
        <w:t>[Heading inserted in Gazette 30 Jun 2017 p. 3563.]</w:t>
      </w:r>
    </w:p>
    <w:tbl>
      <w:tblPr>
        <w:tblW w:w="0" w:type="auto"/>
        <w:tblInd w:w="85" w:type="dxa"/>
        <w:tblLayout w:type="fixed"/>
        <w:tblCellMar>
          <w:left w:w="85" w:type="dxa"/>
          <w:right w:w="85" w:type="dxa"/>
        </w:tblCellMar>
        <w:tblLook w:val="0000" w:firstRow="0" w:lastRow="0" w:firstColumn="0" w:lastColumn="0" w:noHBand="0" w:noVBand="0"/>
      </w:tblPr>
      <w:tblGrid>
        <w:gridCol w:w="567"/>
        <w:gridCol w:w="5245"/>
        <w:gridCol w:w="1276"/>
      </w:tblGrid>
      <w:tr>
        <w:trPr>
          <w:cantSplit/>
          <w:tblHeader/>
        </w:trPr>
        <w:tc>
          <w:tcPr>
            <w:tcW w:w="567" w:type="dxa"/>
            <w:tcBorders>
              <w:top w:val="single" w:sz="4" w:space="0" w:color="auto"/>
              <w:bottom w:val="single" w:sz="4" w:space="0" w:color="auto"/>
            </w:tcBorders>
          </w:tcPr>
          <w:p>
            <w:pPr>
              <w:pStyle w:val="zyTableNAm"/>
              <w:spacing w:after="80"/>
            </w:pPr>
          </w:p>
        </w:tc>
        <w:tc>
          <w:tcPr>
            <w:tcW w:w="5245" w:type="dxa"/>
            <w:tcBorders>
              <w:top w:val="single" w:sz="4" w:space="0" w:color="auto"/>
              <w:bottom w:val="single" w:sz="4" w:space="0" w:color="auto"/>
            </w:tcBorders>
          </w:tcPr>
          <w:p>
            <w:pPr>
              <w:pStyle w:val="yTableNAm"/>
            </w:pPr>
            <w:r>
              <w:rPr>
                <w:b/>
                <w:iCs/>
              </w:rPr>
              <w:t>Description of fee</w:t>
            </w:r>
          </w:p>
        </w:tc>
        <w:tc>
          <w:tcPr>
            <w:tcW w:w="1276" w:type="dxa"/>
            <w:tcBorders>
              <w:top w:val="single" w:sz="4" w:space="0" w:color="auto"/>
              <w:bottom w:val="single" w:sz="4" w:space="0" w:color="auto"/>
            </w:tcBorders>
          </w:tcPr>
          <w:p>
            <w:pPr>
              <w:pStyle w:val="yTableNAm"/>
            </w:pPr>
            <w:r>
              <w:rPr>
                <w:b/>
                <w:iCs/>
              </w:rPr>
              <w:t>Amount</w:t>
            </w:r>
          </w:p>
        </w:tc>
      </w:tr>
      <w:tr>
        <w:trPr>
          <w:cantSplit/>
        </w:trPr>
        <w:tc>
          <w:tcPr>
            <w:tcW w:w="567" w:type="dxa"/>
            <w:tcBorders>
              <w:top w:val="single" w:sz="4" w:space="0" w:color="auto"/>
            </w:tcBorders>
          </w:tcPr>
          <w:p>
            <w:pPr>
              <w:pStyle w:val="yTableNAm"/>
            </w:pPr>
            <w:r>
              <w:t>1.</w:t>
            </w:r>
          </w:p>
        </w:tc>
        <w:tc>
          <w:tcPr>
            <w:tcW w:w="5245" w:type="dxa"/>
            <w:tcBorders>
              <w:top w:val="single" w:sz="4" w:space="0" w:color="auto"/>
            </w:tcBorders>
          </w:tcPr>
          <w:p>
            <w:pPr>
              <w:pStyle w:val="yTableNAm"/>
              <w:tabs>
                <w:tab w:val="right" w:leader="dot" w:pos="5160"/>
              </w:tabs>
            </w:pPr>
            <w:r>
              <w:t>Non</w:t>
            </w:r>
            <w:r>
              <w:noBreakHyphen/>
              <w:t xml:space="preserve">refundable account establishment fee payable on the establishment or transfer of an account </w:t>
            </w:r>
            <w:r>
              <w:tab/>
            </w:r>
          </w:p>
        </w:tc>
        <w:tc>
          <w:tcPr>
            <w:tcW w:w="1276" w:type="dxa"/>
            <w:tcBorders>
              <w:top w:val="single" w:sz="4" w:space="0" w:color="auto"/>
            </w:tcBorders>
          </w:tcPr>
          <w:p>
            <w:pPr>
              <w:pStyle w:val="yTableNAm"/>
            </w:pPr>
            <w:r>
              <w:rPr>
                <w:bCs/>
                <w:iCs/>
              </w:rPr>
              <w:br/>
              <w:t>$34.75</w:t>
            </w:r>
          </w:p>
        </w:tc>
      </w:tr>
      <w:tr>
        <w:trPr>
          <w:cantSplit/>
        </w:trPr>
        <w:tc>
          <w:tcPr>
            <w:tcW w:w="567" w:type="dxa"/>
          </w:tcPr>
          <w:p>
            <w:pPr>
              <w:pStyle w:val="yTableNAm"/>
            </w:pPr>
            <w:r>
              <w:t>2.</w:t>
            </w:r>
          </w:p>
        </w:tc>
        <w:tc>
          <w:tcPr>
            <w:tcW w:w="5245" w:type="dxa"/>
          </w:tcPr>
          <w:p>
            <w:pPr>
              <w:pStyle w:val="yTableNAm"/>
            </w:pPr>
            <w:r>
              <w:t>Three phase residential installation — </w:t>
            </w:r>
          </w:p>
          <w:p>
            <w:pPr>
              <w:pStyle w:val="yTableNAm"/>
              <w:tabs>
                <w:tab w:val="clear" w:pos="567"/>
                <w:tab w:val="left" w:pos="252"/>
                <w:tab w:val="left" w:pos="766"/>
                <w:tab w:val="right" w:leader="dot" w:pos="5160"/>
              </w:tabs>
              <w:ind w:left="766" w:hanging="766"/>
            </w:pPr>
            <w:r>
              <w:tab/>
              <w:t>(a)</w:t>
            </w:r>
            <w:r>
              <w:tab/>
              <w:t xml:space="preserve">new installation of three phase meter or replacement of single phase meter with three phase meter </w:t>
            </w:r>
            <w:r>
              <w:tab/>
            </w:r>
          </w:p>
          <w:p>
            <w:pPr>
              <w:pStyle w:val="yTableNAm"/>
              <w:tabs>
                <w:tab w:val="clear" w:pos="567"/>
                <w:tab w:val="left" w:pos="252"/>
                <w:tab w:val="left" w:pos="766"/>
                <w:tab w:val="right" w:leader="dot" w:pos="5160"/>
              </w:tabs>
              <w:ind w:left="766" w:hanging="766"/>
              <w:rPr>
                <w:b/>
                <w:iCs/>
              </w:rPr>
            </w:pPr>
            <w:r>
              <w:tab/>
              <w:t>(b)</w:t>
            </w:r>
            <w:r>
              <w:tab/>
              <w:t xml:space="preserve">installation of subsidiary three phase meter (each installation) </w:t>
            </w:r>
            <w:r>
              <w:tab/>
            </w:r>
          </w:p>
        </w:tc>
        <w:tc>
          <w:tcPr>
            <w:tcW w:w="1276" w:type="dxa"/>
          </w:tcPr>
          <w:p>
            <w:pPr>
              <w:pStyle w:val="yTableNAm"/>
            </w:pPr>
          </w:p>
          <w:p>
            <w:pPr>
              <w:pStyle w:val="yTableNAm"/>
            </w:pPr>
            <w:r>
              <w:br/>
            </w:r>
            <w:r>
              <w:br/>
              <w:t>$595.00</w:t>
            </w:r>
          </w:p>
          <w:p>
            <w:pPr>
              <w:pStyle w:val="yTableNAm"/>
            </w:pPr>
            <w:r>
              <w:rPr>
                <w:sz w:val="24"/>
              </w:rPr>
              <w:br/>
            </w:r>
            <w:r>
              <w:t>$149.99</w:t>
            </w:r>
          </w:p>
        </w:tc>
      </w:tr>
      <w:tr>
        <w:trPr>
          <w:cantSplit/>
        </w:trPr>
        <w:tc>
          <w:tcPr>
            <w:tcW w:w="567" w:type="dxa"/>
          </w:tcPr>
          <w:p>
            <w:pPr>
              <w:pStyle w:val="yTableNAm"/>
            </w:pPr>
            <w:r>
              <w:t>3.</w:t>
            </w:r>
          </w:p>
        </w:tc>
        <w:tc>
          <w:tcPr>
            <w:tcW w:w="5245" w:type="dxa"/>
          </w:tcPr>
          <w:p>
            <w:pPr>
              <w:pStyle w:val="yTableNAm"/>
              <w:tabs>
                <w:tab w:val="right" w:leader="dot" w:pos="5160"/>
              </w:tabs>
            </w:pPr>
            <w:r>
              <w:t>Non</w:t>
            </w:r>
            <w:r>
              <w:noBreakHyphen/>
              <w:t>refundable reconnection fee where supply has been terminated for non</w:t>
            </w:r>
            <w:r>
              <w:noBreakHyphen/>
              <w:t xml:space="preserve">payment of charges or for any other lawful reason </w:t>
            </w:r>
            <w:r>
              <w:tab/>
            </w:r>
          </w:p>
        </w:tc>
        <w:tc>
          <w:tcPr>
            <w:tcW w:w="1276" w:type="dxa"/>
          </w:tcPr>
          <w:p>
            <w:pPr>
              <w:pStyle w:val="yTableNAm"/>
            </w:pPr>
            <w:r>
              <w:rPr>
                <w:bCs/>
                <w:iCs/>
              </w:rPr>
              <w:br/>
            </w:r>
            <w:r>
              <w:rPr>
                <w:bCs/>
                <w:iCs/>
              </w:rPr>
              <w:br/>
              <w:t>$31.41</w:t>
            </w:r>
          </w:p>
        </w:tc>
      </w:tr>
      <w:tr>
        <w:trPr>
          <w:cantSplit/>
        </w:trPr>
        <w:tc>
          <w:tcPr>
            <w:tcW w:w="567" w:type="dxa"/>
          </w:tcPr>
          <w:p>
            <w:pPr>
              <w:pStyle w:val="yTableNAm"/>
            </w:pPr>
            <w:r>
              <w:t>4.</w:t>
            </w:r>
          </w:p>
        </w:tc>
        <w:tc>
          <w:tcPr>
            <w:tcW w:w="5245" w:type="dxa"/>
          </w:tcPr>
          <w:p>
            <w:pPr>
              <w:pStyle w:val="yTableNAm"/>
            </w:pPr>
            <w:r>
              <w:t>Temporary supply connection — </w:t>
            </w:r>
          </w:p>
          <w:p>
            <w:pPr>
              <w:pStyle w:val="yTableNAm"/>
              <w:tabs>
                <w:tab w:val="clear" w:pos="567"/>
                <w:tab w:val="left" w:pos="252"/>
                <w:tab w:val="left" w:pos="766"/>
                <w:tab w:val="right" w:leader="dot" w:pos="5160"/>
              </w:tabs>
              <w:ind w:left="766" w:hanging="766"/>
            </w:pPr>
            <w:r>
              <w:tab/>
              <w:t>(a)</w:t>
            </w:r>
            <w:r>
              <w:tab/>
              <w:t xml:space="preserve">single phase (overhead) </w:t>
            </w:r>
            <w:r>
              <w:tab/>
            </w:r>
          </w:p>
          <w:p>
            <w:pPr>
              <w:pStyle w:val="yTableNAm"/>
              <w:tabs>
                <w:tab w:val="clear" w:pos="567"/>
                <w:tab w:val="left" w:pos="252"/>
                <w:tab w:val="left" w:pos="766"/>
                <w:tab w:val="right" w:leader="dot" w:pos="5160"/>
              </w:tabs>
              <w:ind w:left="766" w:hanging="766"/>
              <w:rPr>
                <w:b/>
                <w:iCs/>
              </w:rPr>
            </w:pPr>
            <w:r>
              <w:tab/>
              <w:t>(b)</w:t>
            </w:r>
            <w:r>
              <w:tab/>
              <w:t xml:space="preserve">three phase (overhead) </w:t>
            </w:r>
            <w:r>
              <w:tab/>
            </w:r>
          </w:p>
        </w:tc>
        <w:tc>
          <w:tcPr>
            <w:tcW w:w="1276" w:type="dxa"/>
          </w:tcPr>
          <w:p>
            <w:pPr>
              <w:pStyle w:val="yTableNAm"/>
            </w:pPr>
          </w:p>
          <w:p>
            <w:pPr>
              <w:pStyle w:val="yTableNAm"/>
            </w:pPr>
            <w:r>
              <w:t>$1 084.00</w:t>
            </w:r>
          </w:p>
          <w:p>
            <w:pPr>
              <w:pStyle w:val="yTableNAm"/>
            </w:pPr>
            <w:r>
              <w:t>$1 084.00</w:t>
            </w:r>
          </w:p>
        </w:tc>
      </w:tr>
      <w:tr>
        <w:trPr>
          <w:cantSplit/>
        </w:trPr>
        <w:tc>
          <w:tcPr>
            <w:tcW w:w="567" w:type="dxa"/>
          </w:tcPr>
          <w:p>
            <w:pPr>
              <w:pStyle w:val="yTableNAm"/>
            </w:pPr>
            <w:r>
              <w:t>5.</w:t>
            </w:r>
          </w:p>
        </w:tc>
        <w:tc>
          <w:tcPr>
            <w:tcW w:w="5245" w:type="dxa"/>
          </w:tcPr>
          <w:p>
            <w:pPr>
              <w:pStyle w:val="yTableNAm"/>
            </w:pPr>
            <w:r>
              <w:t>Meter testing — </w:t>
            </w:r>
          </w:p>
          <w:p>
            <w:pPr>
              <w:pStyle w:val="yTableNAm"/>
              <w:tabs>
                <w:tab w:val="clear" w:pos="567"/>
                <w:tab w:val="left" w:pos="252"/>
                <w:tab w:val="left" w:pos="766"/>
                <w:tab w:val="right" w:leader="dot" w:pos="5160"/>
              </w:tabs>
              <w:ind w:left="766" w:hanging="766"/>
            </w:pPr>
            <w:r>
              <w:tab/>
              <w:t>(a)</w:t>
            </w:r>
            <w:r>
              <w:tab/>
              <w:t xml:space="preserve">standard meter testing fee </w:t>
            </w:r>
            <w:r>
              <w:tab/>
            </w:r>
          </w:p>
          <w:p>
            <w:pPr>
              <w:pStyle w:val="yTableNAm"/>
              <w:tabs>
                <w:tab w:val="clear" w:pos="567"/>
                <w:tab w:val="left" w:pos="252"/>
                <w:tab w:val="left" w:pos="766"/>
                <w:tab w:val="right" w:leader="dot" w:pos="5160"/>
              </w:tabs>
              <w:ind w:left="766" w:hanging="766"/>
            </w:pPr>
            <w:r>
              <w:tab/>
              <w:t>(b)</w:t>
            </w:r>
            <w:r>
              <w:tab/>
              <w:t xml:space="preserve">reduced meter testing fee </w:t>
            </w:r>
            <w:r>
              <w:tab/>
            </w:r>
          </w:p>
        </w:tc>
        <w:tc>
          <w:tcPr>
            <w:tcW w:w="1276" w:type="dxa"/>
          </w:tcPr>
          <w:p>
            <w:pPr>
              <w:pStyle w:val="yTableNAm"/>
            </w:pPr>
          </w:p>
          <w:p>
            <w:pPr>
              <w:pStyle w:val="yTableNAm"/>
            </w:pPr>
            <w:r>
              <w:t>$240.00</w:t>
            </w:r>
          </w:p>
          <w:p>
            <w:pPr>
              <w:pStyle w:val="yTableNAm"/>
            </w:pPr>
            <w:r>
              <w:t>$143.00</w:t>
            </w:r>
          </w:p>
        </w:tc>
      </w:tr>
      <w:tr>
        <w:trPr>
          <w:cantSplit/>
        </w:trPr>
        <w:tc>
          <w:tcPr>
            <w:tcW w:w="567" w:type="dxa"/>
          </w:tcPr>
          <w:p>
            <w:pPr>
              <w:pStyle w:val="yTableNAm"/>
            </w:pPr>
            <w:r>
              <w:t>6.</w:t>
            </w:r>
          </w:p>
        </w:tc>
        <w:tc>
          <w:tcPr>
            <w:tcW w:w="5245" w:type="dxa"/>
          </w:tcPr>
          <w:p>
            <w:pPr>
              <w:pStyle w:val="yTableNAm"/>
              <w:tabs>
                <w:tab w:val="right" w:leader="dot" w:pos="5160"/>
              </w:tabs>
            </w:pPr>
            <w:r>
              <w:t xml:space="preserve">Disconnection of overhead service leads following unauthorised reconnection </w:t>
            </w:r>
            <w:r>
              <w:tab/>
            </w:r>
          </w:p>
        </w:tc>
        <w:tc>
          <w:tcPr>
            <w:tcW w:w="1276" w:type="dxa"/>
          </w:tcPr>
          <w:p>
            <w:pPr>
              <w:pStyle w:val="yTableNAm"/>
            </w:pPr>
            <w:r>
              <w:rPr>
                <w:bCs/>
                <w:iCs/>
              </w:rPr>
              <w:br/>
            </w:r>
            <w:r>
              <w:t>$781.00</w:t>
            </w:r>
          </w:p>
        </w:tc>
      </w:tr>
      <w:tr>
        <w:trPr>
          <w:cantSplit/>
        </w:trPr>
        <w:tc>
          <w:tcPr>
            <w:tcW w:w="567" w:type="dxa"/>
          </w:tcPr>
          <w:p>
            <w:pPr>
              <w:pStyle w:val="yTableNAm"/>
            </w:pPr>
            <w:r>
              <w:t>7.</w:t>
            </w:r>
          </w:p>
        </w:tc>
        <w:tc>
          <w:tcPr>
            <w:tcW w:w="5245" w:type="dxa"/>
          </w:tcPr>
          <w:p>
            <w:pPr>
              <w:pStyle w:val="yTableNAm"/>
              <w:tabs>
                <w:tab w:val="right" w:leader="dot" w:pos="5160"/>
              </w:tabs>
            </w:pPr>
            <w:r>
              <w:t xml:space="preserve">Meter reading where reading requested by consumer </w:t>
            </w:r>
            <w:r>
              <w:tab/>
            </w:r>
          </w:p>
        </w:tc>
        <w:tc>
          <w:tcPr>
            <w:tcW w:w="1276" w:type="dxa"/>
          </w:tcPr>
          <w:p>
            <w:pPr>
              <w:pStyle w:val="yTableNAm"/>
            </w:pPr>
            <w:r>
              <w:t>$23.00</w:t>
            </w:r>
          </w:p>
        </w:tc>
      </w:tr>
      <w:tr>
        <w:trPr>
          <w:cantSplit/>
        </w:trPr>
        <w:tc>
          <w:tcPr>
            <w:tcW w:w="567" w:type="dxa"/>
          </w:tcPr>
          <w:p>
            <w:pPr>
              <w:pStyle w:val="yTableNAm"/>
            </w:pPr>
            <w:r>
              <w:t>8.</w:t>
            </w:r>
          </w:p>
        </w:tc>
        <w:tc>
          <w:tcPr>
            <w:tcW w:w="5245" w:type="dxa"/>
          </w:tcPr>
          <w:p>
            <w:pPr>
              <w:pStyle w:val="yTableNAm"/>
              <w:tabs>
                <w:tab w:val="right" w:leader="dot" w:pos="5160"/>
              </w:tabs>
            </w:pPr>
            <w:r>
              <w:t xml:space="preserve">Overdue account notices </w:t>
            </w:r>
            <w:r>
              <w:tab/>
            </w:r>
          </w:p>
        </w:tc>
        <w:tc>
          <w:tcPr>
            <w:tcW w:w="1276" w:type="dxa"/>
          </w:tcPr>
          <w:p>
            <w:pPr>
              <w:pStyle w:val="yTableNAm"/>
            </w:pPr>
            <w:r>
              <w:rPr>
                <w:szCs w:val="22"/>
              </w:rPr>
              <w:t>$5.50</w:t>
            </w:r>
          </w:p>
        </w:tc>
      </w:tr>
      <w:tr>
        <w:trPr>
          <w:cantSplit/>
        </w:trPr>
        <w:tc>
          <w:tcPr>
            <w:tcW w:w="567" w:type="dxa"/>
          </w:tcPr>
          <w:p>
            <w:pPr>
              <w:pStyle w:val="yTableNAm"/>
            </w:pPr>
            <w:r>
              <w:t>9.</w:t>
            </w:r>
          </w:p>
        </w:tc>
        <w:tc>
          <w:tcPr>
            <w:tcW w:w="5245" w:type="dxa"/>
          </w:tcPr>
          <w:p>
            <w:pPr>
              <w:pStyle w:val="yTableNAm"/>
              <w:tabs>
                <w:tab w:val="right" w:leader="dot" w:pos="5160"/>
              </w:tabs>
            </w:pPr>
            <w:r>
              <w:t xml:space="preserve">Rejected account payment (where payment made through Australia Post) </w:t>
            </w:r>
            <w:r>
              <w:tab/>
            </w:r>
          </w:p>
        </w:tc>
        <w:tc>
          <w:tcPr>
            <w:tcW w:w="1276" w:type="dxa"/>
          </w:tcPr>
          <w:p>
            <w:pPr>
              <w:pStyle w:val="yTableNAm"/>
            </w:pPr>
            <w:r>
              <w:rPr>
                <w:bCs/>
                <w:iCs/>
              </w:rPr>
              <w:br/>
            </w:r>
            <w:r>
              <w:t>$24.44</w:t>
            </w:r>
          </w:p>
        </w:tc>
      </w:tr>
      <w:tr>
        <w:trPr>
          <w:cantSplit/>
        </w:trPr>
        <w:tc>
          <w:tcPr>
            <w:tcW w:w="567" w:type="dxa"/>
          </w:tcPr>
          <w:p>
            <w:pPr>
              <w:pStyle w:val="yTableNAm"/>
            </w:pPr>
            <w:r>
              <w:t>10.</w:t>
            </w:r>
          </w:p>
        </w:tc>
        <w:tc>
          <w:tcPr>
            <w:tcW w:w="5245" w:type="dxa"/>
          </w:tcPr>
          <w:p>
            <w:pPr>
              <w:pStyle w:val="yTableNAm"/>
            </w:pPr>
            <w:r>
              <w:t>A transaction fee where a consumer makes a payment to the corporation by means of one of the following — </w:t>
            </w:r>
          </w:p>
        </w:tc>
        <w:tc>
          <w:tcPr>
            <w:tcW w:w="1276" w:type="dxa"/>
          </w:tcPr>
          <w:p>
            <w:pPr>
              <w:pStyle w:val="yTableNAm"/>
            </w:pPr>
          </w:p>
        </w:tc>
      </w:tr>
      <w:tr>
        <w:trPr>
          <w:cantSplit/>
        </w:trPr>
        <w:tc>
          <w:tcPr>
            <w:tcW w:w="567" w:type="dxa"/>
          </w:tcPr>
          <w:p>
            <w:pPr>
              <w:pStyle w:val="zyTableNAm"/>
            </w:pPr>
          </w:p>
        </w:tc>
        <w:tc>
          <w:tcPr>
            <w:tcW w:w="5245" w:type="dxa"/>
          </w:tcPr>
          <w:p>
            <w:pPr>
              <w:pStyle w:val="yTableNAm"/>
              <w:tabs>
                <w:tab w:val="clear" w:pos="567"/>
                <w:tab w:val="left" w:pos="252"/>
                <w:tab w:val="left" w:pos="766"/>
                <w:tab w:val="right" w:leader="dot" w:pos="5160"/>
              </w:tabs>
              <w:ind w:left="766" w:hanging="766"/>
            </w:pPr>
            <w:r>
              <w:tab/>
              <w:t>(a)</w:t>
            </w:r>
            <w:r>
              <w:tab/>
              <w:t xml:space="preserve">a Visa or a MasterCard credit card or debit card </w:t>
            </w:r>
            <w:r>
              <w:tab/>
            </w:r>
          </w:p>
        </w:tc>
        <w:tc>
          <w:tcPr>
            <w:tcW w:w="1276" w:type="dxa"/>
          </w:tcPr>
          <w:p>
            <w:pPr>
              <w:pStyle w:val="yTableNAm"/>
            </w:pPr>
            <w:r>
              <w:t>0.47% of the amount of the charge</w:t>
            </w:r>
          </w:p>
        </w:tc>
      </w:tr>
      <w:tr>
        <w:trPr>
          <w:cantSplit/>
        </w:trPr>
        <w:tc>
          <w:tcPr>
            <w:tcW w:w="567" w:type="dxa"/>
          </w:tcPr>
          <w:p>
            <w:pPr>
              <w:pStyle w:val="zyTableNAm"/>
              <w:spacing w:after="80"/>
            </w:pPr>
          </w:p>
        </w:tc>
        <w:tc>
          <w:tcPr>
            <w:tcW w:w="5245" w:type="dxa"/>
          </w:tcPr>
          <w:p>
            <w:pPr>
              <w:pStyle w:val="yTableNAm"/>
              <w:tabs>
                <w:tab w:val="clear" w:pos="567"/>
                <w:tab w:val="left" w:pos="252"/>
                <w:tab w:val="left" w:pos="766"/>
                <w:tab w:val="right" w:leader="dot" w:pos="5160"/>
              </w:tabs>
              <w:ind w:left="766" w:hanging="766"/>
            </w:pPr>
            <w:r>
              <w:tab/>
              <w:t>(b)</w:t>
            </w:r>
            <w:r>
              <w:tab/>
              <w:t xml:space="preserve">an American Express credit card </w:t>
            </w:r>
            <w:r>
              <w:tab/>
            </w:r>
          </w:p>
        </w:tc>
        <w:tc>
          <w:tcPr>
            <w:tcW w:w="1276" w:type="dxa"/>
          </w:tcPr>
          <w:p>
            <w:pPr>
              <w:pStyle w:val="yTableNAm"/>
            </w:pPr>
            <w:r>
              <w:t>0.84% of the amount of the charge</w:t>
            </w:r>
          </w:p>
        </w:tc>
      </w:tr>
      <w:tr>
        <w:trPr>
          <w:cantSplit/>
        </w:trPr>
        <w:tc>
          <w:tcPr>
            <w:tcW w:w="567" w:type="dxa"/>
          </w:tcPr>
          <w:p>
            <w:pPr>
              <w:pStyle w:val="yTableNAm"/>
            </w:pPr>
            <w:r>
              <w:t>11.</w:t>
            </w:r>
          </w:p>
        </w:tc>
        <w:tc>
          <w:tcPr>
            <w:tcW w:w="5245" w:type="dxa"/>
          </w:tcPr>
          <w:p>
            <w:pPr>
              <w:pStyle w:val="yTableNAm"/>
              <w:tabs>
                <w:tab w:val="right" w:leader="dot" w:pos="5160"/>
              </w:tabs>
            </w:pPr>
            <w:r>
              <w:t xml:space="preserve">Remote configurations </w:t>
            </w:r>
            <w:r>
              <w:tab/>
            </w:r>
          </w:p>
        </w:tc>
        <w:tc>
          <w:tcPr>
            <w:tcW w:w="1276" w:type="dxa"/>
          </w:tcPr>
          <w:p>
            <w:pPr>
              <w:pStyle w:val="yTableNAm"/>
            </w:pPr>
            <w:r>
              <w:t>$25.40</w:t>
            </w:r>
          </w:p>
        </w:tc>
      </w:tr>
      <w:tr>
        <w:trPr>
          <w:cantSplit/>
        </w:trPr>
        <w:tc>
          <w:tcPr>
            <w:tcW w:w="567" w:type="dxa"/>
          </w:tcPr>
          <w:p>
            <w:pPr>
              <w:pStyle w:val="yTableNAm"/>
            </w:pPr>
            <w:r>
              <w:t>12.</w:t>
            </w:r>
          </w:p>
        </w:tc>
        <w:tc>
          <w:tcPr>
            <w:tcW w:w="5245" w:type="dxa"/>
          </w:tcPr>
          <w:p>
            <w:pPr>
              <w:pStyle w:val="yTableNAm"/>
              <w:tabs>
                <w:tab w:val="right" w:leader="dot" w:pos="5160"/>
              </w:tabs>
            </w:pPr>
            <w:r>
              <w:t xml:space="preserve">Meter damage fee </w:t>
            </w:r>
            <w:r>
              <w:tab/>
            </w:r>
          </w:p>
        </w:tc>
        <w:tc>
          <w:tcPr>
            <w:tcW w:w="1276" w:type="dxa"/>
          </w:tcPr>
          <w:p>
            <w:pPr>
              <w:pStyle w:val="yTableNAm"/>
            </w:pPr>
            <w:r>
              <w:t>$984.00</w:t>
            </w:r>
          </w:p>
        </w:tc>
      </w:tr>
      <w:tr>
        <w:trPr>
          <w:cantSplit/>
        </w:trPr>
        <w:tc>
          <w:tcPr>
            <w:tcW w:w="567" w:type="dxa"/>
            <w:tcBorders>
              <w:bottom w:val="single" w:sz="4" w:space="0" w:color="auto"/>
            </w:tcBorders>
          </w:tcPr>
          <w:p>
            <w:pPr>
              <w:pStyle w:val="yTableNAm"/>
            </w:pPr>
            <w:r>
              <w:t>13.</w:t>
            </w:r>
          </w:p>
        </w:tc>
        <w:tc>
          <w:tcPr>
            <w:tcW w:w="5245" w:type="dxa"/>
            <w:tcBorders>
              <w:bottom w:val="single" w:sz="4" w:space="0" w:color="auto"/>
            </w:tcBorders>
          </w:tcPr>
          <w:p>
            <w:pPr>
              <w:pStyle w:val="yTableNAm"/>
              <w:tabs>
                <w:tab w:val="right" w:leader="dot" w:pos="5160"/>
              </w:tabs>
            </w:pPr>
            <w:r>
              <w:t xml:space="preserve">Remote connection or disconnection </w:t>
            </w:r>
            <w:r>
              <w:tab/>
            </w:r>
          </w:p>
        </w:tc>
        <w:tc>
          <w:tcPr>
            <w:tcW w:w="1276" w:type="dxa"/>
            <w:tcBorders>
              <w:bottom w:val="single" w:sz="4" w:space="0" w:color="auto"/>
            </w:tcBorders>
          </w:tcPr>
          <w:p>
            <w:pPr>
              <w:pStyle w:val="yTableNAm"/>
            </w:pPr>
            <w:r>
              <w:t>$6.10</w:t>
            </w:r>
          </w:p>
        </w:tc>
      </w:tr>
    </w:tbl>
    <w:p>
      <w:pPr>
        <w:pStyle w:val="yFootnotesection"/>
      </w:pPr>
      <w:r>
        <w:tab/>
        <w:t>[Schedule 4 inserted in Gazette 30 Jun 2017 p. 3563</w:t>
      </w:r>
      <w:r>
        <w:noBreakHyphen/>
        <w:t>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2"/>
          <w:headerReference w:type="default" r:id="rId33"/>
          <w:endnotePr>
            <w:numFmt w:val="decimal"/>
          </w:endnotePr>
          <w:pgSz w:w="11907" w:h="16840" w:code="9"/>
          <w:pgMar w:top="2376" w:right="2405" w:bottom="3542" w:left="2405" w:header="706" w:footer="3380" w:gutter="0"/>
          <w:cols w:space="720"/>
          <w:noEndnote/>
          <w:docGrid w:linePitch="326"/>
        </w:sectPr>
      </w:pPr>
    </w:p>
    <w:p>
      <w:pPr>
        <w:pStyle w:val="nHeading2"/>
      </w:pPr>
      <w:bookmarkStart w:id="47" w:name="_Toc501633167"/>
      <w:bookmarkStart w:id="48" w:name="_Toc501633220"/>
      <w:bookmarkStart w:id="49" w:name="_Toc502736820"/>
      <w:r>
        <w:t>Notes</w:t>
      </w:r>
      <w:bookmarkEnd w:id="47"/>
      <w:bookmarkEnd w:id="48"/>
      <w:bookmarkEnd w:id="49"/>
    </w:p>
    <w:p>
      <w:pPr>
        <w:pStyle w:val="nSubsection"/>
        <w:rPr>
          <w:snapToGrid w:val="0"/>
        </w:rPr>
      </w:pPr>
      <w:r>
        <w:rPr>
          <w:snapToGrid w:val="0"/>
          <w:vertAlign w:val="superscript"/>
        </w:rPr>
        <w:t>1</w:t>
      </w:r>
      <w:r>
        <w:rPr>
          <w:snapToGrid w:val="0"/>
        </w:rPr>
        <w:tab/>
        <w:t xml:space="preserve">This is a compilation of the </w:t>
      </w:r>
      <w:r>
        <w:rPr>
          <w:i/>
          <w:noProof/>
          <w:snapToGrid w:val="0"/>
        </w:rPr>
        <w:t>Energy Operators (Regional Power Corporation) (Charges) By-laws 2006</w:t>
      </w:r>
      <w:r>
        <w:rPr>
          <w:snapToGrid w:val="0"/>
        </w:rPr>
        <w:t xml:space="preserve"> and includes the amendments made by the other written laws referred to in the following table.  The table also contains information about any reprint.</w:t>
      </w:r>
    </w:p>
    <w:p>
      <w:pPr>
        <w:pStyle w:val="nHeading3"/>
      </w:pPr>
      <w:bookmarkStart w:id="50" w:name="_Toc502736821"/>
      <w:r>
        <w:t>Compilation table</w:t>
      </w:r>
      <w:bookmarkEnd w:id="50"/>
    </w:p>
    <w:tbl>
      <w:tblPr>
        <w:tblW w:w="0" w:type="auto"/>
        <w:tblInd w:w="56" w:type="dxa"/>
        <w:tblLayout w:type="fixed"/>
        <w:tblCellMar>
          <w:left w:w="56" w:type="dxa"/>
          <w:right w:w="56" w:type="dxa"/>
        </w:tblCellMar>
        <w:tblLook w:val="0000" w:firstRow="0" w:lastRow="0" w:firstColumn="0" w:lastColumn="0" w:noHBand="0" w:noVBand="0"/>
      </w:tblPr>
      <w:tblGrid>
        <w:gridCol w:w="3119"/>
        <w:gridCol w:w="1276"/>
        <w:gridCol w:w="2694"/>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Pr>
          <w:p>
            <w:pPr>
              <w:pStyle w:val="nTable"/>
              <w:spacing w:after="40"/>
              <w:rPr>
                <w:i/>
              </w:rPr>
            </w:pPr>
            <w:r>
              <w:rPr>
                <w:i/>
                <w:noProof/>
                <w:snapToGrid w:val="0"/>
              </w:rPr>
              <w:t>Energy Operators (Regional Power Corporation) (Charges) By</w:t>
            </w:r>
            <w:r>
              <w:rPr>
                <w:i/>
                <w:noProof/>
                <w:snapToGrid w:val="0"/>
              </w:rPr>
              <w:noBreakHyphen/>
              <w:t>laws 2006</w:t>
            </w:r>
          </w:p>
        </w:tc>
        <w:tc>
          <w:tcPr>
            <w:tcW w:w="1276" w:type="dxa"/>
          </w:tcPr>
          <w:p>
            <w:pPr>
              <w:pStyle w:val="nTable"/>
              <w:spacing w:after="40"/>
            </w:pPr>
            <w:r>
              <w:t>31 Mar 2006 p. 1279</w:t>
            </w:r>
            <w:r>
              <w:noBreakHyphen/>
              <w:t>97</w:t>
            </w:r>
          </w:p>
        </w:tc>
        <w:tc>
          <w:tcPr>
            <w:tcW w:w="2694" w:type="dxa"/>
          </w:tcPr>
          <w:p>
            <w:pPr>
              <w:pStyle w:val="nTable"/>
              <w:spacing w:after="40"/>
            </w:pPr>
            <w:r>
              <w:t>1 Apr 2006 (see bl. 2)</w:t>
            </w:r>
          </w:p>
        </w:tc>
      </w:tr>
      <w:tr>
        <w:tc>
          <w:tcPr>
            <w:tcW w:w="3119" w:type="dxa"/>
          </w:tcPr>
          <w:p>
            <w:pPr>
              <w:pStyle w:val="nTable"/>
              <w:spacing w:after="40"/>
              <w:rPr>
                <w:i/>
                <w:noProof/>
                <w:snapToGrid w:val="0"/>
              </w:rPr>
            </w:pPr>
            <w:r>
              <w:rPr>
                <w:i/>
                <w:noProof/>
                <w:snapToGrid w:val="0"/>
              </w:rPr>
              <w:t>Energy Operators (Regional Power Corporation) (Charges) Amendment By</w:t>
            </w:r>
            <w:r>
              <w:rPr>
                <w:i/>
                <w:noProof/>
                <w:snapToGrid w:val="0"/>
              </w:rPr>
              <w:noBreakHyphen/>
              <w:t>laws 2007</w:t>
            </w:r>
          </w:p>
        </w:tc>
        <w:tc>
          <w:tcPr>
            <w:tcW w:w="1276" w:type="dxa"/>
          </w:tcPr>
          <w:p>
            <w:pPr>
              <w:pStyle w:val="nTable"/>
              <w:spacing w:after="40"/>
            </w:pPr>
            <w:r>
              <w:t>29 Jun 2007 p. 3192</w:t>
            </w:r>
            <w:r>
              <w:noBreakHyphen/>
              <w:t>3</w:t>
            </w:r>
          </w:p>
        </w:tc>
        <w:tc>
          <w:tcPr>
            <w:tcW w:w="2694" w:type="dxa"/>
          </w:tcPr>
          <w:p>
            <w:pPr>
              <w:pStyle w:val="nTable"/>
              <w:spacing w:after="40"/>
            </w:pPr>
            <w:r>
              <w:t>bl. 1 and 2: 29 Jun 2007 (see bl. 2(a));</w:t>
            </w:r>
            <w:r>
              <w:br/>
              <w:t>By</w:t>
            </w:r>
            <w:r>
              <w:noBreakHyphen/>
              <w:t>laws other than bl. 1 and 2: 1 Jul 2007 (see bl. 2(b))</w:t>
            </w:r>
          </w:p>
        </w:tc>
      </w:tr>
      <w:tr>
        <w:tc>
          <w:tcPr>
            <w:tcW w:w="3119" w:type="dxa"/>
          </w:tcPr>
          <w:p>
            <w:pPr>
              <w:pStyle w:val="nTable"/>
              <w:spacing w:after="40"/>
              <w:rPr>
                <w:iCs/>
              </w:rPr>
            </w:pPr>
            <w:r>
              <w:rPr>
                <w:i/>
                <w:noProof/>
                <w:snapToGrid w:val="0"/>
              </w:rPr>
              <w:t>Energy Operators (Regional Power Corporation) (Charges) Amendment By</w:t>
            </w:r>
            <w:r>
              <w:rPr>
                <w:i/>
                <w:noProof/>
                <w:snapToGrid w:val="0"/>
              </w:rPr>
              <w:noBreakHyphen/>
              <w:t>laws 2009</w:t>
            </w:r>
            <w:r>
              <w:rPr>
                <w:iCs/>
                <w:noProof/>
                <w:snapToGrid w:val="0"/>
              </w:rPr>
              <w:t xml:space="preserve"> </w:t>
            </w:r>
          </w:p>
        </w:tc>
        <w:tc>
          <w:tcPr>
            <w:tcW w:w="1276" w:type="dxa"/>
          </w:tcPr>
          <w:p>
            <w:pPr>
              <w:pStyle w:val="nTable"/>
              <w:spacing w:after="40"/>
            </w:pPr>
            <w:r>
              <w:t>30 </w:t>
            </w:r>
            <w:r>
              <w:rPr>
                <w:noProof/>
                <w:snapToGrid w:val="0"/>
              </w:rPr>
              <w:t>Mar</w:t>
            </w:r>
            <w:r>
              <w:t> 2009 p. 997</w:t>
            </w:r>
            <w:r>
              <w:noBreakHyphen/>
              <w:t>1017</w:t>
            </w:r>
          </w:p>
        </w:tc>
        <w:tc>
          <w:tcPr>
            <w:tcW w:w="2694" w:type="dxa"/>
          </w:tcPr>
          <w:p>
            <w:pPr>
              <w:pStyle w:val="nTable"/>
              <w:spacing w:after="40"/>
            </w:pPr>
            <w:r>
              <w:rPr>
                <w:iCs/>
                <w:noProof/>
                <w:snapToGrid w:val="0"/>
              </w:rPr>
              <w:t>bl. </w:t>
            </w:r>
            <w:r>
              <w:t>1 and 2: 30 Mar 2009 (see bl. 2(a));</w:t>
            </w:r>
            <w:r>
              <w:br/>
              <w:t>bl. 3 and Pt. 2: 1 Apr 2009 (see bl. 2(b));</w:t>
            </w:r>
            <w:r>
              <w:br/>
              <w:t>Pt. 3: 1 Jul 2009 (see bl. 2(c))</w:t>
            </w:r>
          </w:p>
        </w:tc>
      </w:tr>
      <w:tr>
        <w:trPr>
          <w:cantSplit/>
        </w:trPr>
        <w:tc>
          <w:tcPr>
            <w:tcW w:w="7089" w:type="dxa"/>
            <w:gridSpan w:val="3"/>
          </w:tcPr>
          <w:p>
            <w:pPr>
              <w:pStyle w:val="nTable"/>
              <w:spacing w:after="40"/>
              <w:rPr>
                <w:iCs/>
                <w:noProof/>
                <w:snapToGrid w:val="0"/>
              </w:rPr>
            </w:pPr>
            <w:r>
              <w:rPr>
                <w:b/>
                <w:bCs/>
                <w:iCs/>
                <w:noProof/>
                <w:snapToGrid w:val="0"/>
              </w:rPr>
              <w:t xml:space="preserve">Reprint 1: The </w:t>
            </w:r>
            <w:r>
              <w:rPr>
                <w:b/>
                <w:bCs/>
                <w:i/>
                <w:noProof/>
                <w:snapToGrid w:val="0"/>
              </w:rPr>
              <w:t>Energy Operators (Regional Power Corporation) (Charges) By</w:t>
            </w:r>
            <w:r>
              <w:rPr>
                <w:b/>
                <w:bCs/>
                <w:i/>
                <w:noProof/>
                <w:snapToGrid w:val="0"/>
              </w:rPr>
              <w:noBreakHyphen/>
              <w:t xml:space="preserve">laws 2006 </w:t>
            </w:r>
            <w:r>
              <w:rPr>
                <w:b/>
                <w:bCs/>
                <w:iCs/>
                <w:noProof/>
                <w:snapToGrid w:val="0"/>
              </w:rPr>
              <w:t>as at 16 Oct 2009</w:t>
            </w:r>
            <w:r>
              <w:rPr>
                <w:iCs/>
                <w:noProof/>
                <w:snapToGrid w:val="0"/>
              </w:rPr>
              <w:t xml:space="preserve"> (includes amendments listed above)</w:t>
            </w:r>
          </w:p>
        </w:tc>
      </w:tr>
      <w:tr>
        <w:tc>
          <w:tcPr>
            <w:tcW w:w="3119" w:type="dxa"/>
          </w:tcPr>
          <w:p>
            <w:pPr>
              <w:pStyle w:val="nTable"/>
              <w:spacing w:after="40"/>
              <w:rPr>
                <w:iCs/>
              </w:rPr>
            </w:pPr>
            <w:r>
              <w:rPr>
                <w:i/>
                <w:noProof/>
                <w:snapToGrid w:val="0"/>
              </w:rPr>
              <w:t>Energy Operators (Regional Power Corporation) (Charges) Amendment By</w:t>
            </w:r>
            <w:r>
              <w:rPr>
                <w:i/>
                <w:noProof/>
                <w:snapToGrid w:val="0"/>
              </w:rPr>
              <w:noBreakHyphen/>
              <w:t>laws 2010</w:t>
            </w:r>
            <w:r>
              <w:rPr>
                <w:iCs/>
                <w:noProof/>
                <w:snapToGrid w:val="0"/>
              </w:rPr>
              <w:t xml:space="preserve"> </w:t>
            </w:r>
          </w:p>
        </w:tc>
        <w:tc>
          <w:tcPr>
            <w:tcW w:w="1276" w:type="dxa"/>
          </w:tcPr>
          <w:p>
            <w:pPr>
              <w:pStyle w:val="nTable"/>
              <w:spacing w:after="40"/>
            </w:pPr>
            <w:r>
              <w:t>26 Mar 2010 p. 1171-89</w:t>
            </w:r>
          </w:p>
        </w:tc>
        <w:tc>
          <w:tcPr>
            <w:tcW w:w="2694" w:type="dxa"/>
          </w:tcPr>
          <w:p>
            <w:pPr>
              <w:pStyle w:val="nTable"/>
              <w:spacing w:after="40"/>
            </w:pPr>
            <w:r>
              <w:t>Pt. 1: 26 Mar 2010 (see bl. 2(a));</w:t>
            </w:r>
            <w:r>
              <w:br/>
              <w:t>Pt. 2: 1 Apr 2010 (see bl. 2(b));</w:t>
            </w:r>
            <w:r>
              <w:br/>
              <w:t>Pt. 3: 1 Jul 2010 (see bl. 2(c))</w:t>
            </w:r>
          </w:p>
        </w:tc>
      </w:tr>
      <w:tr>
        <w:tc>
          <w:tcPr>
            <w:tcW w:w="3119" w:type="dxa"/>
          </w:tcPr>
          <w:p>
            <w:pPr>
              <w:pStyle w:val="nTable"/>
              <w:spacing w:after="40"/>
              <w:rPr>
                <w:i/>
                <w:noProof/>
                <w:snapToGrid w:val="0"/>
              </w:rPr>
            </w:pPr>
            <w:r>
              <w:rPr>
                <w:i/>
                <w:noProof/>
                <w:snapToGrid w:val="0"/>
              </w:rPr>
              <w:t>Energy Operators (Regional Power Corporation) (Charges) Amendment By</w:t>
            </w:r>
            <w:r>
              <w:rPr>
                <w:i/>
                <w:noProof/>
                <w:snapToGrid w:val="0"/>
              </w:rPr>
              <w:noBreakHyphen/>
              <w:t>laws 2011</w:t>
            </w:r>
          </w:p>
        </w:tc>
        <w:tc>
          <w:tcPr>
            <w:tcW w:w="1276" w:type="dxa"/>
          </w:tcPr>
          <w:p>
            <w:pPr>
              <w:pStyle w:val="nTable"/>
              <w:spacing w:after="40"/>
            </w:pPr>
            <w:r>
              <w:t>24 Jun 2011 p. 2495</w:t>
            </w:r>
            <w:r>
              <w:noBreakHyphen/>
              <w:t>8</w:t>
            </w:r>
          </w:p>
        </w:tc>
        <w:tc>
          <w:tcPr>
            <w:tcW w:w="2694" w:type="dxa"/>
          </w:tcPr>
          <w:p>
            <w:pPr>
              <w:pStyle w:val="nTable"/>
              <w:spacing w:after="40"/>
            </w:pPr>
            <w:r>
              <w:t>bl. 1 and 2: 24 Jun 2011 (see bl. 2(a));</w:t>
            </w:r>
            <w:r>
              <w:br/>
              <w:t>By</w:t>
            </w:r>
            <w:r>
              <w:noBreakHyphen/>
              <w:t>laws other than bl. 1 and 2: 1 Jul 2011 (see bl. 2(b))</w:t>
            </w:r>
          </w:p>
        </w:tc>
      </w:tr>
      <w:tr>
        <w:tc>
          <w:tcPr>
            <w:tcW w:w="3119" w:type="dxa"/>
          </w:tcPr>
          <w:p>
            <w:pPr>
              <w:pStyle w:val="nTable"/>
              <w:spacing w:after="40"/>
              <w:rPr>
                <w:i/>
                <w:noProof/>
                <w:snapToGrid w:val="0"/>
              </w:rPr>
            </w:pPr>
            <w:r>
              <w:rPr>
                <w:i/>
                <w:noProof/>
                <w:snapToGrid w:val="0"/>
              </w:rPr>
              <w:t>Energy Operators (Regional Power Corporation) (Charges) Amendment By laws 2012</w:t>
            </w:r>
          </w:p>
        </w:tc>
        <w:tc>
          <w:tcPr>
            <w:tcW w:w="1276" w:type="dxa"/>
          </w:tcPr>
          <w:p>
            <w:pPr>
              <w:pStyle w:val="nTable"/>
              <w:spacing w:after="40"/>
            </w:pPr>
            <w:r>
              <w:t>29 Jun 2012 p. 2899-911</w:t>
            </w:r>
          </w:p>
        </w:tc>
        <w:tc>
          <w:tcPr>
            <w:tcW w:w="2694" w:type="dxa"/>
          </w:tcPr>
          <w:p>
            <w:pPr>
              <w:pStyle w:val="nTable"/>
              <w:spacing w:after="40"/>
            </w:pPr>
            <w:r>
              <w:t>bl. 1 and 2: 29 Jun 2012 (see bl. 2(a));</w:t>
            </w:r>
            <w:r>
              <w:br/>
              <w:t>By</w:t>
            </w:r>
            <w:r>
              <w:noBreakHyphen/>
              <w:t>laws other than bl. 1 and 2: 1 Jul 2012 (see bl. 2(b))</w:t>
            </w:r>
          </w:p>
        </w:tc>
      </w:tr>
      <w:tr>
        <w:tc>
          <w:tcPr>
            <w:tcW w:w="3119" w:type="dxa"/>
          </w:tcPr>
          <w:p>
            <w:pPr>
              <w:pStyle w:val="nTable"/>
              <w:spacing w:after="40"/>
              <w:rPr>
                <w:i/>
                <w:noProof/>
                <w:snapToGrid w:val="0"/>
              </w:rPr>
            </w:pPr>
            <w:r>
              <w:rPr>
                <w:i/>
                <w:noProof/>
                <w:snapToGrid w:val="0"/>
              </w:rPr>
              <w:t>Energy Operators (Regional Power Corporation) (Charges) Amendment By laws (No. 2) 2012</w:t>
            </w:r>
          </w:p>
        </w:tc>
        <w:tc>
          <w:tcPr>
            <w:tcW w:w="1276" w:type="dxa"/>
          </w:tcPr>
          <w:p>
            <w:pPr>
              <w:pStyle w:val="nTable"/>
              <w:spacing w:after="40"/>
            </w:pPr>
            <w:r>
              <w:t>21 Sep 2012 p. 4423</w:t>
            </w:r>
          </w:p>
        </w:tc>
        <w:tc>
          <w:tcPr>
            <w:tcW w:w="2694" w:type="dxa"/>
          </w:tcPr>
          <w:p>
            <w:pPr>
              <w:pStyle w:val="nTable"/>
              <w:spacing w:after="40"/>
            </w:pPr>
            <w:r>
              <w:t>bl. 1 and 2: 21 Sep 2012 (see bl. 2(a));</w:t>
            </w:r>
            <w:r>
              <w:br/>
              <w:t>By</w:t>
            </w:r>
            <w:r>
              <w:noBreakHyphen/>
              <w:t>laws other than bl. 1 and 2: 1 Oct 2012 (see bl. 2(b))</w:t>
            </w:r>
          </w:p>
        </w:tc>
      </w:tr>
      <w:tr>
        <w:tc>
          <w:tcPr>
            <w:tcW w:w="3119" w:type="dxa"/>
          </w:tcPr>
          <w:p>
            <w:pPr>
              <w:pStyle w:val="nTable"/>
              <w:spacing w:after="40"/>
              <w:rPr>
                <w:i/>
                <w:noProof/>
                <w:snapToGrid w:val="0"/>
              </w:rPr>
            </w:pPr>
            <w:r>
              <w:rPr>
                <w:i/>
                <w:noProof/>
                <w:snapToGrid w:val="0"/>
              </w:rPr>
              <w:t>Energy Operators (Regional Power Corporation) (Charges) Amendment By-laws 2013</w:t>
            </w:r>
          </w:p>
        </w:tc>
        <w:tc>
          <w:tcPr>
            <w:tcW w:w="1276" w:type="dxa"/>
          </w:tcPr>
          <w:p>
            <w:pPr>
              <w:pStyle w:val="nTable"/>
              <w:spacing w:after="40"/>
            </w:pPr>
            <w:r>
              <w:t>14 Jun 2013 p. 2223-7</w:t>
            </w:r>
          </w:p>
        </w:tc>
        <w:tc>
          <w:tcPr>
            <w:tcW w:w="2694" w:type="dxa"/>
          </w:tcPr>
          <w:p>
            <w:pPr>
              <w:pStyle w:val="nTable"/>
              <w:spacing w:after="40"/>
            </w:pPr>
            <w:r>
              <w:t>bl. 1 and 2: 14 Jun 2013 (see bl. 2(a));</w:t>
            </w:r>
            <w:r>
              <w:br/>
              <w:t>By</w:t>
            </w:r>
            <w:r>
              <w:noBreakHyphen/>
              <w:t>laws other than bl. 1 and 2: 1 Jul 2013 (see bl. 2(b))</w:t>
            </w:r>
          </w:p>
        </w:tc>
      </w:tr>
      <w:tr>
        <w:tc>
          <w:tcPr>
            <w:tcW w:w="3119" w:type="dxa"/>
            <w:shd w:val="clear" w:color="auto" w:fill="auto"/>
          </w:tcPr>
          <w:p>
            <w:pPr>
              <w:pStyle w:val="nTable"/>
              <w:keepNext/>
              <w:keepLines/>
              <w:spacing w:after="40"/>
              <w:rPr>
                <w:i/>
                <w:noProof/>
                <w:snapToGrid w:val="0"/>
              </w:rPr>
            </w:pPr>
            <w:r>
              <w:rPr>
                <w:i/>
                <w:noProof/>
                <w:snapToGrid w:val="0"/>
              </w:rPr>
              <w:t>Energy Operators (Regional Power Corporation) (Charges) Amendment By</w:t>
            </w:r>
            <w:r>
              <w:rPr>
                <w:i/>
                <w:noProof/>
                <w:snapToGrid w:val="0"/>
              </w:rPr>
              <w:noBreakHyphen/>
              <w:t>laws (No. 2) 2013</w:t>
            </w:r>
          </w:p>
        </w:tc>
        <w:tc>
          <w:tcPr>
            <w:tcW w:w="1276" w:type="dxa"/>
            <w:shd w:val="clear" w:color="auto" w:fill="auto"/>
          </w:tcPr>
          <w:p>
            <w:pPr>
              <w:pStyle w:val="nTable"/>
              <w:keepNext/>
              <w:keepLines/>
              <w:spacing w:after="40"/>
            </w:pPr>
            <w:r>
              <w:t>30 Aug 2013 p. 4093-6</w:t>
            </w:r>
          </w:p>
        </w:tc>
        <w:tc>
          <w:tcPr>
            <w:tcW w:w="2694" w:type="dxa"/>
            <w:shd w:val="clear" w:color="auto" w:fill="auto"/>
          </w:tcPr>
          <w:p>
            <w:pPr>
              <w:pStyle w:val="nTable"/>
              <w:keepNext/>
              <w:keepLines/>
              <w:spacing w:after="40"/>
            </w:pPr>
            <w:r>
              <w:t>bl. 1 and 2: 30 Aug 2013 (see bl. 2(a));</w:t>
            </w:r>
            <w:r>
              <w:br/>
              <w:t>By</w:t>
            </w:r>
            <w:r>
              <w:noBreakHyphen/>
              <w:t>laws other than bl. 1 and 2: 1 Sep 2013 (see bl. 2(b))</w:t>
            </w:r>
          </w:p>
        </w:tc>
      </w:tr>
      <w:tr>
        <w:tc>
          <w:tcPr>
            <w:tcW w:w="3119" w:type="dxa"/>
            <w:shd w:val="clear" w:color="auto" w:fill="auto"/>
          </w:tcPr>
          <w:p>
            <w:pPr>
              <w:pStyle w:val="nTable"/>
              <w:keepNext/>
              <w:keepLines/>
              <w:spacing w:after="40"/>
              <w:rPr>
                <w:i/>
                <w:noProof/>
                <w:snapToGrid w:val="0"/>
              </w:rPr>
            </w:pPr>
            <w:r>
              <w:rPr>
                <w:i/>
                <w:noProof/>
                <w:snapToGrid w:val="0"/>
              </w:rPr>
              <w:t>Energy Operators (Regional Power Corporation) (Charges) Amendment By</w:t>
            </w:r>
            <w:r>
              <w:rPr>
                <w:i/>
                <w:noProof/>
                <w:snapToGrid w:val="0"/>
              </w:rPr>
              <w:noBreakHyphen/>
              <w:t>laws 2014</w:t>
            </w:r>
          </w:p>
        </w:tc>
        <w:tc>
          <w:tcPr>
            <w:tcW w:w="1276" w:type="dxa"/>
            <w:shd w:val="clear" w:color="auto" w:fill="auto"/>
          </w:tcPr>
          <w:p>
            <w:pPr>
              <w:pStyle w:val="nTable"/>
              <w:keepNext/>
              <w:keepLines/>
              <w:spacing w:after="40"/>
            </w:pPr>
            <w:r>
              <w:t>27 Jun 2014 p. 2319-26</w:t>
            </w:r>
          </w:p>
        </w:tc>
        <w:tc>
          <w:tcPr>
            <w:tcW w:w="2694" w:type="dxa"/>
            <w:shd w:val="clear" w:color="auto" w:fill="auto"/>
          </w:tcPr>
          <w:p>
            <w:pPr>
              <w:pStyle w:val="nTable"/>
              <w:keepNext/>
              <w:keepLines/>
              <w:spacing w:after="40"/>
            </w:pPr>
            <w:r>
              <w:t>bl. 1 and 2: 27 Jun 2014 (see bl. 2(a));</w:t>
            </w:r>
            <w:r>
              <w:br/>
              <w:t>By</w:t>
            </w:r>
            <w:r>
              <w:noBreakHyphen/>
              <w:t>laws other than bl. 1 and 2: 1 Jul 2014 (see bl. 2(b))</w:t>
            </w:r>
          </w:p>
        </w:tc>
      </w:tr>
      <w:tr>
        <w:tc>
          <w:tcPr>
            <w:tcW w:w="3119" w:type="dxa"/>
            <w:shd w:val="clear" w:color="auto" w:fill="auto"/>
          </w:tcPr>
          <w:p>
            <w:pPr>
              <w:pStyle w:val="nTable"/>
              <w:keepNext/>
              <w:keepLines/>
              <w:spacing w:after="40"/>
              <w:rPr>
                <w:i/>
                <w:noProof/>
                <w:snapToGrid w:val="0"/>
              </w:rPr>
            </w:pPr>
            <w:r>
              <w:rPr>
                <w:i/>
                <w:noProof/>
                <w:snapToGrid w:val="0"/>
              </w:rPr>
              <w:t>Energy Operators (Regional Power Corporation) (Charges) Amendment By</w:t>
            </w:r>
            <w:r>
              <w:rPr>
                <w:i/>
                <w:noProof/>
                <w:snapToGrid w:val="0"/>
              </w:rPr>
              <w:noBreakHyphen/>
              <w:t>laws (No. 2) 2014</w:t>
            </w:r>
          </w:p>
        </w:tc>
        <w:tc>
          <w:tcPr>
            <w:tcW w:w="1276" w:type="dxa"/>
            <w:shd w:val="clear" w:color="auto" w:fill="auto"/>
          </w:tcPr>
          <w:p>
            <w:pPr>
              <w:pStyle w:val="nTable"/>
              <w:keepNext/>
              <w:keepLines/>
              <w:spacing w:after="40"/>
            </w:pPr>
            <w:r>
              <w:t>22 Aug 2014 p. 3017</w:t>
            </w:r>
            <w:r>
              <w:noBreakHyphen/>
              <w:t>23</w:t>
            </w:r>
          </w:p>
        </w:tc>
        <w:tc>
          <w:tcPr>
            <w:tcW w:w="2694" w:type="dxa"/>
            <w:shd w:val="clear" w:color="auto" w:fill="auto"/>
          </w:tcPr>
          <w:p>
            <w:pPr>
              <w:pStyle w:val="nTable"/>
              <w:keepNext/>
              <w:keepLines/>
              <w:spacing w:after="40"/>
            </w:pPr>
            <w:r>
              <w:t>bl. 1 and 2: 22 Aug 2014 (see bl. 2(a));</w:t>
            </w:r>
            <w:r>
              <w:br/>
              <w:t>By</w:t>
            </w:r>
            <w:r>
              <w:noBreakHyphen/>
              <w:t>laws other than bl. 1 and 2: 1 Sep 2014 (see bl. 2(b))</w:t>
            </w:r>
          </w:p>
        </w:tc>
      </w:tr>
      <w:tr>
        <w:tc>
          <w:tcPr>
            <w:tcW w:w="7089" w:type="dxa"/>
            <w:gridSpan w:val="3"/>
            <w:shd w:val="clear" w:color="auto" w:fill="auto"/>
          </w:tcPr>
          <w:p>
            <w:pPr>
              <w:pStyle w:val="nTable"/>
              <w:keepNext/>
              <w:keepLines/>
              <w:spacing w:after="40"/>
            </w:pPr>
            <w:r>
              <w:rPr>
                <w:b/>
                <w:bCs/>
                <w:iCs/>
                <w:noProof/>
                <w:snapToGrid w:val="0"/>
              </w:rPr>
              <w:t xml:space="preserve">Reprint 2: The </w:t>
            </w:r>
            <w:r>
              <w:rPr>
                <w:b/>
                <w:bCs/>
                <w:i/>
                <w:noProof/>
                <w:snapToGrid w:val="0"/>
              </w:rPr>
              <w:t>Energy Operators (Regional Power Corporation) (Charges) By</w:t>
            </w:r>
            <w:r>
              <w:rPr>
                <w:b/>
                <w:bCs/>
                <w:i/>
                <w:noProof/>
                <w:snapToGrid w:val="0"/>
              </w:rPr>
              <w:noBreakHyphen/>
              <w:t xml:space="preserve">laws 2006 </w:t>
            </w:r>
            <w:r>
              <w:rPr>
                <w:b/>
                <w:bCs/>
                <w:iCs/>
                <w:noProof/>
                <w:snapToGrid w:val="0"/>
              </w:rPr>
              <w:t>as at 3 Oct 2014</w:t>
            </w:r>
            <w:r>
              <w:rPr>
                <w:iCs/>
                <w:noProof/>
                <w:snapToGrid w:val="0"/>
              </w:rPr>
              <w:t xml:space="preserve"> (includes amendments listed above)</w:t>
            </w:r>
          </w:p>
        </w:tc>
      </w:tr>
      <w:tr>
        <w:tc>
          <w:tcPr>
            <w:tcW w:w="3119" w:type="dxa"/>
            <w:shd w:val="clear" w:color="auto" w:fill="auto"/>
          </w:tcPr>
          <w:p>
            <w:pPr>
              <w:pStyle w:val="nTable"/>
              <w:keepNext/>
              <w:keepLines/>
              <w:spacing w:after="40"/>
              <w:rPr>
                <w:b/>
                <w:bCs/>
                <w:iCs/>
                <w:noProof/>
                <w:snapToGrid w:val="0"/>
              </w:rPr>
            </w:pPr>
            <w:r>
              <w:rPr>
                <w:i/>
                <w:noProof/>
                <w:snapToGrid w:val="0"/>
              </w:rPr>
              <w:t>Energy Operators (Regional Power Corporation) (Charges) Amendment By</w:t>
            </w:r>
            <w:r>
              <w:rPr>
                <w:i/>
                <w:noProof/>
                <w:snapToGrid w:val="0"/>
              </w:rPr>
              <w:noBreakHyphen/>
              <w:t>laws 2015</w:t>
            </w:r>
          </w:p>
        </w:tc>
        <w:tc>
          <w:tcPr>
            <w:tcW w:w="1276" w:type="dxa"/>
            <w:shd w:val="clear" w:color="auto" w:fill="auto"/>
          </w:tcPr>
          <w:p>
            <w:pPr>
              <w:pStyle w:val="nTable"/>
              <w:keepNext/>
              <w:keepLines/>
              <w:spacing w:after="40"/>
              <w:rPr>
                <w:b/>
                <w:bCs/>
                <w:iCs/>
                <w:noProof/>
                <w:snapToGrid w:val="0"/>
              </w:rPr>
            </w:pPr>
            <w:r>
              <w:t>26 Jun 2015 p. 2247</w:t>
            </w:r>
            <w:r>
              <w:noBreakHyphen/>
              <w:t>52</w:t>
            </w:r>
          </w:p>
        </w:tc>
        <w:tc>
          <w:tcPr>
            <w:tcW w:w="2694" w:type="dxa"/>
            <w:shd w:val="clear" w:color="auto" w:fill="auto"/>
          </w:tcPr>
          <w:p>
            <w:pPr>
              <w:pStyle w:val="nTable"/>
              <w:keepNext/>
              <w:keepLines/>
              <w:spacing w:after="40"/>
              <w:rPr>
                <w:b/>
                <w:bCs/>
                <w:iCs/>
                <w:noProof/>
                <w:snapToGrid w:val="0"/>
              </w:rPr>
            </w:pPr>
            <w:r>
              <w:t>bl. 1 and 2: 26 Jun 2015 (see bl. 2(a));</w:t>
            </w:r>
            <w:r>
              <w:br/>
              <w:t>By</w:t>
            </w:r>
            <w:r>
              <w:noBreakHyphen/>
              <w:t>laws other than bl. 1 and 2: 1 Jul 2015 (see bl. 2(b))</w:t>
            </w:r>
          </w:p>
        </w:tc>
      </w:tr>
      <w:tr>
        <w:tc>
          <w:tcPr>
            <w:tcW w:w="3119" w:type="dxa"/>
            <w:shd w:val="clear" w:color="auto" w:fill="auto"/>
          </w:tcPr>
          <w:p>
            <w:pPr>
              <w:pStyle w:val="nTable"/>
              <w:keepNext/>
              <w:keepLines/>
              <w:spacing w:after="40"/>
              <w:rPr>
                <w:i/>
                <w:noProof/>
                <w:snapToGrid w:val="0"/>
              </w:rPr>
            </w:pPr>
            <w:r>
              <w:rPr>
                <w:i/>
                <w:noProof/>
                <w:snapToGrid w:val="0"/>
              </w:rPr>
              <w:t>Energy Operators (Regional Power Corporation) (Charges) Amendment By</w:t>
            </w:r>
            <w:r>
              <w:rPr>
                <w:i/>
                <w:noProof/>
                <w:snapToGrid w:val="0"/>
              </w:rPr>
              <w:noBreakHyphen/>
              <w:t>laws 2016</w:t>
            </w:r>
          </w:p>
        </w:tc>
        <w:tc>
          <w:tcPr>
            <w:tcW w:w="1276" w:type="dxa"/>
            <w:shd w:val="clear" w:color="auto" w:fill="auto"/>
          </w:tcPr>
          <w:p>
            <w:pPr>
              <w:pStyle w:val="nTable"/>
              <w:keepNext/>
              <w:keepLines/>
              <w:spacing w:after="40"/>
            </w:pPr>
            <w:r>
              <w:t>28 Jun 2016 p. 2626</w:t>
            </w:r>
            <w:r>
              <w:noBreakHyphen/>
              <w:t>8</w:t>
            </w:r>
          </w:p>
        </w:tc>
        <w:tc>
          <w:tcPr>
            <w:tcW w:w="2694" w:type="dxa"/>
            <w:shd w:val="clear" w:color="auto" w:fill="auto"/>
          </w:tcPr>
          <w:p>
            <w:pPr>
              <w:pStyle w:val="nTable"/>
              <w:keepNext/>
              <w:keepLines/>
              <w:spacing w:after="40"/>
            </w:pPr>
            <w:r>
              <w:t>bl. 1 and 2: 28 Jun 2016 (see bl. 2(a));</w:t>
            </w:r>
            <w:r>
              <w:br/>
              <w:t>By</w:t>
            </w:r>
            <w:r>
              <w:noBreakHyphen/>
              <w:t>laws other than bl. 1 and 2: 1 Jul 2016 (see bl. 2(b))</w:t>
            </w:r>
          </w:p>
        </w:tc>
      </w:tr>
      <w:tr>
        <w:tc>
          <w:tcPr>
            <w:tcW w:w="3119" w:type="dxa"/>
            <w:shd w:val="clear" w:color="auto" w:fill="auto"/>
          </w:tcPr>
          <w:p>
            <w:pPr>
              <w:pStyle w:val="nTable"/>
              <w:keepNext/>
              <w:keepLines/>
              <w:spacing w:after="40"/>
              <w:rPr>
                <w:i/>
                <w:noProof/>
                <w:snapToGrid w:val="0"/>
              </w:rPr>
            </w:pPr>
            <w:r>
              <w:rPr>
                <w:i/>
              </w:rPr>
              <w:t>Energy Operators (Regional Power Corporation) (Charges) Amendment By</w:t>
            </w:r>
            <w:r>
              <w:rPr>
                <w:i/>
              </w:rPr>
              <w:noBreakHyphen/>
              <w:t>laws (No. 2) 2016</w:t>
            </w:r>
          </w:p>
        </w:tc>
        <w:tc>
          <w:tcPr>
            <w:tcW w:w="1276" w:type="dxa"/>
            <w:shd w:val="clear" w:color="auto" w:fill="auto"/>
          </w:tcPr>
          <w:p>
            <w:pPr>
              <w:pStyle w:val="nTable"/>
              <w:keepNext/>
              <w:keepLines/>
              <w:spacing w:after="40"/>
            </w:pPr>
            <w:r>
              <w:t>31 Aug 2016 p. 3707</w:t>
            </w:r>
            <w:r>
              <w:noBreakHyphen/>
              <w:t>10</w:t>
            </w:r>
          </w:p>
        </w:tc>
        <w:tc>
          <w:tcPr>
            <w:tcW w:w="2694" w:type="dxa"/>
            <w:shd w:val="clear" w:color="auto" w:fill="auto"/>
          </w:tcPr>
          <w:p>
            <w:pPr>
              <w:pStyle w:val="nTable"/>
              <w:keepNext/>
              <w:keepLines/>
              <w:spacing w:after="40"/>
            </w:pPr>
            <w:r>
              <w:t>bl. 1 and 2: 31 Aug 2016 (see bl. 2(a));</w:t>
            </w:r>
            <w:r>
              <w:br/>
              <w:t>By</w:t>
            </w:r>
            <w:r>
              <w:noBreakHyphen/>
              <w:t>laws other than bl. 1 and 2: 1 Sep 2016 (see bl. 2(b))</w:t>
            </w:r>
          </w:p>
        </w:tc>
      </w:tr>
      <w:tr>
        <w:tc>
          <w:tcPr>
            <w:tcW w:w="3119" w:type="dxa"/>
            <w:shd w:val="clear" w:color="auto" w:fill="auto"/>
          </w:tcPr>
          <w:p>
            <w:pPr>
              <w:pStyle w:val="nTable"/>
              <w:keepNext/>
              <w:keepLines/>
              <w:spacing w:after="40"/>
              <w:rPr>
                <w:i/>
              </w:rPr>
            </w:pPr>
            <w:r>
              <w:rPr>
                <w:i/>
              </w:rPr>
              <w:t>Energy Operators (Regional Power Corporation) (Charges) Amendment By</w:t>
            </w:r>
            <w:r>
              <w:rPr>
                <w:i/>
              </w:rPr>
              <w:noBreakHyphen/>
              <w:t>laws 2017</w:t>
            </w:r>
          </w:p>
        </w:tc>
        <w:tc>
          <w:tcPr>
            <w:tcW w:w="1276" w:type="dxa"/>
            <w:shd w:val="clear" w:color="auto" w:fill="auto"/>
          </w:tcPr>
          <w:p>
            <w:pPr>
              <w:pStyle w:val="nTable"/>
              <w:keepNext/>
              <w:keepLines/>
              <w:spacing w:after="40"/>
            </w:pPr>
            <w:r>
              <w:t>27 Jun 2017 p. 3419</w:t>
            </w:r>
            <w:r>
              <w:noBreakHyphen/>
              <w:t>24</w:t>
            </w:r>
          </w:p>
        </w:tc>
        <w:tc>
          <w:tcPr>
            <w:tcW w:w="2694" w:type="dxa"/>
            <w:shd w:val="clear" w:color="auto" w:fill="auto"/>
          </w:tcPr>
          <w:p>
            <w:pPr>
              <w:pStyle w:val="nTable"/>
              <w:keepNext/>
              <w:keepLines/>
              <w:spacing w:after="40"/>
            </w:pPr>
            <w:r>
              <w:t>bl. 1 and 2: 27 Jun 2017 (see bl. 2(a));</w:t>
            </w:r>
            <w:r>
              <w:br/>
              <w:t>By-laws other than bl. 1 and 2: 1 Jul 2017 (see bl. 2(b))</w:t>
            </w:r>
          </w:p>
        </w:tc>
      </w:tr>
      <w:tr>
        <w:tc>
          <w:tcPr>
            <w:tcW w:w="3119" w:type="dxa"/>
            <w:shd w:val="clear" w:color="auto" w:fill="auto"/>
          </w:tcPr>
          <w:p>
            <w:pPr>
              <w:pStyle w:val="nTable"/>
              <w:keepNext/>
              <w:keepLines/>
              <w:spacing w:after="40"/>
              <w:rPr>
                <w:i/>
              </w:rPr>
            </w:pPr>
            <w:r>
              <w:rPr>
                <w:i/>
              </w:rPr>
              <w:t>Energy Operators (Regional Power Corporation) (Charges) Amendment By</w:t>
            </w:r>
            <w:r>
              <w:rPr>
                <w:i/>
              </w:rPr>
              <w:noBreakHyphen/>
              <w:t>laws (No. 2) 2017</w:t>
            </w:r>
          </w:p>
        </w:tc>
        <w:tc>
          <w:tcPr>
            <w:tcW w:w="1276" w:type="dxa"/>
            <w:shd w:val="clear" w:color="auto" w:fill="auto"/>
          </w:tcPr>
          <w:p>
            <w:pPr>
              <w:pStyle w:val="nTable"/>
              <w:keepNext/>
              <w:keepLines/>
              <w:spacing w:after="40"/>
            </w:pPr>
            <w:r>
              <w:t>30 Jun 2017 p. 3562</w:t>
            </w:r>
            <w:r>
              <w:noBreakHyphen/>
              <w:t>4</w:t>
            </w:r>
          </w:p>
        </w:tc>
        <w:tc>
          <w:tcPr>
            <w:tcW w:w="2694" w:type="dxa"/>
            <w:shd w:val="clear" w:color="auto" w:fill="auto"/>
          </w:tcPr>
          <w:p>
            <w:pPr>
              <w:pStyle w:val="nTable"/>
              <w:keepNext/>
              <w:keepLines/>
              <w:spacing w:after="40"/>
            </w:pPr>
            <w:r>
              <w:t>bl. 1 and 2: 30 Jun 2017 (see bl. 2(a));</w:t>
            </w:r>
            <w:r>
              <w:br/>
              <w:t>By-laws other than bl. 1 and 2: 1 Jul 2017 (see bl. 2(b)(i))</w:t>
            </w:r>
          </w:p>
        </w:tc>
      </w:tr>
      <w:tr>
        <w:tc>
          <w:tcPr>
            <w:tcW w:w="3119" w:type="dxa"/>
            <w:tcBorders>
              <w:bottom w:val="single" w:sz="8" w:space="0" w:color="auto"/>
            </w:tcBorders>
            <w:shd w:val="clear" w:color="auto" w:fill="auto"/>
          </w:tcPr>
          <w:p>
            <w:pPr>
              <w:pStyle w:val="nTable"/>
              <w:keepNext/>
              <w:keepLines/>
              <w:spacing w:after="40"/>
              <w:rPr>
                <w:i/>
              </w:rPr>
            </w:pPr>
            <w:r>
              <w:rPr>
                <w:i/>
              </w:rPr>
              <w:t>Energy Operators (Regional Power Corporation) (Charges) Amendment By</w:t>
            </w:r>
            <w:r>
              <w:rPr>
                <w:i/>
              </w:rPr>
              <w:noBreakHyphen/>
              <w:t>laws (No. 3) 2017</w:t>
            </w:r>
          </w:p>
        </w:tc>
        <w:tc>
          <w:tcPr>
            <w:tcW w:w="1276" w:type="dxa"/>
            <w:tcBorders>
              <w:bottom w:val="single" w:sz="8" w:space="0" w:color="auto"/>
            </w:tcBorders>
            <w:shd w:val="clear" w:color="auto" w:fill="auto"/>
          </w:tcPr>
          <w:p>
            <w:pPr>
              <w:pStyle w:val="nTable"/>
              <w:keepNext/>
              <w:keepLines/>
              <w:spacing w:after="40"/>
            </w:pPr>
            <w:r>
              <w:t>22 Dec 2017 p. 5978</w:t>
            </w:r>
            <w:r>
              <w:noBreakHyphen/>
              <w:t>83</w:t>
            </w:r>
          </w:p>
        </w:tc>
        <w:tc>
          <w:tcPr>
            <w:tcW w:w="2694" w:type="dxa"/>
            <w:tcBorders>
              <w:bottom w:val="single" w:sz="8" w:space="0" w:color="auto"/>
            </w:tcBorders>
            <w:shd w:val="clear" w:color="auto" w:fill="auto"/>
          </w:tcPr>
          <w:p>
            <w:pPr>
              <w:pStyle w:val="nTable"/>
              <w:keepNext/>
              <w:keepLines/>
              <w:spacing w:after="40"/>
            </w:pPr>
            <w:r>
              <w:t>bl. 1 and 2: 22 Dec 2017 (see bl. 2(a));</w:t>
            </w:r>
            <w:r>
              <w:br/>
              <w:t>By-laws other than bl. 1 and 2: 1 Jan 2018 (see bl. 2(b))</w:t>
            </w:r>
          </w:p>
        </w:tc>
      </w:tr>
    </w:tbl>
    <w:p/>
    <w:p/>
    <w:p>
      <w:pPr>
        <w:sectPr>
          <w:headerReference w:type="even" r:id="rId34"/>
          <w:headerReference w:type="default" r:id="rId35"/>
          <w:headerReference w:type="first" r:id="rId36"/>
          <w:endnotePr>
            <w:numFmt w:val="decimal"/>
          </w:endnotePr>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corporation</w:t>
      </w:r>
      <w:r>
        <w:tab/>
        <w:t>3</w:t>
      </w:r>
    </w:p>
    <w:p>
      <w:pPr>
        <w:pStyle w:val="DefinedTerms"/>
      </w:pPr>
      <w:r>
        <w:t>dwelling</w:t>
      </w:r>
      <w:r>
        <w:tab/>
        <w:t>3</w:t>
      </w:r>
    </w:p>
    <w:p>
      <w:pPr>
        <w:pStyle w:val="DefinedTerms"/>
      </w:pPr>
      <w:r>
        <w:t>Esperance network</w:t>
      </w:r>
      <w:r>
        <w:tab/>
        <w:t>Sch. 1 cl. 7(1)</w:t>
      </w:r>
    </w:p>
    <w:p>
      <w:pPr>
        <w:pStyle w:val="DefinedTerms"/>
      </w:pPr>
      <w:r>
        <w:t>exceeds the applicable peak allowance</w:t>
      </w:r>
      <w:r>
        <w:tab/>
        <w:t>Sch. 1 cl. 7(2)</w:t>
      </w:r>
    </w:p>
    <w:p>
      <w:pPr>
        <w:pStyle w:val="DefinedTerms"/>
      </w:pPr>
      <w:r>
        <w:t>interest period</w:t>
      </w:r>
      <w:r>
        <w:tab/>
        <w:t>12(1)</w:t>
      </w:r>
    </w:p>
    <w:p>
      <w:pPr>
        <w:pStyle w:val="DefinedTerms"/>
      </w:pPr>
      <w:r>
        <w:t>MyPower non</w:t>
      </w:r>
      <w:r>
        <w:noBreakHyphen/>
        <w:t>residential tariff</w:t>
      </w:r>
      <w:r>
        <w:tab/>
        <w:t>Sch. 1 cl. 9(1)</w:t>
      </w:r>
    </w:p>
    <w:p>
      <w:pPr>
        <w:pStyle w:val="DefinedTerms"/>
      </w:pPr>
      <w:r>
        <w:t>MyPower residential tariff</w:t>
      </w:r>
      <w:r>
        <w:tab/>
        <w:t>Sch. 1 cl. 8(1)</w:t>
      </w:r>
    </w:p>
    <w:p>
      <w:pPr>
        <w:pStyle w:val="DefinedTerms"/>
      </w:pPr>
      <w:r>
        <w:t>North West interconnected system</w:t>
      </w:r>
      <w:r>
        <w:tab/>
        <w:t>4(1A), 4(2A)</w:t>
      </w:r>
    </w:p>
    <w:p>
      <w:pPr>
        <w:pStyle w:val="DefinedTerms"/>
      </w:pPr>
      <w:r>
        <w:t>part</w:t>
      </w:r>
      <w:r>
        <w:noBreakHyphen/>
        <w:t>period</w:t>
      </w:r>
      <w:r>
        <w:tab/>
        <w:t>Sch. 1 cl. 8(4), Sch. 1 cl. 9(4)</w:t>
      </w:r>
    </w:p>
    <w:p>
      <w:pPr>
        <w:pStyle w:val="DefinedTerms"/>
      </w:pPr>
      <w:r>
        <w:t>peak day</w:t>
      </w:r>
      <w:r>
        <w:tab/>
        <w:t>Sch. 1 cl. 7(1)</w:t>
      </w:r>
    </w:p>
    <w:p>
      <w:pPr>
        <w:pStyle w:val="DefinedTerms"/>
      </w:pPr>
      <w:r>
        <w:t>peak period</w:t>
      </w:r>
      <w:r>
        <w:tab/>
        <w:t>Sch. 1 cl. 7(1)</w:t>
      </w:r>
    </w:p>
    <w:p>
      <w:pPr>
        <w:pStyle w:val="DefinedTerms"/>
      </w:pPr>
      <w:r>
        <w:t>peak time</w:t>
      </w:r>
      <w:r>
        <w:tab/>
        <w:t>Sch. 1 cl. 7(1)</w:t>
      </w:r>
    </w:p>
    <w:p>
      <w:pPr>
        <w:pStyle w:val="DefinedTerms"/>
      </w:pPr>
      <w:r>
        <w:t>RBA cash rate</w:t>
      </w:r>
      <w:r>
        <w:tab/>
        <w:t>3</w:t>
      </w:r>
    </w:p>
    <w:p>
      <w:pPr>
        <w:pStyle w:val="DefinedTerms"/>
      </w:pPr>
      <w:r>
        <w:t>regional non</w:t>
      </w:r>
      <w:r>
        <w:noBreakHyphen/>
        <w:t>integrated system</w:t>
      </w:r>
      <w:r>
        <w:tab/>
        <w:t>4(1A)</w:t>
      </w:r>
    </w:p>
    <w:p>
      <w:pPr>
        <w:pStyle w:val="DefinedTerms"/>
      </w:pPr>
      <w:r>
        <w:t>relevant period</w:t>
      </w:r>
      <w:r>
        <w:tab/>
        <w:t>8(1)</w:t>
      </w:r>
    </w:p>
    <w:p>
      <w:pPr>
        <w:pStyle w:val="DefinedTerms"/>
      </w:pPr>
      <w:r>
        <w:t>residential tariff</w:t>
      </w:r>
      <w:r>
        <w:tab/>
        <w:t>3</w:t>
      </w:r>
    </w:p>
    <w:p>
      <w:pPr>
        <w:pStyle w:val="DefinedTerms"/>
      </w:pPr>
      <w:r>
        <w:t>South West interconnected system</w:t>
      </w:r>
      <w:r>
        <w:tab/>
        <w:t>4(1A)</w:t>
      </w:r>
    </w:p>
    <w:p>
      <w:pPr>
        <w:pStyle w:val="DefinedTerms"/>
      </w:pPr>
      <w:r>
        <w:t>Tariff</w:t>
      </w:r>
      <w:r>
        <w:tab/>
        <w:t>3</w:t>
      </w:r>
    </w:p>
    <w:p>
      <w:pPr>
        <w:pStyle w:val="DefinedTerms"/>
      </w:pPr>
      <w:r>
        <w:t>unit</w:t>
      </w:r>
      <w:r>
        <w:tab/>
        <w:t>3</w:t>
      </w:r>
    </w:p>
    <w:p/>
    <w:p>
      <w:pPr>
        <w:sectPr>
          <w:headerReference w:type="even" r:id="rId37"/>
          <w:headerReference w:type="default" r:id="rId38"/>
          <w:pgSz w:w="11907" w:h="16840" w:code="9"/>
          <w:pgMar w:top="2381" w:right="2409" w:bottom="3543" w:left="2409" w:header="720" w:footer="3380" w:gutter="0"/>
          <w:cols w:space="720"/>
          <w:noEndnote/>
          <w:docGrid w:linePitch="326"/>
        </w:sectPr>
      </w:pPr>
    </w:p>
    <w:p/>
    <w:sectPr>
      <w:headerReference w:type="even" r:id="rId39"/>
      <w:headerReference w:type="default" r:id="rId40"/>
      <w:footerReference w:type="even" r:id="rId41"/>
      <w:footerReference w:type="default" r:id="rId42"/>
      <w:headerReference w:type="first" r:id="rId43"/>
      <w:footerReference w:type="first" r:id="rId44"/>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(Regional Power Corporation) (Charges) By-laws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Operators (Regional Power Corporation) (Charges) By-laws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28" w:name="Schedule"/>
    <w:bookmarkEnd w:id="2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Supply charges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styleref CharSDivText</w:instrText>
          </w:r>
          <w:r>
            <w:fldChar w:fldCharType="separate"/>
          </w:r>
          <w:r>
            <w:t>MyPower tariffs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Supply charges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styleref CharSDivText</w:instrText>
          </w:r>
          <w:r>
            <w:fldChar w:fldCharType="separate"/>
          </w:r>
          <w:r>
            <w:t>MyPower tariffs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Unmetered supply</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Miscellaneous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Unmetered supply</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Miscellaneous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1" w:name="Compilation"/>
    <w:bookmarkEnd w:id="51"/>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(Regional Power Corporation) (Charges) By-laws 2006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Energy Operators (Regional Power Corporation) (Charges) By-laws 2006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2" w:name="DefinedTerms"/>
    <w:bookmarkEnd w:id="52"/>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3" w:name="Coversheet"/>
    <w:bookmarkEnd w:id="5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E90DB8A"/>
    <w:lvl w:ilvl="0">
      <w:start w:val="1"/>
      <w:numFmt w:val="decimal"/>
      <w:lvlText w:val="%1."/>
      <w:lvlJc w:val="left"/>
      <w:pPr>
        <w:tabs>
          <w:tab w:val="num" w:pos="1492"/>
        </w:tabs>
        <w:ind w:left="1492" w:hanging="360"/>
      </w:pPr>
    </w:lvl>
  </w:abstractNum>
  <w:abstractNum w:abstractNumId="1">
    <w:nsid w:val="FFFFFF7D"/>
    <w:multiLevelType w:val="singleLevel"/>
    <w:tmpl w:val="5596F45C"/>
    <w:lvl w:ilvl="0">
      <w:start w:val="1"/>
      <w:numFmt w:val="decimal"/>
      <w:lvlText w:val="%1."/>
      <w:lvlJc w:val="left"/>
      <w:pPr>
        <w:tabs>
          <w:tab w:val="num" w:pos="1209"/>
        </w:tabs>
        <w:ind w:left="1209" w:hanging="360"/>
      </w:pPr>
    </w:lvl>
  </w:abstractNum>
  <w:abstractNum w:abstractNumId="2">
    <w:nsid w:val="FFFFFF7E"/>
    <w:multiLevelType w:val="singleLevel"/>
    <w:tmpl w:val="3BE2AE3A"/>
    <w:lvl w:ilvl="0">
      <w:start w:val="1"/>
      <w:numFmt w:val="decimal"/>
      <w:lvlText w:val="%1."/>
      <w:lvlJc w:val="left"/>
      <w:pPr>
        <w:tabs>
          <w:tab w:val="num" w:pos="926"/>
        </w:tabs>
        <w:ind w:left="926" w:hanging="360"/>
      </w:pPr>
    </w:lvl>
  </w:abstractNum>
  <w:abstractNum w:abstractNumId="3">
    <w:nsid w:val="FFFFFF7F"/>
    <w:multiLevelType w:val="singleLevel"/>
    <w:tmpl w:val="0E6ED0DC"/>
    <w:lvl w:ilvl="0">
      <w:start w:val="1"/>
      <w:numFmt w:val="decimal"/>
      <w:lvlText w:val="%1."/>
      <w:lvlJc w:val="left"/>
      <w:pPr>
        <w:tabs>
          <w:tab w:val="num" w:pos="643"/>
        </w:tabs>
        <w:ind w:left="643" w:hanging="360"/>
      </w:pPr>
    </w:lvl>
  </w:abstractNum>
  <w:abstractNum w:abstractNumId="4">
    <w:nsid w:val="FFFFFF80"/>
    <w:multiLevelType w:val="singleLevel"/>
    <w:tmpl w:val="1F22A1B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1D56DEF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007E4D3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382085D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6EF64FE2"/>
    <w:lvl w:ilvl="0">
      <w:start w:val="1"/>
      <w:numFmt w:val="decimal"/>
      <w:lvlText w:val="%1."/>
      <w:lvlJc w:val="left"/>
      <w:pPr>
        <w:tabs>
          <w:tab w:val="num" w:pos="360"/>
        </w:tabs>
        <w:ind w:left="360" w:hanging="360"/>
      </w:pPr>
    </w:lvl>
  </w:abstractNum>
  <w:abstractNum w:abstractNumId="9">
    <w:nsid w:val="FFFFFF89"/>
    <w:multiLevelType w:val="singleLevel"/>
    <w:tmpl w:val="12D034BA"/>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79873"/>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1221105436"/>
    <w:docVar w:name="WAFER_20140109160013" w:val="RemoveTocBookmarks,RemoveUnusedBookmarks,RemoveLanguageTags,UsedStyles,ResetPageSize,UpdateArrangement"/>
    <w:docVar w:name="WAFER_20140109160013_GUID" w:val="597ce826-c891-4391-929e-52345abcbb4e"/>
    <w:docVar w:name="WAFER_20140109160850" w:val="RemoveTocBookmarks,RunningHeaders"/>
    <w:docVar w:name="WAFER_20140109160850_GUID" w:val="8e2363bd-147c-4c8f-965d-8f2e313c4978"/>
    <w:docVar w:name="WAFER_20140124152351" w:val="RemoveTocBookmarks,RemoveUnusedBookmarks,RemoveLanguageTags,UsedStyles,ResetPageSize,UpdateArrangement"/>
    <w:docVar w:name="WAFER_20140124152351_GUID" w:val="1d542b1f-4767-48a8-9d30-e1915dccd2fb"/>
    <w:docVar w:name="WAFER_20140519103650" w:val="RemoveTocBookmarks,RemoveUnusedBookmarks,RemoveLanguageTags,UsedStyles,RemoveTrackChanges"/>
    <w:docVar w:name="WAFER_20140519103650_GUID" w:val="d73844cc-20bd-42a3-8bb5-74b7a8440811"/>
    <w:docVar w:name="WAFER_20140519103703" w:val="RemoveTocBookmarks,RemoveLanguageTags,RemoveTrackChanges,RunningHeaders"/>
    <w:docVar w:name="WAFER_20140519103703_GUID" w:val="07ecff26-6531-40c2-9a09-8af23538b091"/>
    <w:docVar w:name="WAFER_20140922082909" w:val="RemoveTocBookmarks,RemoveLanguageTags,RemoveTrackChanges,RunningHeaders"/>
    <w:docVar w:name="WAFER_20140922082909_GUID" w:val="da7fba0f-d427-448f-961d-4f4d96158ea2"/>
    <w:docVar w:name="WAFER_20140922082921" w:val="RemoveTocBookmarks,RemoveLanguageTags,RemoveTrackChanges,RunningHeaders"/>
    <w:docVar w:name="WAFER_20140922082921_GUID" w:val="b3a5b271-ea8d-41bc-9e41-b27063a8c7a7"/>
    <w:docVar w:name="WAFER_20150414151054" w:val="ResetPageSize,UpdateArrangement,UpdateNTable"/>
    <w:docVar w:name="WAFER_20150414151054_GUID" w:val="46851967-8f5a-42ab-96a4-172d3cc2ad5a"/>
    <w:docVar w:name="WAFER_20151105123815" w:val="UpdateStyles,UsedStyles"/>
    <w:docVar w:name="WAFER_20151105123815_GUID" w:val="ade06537-8239-4bda-9e24-3495d3fa0532"/>
    <w:docVar w:name="WAFER_20171221105436" w:val="RemoveTocBookmarks,RemoveUnusedBookmarks,RemoveLanguageTags,UsedStyles,ResetPageSize"/>
    <w:docVar w:name="WAFER_20171221105436_GUID" w:val="dfeb6ce3-1b3b-4ccc-ae20-71f39e0f13d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798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header" Target="header2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42" Type="http://schemas.openxmlformats.org/officeDocument/2006/relationships/footer" Target="footer10.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5.xml"/><Relationship Id="rId38" Type="http://schemas.openxmlformats.org/officeDocument/2006/relationships/header" Target="header20.xm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image" Target="media/image2.png"/><Relationship Id="rId44" Type="http://schemas.openxmlformats.org/officeDocument/2006/relationships/footer" Target="footer1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7.xml"/><Relationship Id="rId43" Type="http://schemas.openxmlformats.org/officeDocument/2006/relationships/header" Target="header2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32CD7D-3D61-49C3-906C-1ABCF407AB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Pages>
  <Words>5149</Words>
  <Characters>25179</Characters>
  <Application>Microsoft Office Word</Application>
  <DocSecurity>0</DocSecurity>
  <Lines>1199</Lines>
  <Paragraphs>819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29509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Operators (Regional Power Corporation) (Charges) By-laws 2006 - 02-g0-00</dc:title>
  <dc:subject/>
  <dc:creator/>
  <cp:keywords/>
  <dc:description/>
  <cp:lastModifiedBy>svcMRProcess</cp:lastModifiedBy>
  <cp:revision>4</cp:revision>
  <cp:lastPrinted>2014-10-21T01:03:00Z</cp:lastPrinted>
  <dcterms:created xsi:type="dcterms:W3CDTF">2020-02-24T16:52:00Z</dcterms:created>
  <dcterms:modified xsi:type="dcterms:W3CDTF">2020-02-24T16:52:00Z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Mar 2006 p 1279-97</vt:lpwstr>
  </property>
  <property fmtid="{D5CDD505-2E9C-101B-9397-08002B2CF9AE}" pid="3" name="OwlsUID">
    <vt:i4>38408</vt:i4>
  </property>
  <property fmtid="{D5CDD505-2E9C-101B-9397-08002B2CF9AE}" pid="4" name="DocumentType">
    <vt:lpwstr>Reg</vt:lpwstr>
  </property>
  <property fmtid="{D5CDD505-2E9C-101B-9397-08002B2CF9AE}" pid="5" name="ReprintNo">
    <vt:lpwstr>2</vt:lpwstr>
  </property>
  <property fmtid="{D5CDD505-2E9C-101B-9397-08002B2CF9AE}" pid="6" name="ReprintedAsAt">
    <vt:filetime>2014-10-02T16:00:00Z</vt:filetime>
  </property>
  <property fmtid="{D5CDD505-2E9C-101B-9397-08002B2CF9AE}" pid="7" name="AsAtDate">
    <vt:lpwstr>01 Jan 2018</vt:lpwstr>
  </property>
  <property fmtid="{D5CDD505-2E9C-101B-9397-08002B2CF9AE}" pid="8" name="Suffix">
    <vt:lpwstr>02-g0-00</vt:lpwstr>
  </property>
  <property fmtid="{D5CDD505-2E9C-101B-9397-08002B2CF9AE}" pid="9" name="CommencementDate">
    <vt:lpwstr>20180101</vt:lpwstr>
  </property>
</Properties>
</file>