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Plum Grading and Packing Code 1992</w:t>
      </w:r>
      <w:r>
        <w:fldChar w:fldCharType="end"/>
      </w:r>
    </w:p>
    <w:p>
      <w:pPr>
        <w:pStyle w:val="Subsection"/>
      </w:pPr>
      <w:r>
        <w:tab/>
      </w:r>
      <w:r>
        <w:tab/>
      </w:r>
      <w:bookmarkStart w:id="1" w:name="RepealText"/>
      <w:bookmarkEnd w:id="1"/>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Plum Grading and Packing Code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_Toc426976452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_Toc426976453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_Toc426976454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_Toc426976455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5</w:t>
      </w:r>
      <w:r>
        <w:rPr>
          <w:snapToGrid w:val="0"/>
        </w:rPr>
        <w:t>.</w:t>
      </w:r>
      <w:r>
        <w:rPr>
          <w:snapToGrid w:val="0"/>
        </w:rPr>
        <w:tab/>
        <w:t>Grading into classes</w:t>
      </w:r>
      <w:r>
        <w:tab/>
      </w:r>
      <w:r>
        <w:fldChar w:fldCharType="begin"/>
      </w:r>
      <w:r>
        <w:instrText xml:space="preserve"> PAGEREF _Toc426976457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Minimum requirements</w:t>
      </w:r>
      <w:r>
        <w:tab/>
      </w:r>
      <w:r>
        <w:fldChar w:fldCharType="begin"/>
      </w:r>
      <w:r>
        <w:instrText xml:space="preserve"> PAGEREF _Toc426976458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Maturity</w:t>
      </w:r>
      <w:r>
        <w:tab/>
      </w:r>
      <w:r>
        <w:fldChar w:fldCharType="begin"/>
      </w:r>
      <w:r>
        <w:instrText xml:space="preserve"> PAGEREF _Toc426976459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Classes</w:t>
      </w:r>
      <w:r>
        <w:tab/>
      </w:r>
      <w:r>
        <w:fldChar w:fldCharType="begin"/>
      </w:r>
      <w:r>
        <w:instrText xml:space="preserve"> PAGEREF _Toc426976460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size for grading</w:t>
      </w:r>
      <w:r>
        <w:tab/>
      </w:r>
      <w:r>
        <w:fldChar w:fldCharType="begin"/>
      </w:r>
      <w:r>
        <w:instrText xml:space="preserve"> PAGEREF _Toc426976461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10</w:t>
      </w:r>
      <w:r>
        <w:rPr>
          <w:snapToGrid w:val="0"/>
        </w:rPr>
        <w:t>.</w:t>
      </w:r>
      <w:r>
        <w:rPr>
          <w:snapToGrid w:val="0"/>
        </w:rPr>
        <w:tab/>
        <w:t>Single variety</w:t>
      </w:r>
      <w:r>
        <w:tab/>
      </w:r>
      <w:r>
        <w:fldChar w:fldCharType="begin"/>
      </w:r>
      <w:r>
        <w:instrText xml:space="preserve"> PAGEREF _Toc426976463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Mixture of plums by class</w:t>
      </w:r>
      <w:r>
        <w:tab/>
      </w:r>
      <w:r>
        <w:fldChar w:fldCharType="begin"/>
      </w:r>
      <w:r>
        <w:instrText xml:space="preserve"> PAGEREF _Toc426976464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Size variations</w:t>
      </w:r>
      <w:r>
        <w:tab/>
      </w:r>
      <w:r>
        <w:fldChar w:fldCharType="begin"/>
      </w:r>
      <w:r>
        <w:instrText xml:space="preserve"> PAGEREF _Toc426976465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Tolerances</w:t>
      </w:r>
      <w:r>
        <w:tab/>
      </w:r>
      <w:r>
        <w:fldChar w:fldCharType="begin"/>
      </w:r>
      <w:r>
        <w:instrText xml:space="preserve"> PAGEREF _Toc426976466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Uniformity of plums within packages</w:t>
      </w:r>
      <w:r>
        <w:tab/>
      </w:r>
      <w:r>
        <w:fldChar w:fldCharType="begin"/>
      </w:r>
      <w:r>
        <w:instrText xml:space="preserve"> PAGEREF _Toc426976467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Presentation of plums</w:t>
      </w:r>
      <w:r>
        <w:tab/>
      </w:r>
      <w:r>
        <w:fldChar w:fldCharType="begin"/>
      </w:r>
      <w:r>
        <w:instrText xml:space="preserve"> PAGEREF _Toc426976468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Packaging materials</w:t>
      </w:r>
      <w:r>
        <w:tab/>
      </w:r>
      <w:r>
        <w:fldChar w:fldCharType="begin"/>
      </w:r>
      <w:r>
        <w:instrText xml:space="preserve"> PAGEREF _Toc426976469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17</w:t>
      </w:r>
      <w:r>
        <w:rPr>
          <w:snapToGrid w:val="0"/>
        </w:rPr>
        <w:t>.</w:t>
      </w:r>
      <w:r>
        <w:rPr>
          <w:snapToGrid w:val="0"/>
        </w:rPr>
        <w:tab/>
        <w:t>Packages marked “Unclassed”</w:t>
      </w:r>
      <w:r>
        <w:tab/>
      </w:r>
      <w:r>
        <w:fldChar w:fldCharType="begin"/>
      </w:r>
      <w:r>
        <w:instrText xml:space="preserve"> PAGEREF _Toc426976471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Complete trade description to be applied</w:t>
      </w:r>
      <w:r>
        <w:tab/>
      </w:r>
      <w:r>
        <w:fldChar w:fldCharType="begin"/>
      </w:r>
      <w:r>
        <w:instrText xml:space="preserve"> PAGEREF _Toc426976472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Information to be included in trade description</w:t>
      </w:r>
      <w:r>
        <w:tab/>
      </w:r>
      <w:r>
        <w:fldChar w:fldCharType="begin"/>
      </w:r>
      <w:r>
        <w:instrText xml:space="preserve"> PAGEREF _Toc426976473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Trade description for retail sale</w:t>
      </w:r>
      <w:r>
        <w:tab/>
      </w:r>
      <w:r>
        <w:fldChar w:fldCharType="begin"/>
      </w:r>
      <w:r>
        <w:instrText xml:space="preserve"> PAGEREF _Toc426976474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Prohibited quality descriptions</w:t>
      </w:r>
      <w:r>
        <w:tab/>
      </w:r>
      <w:r>
        <w:fldChar w:fldCharType="begin"/>
      </w:r>
      <w:r>
        <w:instrText xml:space="preserve"> PAGEREF _Toc426976475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Repeal</w:t>
      </w:r>
    </w:p>
    <w:p>
      <w:pPr>
        <w:pStyle w:val="TOC8"/>
        <w:rPr>
          <w:rFonts w:asciiTheme="minorHAnsi" w:eastAsiaTheme="minorEastAsia" w:hAnsiTheme="minorHAnsi" w:cstheme="minorBidi"/>
          <w:szCs w:val="22"/>
        </w:rPr>
      </w:pPr>
      <w:r>
        <w:t>22</w:t>
      </w:r>
      <w:r>
        <w:rPr>
          <w:snapToGrid w:val="0"/>
        </w:rPr>
        <w:t>.</w:t>
      </w:r>
      <w:r>
        <w:rPr>
          <w:snapToGrid w:val="0"/>
        </w:rPr>
        <w:tab/>
        <w:t>Repeal of former code</w:t>
      </w:r>
      <w:r>
        <w:tab/>
      </w:r>
      <w:r>
        <w:fldChar w:fldCharType="begin"/>
      </w:r>
      <w:r>
        <w:instrText xml:space="preserve"> PAGEREF _Toc426976477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_Toc426976479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Plum Grading and Packing Code 1992</w:t>
      </w:r>
    </w:p>
    <w:p>
      <w:pPr>
        <w:pStyle w:val="MadeBy"/>
      </w:pPr>
      <w:r>
        <w:t>Made by the Minister for Agriculture under sectin 3F.</w:t>
      </w:r>
    </w:p>
    <w:p>
      <w:pPr>
        <w:pStyle w:val="Heading2"/>
      </w:pPr>
      <w:bookmarkStart w:id="4" w:name="_Toc378254918"/>
      <w:bookmarkStart w:id="5" w:name="_Toc378254947"/>
      <w:bookmarkStart w:id="6" w:name="_Toc426976422"/>
      <w:bookmarkStart w:id="7" w:name="_Toc426976451"/>
      <w:r>
        <w:t>Part 1 — Preliminary</w:t>
      </w:r>
      <w:bookmarkEnd w:id="4"/>
      <w:bookmarkEnd w:id="5"/>
      <w:bookmarkEnd w:id="6"/>
      <w:bookmarkEnd w:id="7"/>
    </w:p>
    <w:p>
      <w:pPr>
        <w:pStyle w:val="Heading5"/>
        <w:rPr>
          <w:snapToGrid w:val="0"/>
        </w:rPr>
      </w:pPr>
      <w:bookmarkStart w:id="8" w:name="_Toc378254948"/>
      <w:bookmarkStart w:id="9" w:name="_Toc426976452"/>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Plum Grading and Packing Code 1992</w:t>
      </w:r>
      <w:r>
        <w:rPr>
          <w:snapToGrid w:val="0"/>
        </w:rPr>
        <w:t>.</w:t>
      </w:r>
    </w:p>
    <w:p>
      <w:pPr>
        <w:pStyle w:val="Heading5"/>
        <w:rPr>
          <w:snapToGrid w:val="0"/>
        </w:rPr>
      </w:pPr>
      <w:bookmarkStart w:id="10" w:name="_Toc378254949"/>
      <w:bookmarkStart w:id="11" w:name="_Toc42697645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pPr>
        <w:pStyle w:val="Heading5"/>
        <w:rPr>
          <w:snapToGrid w:val="0"/>
        </w:rPr>
      </w:pPr>
      <w:bookmarkStart w:id="12" w:name="_Toc378254950"/>
      <w:bookmarkStart w:id="13" w:name="_Toc426976454"/>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plum, and includes slight chemical burns and healed injury such as by insect damage, superficial hail damage, abrasions, scratches and rubs, but does not include sunburn;</w:t>
      </w:r>
    </w:p>
    <w:p>
      <w:pPr>
        <w:pStyle w:val="Defstart"/>
      </w:pPr>
      <w:r>
        <w:rPr>
          <w:b/>
        </w:rPr>
        <w:tab/>
        <w:t>“class”</w:t>
      </w:r>
      <w:r>
        <w:t xml:space="preserve"> means the quality class into which plums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general appearance or presentation of the plum;</w:t>
      </w:r>
    </w:p>
    <w:p>
      <w:pPr>
        <w:pStyle w:val="Defstart"/>
      </w:pPr>
      <w:r>
        <w:rPr>
          <w:b/>
        </w:rPr>
        <w:tab/>
        <w:t>“intact”</w:t>
      </w:r>
      <w:r>
        <w:t xml:space="preserve"> means practically free from any mutilation or injury spoiling the plum;</w:t>
      </w:r>
    </w:p>
    <w:p>
      <w:pPr>
        <w:pStyle w:val="Defstart"/>
      </w:pPr>
      <w:r>
        <w:rPr>
          <w:b/>
        </w:rPr>
        <w:tab/>
        <w:t>“mature”</w:t>
      </w:r>
      <w:r>
        <w:t xml:space="preserve"> means having reached the stage of development that will ensure a proper completion of the ripening process;</w:t>
      </w:r>
    </w:p>
    <w:p>
      <w:pPr>
        <w:pStyle w:val="Defstart"/>
      </w:pPr>
      <w:r>
        <w:rPr>
          <w:b/>
        </w:rPr>
        <w:tab/>
        <w:t>“processing”</w:t>
      </w:r>
      <w:r>
        <w:t xml:space="preserve"> means any operation that subjects the plums to thermal processing (not including cold storage) or juicing or that renders the plums a fruit product;</w:t>
      </w:r>
    </w:p>
    <w:p>
      <w:pPr>
        <w:pStyle w:val="Defstart"/>
      </w:pPr>
      <w:r>
        <w:rPr>
          <w:b/>
        </w:rPr>
        <w:tab/>
        <w:t>“sound”</w:t>
      </w:r>
      <w:r>
        <w:t xml:space="preserve"> means not over-ripe, soft or wilted, and free from rot, excessive bruising and physical injury, internal or external, that is likely to affect the keeping quality of the plum; and</w:t>
      </w:r>
    </w:p>
    <w:p>
      <w:pPr>
        <w:pStyle w:val="Defstart"/>
      </w:pPr>
      <w:r>
        <w:rPr>
          <w:b/>
        </w:rPr>
        <w:tab/>
        <w:t>“well-filled”</w:t>
      </w:r>
      <w:r>
        <w:t xml:space="preserve"> means that the package is filled to the extent that the plums, after settling, cannot move within the package during normal handling.</w:t>
      </w:r>
    </w:p>
    <w:p>
      <w:pPr>
        <w:pStyle w:val="Heading5"/>
        <w:rPr>
          <w:snapToGrid w:val="0"/>
        </w:rPr>
      </w:pPr>
      <w:bookmarkStart w:id="14" w:name="_Toc378254951"/>
      <w:bookmarkStart w:id="15" w:name="_Toc426976455"/>
      <w:r>
        <w:rPr>
          <w:rStyle w:val="CharSectno"/>
        </w:rPr>
        <w:t>4</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Subject to section 5 of the Act, this Code applies to the sale of plums (</w:t>
      </w:r>
      <w:r>
        <w:rPr>
          <w:i/>
          <w:snapToGrid w:val="0"/>
        </w:rPr>
        <w:t>Prunus domestica, P. instititia and P. salicina</w:t>
      </w:r>
      <w:r>
        <w:rPr>
          <w:snapToGrid w:val="0"/>
        </w:rPr>
        <w:t>) other than for the purpose of processing.</w:t>
      </w:r>
    </w:p>
    <w:p>
      <w:pPr>
        <w:pStyle w:val="Subsection"/>
        <w:rPr>
          <w:snapToGrid w:val="0"/>
        </w:rPr>
      </w:pPr>
      <w:r>
        <w:rPr>
          <w:snapToGrid w:val="0"/>
        </w:rPr>
        <w:tab/>
        <w:t>(2)</w:t>
      </w:r>
      <w:r>
        <w:rPr>
          <w:snapToGrid w:val="0"/>
        </w:rPr>
        <w:tab/>
        <w:t>Clauses 18 and 19 do not apply to a retail sale.</w:t>
      </w:r>
    </w:p>
    <w:p>
      <w:pPr>
        <w:pStyle w:val="Heading2"/>
      </w:pPr>
      <w:bookmarkStart w:id="16" w:name="_Toc378254923"/>
      <w:bookmarkStart w:id="17" w:name="_Toc378254952"/>
      <w:bookmarkStart w:id="18" w:name="_Toc426976427"/>
      <w:bookmarkStart w:id="19" w:name="_Toc426976456"/>
      <w:r>
        <w:rPr>
          <w:rStyle w:val="CharPartNo"/>
        </w:rPr>
        <w:t>Part 2</w:t>
      </w:r>
      <w:r>
        <w:rPr>
          <w:rStyle w:val="CharDivNo"/>
        </w:rPr>
        <w:t> </w:t>
      </w:r>
      <w:r>
        <w:t>—</w:t>
      </w:r>
      <w:r>
        <w:rPr>
          <w:rStyle w:val="CharDivText"/>
        </w:rPr>
        <w:t> </w:t>
      </w:r>
      <w:r>
        <w:rPr>
          <w:rStyle w:val="CharPartText"/>
        </w:rPr>
        <w:t>Grading</w:t>
      </w:r>
      <w:bookmarkEnd w:id="16"/>
      <w:bookmarkEnd w:id="17"/>
      <w:bookmarkEnd w:id="18"/>
      <w:bookmarkEnd w:id="19"/>
      <w:r>
        <w:rPr>
          <w:rStyle w:val="CharPartText"/>
        </w:rPr>
        <w:t xml:space="preserve"> </w:t>
      </w:r>
    </w:p>
    <w:p>
      <w:pPr>
        <w:pStyle w:val="Heading5"/>
        <w:rPr>
          <w:snapToGrid w:val="0"/>
        </w:rPr>
      </w:pPr>
      <w:bookmarkStart w:id="20" w:name="_Toc378254953"/>
      <w:bookmarkStart w:id="21" w:name="_Toc426976457"/>
      <w:r>
        <w:rPr>
          <w:rStyle w:val="CharSectno"/>
        </w:rPr>
        <w:t>5</w:t>
      </w:r>
      <w:r>
        <w:rPr>
          <w:snapToGrid w:val="0"/>
        </w:rPr>
        <w:t>.</w:t>
      </w:r>
      <w:r>
        <w:rPr>
          <w:snapToGrid w:val="0"/>
        </w:rPr>
        <w:tab/>
        <w:t>Grading into classes</w:t>
      </w:r>
      <w:bookmarkEnd w:id="20"/>
      <w:bookmarkEnd w:id="21"/>
      <w:r>
        <w:rPr>
          <w:snapToGrid w:val="0"/>
        </w:rPr>
        <w:t xml:space="preserve"> </w:t>
      </w:r>
    </w:p>
    <w:p>
      <w:pPr>
        <w:pStyle w:val="Subsection"/>
        <w:rPr>
          <w:snapToGrid w:val="0"/>
        </w:rPr>
      </w:pPr>
      <w:r>
        <w:rPr>
          <w:snapToGrid w:val="0"/>
        </w:rPr>
        <w:tab/>
      </w:r>
      <w:r>
        <w:rPr>
          <w:snapToGrid w:val="0"/>
        </w:rPr>
        <w:tab/>
        <w:t>Plums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22" w:name="_Toc378254954"/>
      <w:bookmarkStart w:id="23" w:name="_Toc426976458"/>
      <w:r>
        <w:rPr>
          <w:rStyle w:val="CharSectno"/>
        </w:rPr>
        <w:t>6</w:t>
      </w:r>
      <w:r>
        <w:rPr>
          <w:snapToGrid w:val="0"/>
        </w:rPr>
        <w:t>.</w:t>
      </w:r>
      <w:r>
        <w:rPr>
          <w:snapToGrid w:val="0"/>
        </w:rPr>
        <w:tab/>
        <w:t>Minimum requirements</w:t>
      </w:r>
      <w:bookmarkEnd w:id="22"/>
      <w:bookmarkEnd w:id="23"/>
      <w:r>
        <w:rPr>
          <w:snapToGrid w:val="0"/>
        </w:rPr>
        <w:t xml:space="preserve"> </w:t>
      </w:r>
    </w:p>
    <w:p>
      <w:pPr>
        <w:pStyle w:val="Subsection"/>
        <w:rPr>
          <w:snapToGrid w:val="0"/>
        </w:rPr>
      </w:pPr>
      <w:r>
        <w:rPr>
          <w:snapToGrid w:val="0"/>
        </w:rPr>
        <w:tab/>
      </w:r>
      <w:r>
        <w:rPr>
          <w:snapToGrid w:val="0"/>
        </w:rPr>
        <w:tab/>
        <w:t>Plums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practically free from sunburn;</w:t>
      </w:r>
    </w:p>
    <w:p>
      <w:pPr>
        <w:pStyle w:val="Indenta"/>
        <w:rPr>
          <w:snapToGrid w:val="0"/>
        </w:rPr>
      </w:pPr>
      <w:r>
        <w:rPr>
          <w:snapToGrid w:val="0"/>
        </w:rPr>
        <w:tab/>
        <w:t>(e)</w:t>
      </w:r>
      <w:r>
        <w:rPr>
          <w:snapToGrid w:val="0"/>
        </w:rPr>
        <w:tab/>
        <w:t>free from abnormal external moisture;</w:t>
      </w:r>
    </w:p>
    <w:p>
      <w:pPr>
        <w:pStyle w:val="Indenta"/>
        <w:rPr>
          <w:snapToGrid w:val="0"/>
        </w:rPr>
      </w:pPr>
      <w:r>
        <w:rPr>
          <w:snapToGrid w:val="0"/>
        </w:rPr>
        <w:tab/>
        <w:t>(f)</w:t>
      </w:r>
      <w:r>
        <w:rPr>
          <w:snapToGrid w:val="0"/>
        </w:rPr>
        <w:tab/>
        <w:t>free from any foreign smell or taste; and</w:t>
      </w:r>
    </w:p>
    <w:p>
      <w:pPr>
        <w:pStyle w:val="Indenta"/>
        <w:rPr>
          <w:snapToGrid w:val="0"/>
        </w:rPr>
      </w:pPr>
      <w:r>
        <w:rPr>
          <w:snapToGrid w:val="0"/>
        </w:rPr>
        <w:tab/>
        <w:t>(g)</w:t>
      </w:r>
      <w:r>
        <w:rPr>
          <w:snapToGrid w:val="0"/>
        </w:rPr>
        <w:tab/>
        <w:t>of a minimum size, according to variety, as specified in the Table to clause 12.</w:t>
      </w:r>
    </w:p>
    <w:p>
      <w:pPr>
        <w:pStyle w:val="Heading5"/>
        <w:rPr>
          <w:snapToGrid w:val="0"/>
        </w:rPr>
      </w:pPr>
      <w:bookmarkStart w:id="24" w:name="_Toc378254955"/>
      <w:bookmarkStart w:id="25" w:name="_Toc426976459"/>
      <w:r>
        <w:rPr>
          <w:rStyle w:val="CharSectno"/>
        </w:rPr>
        <w:t>7</w:t>
      </w:r>
      <w:r>
        <w:rPr>
          <w:snapToGrid w:val="0"/>
        </w:rPr>
        <w:t>.</w:t>
      </w:r>
      <w:r>
        <w:rPr>
          <w:snapToGrid w:val="0"/>
        </w:rPr>
        <w:tab/>
        <w:t>Maturity</w:t>
      </w:r>
      <w:bookmarkEnd w:id="24"/>
      <w:bookmarkEnd w:id="25"/>
      <w:r>
        <w:rPr>
          <w:snapToGrid w:val="0"/>
        </w:rPr>
        <w:t xml:space="preserve"> </w:t>
      </w:r>
    </w:p>
    <w:p>
      <w:pPr>
        <w:pStyle w:val="Subsection"/>
        <w:rPr>
          <w:snapToGrid w:val="0"/>
        </w:rPr>
      </w:pPr>
      <w:r>
        <w:rPr>
          <w:snapToGrid w:val="0"/>
        </w:rPr>
        <w:tab/>
        <w:t>(1)</w:t>
      </w:r>
      <w:r>
        <w:rPr>
          <w:snapToGrid w:val="0"/>
        </w:rPr>
        <w:tab/>
        <w:t>Plums shall be mature.</w:t>
      </w:r>
    </w:p>
    <w:p>
      <w:pPr>
        <w:pStyle w:val="Subsection"/>
        <w:rPr>
          <w:snapToGrid w:val="0"/>
        </w:rPr>
      </w:pPr>
      <w:r>
        <w:rPr>
          <w:snapToGrid w:val="0"/>
        </w:rPr>
        <w:tab/>
        <w:t>(2)</w:t>
      </w:r>
      <w:r>
        <w:rPr>
          <w:snapToGrid w:val="0"/>
        </w:rPr>
        <w:tab/>
        <w:t>Plums of the variety Prune D’Agen shall have a minimum maturity level of 20</w:t>
      </w:r>
      <w:r>
        <w:rPr>
          <w:snapToGrid w:val="0"/>
          <w:vertAlign w:val="superscript"/>
        </w:rPr>
        <w:t xml:space="preserve"> o</w:t>
      </w:r>
      <w:r>
        <w:rPr>
          <w:snapToGrid w:val="0"/>
        </w:rPr>
        <w:t xml:space="preserve"> Brix.</w:t>
      </w:r>
    </w:p>
    <w:p>
      <w:pPr>
        <w:pStyle w:val="Heading5"/>
        <w:rPr>
          <w:snapToGrid w:val="0"/>
        </w:rPr>
      </w:pPr>
      <w:bookmarkStart w:id="26" w:name="_Toc378254956"/>
      <w:bookmarkStart w:id="27" w:name="_Toc426976460"/>
      <w:r>
        <w:rPr>
          <w:rStyle w:val="CharSectno"/>
        </w:rPr>
        <w:t>8</w:t>
      </w:r>
      <w:r>
        <w:rPr>
          <w:snapToGrid w:val="0"/>
        </w:rPr>
        <w:t>.</w:t>
      </w:r>
      <w:r>
        <w:rPr>
          <w:snapToGrid w:val="0"/>
        </w:rPr>
        <w:tab/>
        <w:t>Classes</w:t>
      </w:r>
      <w:bookmarkEnd w:id="26"/>
      <w:bookmarkEnd w:id="27"/>
      <w:r>
        <w:rPr>
          <w:snapToGrid w:val="0"/>
        </w:rPr>
        <w:t xml:space="preserve"> </w:t>
      </w:r>
    </w:p>
    <w:p>
      <w:pPr>
        <w:pStyle w:val="Subsection"/>
        <w:rPr>
          <w:snapToGrid w:val="0"/>
        </w:rPr>
      </w:pPr>
      <w:r>
        <w:rPr>
          <w:snapToGrid w:val="0"/>
        </w:rPr>
        <w:tab/>
        <w:t>(1)</w:t>
      </w:r>
      <w:r>
        <w:rPr>
          <w:snapToGrid w:val="0"/>
        </w:rPr>
        <w:tab/>
        <w:t>Subject to Part 3, plums graded as Extra Class shall be — </w:t>
      </w:r>
    </w:p>
    <w:p>
      <w:pPr>
        <w:pStyle w:val="Indenta"/>
        <w:rPr>
          <w:snapToGrid w:val="0"/>
        </w:rPr>
      </w:pPr>
      <w:r>
        <w:rPr>
          <w:snapToGrid w:val="0"/>
        </w:rPr>
        <w:tab/>
        <w:t>(a)</w:t>
      </w:r>
      <w:r>
        <w:rPr>
          <w:snapToGrid w:val="0"/>
        </w:rPr>
        <w:tab/>
        <w:t>well-formed and typical of the variety;</w:t>
      </w:r>
    </w:p>
    <w:p>
      <w:pPr>
        <w:pStyle w:val="Indenta"/>
        <w:rPr>
          <w:snapToGrid w:val="0"/>
        </w:rPr>
      </w:pPr>
      <w:r>
        <w:rPr>
          <w:snapToGrid w:val="0"/>
        </w:rPr>
        <w:tab/>
        <w:t>(b)</w:t>
      </w:r>
      <w:r>
        <w:rPr>
          <w:snapToGrid w:val="0"/>
        </w:rPr>
        <w:tab/>
        <w:t>practically free from defects and blemishes, other than very slight blemishes; and</w:t>
      </w:r>
    </w:p>
    <w:p>
      <w:pPr>
        <w:pStyle w:val="Indenta"/>
        <w:rPr>
          <w:snapToGrid w:val="0"/>
        </w:rPr>
      </w:pPr>
      <w:r>
        <w:rPr>
          <w:snapToGrid w:val="0"/>
        </w:rPr>
        <w:tab/>
        <w:t>(c)</w:t>
      </w:r>
      <w:r>
        <w:rPr>
          <w:snapToGrid w:val="0"/>
        </w:rPr>
        <w:tab/>
        <w:t>free from damage caused by pests and diseases.</w:t>
      </w:r>
    </w:p>
    <w:p>
      <w:pPr>
        <w:pStyle w:val="Subsection"/>
        <w:rPr>
          <w:snapToGrid w:val="0"/>
        </w:rPr>
      </w:pPr>
      <w:r>
        <w:rPr>
          <w:snapToGrid w:val="0"/>
        </w:rPr>
        <w:tab/>
        <w:t>(2)</w:t>
      </w:r>
      <w:r>
        <w:rPr>
          <w:snapToGrid w:val="0"/>
        </w:rPr>
        <w:tab/>
        <w:t>Subject to Part 3, plums graded as Class 1 shall be — </w:t>
      </w:r>
    </w:p>
    <w:p>
      <w:pPr>
        <w:pStyle w:val="Indenta"/>
        <w:rPr>
          <w:snapToGrid w:val="0"/>
        </w:rPr>
      </w:pPr>
      <w:r>
        <w:rPr>
          <w:snapToGrid w:val="0"/>
        </w:rPr>
        <w:tab/>
        <w:t>(a)</w:t>
      </w:r>
      <w:r>
        <w:rPr>
          <w:snapToGrid w:val="0"/>
        </w:rPr>
        <w:tab/>
        <w:t>reasonably well-formed and typical of the variety;</w:t>
      </w:r>
    </w:p>
    <w:p>
      <w:pPr>
        <w:pStyle w:val="Indenta"/>
        <w:rPr>
          <w:snapToGrid w:val="0"/>
        </w:rPr>
      </w:pPr>
      <w:r>
        <w:rPr>
          <w:snapToGrid w:val="0"/>
        </w:rPr>
        <w:tab/>
        <w:t>(b)</w:t>
      </w:r>
      <w:r>
        <w:rPr>
          <w:snapToGrid w:val="0"/>
        </w:rPr>
        <w:tab/>
        <w:t>reasonably free from defects and blemishes, other than very slight blemishes; and</w:t>
      </w:r>
    </w:p>
    <w:p>
      <w:pPr>
        <w:pStyle w:val="Indenta"/>
        <w:rPr>
          <w:snapToGrid w:val="0"/>
        </w:rPr>
      </w:pPr>
      <w:r>
        <w:rPr>
          <w:snapToGrid w:val="0"/>
        </w:rPr>
        <w:tab/>
        <w:t>(c)</w:t>
      </w:r>
      <w:r>
        <w:rPr>
          <w:snapToGrid w:val="0"/>
        </w:rPr>
        <w:tab/>
        <w:t>reasonably free from damage caused by pests and diseases.</w:t>
      </w:r>
    </w:p>
    <w:p>
      <w:pPr>
        <w:pStyle w:val="Subsection"/>
        <w:rPr>
          <w:snapToGrid w:val="0"/>
        </w:rPr>
      </w:pPr>
      <w:r>
        <w:rPr>
          <w:snapToGrid w:val="0"/>
        </w:rPr>
        <w:tab/>
        <w:t>(3)</w:t>
      </w:r>
      <w:r>
        <w:rPr>
          <w:snapToGrid w:val="0"/>
        </w:rPr>
        <w:tab/>
        <w:t>Subject to Part 3, Class 2 shall comprise plums that are not suitable for Extra Class or Class 1, but satisfy the minimum requirements as specified in clause 6 and may have — </w:t>
      </w:r>
    </w:p>
    <w:p>
      <w:pPr>
        <w:pStyle w:val="Indenta"/>
        <w:rPr>
          <w:snapToGrid w:val="0"/>
        </w:rPr>
      </w:pPr>
      <w:r>
        <w:rPr>
          <w:snapToGrid w:val="0"/>
        </w:rPr>
        <w:tab/>
        <w:t>(a)</w:t>
      </w:r>
      <w:r>
        <w:rPr>
          <w:snapToGrid w:val="0"/>
        </w:rPr>
        <w:tab/>
        <w:t>reasonable defects in shape, development and colouring, subject to the plum retaining its general characteristics;</w:t>
      </w:r>
    </w:p>
    <w:p>
      <w:pPr>
        <w:pStyle w:val="Indenta"/>
        <w:rPr>
          <w:snapToGrid w:val="0"/>
        </w:rPr>
      </w:pPr>
      <w:r>
        <w:rPr>
          <w:snapToGrid w:val="0"/>
        </w:rPr>
        <w:tab/>
        <w:t>(b)</w:t>
      </w:r>
      <w:r>
        <w:rPr>
          <w:snapToGrid w:val="0"/>
        </w:rPr>
        <w:tab/>
        <w:t>skin blemishes that do not exceed one quarter of the whole surface of the plum and do not impair unduly the general appearance and presentation of the plum.</w:t>
      </w:r>
    </w:p>
    <w:p>
      <w:pPr>
        <w:pStyle w:val="Subsection"/>
        <w:rPr>
          <w:snapToGrid w:val="0"/>
        </w:rPr>
      </w:pPr>
      <w:r>
        <w:rPr>
          <w:snapToGrid w:val="0"/>
        </w:rPr>
        <w:tab/>
        <w:t>(4)</w:t>
      </w:r>
      <w:r>
        <w:rPr>
          <w:snapToGrid w:val="0"/>
        </w:rPr>
        <w:tab/>
        <w:t>Class 3 shall comprise plums that do not satisfy the requirements of any of the other classes.</w:t>
      </w:r>
    </w:p>
    <w:p>
      <w:pPr>
        <w:pStyle w:val="Heading5"/>
        <w:rPr>
          <w:snapToGrid w:val="0"/>
        </w:rPr>
      </w:pPr>
      <w:bookmarkStart w:id="28" w:name="_Toc378254957"/>
      <w:bookmarkStart w:id="29" w:name="_Toc426976461"/>
      <w:r>
        <w:rPr>
          <w:rStyle w:val="CharSectno"/>
        </w:rPr>
        <w:t>9</w:t>
      </w:r>
      <w:r>
        <w:rPr>
          <w:snapToGrid w:val="0"/>
        </w:rPr>
        <w:t>.</w:t>
      </w:r>
      <w:r>
        <w:rPr>
          <w:snapToGrid w:val="0"/>
        </w:rPr>
        <w:tab/>
        <w:t>Determination of size for grading</w:t>
      </w:r>
      <w:bookmarkEnd w:id="28"/>
      <w:bookmarkEnd w:id="29"/>
      <w:r>
        <w:rPr>
          <w:snapToGrid w:val="0"/>
        </w:rPr>
        <w:t xml:space="preserve"> </w:t>
      </w:r>
    </w:p>
    <w:p>
      <w:pPr>
        <w:pStyle w:val="Subsection"/>
        <w:rPr>
          <w:snapToGrid w:val="0"/>
        </w:rPr>
      </w:pPr>
      <w:r>
        <w:rPr>
          <w:snapToGrid w:val="0"/>
        </w:rPr>
        <w:tab/>
      </w:r>
      <w:r>
        <w:rPr>
          <w:snapToGrid w:val="0"/>
        </w:rPr>
        <w:tab/>
        <w:t>The size of a plum for grading purposes shall be measured by the maximum diameter of the equatorial section of the plum.</w:t>
      </w:r>
    </w:p>
    <w:p>
      <w:pPr>
        <w:pStyle w:val="Heading2"/>
      </w:pPr>
      <w:bookmarkStart w:id="30" w:name="_Toc378254929"/>
      <w:bookmarkStart w:id="31" w:name="_Toc378254958"/>
      <w:bookmarkStart w:id="32" w:name="_Toc426976433"/>
      <w:bookmarkStart w:id="33" w:name="_Toc426976462"/>
      <w:r>
        <w:rPr>
          <w:rStyle w:val="CharPartNo"/>
        </w:rPr>
        <w:t>Part 3</w:t>
      </w:r>
      <w:r>
        <w:rPr>
          <w:rStyle w:val="CharDivNo"/>
        </w:rPr>
        <w:t> </w:t>
      </w:r>
      <w:r>
        <w:t>—</w:t>
      </w:r>
      <w:r>
        <w:rPr>
          <w:rStyle w:val="CharDivText"/>
        </w:rPr>
        <w:t> </w:t>
      </w:r>
      <w:r>
        <w:rPr>
          <w:rStyle w:val="CharPartText"/>
        </w:rPr>
        <w:t>Packing</w:t>
      </w:r>
      <w:bookmarkEnd w:id="30"/>
      <w:bookmarkEnd w:id="31"/>
      <w:bookmarkEnd w:id="32"/>
      <w:bookmarkEnd w:id="33"/>
      <w:r>
        <w:rPr>
          <w:rStyle w:val="CharPartText"/>
        </w:rPr>
        <w:t xml:space="preserve"> </w:t>
      </w:r>
    </w:p>
    <w:p>
      <w:pPr>
        <w:pStyle w:val="Heading5"/>
        <w:rPr>
          <w:snapToGrid w:val="0"/>
        </w:rPr>
      </w:pPr>
      <w:bookmarkStart w:id="34" w:name="_Toc378254959"/>
      <w:bookmarkStart w:id="35" w:name="_Toc426976463"/>
      <w:r>
        <w:rPr>
          <w:rStyle w:val="CharSectno"/>
        </w:rPr>
        <w:t>10</w:t>
      </w:r>
      <w:r>
        <w:rPr>
          <w:snapToGrid w:val="0"/>
        </w:rPr>
        <w:t>.</w:t>
      </w:r>
      <w:r>
        <w:rPr>
          <w:snapToGrid w:val="0"/>
        </w:rPr>
        <w:tab/>
        <w:t>Single variety</w:t>
      </w:r>
      <w:bookmarkEnd w:id="34"/>
      <w:bookmarkEnd w:id="35"/>
      <w:r>
        <w:rPr>
          <w:snapToGrid w:val="0"/>
        </w:rPr>
        <w:t xml:space="preserve"> </w:t>
      </w:r>
    </w:p>
    <w:p>
      <w:pPr>
        <w:pStyle w:val="Subsection"/>
        <w:rPr>
          <w:snapToGrid w:val="0"/>
        </w:rPr>
      </w:pPr>
      <w:r>
        <w:rPr>
          <w:snapToGrid w:val="0"/>
        </w:rPr>
        <w:tab/>
      </w:r>
      <w:r>
        <w:rPr>
          <w:snapToGrid w:val="0"/>
        </w:rPr>
        <w:tab/>
        <w:t>A package of plums shall not contain plums of any variety other than the variety marked on the package.</w:t>
      </w:r>
    </w:p>
    <w:p>
      <w:pPr>
        <w:pStyle w:val="Heading5"/>
        <w:rPr>
          <w:snapToGrid w:val="0"/>
        </w:rPr>
      </w:pPr>
      <w:bookmarkStart w:id="36" w:name="_Toc378254960"/>
      <w:bookmarkStart w:id="37" w:name="_Toc426976464"/>
      <w:r>
        <w:rPr>
          <w:rStyle w:val="CharSectno"/>
        </w:rPr>
        <w:t>11</w:t>
      </w:r>
      <w:r>
        <w:rPr>
          <w:snapToGrid w:val="0"/>
        </w:rPr>
        <w:t>.</w:t>
      </w:r>
      <w:r>
        <w:rPr>
          <w:snapToGrid w:val="0"/>
        </w:rPr>
        <w:tab/>
        <w:t>Mixture of plums by class</w:t>
      </w:r>
      <w:bookmarkEnd w:id="36"/>
      <w:bookmarkEnd w:id="37"/>
      <w:r>
        <w:rPr>
          <w:snapToGrid w:val="0"/>
        </w:rPr>
        <w:t xml:space="preserve"> </w:t>
      </w:r>
    </w:p>
    <w:p>
      <w:pPr>
        <w:pStyle w:val="Subsection"/>
        <w:rPr>
          <w:snapToGrid w:val="0"/>
        </w:rPr>
      </w:pPr>
      <w:r>
        <w:rPr>
          <w:snapToGrid w:val="0"/>
        </w:rPr>
        <w:tab/>
      </w:r>
      <w:r>
        <w:rPr>
          <w:snapToGrid w:val="0"/>
        </w:rPr>
        <w:tab/>
        <w:t>A package of plums may contain plums of mixed classes, other than Class 3.</w:t>
      </w:r>
    </w:p>
    <w:p>
      <w:pPr>
        <w:pStyle w:val="Heading5"/>
        <w:rPr>
          <w:snapToGrid w:val="0"/>
        </w:rPr>
      </w:pPr>
      <w:bookmarkStart w:id="38" w:name="_Toc378254961"/>
      <w:bookmarkStart w:id="39" w:name="_Toc426976465"/>
      <w:r>
        <w:rPr>
          <w:rStyle w:val="CharSectno"/>
        </w:rPr>
        <w:t>12</w:t>
      </w:r>
      <w:r>
        <w:rPr>
          <w:snapToGrid w:val="0"/>
        </w:rPr>
        <w:t>.</w:t>
      </w:r>
      <w:r>
        <w:rPr>
          <w:snapToGrid w:val="0"/>
        </w:rPr>
        <w:tab/>
        <w:t>Size variations</w:t>
      </w:r>
      <w:bookmarkEnd w:id="38"/>
      <w:bookmarkEnd w:id="39"/>
      <w:r>
        <w:rPr>
          <w:snapToGrid w:val="0"/>
        </w:rPr>
        <w:t xml:space="preserve"> </w:t>
      </w:r>
    </w:p>
    <w:p>
      <w:pPr>
        <w:pStyle w:val="Subsection"/>
        <w:rPr>
          <w:snapToGrid w:val="0"/>
        </w:rPr>
      </w:pPr>
      <w:r>
        <w:rPr>
          <w:snapToGrid w:val="0"/>
        </w:rPr>
        <w:tab/>
        <w:t>(1)</w:t>
      </w:r>
      <w:r>
        <w:rPr>
          <w:snapToGrid w:val="0"/>
        </w:rPr>
        <w:tab/>
        <w:t>Extra Class and Class 1 plums shall be graded according to size.</w:t>
      </w:r>
    </w:p>
    <w:p>
      <w:pPr>
        <w:pStyle w:val="Subsection"/>
        <w:rPr>
          <w:snapToGrid w:val="0"/>
        </w:rPr>
      </w:pPr>
      <w:r>
        <w:rPr>
          <w:snapToGrid w:val="0"/>
        </w:rPr>
        <w:tab/>
        <w:t>(2)</w:t>
      </w:r>
      <w:r>
        <w:rPr>
          <w:snapToGrid w:val="0"/>
        </w:rPr>
        <w:tab/>
        <w:t>Plums in a package marked “UNCLASSED” are not required to be sized.</w:t>
      </w:r>
    </w:p>
    <w:p>
      <w:pPr>
        <w:pStyle w:val="Subsection"/>
        <w:rPr>
          <w:snapToGrid w:val="0"/>
        </w:rPr>
      </w:pPr>
      <w:r>
        <w:rPr>
          <w:snapToGrid w:val="0"/>
        </w:rPr>
        <w:tab/>
        <w:t>(3)</w:t>
      </w:r>
      <w:r>
        <w:rPr>
          <w:snapToGrid w:val="0"/>
        </w:rPr>
        <w:tab/>
        <w:t>The size of Class 2 plums packed in containers marked “UNSIZED” may vary without limit.</w:t>
      </w:r>
    </w:p>
    <w:p>
      <w:pPr>
        <w:pStyle w:val="MiscellaneousHeading"/>
        <w:rPr>
          <w:snapToGrid w:val="0"/>
        </w:rPr>
      </w:pPr>
      <w:r>
        <w:rPr>
          <w:snapToGrid w:val="0"/>
        </w:rPr>
        <w:t>TABLE</w:t>
      </w:r>
    </w:p>
    <w:tbl>
      <w:tblPr>
        <w:tblW w:w="0" w:type="auto"/>
        <w:tblInd w:w="28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284" w:type="dxa"/>
          <w:right w:w="284" w:type="dxa"/>
        </w:tblCellMar>
        <w:tblLook w:val="0000" w:firstRow="0" w:lastRow="0" w:firstColumn="0" w:lastColumn="0" w:noHBand="0" w:noVBand="0"/>
      </w:tblPr>
      <w:tblGrid>
        <w:gridCol w:w="1134"/>
        <w:gridCol w:w="2977"/>
        <w:gridCol w:w="1559"/>
        <w:gridCol w:w="1418"/>
      </w:tblGrid>
      <w:tr>
        <w:trPr>
          <w:cantSplit/>
        </w:trPr>
        <w:tc>
          <w:tcPr>
            <w:tcW w:w="1134" w:type="dxa"/>
            <w:tcBorders>
              <w:top w:val="double" w:sz="4" w:space="0" w:color="auto"/>
              <w:bottom w:val="single" w:sz="4" w:space="0" w:color="auto"/>
            </w:tcBorders>
            <w:shd w:val="pct10" w:color="auto" w:fill="auto"/>
          </w:tcPr>
          <w:p>
            <w:pPr>
              <w:pStyle w:val="Table"/>
              <w:spacing w:before="0"/>
              <w:jc w:val="center"/>
              <w:rPr>
                <w:sz w:val="18"/>
              </w:rPr>
            </w:pPr>
          </w:p>
        </w:tc>
        <w:tc>
          <w:tcPr>
            <w:tcW w:w="2977" w:type="dxa"/>
            <w:tcBorders>
              <w:top w:val="double" w:sz="4" w:space="0" w:color="auto"/>
              <w:bottom w:val="single" w:sz="4" w:space="0" w:color="auto"/>
            </w:tcBorders>
            <w:shd w:val="pct10" w:color="auto" w:fill="auto"/>
          </w:tcPr>
          <w:p>
            <w:pPr>
              <w:pStyle w:val="Table"/>
              <w:spacing w:before="0"/>
              <w:jc w:val="center"/>
              <w:rPr>
                <w:sz w:val="18"/>
              </w:rPr>
            </w:pPr>
          </w:p>
        </w:tc>
        <w:tc>
          <w:tcPr>
            <w:tcW w:w="2977" w:type="dxa"/>
            <w:gridSpan w:val="2"/>
            <w:tcBorders>
              <w:top w:val="double" w:sz="4" w:space="0" w:color="auto"/>
              <w:bottom w:val="single" w:sz="4" w:space="0" w:color="auto"/>
            </w:tcBorders>
            <w:shd w:val="pct10" w:color="auto" w:fill="auto"/>
          </w:tcPr>
          <w:p>
            <w:pPr>
              <w:pStyle w:val="Table"/>
              <w:spacing w:before="0"/>
              <w:jc w:val="center"/>
              <w:rPr>
                <w:sz w:val="18"/>
              </w:rPr>
            </w:pPr>
            <w:r>
              <w:rPr>
                <w:sz w:val="18"/>
              </w:rPr>
              <w:t>Minimum size (millimetres)</w:t>
            </w:r>
          </w:p>
        </w:tc>
      </w:tr>
      <w:tr>
        <w:tblPrEx>
          <w:tblCellMar>
            <w:left w:w="283" w:type="dxa"/>
            <w:right w:w="283" w:type="dxa"/>
          </w:tblCellMar>
        </w:tblPrEx>
        <w:trPr>
          <w:cantSplit/>
        </w:trPr>
        <w:tc>
          <w:tcPr>
            <w:tcW w:w="1134" w:type="dxa"/>
            <w:tcBorders>
              <w:top w:val="single" w:sz="4" w:space="0" w:color="auto"/>
              <w:bottom w:val="single" w:sz="4" w:space="0" w:color="auto"/>
            </w:tcBorders>
            <w:shd w:val="pct10" w:color="auto" w:fill="auto"/>
          </w:tcPr>
          <w:p>
            <w:pPr>
              <w:pStyle w:val="Table"/>
              <w:spacing w:before="0"/>
              <w:jc w:val="center"/>
              <w:rPr>
                <w:sz w:val="18"/>
              </w:rPr>
            </w:pPr>
            <w:r>
              <w:rPr>
                <w:sz w:val="18"/>
              </w:rPr>
              <w:t>Item</w:t>
            </w:r>
          </w:p>
        </w:tc>
        <w:tc>
          <w:tcPr>
            <w:tcW w:w="2977" w:type="dxa"/>
            <w:tcBorders>
              <w:top w:val="single" w:sz="4" w:space="0" w:color="auto"/>
              <w:bottom w:val="single" w:sz="4" w:space="0" w:color="auto"/>
            </w:tcBorders>
            <w:shd w:val="pct10" w:color="auto" w:fill="auto"/>
          </w:tcPr>
          <w:p>
            <w:pPr>
              <w:pStyle w:val="Table"/>
              <w:spacing w:before="0"/>
              <w:jc w:val="center"/>
              <w:rPr>
                <w:sz w:val="18"/>
              </w:rPr>
            </w:pPr>
            <w:r>
              <w:rPr>
                <w:sz w:val="18"/>
              </w:rPr>
              <w:t>Variety</w:t>
            </w:r>
          </w:p>
        </w:tc>
        <w:tc>
          <w:tcPr>
            <w:tcW w:w="1559" w:type="dxa"/>
            <w:tcBorders>
              <w:top w:val="single" w:sz="4" w:space="0" w:color="auto"/>
              <w:bottom w:val="single" w:sz="4" w:space="0" w:color="auto"/>
            </w:tcBorders>
            <w:shd w:val="pct10" w:color="auto" w:fill="auto"/>
          </w:tcPr>
          <w:p>
            <w:pPr>
              <w:pStyle w:val="Table"/>
              <w:spacing w:before="0"/>
              <w:jc w:val="center"/>
              <w:rPr>
                <w:sz w:val="18"/>
              </w:rPr>
            </w:pPr>
            <w:r>
              <w:rPr>
                <w:sz w:val="18"/>
              </w:rPr>
              <w:t>Extra Class</w:t>
            </w:r>
          </w:p>
          <w:p>
            <w:pPr>
              <w:pStyle w:val="Table"/>
              <w:spacing w:before="0"/>
              <w:jc w:val="center"/>
              <w:rPr>
                <w:sz w:val="18"/>
              </w:rPr>
            </w:pPr>
            <w:r>
              <w:rPr>
                <w:sz w:val="18"/>
              </w:rPr>
              <w:t>and Class 1</w:t>
            </w:r>
          </w:p>
        </w:tc>
        <w:tc>
          <w:tcPr>
            <w:tcW w:w="1418" w:type="dxa"/>
            <w:tcBorders>
              <w:top w:val="single" w:sz="4" w:space="0" w:color="auto"/>
              <w:bottom w:val="single" w:sz="4" w:space="0" w:color="auto"/>
            </w:tcBorders>
            <w:shd w:val="pct10" w:color="auto" w:fill="auto"/>
          </w:tcPr>
          <w:p>
            <w:pPr>
              <w:pStyle w:val="Table"/>
              <w:spacing w:before="0"/>
              <w:jc w:val="center"/>
              <w:rPr>
                <w:sz w:val="18"/>
              </w:rPr>
            </w:pPr>
            <w:r>
              <w:rPr>
                <w:sz w:val="18"/>
              </w:rPr>
              <w:t>Class 2</w:t>
            </w:r>
          </w:p>
        </w:tc>
      </w:tr>
      <w:tr>
        <w:tblPrEx>
          <w:tblCellMar>
            <w:left w:w="283" w:type="dxa"/>
            <w:right w:w="283" w:type="dxa"/>
          </w:tblCellMar>
        </w:tblPrEx>
        <w:trPr>
          <w:cantSplit/>
        </w:trPr>
        <w:tc>
          <w:tcPr>
            <w:tcW w:w="1134" w:type="dxa"/>
            <w:tcBorders>
              <w:top w:val="nil"/>
            </w:tcBorders>
          </w:tcPr>
          <w:p>
            <w:pPr>
              <w:pStyle w:val="Table"/>
              <w:spacing w:before="0"/>
              <w:jc w:val="center"/>
              <w:rPr>
                <w:sz w:val="18"/>
              </w:rPr>
            </w:pPr>
            <w:r>
              <w:rPr>
                <w:sz w:val="18"/>
              </w:rPr>
              <w:t>1</w:t>
            </w:r>
          </w:p>
        </w:tc>
        <w:tc>
          <w:tcPr>
            <w:tcW w:w="2977" w:type="dxa"/>
            <w:tcBorders>
              <w:top w:val="nil"/>
            </w:tcBorders>
          </w:tcPr>
          <w:p>
            <w:pPr>
              <w:pStyle w:val="Table"/>
              <w:spacing w:before="0"/>
              <w:rPr>
                <w:sz w:val="18"/>
              </w:rPr>
            </w:pPr>
            <w:r>
              <w:rPr>
                <w:sz w:val="18"/>
              </w:rPr>
              <w:t>Narrabeen</w:t>
            </w:r>
          </w:p>
        </w:tc>
        <w:tc>
          <w:tcPr>
            <w:tcW w:w="1559" w:type="dxa"/>
            <w:tcBorders>
              <w:top w:val="nil"/>
            </w:tcBorders>
          </w:tcPr>
          <w:p>
            <w:pPr>
              <w:pStyle w:val="Table"/>
              <w:spacing w:before="0"/>
              <w:jc w:val="center"/>
              <w:rPr>
                <w:sz w:val="18"/>
              </w:rPr>
            </w:pPr>
            <w:r>
              <w:rPr>
                <w:sz w:val="18"/>
              </w:rPr>
              <w:t>50</w:t>
            </w:r>
          </w:p>
        </w:tc>
        <w:tc>
          <w:tcPr>
            <w:tcW w:w="1418" w:type="dxa"/>
            <w:tcBorders>
              <w:top w:val="nil"/>
            </w:tcBorders>
          </w:tcPr>
          <w:p>
            <w:pPr>
              <w:pStyle w:val="Table"/>
              <w:spacing w:before="0"/>
              <w:jc w:val="center"/>
              <w:rPr>
                <w:sz w:val="18"/>
              </w:rPr>
            </w:pPr>
            <w:r>
              <w:rPr>
                <w:sz w:val="18"/>
              </w:rPr>
              <w:t>55</w:t>
            </w:r>
          </w:p>
        </w:tc>
      </w:tr>
      <w:tr>
        <w:tblPrEx>
          <w:tblCellMar>
            <w:left w:w="283" w:type="dxa"/>
            <w:right w:w="283" w:type="dxa"/>
          </w:tblCellMar>
        </w:tblPrEx>
        <w:trPr>
          <w:cantSplit/>
        </w:trPr>
        <w:tc>
          <w:tcPr>
            <w:tcW w:w="1134" w:type="dxa"/>
          </w:tcPr>
          <w:p>
            <w:pPr>
              <w:pStyle w:val="Table"/>
              <w:spacing w:before="0"/>
              <w:jc w:val="center"/>
              <w:rPr>
                <w:sz w:val="18"/>
              </w:rPr>
            </w:pPr>
            <w:r>
              <w:rPr>
                <w:sz w:val="18"/>
              </w:rPr>
              <w:t>2</w:t>
            </w:r>
          </w:p>
        </w:tc>
        <w:tc>
          <w:tcPr>
            <w:tcW w:w="2977" w:type="dxa"/>
          </w:tcPr>
          <w:p>
            <w:pPr>
              <w:pStyle w:val="Table"/>
              <w:spacing w:before="0"/>
              <w:rPr>
                <w:sz w:val="18"/>
              </w:rPr>
            </w:pPr>
            <w:r>
              <w:rPr>
                <w:sz w:val="18"/>
              </w:rPr>
              <w:t>Wickson</w:t>
            </w:r>
          </w:p>
          <w:p>
            <w:pPr>
              <w:pStyle w:val="Table"/>
              <w:spacing w:before="0"/>
              <w:rPr>
                <w:sz w:val="18"/>
              </w:rPr>
            </w:pPr>
            <w:r>
              <w:rPr>
                <w:sz w:val="18"/>
              </w:rPr>
              <w:t>Creswell</w:t>
            </w:r>
          </w:p>
          <w:p>
            <w:pPr>
              <w:pStyle w:val="Table"/>
              <w:spacing w:before="0"/>
              <w:rPr>
                <w:sz w:val="18"/>
              </w:rPr>
            </w:pPr>
            <w:r>
              <w:rPr>
                <w:sz w:val="18"/>
              </w:rPr>
              <w:t>Mariposa</w:t>
            </w:r>
          </w:p>
          <w:p>
            <w:pPr>
              <w:pStyle w:val="Table"/>
              <w:spacing w:before="0"/>
              <w:rPr>
                <w:sz w:val="18"/>
              </w:rPr>
            </w:pPr>
            <w:r>
              <w:rPr>
                <w:sz w:val="18"/>
              </w:rPr>
              <w:t>Elephant Heart</w:t>
            </w:r>
          </w:p>
        </w:tc>
        <w:tc>
          <w:tcPr>
            <w:tcW w:w="1559" w:type="dxa"/>
          </w:tcPr>
          <w:p>
            <w:pPr>
              <w:pStyle w:val="Table"/>
              <w:spacing w:before="0"/>
              <w:jc w:val="center"/>
              <w:rPr>
                <w:sz w:val="18"/>
              </w:rPr>
            </w:pPr>
            <w:r>
              <w:rPr>
                <w:sz w:val="18"/>
              </w:rPr>
              <w:t>45</w:t>
            </w:r>
          </w:p>
        </w:tc>
        <w:tc>
          <w:tcPr>
            <w:tcW w:w="1418" w:type="dxa"/>
          </w:tcPr>
          <w:p>
            <w:pPr>
              <w:pStyle w:val="Table"/>
              <w:spacing w:before="0"/>
              <w:jc w:val="center"/>
              <w:rPr>
                <w:sz w:val="18"/>
              </w:rPr>
            </w:pPr>
            <w:r>
              <w:rPr>
                <w:sz w:val="18"/>
              </w:rPr>
              <w:t>50</w:t>
            </w:r>
          </w:p>
        </w:tc>
      </w:tr>
      <w:tr>
        <w:tblPrEx>
          <w:tblCellMar>
            <w:left w:w="283" w:type="dxa"/>
            <w:right w:w="283" w:type="dxa"/>
          </w:tblCellMar>
        </w:tblPrEx>
        <w:trPr>
          <w:cantSplit/>
        </w:trPr>
        <w:tc>
          <w:tcPr>
            <w:tcW w:w="1134" w:type="dxa"/>
          </w:tcPr>
          <w:p>
            <w:pPr>
              <w:pStyle w:val="Table"/>
              <w:spacing w:before="0"/>
              <w:jc w:val="center"/>
              <w:rPr>
                <w:sz w:val="18"/>
              </w:rPr>
            </w:pPr>
            <w:r>
              <w:rPr>
                <w:sz w:val="18"/>
              </w:rPr>
              <w:t>3</w:t>
            </w:r>
          </w:p>
        </w:tc>
        <w:tc>
          <w:tcPr>
            <w:tcW w:w="2977" w:type="dxa"/>
          </w:tcPr>
          <w:p>
            <w:pPr>
              <w:pStyle w:val="Table"/>
              <w:spacing w:before="0"/>
              <w:rPr>
                <w:sz w:val="18"/>
              </w:rPr>
            </w:pPr>
            <w:r>
              <w:rPr>
                <w:sz w:val="18"/>
              </w:rPr>
              <w:t>Prune D’Agen</w:t>
            </w:r>
          </w:p>
        </w:tc>
        <w:tc>
          <w:tcPr>
            <w:tcW w:w="1559" w:type="dxa"/>
          </w:tcPr>
          <w:p>
            <w:pPr>
              <w:pStyle w:val="Table"/>
              <w:spacing w:before="0"/>
              <w:jc w:val="center"/>
              <w:rPr>
                <w:sz w:val="18"/>
              </w:rPr>
            </w:pPr>
            <w:r>
              <w:rPr>
                <w:sz w:val="18"/>
              </w:rPr>
              <w:t>32</w:t>
            </w:r>
          </w:p>
        </w:tc>
        <w:tc>
          <w:tcPr>
            <w:tcW w:w="1418" w:type="dxa"/>
          </w:tcPr>
          <w:p>
            <w:pPr>
              <w:pStyle w:val="Table"/>
              <w:spacing w:before="0"/>
              <w:jc w:val="center"/>
              <w:rPr>
                <w:sz w:val="18"/>
              </w:rPr>
            </w:pPr>
            <w:r>
              <w:rPr>
                <w:sz w:val="18"/>
              </w:rPr>
              <w:t>32</w:t>
            </w:r>
          </w:p>
        </w:tc>
      </w:tr>
      <w:tr>
        <w:tblPrEx>
          <w:tblCellMar>
            <w:left w:w="283" w:type="dxa"/>
            <w:right w:w="283" w:type="dxa"/>
          </w:tblCellMar>
        </w:tblPrEx>
        <w:trPr>
          <w:cantSplit/>
        </w:trPr>
        <w:tc>
          <w:tcPr>
            <w:tcW w:w="1134" w:type="dxa"/>
          </w:tcPr>
          <w:p>
            <w:pPr>
              <w:pStyle w:val="Table"/>
              <w:spacing w:before="0"/>
              <w:jc w:val="center"/>
              <w:rPr>
                <w:sz w:val="18"/>
              </w:rPr>
            </w:pPr>
            <w:r>
              <w:rPr>
                <w:sz w:val="18"/>
              </w:rPr>
              <w:t>4</w:t>
            </w:r>
          </w:p>
        </w:tc>
        <w:tc>
          <w:tcPr>
            <w:tcW w:w="2977" w:type="dxa"/>
          </w:tcPr>
          <w:p>
            <w:pPr>
              <w:pStyle w:val="Table"/>
              <w:spacing w:before="0"/>
              <w:rPr>
                <w:sz w:val="18"/>
              </w:rPr>
            </w:pPr>
            <w:r>
              <w:rPr>
                <w:sz w:val="18"/>
              </w:rPr>
              <w:t>All other varieties (other than Wilson and Cherry Plum)</w:t>
            </w:r>
          </w:p>
        </w:tc>
        <w:tc>
          <w:tcPr>
            <w:tcW w:w="1559" w:type="dxa"/>
          </w:tcPr>
          <w:p>
            <w:pPr>
              <w:pStyle w:val="Table"/>
              <w:spacing w:before="0"/>
              <w:jc w:val="center"/>
              <w:rPr>
                <w:sz w:val="18"/>
              </w:rPr>
            </w:pPr>
            <w:r>
              <w:rPr>
                <w:sz w:val="18"/>
              </w:rPr>
              <w:t>40</w:t>
            </w:r>
          </w:p>
        </w:tc>
        <w:tc>
          <w:tcPr>
            <w:tcW w:w="1418" w:type="dxa"/>
          </w:tcPr>
          <w:p>
            <w:pPr>
              <w:pStyle w:val="Table"/>
              <w:spacing w:before="0"/>
              <w:jc w:val="center"/>
              <w:rPr>
                <w:sz w:val="18"/>
              </w:rPr>
            </w:pPr>
            <w:r>
              <w:rPr>
                <w:sz w:val="18"/>
              </w:rPr>
              <w:t>40</w:t>
            </w:r>
          </w:p>
        </w:tc>
      </w:tr>
    </w:tbl>
    <w:p>
      <w:pPr>
        <w:pStyle w:val="Heading5"/>
        <w:rPr>
          <w:snapToGrid w:val="0"/>
        </w:rPr>
      </w:pPr>
      <w:bookmarkStart w:id="40" w:name="_Toc378254962"/>
      <w:bookmarkStart w:id="41" w:name="_Toc426976466"/>
      <w:r>
        <w:rPr>
          <w:rStyle w:val="CharSectno"/>
        </w:rPr>
        <w:t>13</w:t>
      </w:r>
      <w:r>
        <w:rPr>
          <w:snapToGrid w:val="0"/>
        </w:rPr>
        <w:t>.</w:t>
      </w:r>
      <w:r>
        <w:rPr>
          <w:snapToGrid w:val="0"/>
        </w:rPr>
        <w:tab/>
        <w:t>Tolerances</w:t>
      </w:r>
      <w:bookmarkEnd w:id="40"/>
      <w:bookmarkEnd w:id="41"/>
      <w:r>
        <w:rPr>
          <w:snapToGrid w:val="0"/>
        </w:rPr>
        <w:t xml:space="preserve"> </w:t>
      </w:r>
    </w:p>
    <w:p>
      <w:pPr>
        <w:pStyle w:val="Subsection"/>
        <w:rPr>
          <w:snapToGrid w:val="0"/>
        </w:rPr>
      </w:pPr>
      <w:r>
        <w:rPr>
          <w:snapToGrid w:val="0"/>
        </w:rPr>
        <w:tab/>
      </w:r>
      <w:r>
        <w:rPr>
          <w:snapToGrid w:val="0"/>
        </w:rPr>
        <w:tab/>
        <w:t>A package of plums may contain — </w:t>
      </w:r>
    </w:p>
    <w:p>
      <w:pPr>
        <w:pStyle w:val="Indenta"/>
        <w:rPr>
          <w:snapToGrid w:val="0"/>
        </w:rPr>
      </w:pPr>
      <w:r>
        <w:rPr>
          <w:snapToGrid w:val="0"/>
        </w:rPr>
        <w:tab/>
        <w:t>(a)</w:t>
      </w:r>
      <w:r>
        <w:rPr>
          <w:snapToGrid w:val="0"/>
        </w:rPr>
        <w:tab/>
        <w:t>in the case of Extra Class plums, a maximum of 5 per cent by number or net mass of plums not satisfying the requirements of that class but satisfying the requirements of Class 1;</w:t>
      </w:r>
    </w:p>
    <w:p>
      <w:pPr>
        <w:pStyle w:val="Indenta"/>
        <w:rPr>
          <w:snapToGrid w:val="0"/>
        </w:rPr>
      </w:pPr>
      <w:r>
        <w:rPr>
          <w:snapToGrid w:val="0"/>
        </w:rPr>
        <w:tab/>
        <w:t>(b)</w:t>
      </w:r>
      <w:r>
        <w:rPr>
          <w:snapToGrid w:val="0"/>
        </w:rPr>
        <w:tab/>
        <w:t>in the case of Class 1 plums, a maximum of 10 per cent by number or net mass of plums not satisfying the requirements of that class but satisfying the requirements of Class 2;</w:t>
      </w:r>
    </w:p>
    <w:p>
      <w:pPr>
        <w:pStyle w:val="Indenta"/>
        <w:rPr>
          <w:snapToGrid w:val="0"/>
        </w:rPr>
      </w:pPr>
      <w:r>
        <w:rPr>
          <w:snapToGrid w:val="0"/>
        </w:rPr>
        <w:tab/>
        <w:t>(c)</w:t>
      </w:r>
      <w:r>
        <w:rPr>
          <w:snapToGrid w:val="0"/>
        </w:rPr>
        <w:tab/>
        <w:t>in respect of size for Extra Class and Class 1 plums, a maximum of 10 per cent by number or net mass of plums not more than 2 millimetres greater or less than the size or size range marked on the package;</w:t>
      </w:r>
    </w:p>
    <w:p>
      <w:pPr>
        <w:pStyle w:val="Indenta"/>
        <w:rPr>
          <w:snapToGrid w:val="0"/>
        </w:rPr>
      </w:pPr>
      <w:r>
        <w:rPr>
          <w:snapToGrid w:val="0"/>
        </w:rPr>
        <w:tab/>
        <w:t>(d)</w:t>
      </w:r>
      <w:r>
        <w:rPr>
          <w:snapToGrid w:val="0"/>
        </w:rPr>
        <w:tab/>
        <w:t>in the case of Class 1 and Class 2 plums, not more than 10 per cent by number of plums affected by hail damage, subject to — </w:t>
      </w:r>
    </w:p>
    <w:p>
      <w:pPr>
        <w:pStyle w:val="Indenti"/>
        <w:rPr>
          <w:snapToGrid w:val="0"/>
        </w:rPr>
      </w:pPr>
      <w:r>
        <w:rPr>
          <w:snapToGrid w:val="0"/>
        </w:rPr>
        <w:tab/>
        <w:t>(i)</w:t>
      </w:r>
      <w:r>
        <w:rPr>
          <w:snapToGrid w:val="0"/>
        </w:rPr>
        <w:tab/>
        <w:t>the damage being superficial and the skin being unbroken;</w:t>
      </w:r>
    </w:p>
    <w:p>
      <w:pPr>
        <w:pStyle w:val="Indenti"/>
        <w:rPr>
          <w:snapToGrid w:val="0"/>
        </w:rPr>
      </w:pPr>
      <w:r>
        <w:rPr>
          <w:snapToGrid w:val="0"/>
        </w:rPr>
        <w:tab/>
        <w:t>(ii)</w:t>
      </w:r>
      <w:r>
        <w:rPr>
          <w:snapToGrid w:val="0"/>
        </w:rPr>
        <w:tab/>
        <w:t>individual hail marks not exceeding 3 millimetres in diameter; and</w:t>
      </w:r>
    </w:p>
    <w:p>
      <w:pPr>
        <w:pStyle w:val="Indenti"/>
        <w:rPr>
          <w:snapToGrid w:val="0"/>
        </w:rPr>
      </w:pPr>
      <w:r>
        <w:rPr>
          <w:snapToGrid w:val="0"/>
        </w:rPr>
        <w:tab/>
        <w:t>(iii)</w:t>
      </w:r>
      <w:r>
        <w:rPr>
          <w:snapToGrid w:val="0"/>
        </w:rPr>
        <w:tab/>
        <w:t>the aggregate affected area on any plum not exceeding 6 millimetres in diameter;</w:t>
      </w:r>
    </w:p>
    <w:p>
      <w:pPr>
        <w:pStyle w:val="Indenta"/>
        <w:rPr>
          <w:snapToGrid w:val="0"/>
        </w:rPr>
      </w:pPr>
      <w:r>
        <w:rPr>
          <w:snapToGrid w:val="0"/>
        </w:rPr>
        <w:tab/>
        <w:t>(e)</w:t>
      </w:r>
      <w:r>
        <w:rPr>
          <w:snapToGrid w:val="0"/>
        </w:rPr>
        <w:tab/>
        <w:t>plums that have a damaged or missing stalk, if there is no risk of the plums rotting.</w:t>
      </w:r>
    </w:p>
    <w:p>
      <w:pPr>
        <w:pStyle w:val="Heading5"/>
        <w:rPr>
          <w:snapToGrid w:val="0"/>
        </w:rPr>
      </w:pPr>
      <w:bookmarkStart w:id="42" w:name="_Toc378254963"/>
      <w:bookmarkStart w:id="43" w:name="_Toc426976467"/>
      <w:r>
        <w:rPr>
          <w:rStyle w:val="CharSectno"/>
        </w:rPr>
        <w:t>14</w:t>
      </w:r>
      <w:r>
        <w:rPr>
          <w:snapToGrid w:val="0"/>
        </w:rPr>
        <w:t>.</w:t>
      </w:r>
      <w:r>
        <w:rPr>
          <w:snapToGrid w:val="0"/>
        </w:rPr>
        <w:tab/>
        <w:t>Uniformity of plums within packages</w:t>
      </w:r>
      <w:bookmarkEnd w:id="42"/>
      <w:bookmarkEnd w:id="43"/>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plums shall be uniform in shape and colour;</w:t>
      </w:r>
    </w:p>
    <w:p>
      <w:pPr>
        <w:pStyle w:val="Indenta"/>
        <w:rPr>
          <w:snapToGrid w:val="0"/>
        </w:rPr>
      </w:pPr>
      <w:r>
        <w:rPr>
          <w:snapToGrid w:val="0"/>
        </w:rPr>
        <w:tab/>
        <w:t>(b)</w:t>
      </w:r>
      <w:r>
        <w:rPr>
          <w:snapToGrid w:val="0"/>
        </w:rPr>
        <w:tab/>
        <w:t>Class 1 plums shall be practically uniform in shape and colour; and</w:t>
      </w:r>
    </w:p>
    <w:p>
      <w:pPr>
        <w:pStyle w:val="Indenta"/>
        <w:rPr>
          <w:snapToGrid w:val="0"/>
        </w:rPr>
      </w:pPr>
      <w:r>
        <w:rPr>
          <w:snapToGrid w:val="0"/>
        </w:rPr>
        <w:tab/>
        <w:t>(c)</w:t>
      </w:r>
      <w:r>
        <w:rPr>
          <w:snapToGrid w:val="0"/>
        </w:rPr>
        <w:tab/>
        <w:t>Class 2 plums shall be reasonably uniform in shape and colour.</w:t>
      </w:r>
    </w:p>
    <w:p>
      <w:pPr>
        <w:pStyle w:val="Heading5"/>
        <w:rPr>
          <w:snapToGrid w:val="0"/>
        </w:rPr>
      </w:pPr>
      <w:bookmarkStart w:id="44" w:name="_Toc378254964"/>
      <w:bookmarkStart w:id="45" w:name="_Toc426976468"/>
      <w:r>
        <w:rPr>
          <w:rStyle w:val="CharSectno"/>
        </w:rPr>
        <w:t>15</w:t>
      </w:r>
      <w:r>
        <w:rPr>
          <w:snapToGrid w:val="0"/>
        </w:rPr>
        <w:t>.</w:t>
      </w:r>
      <w:r>
        <w:rPr>
          <w:snapToGrid w:val="0"/>
        </w:rPr>
        <w:tab/>
        <w:t>Presentation of plums</w:t>
      </w:r>
      <w:bookmarkEnd w:id="44"/>
      <w:bookmarkEnd w:id="45"/>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plums to withstand handling and transport.</w:t>
      </w:r>
    </w:p>
    <w:p>
      <w:pPr>
        <w:pStyle w:val="Subsection"/>
        <w:rPr>
          <w:snapToGrid w:val="0"/>
        </w:rPr>
      </w:pPr>
      <w:r>
        <w:rPr>
          <w:snapToGrid w:val="0"/>
        </w:rPr>
        <w:tab/>
        <w:t>(2)</w:t>
      </w:r>
      <w:r>
        <w:rPr>
          <w:snapToGrid w:val="0"/>
        </w:rPr>
        <w:tab/>
        <w:t>Subject to this Part and Part 2, each package shall contain only plums of the same variety, strain, quality and degree of ripeness.</w:t>
      </w:r>
    </w:p>
    <w:p>
      <w:pPr>
        <w:pStyle w:val="Subsection"/>
        <w:rPr>
          <w:snapToGrid w:val="0"/>
        </w:rPr>
      </w:pPr>
      <w:r>
        <w:rPr>
          <w:snapToGrid w:val="0"/>
        </w:rPr>
        <w:tab/>
        <w:t>(3)</w:t>
      </w:r>
      <w:r>
        <w:rPr>
          <w:snapToGrid w:val="0"/>
        </w:rPr>
        <w:tab/>
        <w:t>Any plums packed in a package that are visible shall be representative of the contents of the package.</w:t>
      </w:r>
    </w:p>
    <w:p>
      <w:pPr>
        <w:pStyle w:val="Subsection"/>
        <w:rPr>
          <w:snapToGrid w:val="0"/>
        </w:rPr>
      </w:pPr>
      <w:r>
        <w:rPr>
          <w:snapToGrid w:val="0"/>
        </w:rPr>
        <w:tab/>
        <w:t>(4)</w:t>
      </w:r>
      <w:r>
        <w:rPr>
          <w:snapToGrid w:val="0"/>
        </w:rPr>
        <w:tab/>
        <w:t>Packages containing plums shall be free from extraneous plant material such as leaves and spurs.</w:t>
      </w:r>
    </w:p>
    <w:p>
      <w:pPr>
        <w:pStyle w:val="Heading5"/>
        <w:rPr>
          <w:snapToGrid w:val="0"/>
        </w:rPr>
      </w:pPr>
      <w:bookmarkStart w:id="46" w:name="_Toc378254965"/>
      <w:bookmarkStart w:id="47" w:name="_Toc426976469"/>
      <w:r>
        <w:rPr>
          <w:rStyle w:val="CharSectno"/>
        </w:rPr>
        <w:t>16</w:t>
      </w:r>
      <w:r>
        <w:rPr>
          <w:snapToGrid w:val="0"/>
        </w:rPr>
        <w:t>.</w:t>
      </w:r>
      <w:r>
        <w:rPr>
          <w:snapToGrid w:val="0"/>
        </w:rPr>
        <w:tab/>
        <w:t>Packaging materials</w:t>
      </w:r>
      <w:bookmarkEnd w:id="46"/>
      <w:bookmarkEnd w:id="47"/>
      <w:r>
        <w:rPr>
          <w:snapToGrid w:val="0"/>
        </w:rPr>
        <w:t xml:space="preserve"> </w:t>
      </w:r>
    </w:p>
    <w:p>
      <w:pPr>
        <w:pStyle w:val="Subsection"/>
        <w:rPr>
          <w:snapToGrid w:val="0"/>
        </w:rPr>
      </w:pPr>
      <w:r>
        <w:rPr>
          <w:snapToGrid w:val="0"/>
        </w:rPr>
        <w:tab/>
        <w:t>(1)</w:t>
      </w:r>
      <w:r>
        <w:rPr>
          <w:snapToGrid w:val="0"/>
        </w:rPr>
        <w:tab/>
        <w:t>Packages into which any plums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plums from damage.</w:t>
      </w:r>
    </w:p>
    <w:p>
      <w:pPr>
        <w:pStyle w:val="Subsection"/>
        <w:rPr>
          <w:snapToGrid w:val="0"/>
        </w:rPr>
      </w:pPr>
      <w:r>
        <w:rPr>
          <w:snapToGrid w:val="0"/>
        </w:rPr>
        <w:tab/>
        <w:t>(2)</w:t>
      </w:r>
      <w:r>
        <w:rPr>
          <w:snapToGrid w:val="0"/>
        </w:rPr>
        <w:tab/>
        <w:t>Materials used inside packages shall be new.</w:t>
      </w:r>
    </w:p>
    <w:p>
      <w:pPr>
        <w:pStyle w:val="Heading2"/>
      </w:pPr>
      <w:bookmarkStart w:id="48" w:name="_Toc378254937"/>
      <w:bookmarkStart w:id="49" w:name="_Toc378254966"/>
      <w:bookmarkStart w:id="50" w:name="_Toc426976441"/>
      <w:bookmarkStart w:id="51" w:name="_Toc426976470"/>
      <w:r>
        <w:rPr>
          <w:rStyle w:val="CharPartNo"/>
        </w:rPr>
        <w:t>Part 4</w:t>
      </w:r>
      <w:r>
        <w:rPr>
          <w:rStyle w:val="CharDivNo"/>
        </w:rPr>
        <w:t> </w:t>
      </w:r>
      <w:r>
        <w:t>—</w:t>
      </w:r>
      <w:r>
        <w:rPr>
          <w:rStyle w:val="CharDivText"/>
        </w:rPr>
        <w:t> </w:t>
      </w:r>
      <w:r>
        <w:rPr>
          <w:rStyle w:val="CharPartText"/>
        </w:rPr>
        <w:t>Marking</w:t>
      </w:r>
      <w:bookmarkEnd w:id="48"/>
      <w:bookmarkEnd w:id="49"/>
      <w:bookmarkEnd w:id="50"/>
      <w:bookmarkEnd w:id="51"/>
      <w:r>
        <w:rPr>
          <w:rStyle w:val="CharPartText"/>
        </w:rPr>
        <w:t xml:space="preserve"> </w:t>
      </w:r>
    </w:p>
    <w:p>
      <w:pPr>
        <w:pStyle w:val="Heading5"/>
        <w:rPr>
          <w:snapToGrid w:val="0"/>
        </w:rPr>
      </w:pPr>
      <w:bookmarkStart w:id="52" w:name="_Toc378254967"/>
      <w:bookmarkStart w:id="53" w:name="_Toc426976471"/>
      <w:r>
        <w:rPr>
          <w:rStyle w:val="CharSectno"/>
        </w:rPr>
        <w:t>17</w:t>
      </w:r>
      <w:r>
        <w:rPr>
          <w:snapToGrid w:val="0"/>
        </w:rPr>
        <w:t>.</w:t>
      </w:r>
      <w:r>
        <w:rPr>
          <w:snapToGrid w:val="0"/>
        </w:rPr>
        <w:tab/>
        <w:t>Packages marked “Unclassed”</w:t>
      </w:r>
      <w:bookmarkEnd w:id="52"/>
      <w:bookmarkEnd w:id="53"/>
      <w:r>
        <w:rPr>
          <w:snapToGrid w:val="0"/>
        </w:rPr>
        <w:t xml:space="preserve"> </w:t>
      </w:r>
    </w:p>
    <w:p>
      <w:pPr>
        <w:pStyle w:val="Subsection"/>
        <w:rPr>
          <w:snapToGrid w:val="0"/>
        </w:rPr>
      </w:pPr>
      <w:r>
        <w:rPr>
          <w:snapToGrid w:val="0"/>
        </w:rPr>
        <w:tab/>
      </w:r>
      <w:r>
        <w:rPr>
          <w:snapToGrid w:val="0"/>
        </w:rPr>
        <w:tab/>
        <w:t>A package containing plums of mixed classes as permitted by clause 11 shall be marked “UNCLASSED”.</w:t>
      </w:r>
    </w:p>
    <w:p>
      <w:pPr>
        <w:pStyle w:val="Heading5"/>
        <w:rPr>
          <w:snapToGrid w:val="0"/>
        </w:rPr>
      </w:pPr>
      <w:bookmarkStart w:id="54" w:name="_Toc378254968"/>
      <w:bookmarkStart w:id="55" w:name="_Toc426976472"/>
      <w:r>
        <w:rPr>
          <w:rStyle w:val="CharSectno"/>
        </w:rPr>
        <w:t>18</w:t>
      </w:r>
      <w:r>
        <w:rPr>
          <w:snapToGrid w:val="0"/>
        </w:rPr>
        <w:t>.</w:t>
      </w:r>
      <w:r>
        <w:rPr>
          <w:snapToGrid w:val="0"/>
        </w:rPr>
        <w:tab/>
        <w:t>Complete trade description to be applied</w:t>
      </w:r>
      <w:bookmarkEnd w:id="54"/>
      <w:bookmarkEnd w:id="55"/>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56" w:name="_Toc378254969"/>
      <w:bookmarkStart w:id="57" w:name="_Toc426976473"/>
      <w:r>
        <w:rPr>
          <w:rStyle w:val="CharSectno"/>
        </w:rPr>
        <w:t>19</w:t>
      </w:r>
      <w:r>
        <w:rPr>
          <w:snapToGrid w:val="0"/>
        </w:rPr>
        <w:t>.</w:t>
      </w:r>
      <w:r>
        <w:rPr>
          <w:snapToGrid w:val="0"/>
        </w:rPr>
        <w:tab/>
        <w:t>Information to be included in trade description</w:t>
      </w:r>
      <w:bookmarkEnd w:id="56"/>
      <w:bookmarkEnd w:id="57"/>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name and address of the person who packed the plums;</w:t>
      </w:r>
    </w:p>
    <w:p>
      <w:pPr>
        <w:pStyle w:val="Indenta"/>
        <w:rPr>
          <w:snapToGrid w:val="0"/>
        </w:rPr>
      </w:pPr>
      <w:r>
        <w:rPr>
          <w:snapToGrid w:val="0"/>
        </w:rPr>
        <w:tab/>
        <w:t>(b)</w:t>
      </w:r>
      <w:r>
        <w:rPr>
          <w:snapToGrid w:val="0"/>
        </w:rPr>
        <w:tab/>
        <w:t>the word “plum” or “plums”;</w:t>
      </w:r>
    </w:p>
    <w:p>
      <w:pPr>
        <w:pStyle w:val="Indenta"/>
        <w:rPr>
          <w:snapToGrid w:val="0"/>
        </w:rPr>
      </w:pPr>
      <w:r>
        <w:rPr>
          <w:snapToGrid w:val="0"/>
        </w:rPr>
        <w:tab/>
        <w:t>(c)</w:t>
      </w:r>
      <w:r>
        <w:rPr>
          <w:snapToGrid w:val="0"/>
        </w:rPr>
        <w:tab/>
        <w:t>the full name of the variety of the plum contained in the package or the abbreviation of that name as shown in the second column of the Table to this clause;</w:t>
      </w:r>
    </w:p>
    <w:p>
      <w:pPr>
        <w:pStyle w:val="Indenta"/>
        <w:rPr>
          <w:snapToGrid w:val="0"/>
        </w:rPr>
      </w:pPr>
      <w:r>
        <w:rPr>
          <w:snapToGrid w:val="0"/>
        </w:rPr>
        <w:tab/>
        <w:t>(d)</w:t>
      </w:r>
      <w:r>
        <w:rPr>
          <w:snapToGrid w:val="0"/>
        </w:rPr>
        <w:tab/>
        <w:t>the class of the plums;</w:t>
      </w:r>
    </w:p>
    <w:p>
      <w:pPr>
        <w:pStyle w:val="Indenta"/>
        <w:rPr>
          <w:snapToGrid w:val="0"/>
        </w:rPr>
      </w:pPr>
      <w:r>
        <w:rPr>
          <w:snapToGrid w:val="0"/>
        </w:rPr>
        <w:tab/>
        <w:t>(e)</w:t>
      </w:r>
      <w:r>
        <w:rPr>
          <w:snapToGrid w:val="0"/>
        </w:rPr>
        <w:tab/>
        <w:t>the size, size range or count of the plums; and</w:t>
      </w:r>
    </w:p>
    <w:p>
      <w:pPr>
        <w:pStyle w:val="Indenta"/>
        <w:rPr>
          <w:snapToGrid w:val="0"/>
        </w:rPr>
      </w:pPr>
      <w:r>
        <w:rPr>
          <w:snapToGrid w:val="0"/>
        </w:rPr>
        <w:tab/>
        <w:t>(f)</w:t>
      </w:r>
      <w:r>
        <w:rPr>
          <w:snapToGrid w:val="0"/>
        </w:rPr>
        <w:tab/>
        <w:t>in the case of — </w:t>
      </w:r>
    </w:p>
    <w:p>
      <w:pPr>
        <w:pStyle w:val="Indenti"/>
        <w:rPr>
          <w:snapToGrid w:val="0"/>
        </w:rPr>
      </w:pPr>
      <w:r>
        <w:rPr>
          <w:snapToGrid w:val="0"/>
        </w:rPr>
        <w:tab/>
        <w:t>(i)</w:t>
      </w:r>
      <w:r>
        <w:rPr>
          <w:snapToGrid w:val="0"/>
        </w:rPr>
        <w:tab/>
        <w:t>a package of Class 2 plums that have not been sized; or</w:t>
      </w:r>
    </w:p>
    <w:p>
      <w:pPr>
        <w:pStyle w:val="Indenti"/>
        <w:rPr>
          <w:snapToGrid w:val="0"/>
        </w:rPr>
      </w:pPr>
      <w:r>
        <w:rPr>
          <w:snapToGrid w:val="0"/>
        </w:rPr>
        <w:tab/>
        <w:t>(ii)</w:t>
      </w:r>
      <w:r>
        <w:rPr>
          <w:snapToGrid w:val="0"/>
        </w:rPr>
        <w:tab/>
        <w:t>a package marked “UNCLASSED” containing plums that have not been sized,</w:t>
      </w:r>
    </w:p>
    <w:p>
      <w:pPr>
        <w:pStyle w:val="Indenta"/>
        <w:rPr>
          <w:snapToGrid w:val="0"/>
        </w:rPr>
      </w:pPr>
      <w:r>
        <w:rPr>
          <w:snapToGrid w:val="0"/>
        </w:rPr>
        <w:tab/>
      </w:r>
      <w:r>
        <w:rPr>
          <w:snapToGrid w:val="0"/>
        </w:rPr>
        <w:tab/>
        <w:t>the word “UNSIZED”.</w:t>
      </w:r>
    </w:p>
    <w:p>
      <w:pPr>
        <w:pStyle w:val="MiscellaneousHeading"/>
        <w:rPr>
          <w:snapToGrid w:val="0"/>
        </w:rPr>
      </w:pPr>
      <w:r>
        <w:rPr>
          <w:snapToGrid w:val="0"/>
        </w:rPr>
        <w:t>TABLE</w:t>
      </w:r>
    </w:p>
    <w:tbl>
      <w:tblPr>
        <w:tblW w:w="0" w:type="auto"/>
        <w:tblInd w:w="360" w:type="dxa"/>
        <w:tblBorders>
          <w:top w:val="double" w:sz="4" w:space="0" w:color="auto"/>
          <w:left w:val="double" w:sz="4" w:space="0" w:color="auto"/>
          <w:bottom w:val="double" w:sz="4" w:space="0" w:color="auto"/>
          <w:right w:val="doub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261"/>
        <w:gridCol w:w="3827"/>
      </w:tblGrid>
      <w:tr>
        <w:trPr>
          <w:tblHeader/>
        </w:trPr>
        <w:tc>
          <w:tcPr>
            <w:tcW w:w="3261" w:type="dxa"/>
            <w:tcBorders>
              <w:top w:val="single" w:sz="4" w:space="0" w:color="auto"/>
              <w:bottom w:val="single" w:sz="4" w:space="0" w:color="auto"/>
            </w:tcBorders>
            <w:shd w:val="pct10" w:color="auto" w:fill="auto"/>
          </w:tcPr>
          <w:p>
            <w:pPr>
              <w:pStyle w:val="Table"/>
              <w:jc w:val="center"/>
              <w:rPr>
                <w:sz w:val="18"/>
              </w:rPr>
            </w:pPr>
            <w:r>
              <w:rPr>
                <w:sz w:val="18"/>
              </w:rPr>
              <w:t>VARIETY</w:t>
            </w:r>
          </w:p>
        </w:tc>
        <w:tc>
          <w:tcPr>
            <w:tcW w:w="3827" w:type="dxa"/>
            <w:tcBorders>
              <w:top w:val="single" w:sz="4" w:space="0" w:color="auto"/>
              <w:bottom w:val="single" w:sz="4" w:space="0" w:color="auto"/>
            </w:tcBorders>
            <w:shd w:val="pct10" w:color="auto" w:fill="auto"/>
          </w:tcPr>
          <w:p>
            <w:pPr>
              <w:pStyle w:val="Table"/>
              <w:jc w:val="center"/>
              <w:rPr>
                <w:sz w:val="18"/>
              </w:rPr>
            </w:pPr>
            <w:r>
              <w:rPr>
                <w:sz w:val="18"/>
              </w:rPr>
              <w:t>ABBREVIATION</w:t>
            </w:r>
          </w:p>
        </w:tc>
      </w:tr>
      <w:tr>
        <w:tc>
          <w:tcPr>
            <w:tcW w:w="3261" w:type="dxa"/>
            <w:tcBorders>
              <w:top w:val="nil"/>
            </w:tcBorders>
          </w:tcPr>
          <w:p>
            <w:pPr>
              <w:pStyle w:val="Table"/>
              <w:rPr>
                <w:sz w:val="18"/>
              </w:rPr>
            </w:pPr>
            <w:r>
              <w:rPr>
                <w:sz w:val="18"/>
              </w:rPr>
              <w:t>Angelina Burdett</w:t>
            </w:r>
          </w:p>
        </w:tc>
        <w:tc>
          <w:tcPr>
            <w:tcW w:w="3827" w:type="dxa"/>
            <w:tcBorders>
              <w:top w:val="nil"/>
            </w:tcBorders>
          </w:tcPr>
          <w:p>
            <w:pPr>
              <w:pStyle w:val="Table"/>
              <w:rPr>
                <w:sz w:val="18"/>
              </w:rPr>
            </w:pPr>
            <w:r>
              <w:rPr>
                <w:sz w:val="18"/>
              </w:rPr>
              <w:t>Ang</w:t>
            </w:r>
          </w:p>
        </w:tc>
      </w:tr>
      <w:tr>
        <w:tc>
          <w:tcPr>
            <w:tcW w:w="3261" w:type="dxa"/>
          </w:tcPr>
          <w:p>
            <w:pPr>
              <w:pStyle w:val="Table"/>
              <w:rPr>
                <w:sz w:val="18"/>
              </w:rPr>
            </w:pPr>
            <w:r>
              <w:rPr>
                <w:sz w:val="18"/>
              </w:rPr>
              <w:t>Beauty</w:t>
            </w:r>
          </w:p>
        </w:tc>
        <w:tc>
          <w:tcPr>
            <w:tcW w:w="3827" w:type="dxa"/>
          </w:tcPr>
          <w:p>
            <w:pPr>
              <w:pStyle w:val="Table"/>
              <w:rPr>
                <w:sz w:val="18"/>
              </w:rPr>
            </w:pPr>
            <w:r>
              <w:rPr>
                <w:sz w:val="18"/>
              </w:rPr>
              <w:t>Bty</w:t>
            </w:r>
          </w:p>
        </w:tc>
      </w:tr>
      <w:tr>
        <w:tc>
          <w:tcPr>
            <w:tcW w:w="3261" w:type="dxa"/>
          </w:tcPr>
          <w:p>
            <w:pPr>
              <w:pStyle w:val="Table"/>
              <w:rPr>
                <w:sz w:val="18"/>
              </w:rPr>
            </w:pPr>
            <w:r>
              <w:rPr>
                <w:sz w:val="18"/>
              </w:rPr>
              <w:t>Black Amber</w:t>
            </w:r>
          </w:p>
        </w:tc>
        <w:tc>
          <w:tcPr>
            <w:tcW w:w="3827" w:type="dxa"/>
          </w:tcPr>
          <w:p>
            <w:pPr>
              <w:pStyle w:val="Table"/>
              <w:rPr>
                <w:sz w:val="18"/>
              </w:rPr>
            </w:pPr>
            <w:r>
              <w:rPr>
                <w:sz w:val="18"/>
              </w:rPr>
              <w:t>B Amber</w:t>
            </w:r>
          </w:p>
        </w:tc>
      </w:tr>
      <w:tr>
        <w:tc>
          <w:tcPr>
            <w:tcW w:w="3261" w:type="dxa"/>
          </w:tcPr>
          <w:p>
            <w:pPr>
              <w:pStyle w:val="Table"/>
              <w:rPr>
                <w:sz w:val="18"/>
              </w:rPr>
            </w:pPr>
            <w:r>
              <w:rPr>
                <w:sz w:val="18"/>
              </w:rPr>
              <w:t>Blue Diamond</w:t>
            </w:r>
          </w:p>
        </w:tc>
        <w:tc>
          <w:tcPr>
            <w:tcW w:w="3827" w:type="dxa"/>
          </w:tcPr>
          <w:p>
            <w:pPr>
              <w:pStyle w:val="Table"/>
              <w:rPr>
                <w:sz w:val="18"/>
              </w:rPr>
            </w:pPr>
            <w:r>
              <w:rPr>
                <w:sz w:val="18"/>
              </w:rPr>
              <w:t>B Dia</w:t>
            </w:r>
          </w:p>
        </w:tc>
      </w:tr>
      <w:tr>
        <w:tc>
          <w:tcPr>
            <w:tcW w:w="3261" w:type="dxa"/>
          </w:tcPr>
          <w:p>
            <w:pPr>
              <w:pStyle w:val="Table"/>
              <w:rPr>
                <w:sz w:val="18"/>
              </w:rPr>
            </w:pPr>
            <w:r>
              <w:rPr>
                <w:sz w:val="18"/>
              </w:rPr>
              <w:t>Casselman</w:t>
            </w:r>
          </w:p>
        </w:tc>
        <w:tc>
          <w:tcPr>
            <w:tcW w:w="3827" w:type="dxa"/>
          </w:tcPr>
          <w:p>
            <w:pPr>
              <w:pStyle w:val="Table"/>
              <w:rPr>
                <w:sz w:val="18"/>
              </w:rPr>
            </w:pPr>
            <w:r>
              <w:rPr>
                <w:sz w:val="18"/>
              </w:rPr>
              <w:t>Cass</w:t>
            </w:r>
          </w:p>
        </w:tc>
      </w:tr>
      <w:tr>
        <w:tc>
          <w:tcPr>
            <w:tcW w:w="3261" w:type="dxa"/>
          </w:tcPr>
          <w:p>
            <w:pPr>
              <w:pStyle w:val="Table"/>
              <w:rPr>
                <w:sz w:val="18"/>
              </w:rPr>
            </w:pPr>
            <w:r>
              <w:rPr>
                <w:sz w:val="18"/>
              </w:rPr>
              <w:t>Coe’s Golden Drop</w:t>
            </w:r>
          </w:p>
        </w:tc>
        <w:tc>
          <w:tcPr>
            <w:tcW w:w="3827" w:type="dxa"/>
          </w:tcPr>
          <w:p>
            <w:pPr>
              <w:pStyle w:val="Table"/>
              <w:rPr>
                <w:sz w:val="18"/>
              </w:rPr>
            </w:pPr>
            <w:r>
              <w:rPr>
                <w:sz w:val="18"/>
              </w:rPr>
              <w:t>Coe’s GD</w:t>
            </w:r>
          </w:p>
        </w:tc>
      </w:tr>
      <w:tr>
        <w:tc>
          <w:tcPr>
            <w:tcW w:w="3261" w:type="dxa"/>
          </w:tcPr>
          <w:p>
            <w:pPr>
              <w:pStyle w:val="Table"/>
              <w:rPr>
                <w:sz w:val="18"/>
              </w:rPr>
            </w:pPr>
            <w:r>
              <w:rPr>
                <w:sz w:val="18"/>
              </w:rPr>
              <w:t>Coe’s Golden Gage</w:t>
            </w:r>
          </w:p>
        </w:tc>
        <w:tc>
          <w:tcPr>
            <w:tcW w:w="3827" w:type="dxa"/>
          </w:tcPr>
          <w:p>
            <w:pPr>
              <w:pStyle w:val="Table"/>
              <w:rPr>
                <w:sz w:val="18"/>
              </w:rPr>
            </w:pPr>
            <w:r>
              <w:rPr>
                <w:sz w:val="18"/>
              </w:rPr>
              <w:t>CGG</w:t>
            </w:r>
          </w:p>
        </w:tc>
      </w:tr>
      <w:tr>
        <w:tc>
          <w:tcPr>
            <w:tcW w:w="3261" w:type="dxa"/>
          </w:tcPr>
          <w:p>
            <w:pPr>
              <w:pStyle w:val="Table"/>
              <w:rPr>
                <w:sz w:val="18"/>
              </w:rPr>
            </w:pPr>
            <w:r>
              <w:rPr>
                <w:sz w:val="18"/>
              </w:rPr>
              <w:t>Creswell</w:t>
            </w:r>
          </w:p>
        </w:tc>
        <w:tc>
          <w:tcPr>
            <w:tcW w:w="3827" w:type="dxa"/>
          </w:tcPr>
          <w:p>
            <w:pPr>
              <w:pStyle w:val="Table"/>
              <w:rPr>
                <w:sz w:val="18"/>
              </w:rPr>
            </w:pPr>
            <w:r>
              <w:rPr>
                <w:sz w:val="18"/>
              </w:rPr>
              <w:t>Cred</w:t>
            </w:r>
          </w:p>
        </w:tc>
      </w:tr>
      <w:tr>
        <w:tc>
          <w:tcPr>
            <w:tcW w:w="3261" w:type="dxa"/>
          </w:tcPr>
          <w:p>
            <w:pPr>
              <w:pStyle w:val="Table"/>
              <w:rPr>
                <w:sz w:val="18"/>
              </w:rPr>
            </w:pPr>
            <w:r>
              <w:rPr>
                <w:sz w:val="18"/>
              </w:rPr>
              <w:t>Deleware</w:t>
            </w:r>
          </w:p>
        </w:tc>
        <w:tc>
          <w:tcPr>
            <w:tcW w:w="3827" w:type="dxa"/>
          </w:tcPr>
          <w:p>
            <w:pPr>
              <w:pStyle w:val="Table"/>
              <w:rPr>
                <w:sz w:val="18"/>
              </w:rPr>
            </w:pPr>
            <w:r>
              <w:rPr>
                <w:sz w:val="18"/>
              </w:rPr>
              <w:t>Del</w:t>
            </w:r>
          </w:p>
        </w:tc>
      </w:tr>
      <w:tr>
        <w:tc>
          <w:tcPr>
            <w:tcW w:w="3261" w:type="dxa"/>
          </w:tcPr>
          <w:p>
            <w:pPr>
              <w:pStyle w:val="Table"/>
              <w:rPr>
                <w:sz w:val="18"/>
              </w:rPr>
            </w:pPr>
            <w:r>
              <w:rPr>
                <w:sz w:val="18"/>
              </w:rPr>
              <w:t>Early Blaze</w:t>
            </w:r>
          </w:p>
        </w:tc>
        <w:tc>
          <w:tcPr>
            <w:tcW w:w="3827" w:type="dxa"/>
          </w:tcPr>
          <w:p>
            <w:pPr>
              <w:pStyle w:val="Table"/>
              <w:rPr>
                <w:sz w:val="18"/>
              </w:rPr>
            </w:pPr>
            <w:r>
              <w:rPr>
                <w:sz w:val="18"/>
              </w:rPr>
              <w:t>E Blaze</w:t>
            </w:r>
          </w:p>
        </w:tc>
      </w:tr>
      <w:tr>
        <w:tc>
          <w:tcPr>
            <w:tcW w:w="3261" w:type="dxa"/>
          </w:tcPr>
          <w:p>
            <w:pPr>
              <w:pStyle w:val="Table"/>
              <w:rPr>
                <w:sz w:val="18"/>
              </w:rPr>
            </w:pPr>
            <w:r>
              <w:rPr>
                <w:sz w:val="18"/>
              </w:rPr>
              <w:t>Elephant Heart</w:t>
            </w:r>
          </w:p>
        </w:tc>
        <w:tc>
          <w:tcPr>
            <w:tcW w:w="3827" w:type="dxa"/>
          </w:tcPr>
          <w:p>
            <w:pPr>
              <w:pStyle w:val="Table"/>
              <w:rPr>
                <w:sz w:val="18"/>
              </w:rPr>
            </w:pPr>
            <w:r>
              <w:rPr>
                <w:sz w:val="18"/>
              </w:rPr>
              <w:t>E jeard</w:t>
            </w:r>
          </w:p>
        </w:tc>
      </w:tr>
      <w:tr>
        <w:tc>
          <w:tcPr>
            <w:tcW w:w="3261" w:type="dxa"/>
          </w:tcPr>
          <w:p>
            <w:pPr>
              <w:pStyle w:val="Table"/>
              <w:rPr>
                <w:sz w:val="18"/>
              </w:rPr>
            </w:pPr>
            <w:r>
              <w:rPr>
                <w:sz w:val="18"/>
              </w:rPr>
              <w:t>Elizabeths</w:t>
            </w:r>
          </w:p>
        </w:tc>
        <w:tc>
          <w:tcPr>
            <w:tcW w:w="3827" w:type="dxa"/>
          </w:tcPr>
          <w:p>
            <w:pPr>
              <w:pStyle w:val="Table"/>
              <w:rPr>
                <w:sz w:val="18"/>
              </w:rPr>
            </w:pPr>
            <w:r>
              <w:rPr>
                <w:sz w:val="18"/>
              </w:rPr>
              <w:t>Eliz</w:t>
            </w:r>
          </w:p>
        </w:tc>
      </w:tr>
      <w:tr>
        <w:tc>
          <w:tcPr>
            <w:tcW w:w="3261" w:type="dxa"/>
          </w:tcPr>
          <w:p>
            <w:pPr>
              <w:pStyle w:val="Table"/>
              <w:rPr>
                <w:sz w:val="18"/>
              </w:rPr>
            </w:pPr>
            <w:r>
              <w:rPr>
                <w:sz w:val="18"/>
              </w:rPr>
              <w:t>Grand Duke</w:t>
            </w:r>
          </w:p>
        </w:tc>
        <w:tc>
          <w:tcPr>
            <w:tcW w:w="3827" w:type="dxa"/>
          </w:tcPr>
          <w:p>
            <w:pPr>
              <w:pStyle w:val="Table"/>
              <w:rPr>
                <w:sz w:val="18"/>
              </w:rPr>
            </w:pPr>
            <w:r>
              <w:rPr>
                <w:sz w:val="18"/>
              </w:rPr>
              <w:t>G Duke</w:t>
            </w:r>
          </w:p>
        </w:tc>
      </w:tr>
      <w:tr>
        <w:tc>
          <w:tcPr>
            <w:tcW w:w="3261" w:type="dxa"/>
          </w:tcPr>
          <w:p>
            <w:pPr>
              <w:pStyle w:val="Table"/>
              <w:rPr>
                <w:sz w:val="18"/>
              </w:rPr>
            </w:pPr>
            <w:r>
              <w:rPr>
                <w:sz w:val="18"/>
              </w:rPr>
              <w:t>Green Gage</w:t>
            </w:r>
          </w:p>
        </w:tc>
        <w:tc>
          <w:tcPr>
            <w:tcW w:w="3827" w:type="dxa"/>
          </w:tcPr>
          <w:p>
            <w:pPr>
              <w:pStyle w:val="Table"/>
              <w:rPr>
                <w:sz w:val="18"/>
              </w:rPr>
            </w:pPr>
            <w:r>
              <w:rPr>
                <w:sz w:val="18"/>
              </w:rPr>
              <w:t>Gr G</w:t>
            </w:r>
          </w:p>
        </w:tc>
      </w:tr>
      <w:tr>
        <w:tc>
          <w:tcPr>
            <w:tcW w:w="3261" w:type="dxa"/>
          </w:tcPr>
          <w:p>
            <w:pPr>
              <w:pStyle w:val="Table"/>
              <w:rPr>
                <w:sz w:val="18"/>
              </w:rPr>
            </w:pPr>
            <w:r>
              <w:rPr>
                <w:sz w:val="18"/>
              </w:rPr>
              <w:t>Gulf Ruby</w:t>
            </w:r>
          </w:p>
        </w:tc>
        <w:tc>
          <w:tcPr>
            <w:tcW w:w="3827" w:type="dxa"/>
          </w:tcPr>
          <w:p>
            <w:pPr>
              <w:pStyle w:val="Table"/>
              <w:rPr>
                <w:sz w:val="18"/>
              </w:rPr>
            </w:pPr>
            <w:r>
              <w:rPr>
                <w:sz w:val="18"/>
              </w:rPr>
              <w:t>G Ruby</w:t>
            </w:r>
          </w:p>
        </w:tc>
      </w:tr>
      <w:tr>
        <w:tc>
          <w:tcPr>
            <w:tcW w:w="3261" w:type="dxa"/>
          </w:tcPr>
          <w:p>
            <w:pPr>
              <w:pStyle w:val="Table"/>
              <w:rPr>
                <w:sz w:val="18"/>
              </w:rPr>
            </w:pPr>
            <w:r>
              <w:rPr>
                <w:sz w:val="18"/>
              </w:rPr>
              <w:t>Harry Pickstone</w:t>
            </w:r>
          </w:p>
        </w:tc>
        <w:tc>
          <w:tcPr>
            <w:tcW w:w="3827" w:type="dxa"/>
          </w:tcPr>
          <w:p>
            <w:pPr>
              <w:pStyle w:val="Table"/>
              <w:rPr>
                <w:sz w:val="18"/>
              </w:rPr>
            </w:pPr>
            <w:r>
              <w:rPr>
                <w:sz w:val="18"/>
              </w:rPr>
              <w:t>Harry P</w:t>
            </w:r>
          </w:p>
        </w:tc>
      </w:tr>
      <w:tr>
        <w:tc>
          <w:tcPr>
            <w:tcW w:w="3261" w:type="dxa"/>
          </w:tcPr>
          <w:p>
            <w:pPr>
              <w:pStyle w:val="Table"/>
              <w:rPr>
                <w:sz w:val="18"/>
              </w:rPr>
            </w:pPr>
            <w:r>
              <w:rPr>
                <w:sz w:val="18"/>
              </w:rPr>
              <w:t>Jefferson</w:t>
            </w:r>
          </w:p>
        </w:tc>
        <w:tc>
          <w:tcPr>
            <w:tcW w:w="3827" w:type="dxa"/>
          </w:tcPr>
          <w:p>
            <w:pPr>
              <w:pStyle w:val="Table"/>
              <w:rPr>
                <w:sz w:val="18"/>
              </w:rPr>
            </w:pPr>
            <w:r>
              <w:rPr>
                <w:sz w:val="18"/>
              </w:rPr>
              <w:t>Jeff</w:t>
            </w:r>
          </w:p>
        </w:tc>
      </w:tr>
      <w:tr>
        <w:tc>
          <w:tcPr>
            <w:tcW w:w="3261" w:type="dxa"/>
          </w:tcPr>
          <w:p>
            <w:pPr>
              <w:pStyle w:val="Table"/>
              <w:rPr>
                <w:sz w:val="18"/>
              </w:rPr>
            </w:pPr>
            <w:r>
              <w:rPr>
                <w:sz w:val="18"/>
              </w:rPr>
              <w:t>Kelsey</w:t>
            </w:r>
          </w:p>
        </w:tc>
        <w:tc>
          <w:tcPr>
            <w:tcW w:w="3827" w:type="dxa"/>
          </w:tcPr>
          <w:p>
            <w:pPr>
              <w:pStyle w:val="Table"/>
              <w:rPr>
                <w:sz w:val="18"/>
              </w:rPr>
            </w:pPr>
            <w:r>
              <w:rPr>
                <w:sz w:val="18"/>
              </w:rPr>
              <w:t>Kelsey</w:t>
            </w:r>
          </w:p>
        </w:tc>
      </w:tr>
      <w:tr>
        <w:tc>
          <w:tcPr>
            <w:tcW w:w="3261" w:type="dxa"/>
          </w:tcPr>
          <w:p>
            <w:pPr>
              <w:pStyle w:val="Table"/>
              <w:rPr>
                <w:sz w:val="18"/>
              </w:rPr>
            </w:pPr>
            <w:r>
              <w:rPr>
                <w:sz w:val="18"/>
              </w:rPr>
              <w:t>Laroda</w:t>
            </w:r>
          </w:p>
        </w:tc>
        <w:tc>
          <w:tcPr>
            <w:tcW w:w="3827" w:type="dxa"/>
          </w:tcPr>
          <w:p>
            <w:pPr>
              <w:pStyle w:val="Table"/>
              <w:rPr>
                <w:sz w:val="18"/>
              </w:rPr>
            </w:pPr>
            <w:r>
              <w:rPr>
                <w:sz w:val="18"/>
              </w:rPr>
              <w:t>Laroda</w:t>
            </w:r>
          </w:p>
        </w:tc>
      </w:tr>
      <w:tr>
        <w:tc>
          <w:tcPr>
            <w:tcW w:w="3261" w:type="dxa"/>
          </w:tcPr>
          <w:p>
            <w:pPr>
              <w:pStyle w:val="Table"/>
              <w:rPr>
                <w:sz w:val="18"/>
              </w:rPr>
            </w:pPr>
            <w:r>
              <w:rPr>
                <w:sz w:val="18"/>
              </w:rPr>
              <w:t>Mariposa</w:t>
            </w:r>
          </w:p>
        </w:tc>
        <w:tc>
          <w:tcPr>
            <w:tcW w:w="3827" w:type="dxa"/>
          </w:tcPr>
          <w:p>
            <w:pPr>
              <w:pStyle w:val="Table"/>
              <w:rPr>
                <w:sz w:val="18"/>
              </w:rPr>
            </w:pPr>
            <w:r>
              <w:rPr>
                <w:sz w:val="18"/>
              </w:rPr>
              <w:t>Mari</w:t>
            </w:r>
          </w:p>
        </w:tc>
      </w:tr>
      <w:tr>
        <w:tc>
          <w:tcPr>
            <w:tcW w:w="3261" w:type="dxa"/>
          </w:tcPr>
          <w:p>
            <w:pPr>
              <w:pStyle w:val="Table"/>
              <w:rPr>
                <w:sz w:val="18"/>
              </w:rPr>
            </w:pPr>
            <w:r>
              <w:rPr>
                <w:sz w:val="18"/>
              </w:rPr>
              <w:t>Narrabeen</w:t>
            </w:r>
          </w:p>
        </w:tc>
        <w:tc>
          <w:tcPr>
            <w:tcW w:w="3827" w:type="dxa"/>
          </w:tcPr>
          <w:p>
            <w:pPr>
              <w:pStyle w:val="Table"/>
              <w:rPr>
                <w:sz w:val="18"/>
              </w:rPr>
            </w:pPr>
            <w:r>
              <w:rPr>
                <w:sz w:val="18"/>
              </w:rPr>
              <w:t>Narra</w:t>
            </w:r>
          </w:p>
        </w:tc>
      </w:tr>
      <w:tr>
        <w:tc>
          <w:tcPr>
            <w:tcW w:w="3261" w:type="dxa"/>
          </w:tcPr>
          <w:p>
            <w:pPr>
              <w:pStyle w:val="Table"/>
              <w:rPr>
                <w:sz w:val="18"/>
              </w:rPr>
            </w:pPr>
            <w:r>
              <w:rPr>
                <w:sz w:val="18"/>
              </w:rPr>
              <w:t>October Purple</w:t>
            </w:r>
          </w:p>
        </w:tc>
        <w:tc>
          <w:tcPr>
            <w:tcW w:w="3827" w:type="dxa"/>
          </w:tcPr>
          <w:p>
            <w:pPr>
              <w:pStyle w:val="Table"/>
              <w:rPr>
                <w:sz w:val="18"/>
              </w:rPr>
            </w:pPr>
            <w:r>
              <w:rPr>
                <w:sz w:val="18"/>
              </w:rPr>
              <w:t>Oct</w:t>
            </w:r>
          </w:p>
        </w:tc>
      </w:tr>
      <w:tr>
        <w:tc>
          <w:tcPr>
            <w:tcW w:w="3261" w:type="dxa"/>
          </w:tcPr>
          <w:p>
            <w:pPr>
              <w:pStyle w:val="Table"/>
              <w:rPr>
                <w:sz w:val="18"/>
              </w:rPr>
            </w:pPr>
            <w:r>
              <w:rPr>
                <w:sz w:val="18"/>
              </w:rPr>
              <w:t>Pickering</w:t>
            </w:r>
          </w:p>
        </w:tc>
        <w:tc>
          <w:tcPr>
            <w:tcW w:w="3827" w:type="dxa"/>
          </w:tcPr>
          <w:p>
            <w:pPr>
              <w:pStyle w:val="Table"/>
              <w:rPr>
                <w:sz w:val="18"/>
              </w:rPr>
            </w:pPr>
            <w:r>
              <w:rPr>
                <w:sz w:val="18"/>
              </w:rPr>
              <w:t>Pick</w:t>
            </w:r>
          </w:p>
        </w:tc>
      </w:tr>
      <w:tr>
        <w:tc>
          <w:tcPr>
            <w:tcW w:w="3261" w:type="dxa"/>
          </w:tcPr>
          <w:p>
            <w:pPr>
              <w:pStyle w:val="Table"/>
              <w:rPr>
                <w:sz w:val="18"/>
              </w:rPr>
            </w:pPr>
            <w:r>
              <w:rPr>
                <w:sz w:val="18"/>
              </w:rPr>
              <w:t>President</w:t>
            </w:r>
          </w:p>
        </w:tc>
        <w:tc>
          <w:tcPr>
            <w:tcW w:w="3827" w:type="dxa"/>
          </w:tcPr>
          <w:p>
            <w:pPr>
              <w:pStyle w:val="Table"/>
              <w:rPr>
                <w:sz w:val="18"/>
              </w:rPr>
            </w:pPr>
            <w:r>
              <w:rPr>
                <w:sz w:val="18"/>
              </w:rPr>
              <w:t>Pres</w:t>
            </w:r>
          </w:p>
        </w:tc>
      </w:tr>
      <w:tr>
        <w:tc>
          <w:tcPr>
            <w:tcW w:w="3261" w:type="dxa"/>
          </w:tcPr>
          <w:p>
            <w:pPr>
              <w:pStyle w:val="Table"/>
              <w:rPr>
                <w:sz w:val="18"/>
              </w:rPr>
            </w:pPr>
            <w:r>
              <w:rPr>
                <w:sz w:val="18"/>
              </w:rPr>
              <w:t>Prune D’Agen</w:t>
            </w:r>
          </w:p>
        </w:tc>
        <w:tc>
          <w:tcPr>
            <w:tcW w:w="3827" w:type="dxa"/>
          </w:tcPr>
          <w:p>
            <w:pPr>
              <w:pStyle w:val="Table"/>
              <w:rPr>
                <w:sz w:val="18"/>
              </w:rPr>
            </w:pPr>
            <w:r>
              <w:rPr>
                <w:sz w:val="18"/>
              </w:rPr>
              <w:t>D’Agem</w:t>
            </w:r>
          </w:p>
        </w:tc>
      </w:tr>
      <w:tr>
        <w:tc>
          <w:tcPr>
            <w:tcW w:w="3261" w:type="dxa"/>
          </w:tcPr>
          <w:p>
            <w:pPr>
              <w:pStyle w:val="Table"/>
              <w:rPr>
                <w:sz w:val="18"/>
              </w:rPr>
            </w:pPr>
            <w:r>
              <w:rPr>
                <w:sz w:val="18"/>
              </w:rPr>
              <w:t>Radiance</w:t>
            </w:r>
          </w:p>
        </w:tc>
        <w:tc>
          <w:tcPr>
            <w:tcW w:w="3827" w:type="dxa"/>
          </w:tcPr>
          <w:p>
            <w:pPr>
              <w:pStyle w:val="Table"/>
              <w:rPr>
                <w:sz w:val="18"/>
              </w:rPr>
            </w:pPr>
            <w:r>
              <w:rPr>
                <w:sz w:val="18"/>
              </w:rPr>
              <w:t>Rad</w:t>
            </w:r>
          </w:p>
        </w:tc>
      </w:tr>
      <w:tr>
        <w:tc>
          <w:tcPr>
            <w:tcW w:w="3261" w:type="dxa"/>
          </w:tcPr>
          <w:p>
            <w:pPr>
              <w:pStyle w:val="Table"/>
              <w:rPr>
                <w:sz w:val="18"/>
              </w:rPr>
            </w:pPr>
            <w:r>
              <w:rPr>
                <w:sz w:val="18"/>
              </w:rPr>
              <w:t>Red Beaut</w:t>
            </w:r>
          </w:p>
        </w:tc>
        <w:tc>
          <w:tcPr>
            <w:tcW w:w="3827" w:type="dxa"/>
          </w:tcPr>
          <w:p>
            <w:pPr>
              <w:pStyle w:val="Table"/>
              <w:rPr>
                <w:sz w:val="18"/>
              </w:rPr>
            </w:pPr>
            <w:r>
              <w:rPr>
                <w:sz w:val="18"/>
              </w:rPr>
              <w:t>R Beaut</w:t>
            </w:r>
          </w:p>
        </w:tc>
      </w:tr>
      <w:tr>
        <w:tc>
          <w:tcPr>
            <w:tcW w:w="3261" w:type="dxa"/>
          </w:tcPr>
          <w:p>
            <w:pPr>
              <w:pStyle w:val="Table"/>
              <w:rPr>
                <w:sz w:val="18"/>
              </w:rPr>
            </w:pPr>
            <w:r>
              <w:rPr>
                <w:sz w:val="18"/>
              </w:rPr>
              <w:t>Reine Claude De Barray</w:t>
            </w:r>
          </w:p>
        </w:tc>
        <w:tc>
          <w:tcPr>
            <w:tcW w:w="3827" w:type="dxa"/>
          </w:tcPr>
          <w:p>
            <w:pPr>
              <w:pStyle w:val="Table"/>
              <w:rPr>
                <w:sz w:val="18"/>
              </w:rPr>
            </w:pPr>
            <w:r>
              <w:rPr>
                <w:sz w:val="18"/>
              </w:rPr>
              <w:t>RCL</w:t>
            </w:r>
          </w:p>
        </w:tc>
      </w:tr>
      <w:tr>
        <w:tc>
          <w:tcPr>
            <w:tcW w:w="3261" w:type="dxa"/>
          </w:tcPr>
          <w:p>
            <w:pPr>
              <w:pStyle w:val="Table"/>
              <w:rPr>
                <w:sz w:val="18"/>
              </w:rPr>
            </w:pPr>
            <w:r>
              <w:rPr>
                <w:sz w:val="18"/>
              </w:rPr>
              <w:t>Ruby Blood</w:t>
            </w:r>
          </w:p>
        </w:tc>
        <w:tc>
          <w:tcPr>
            <w:tcW w:w="3827" w:type="dxa"/>
          </w:tcPr>
          <w:p>
            <w:pPr>
              <w:pStyle w:val="Table"/>
              <w:rPr>
                <w:sz w:val="18"/>
              </w:rPr>
            </w:pPr>
            <w:r>
              <w:rPr>
                <w:sz w:val="18"/>
              </w:rPr>
              <w:t>R Bl</w:t>
            </w:r>
          </w:p>
        </w:tc>
      </w:tr>
      <w:tr>
        <w:tc>
          <w:tcPr>
            <w:tcW w:w="3261" w:type="dxa"/>
          </w:tcPr>
          <w:p>
            <w:pPr>
              <w:pStyle w:val="Table"/>
              <w:rPr>
                <w:sz w:val="18"/>
              </w:rPr>
            </w:pPr>
            <w:r>
              <w:rPr>
                <w:sz w:val="18"/>
              </w:rPr>
              <w:t>Salad</w:t>
            </w:r>
          </w:p>
        </w:tc>
        <w:tc>
          <w:tcPr>
            <w:tcW w:w="3827" w:type="dxa"/>
          </w:tcPr>
          <w:p>
            <w:pPr>
              <w:pStyle w:val="Table"/>
              <w:rPr>
                <w:sz w:val="18"/>
              </w:rPr>
            </w:pPr>
            <w:r>
              <w:rPr>
                <w:sz w:val="18"/>
              </w:rPr>
              <w:t>Salad</w:t>
            </w:r>
          </w:p>
        </w:tc>
      </w:tr>
      <w:tr>
        <w:tc>
          <w:tcPr>
            <w:tcW w:w="3261" w:type="dxa"/>
          </w:tcPr>
          <w:p>
            <w:pPr>
              <w:pStyle w:val="Table"/>
              <w:rPr>
                <w:sz w:val="18"/>
              </w:rPr>
            </w:pPr>
            <w:r>
              <w:rPr>
                <w:sz w:val="18"/>
              </w:rPr>
              <w:t>Santa Rosa</w:t>
            </w:r>
          </w:p>
        </w:tc>
        <w:tc>
          <w:tcPr>
            <w:tcW w:w="3827" w:type="dxa"/>
          </w:tcPr>
          <w:p>
            <w:pPr>
              <w:pStyle w:val="Table"/>
              <w:rPr>
                <w:sz w:val="18"/>
              </w:rPr>
            </w:pPr>
            <w:r>
              <w:rPr>
                <w:sz w:val="18"/>
              </w:rPr>
              <w:t>S Rosa</w:t>
            </w:r>
          </w:p>
        </w:tc>
      </w:tr>
      <w:tr>
        <w:tc>
          <w:tcPr>
            <w:tcW w:w="3261" w:type="dxa"/>
          </w:tcPr>
          <w:p>
            <w:pPr>
              <w:pStyle w:val="Table"/>
              <w:rPr>
                <w:sz w:val="18"/>
              </w:rPr>
            </w:pPr>
            <w:r>
              <w:rPr>
                <w:sz w:val="18"/>
              </w:rPr>
              <w:t>Satsuma</w:t>
            </w:r>
          </w:p>
        </w:tc>
        <w:tc>
          <w:tcPr>
            <w:tcW w:w="3827" w:type="dxa"/>
          </w:tcPr>
          <w:p>
            <w:pPr>
              <w:pStyle w:val="Table"/>
              <w:rPr>
                <w:sz w:val="18"/>
              </w:rPr>
            </w:pPr>
            <w:r>
              <w:rPr>
                <w:sz w:val="18"/>
              </w:rPr>
              <w:t>Sat</w:t>
            </w:r>
          </w:p>
        </w:tc>
      </w:tr>
      <w:tr>
        <w:tc>
          <w:tcPr>
            <w:tcW w:w="3261" w:type="dxa"/>
          </w:tcPr>
          <w:p>
            <w:pPr>
              <w:pStyle w:val="Table"/>
              <w:rPr>
                <w:sz w:val="18"/>
              </w:rPr>
            </w:pPr>
            <w:r>
              <w:rPr>
                <w:sz w:val="18"/>
              </w:rPr>
              <w:t>Shiro</w:t>
            </w:r>
          </w:p>
        </w:tc>
        <w:tc>
          <w:tcPr>
            <w:tcW w:w="3827" w:type="dxa"/>
          </w:tcPr>
          <w:p>
            <w:pPr>
              <w:pStyle w:val="Table"/>
              <w:rPr>
                <w:sz w:val="18"/>
              </w:rPr>
            </w:pPr>
            <w:r>
              <w:rPr>
                <w:sz w:val="18"/>
              </w:rPr>
              <w:t>Shiro</w:t>
            </w:r>
          </w:p>
        </w:tc>
      </w:tr>
      <w:tr>
        <w:tc>
          <w:tcPr>
            <w:tcW w:w="3261" w:type="dxa"/>
          </w:tcPr>
          <w:p>
            <w:pPr>
              <w:pStyle w:val="Table"/>
              <w:rPr>
                <w:sz w:val="18"/>
              </w:rPr>
            </w:pPr>
            <w:r>
              <w:rPr>
                <w:sz w:val="18"/>
              </w:rPr>
              <w:t>Simka</w:t>
            </w:r>
          </w:p>
        </w:tc>
        <w:tc>
          <w:tcPr>
            <w:tcW w:w="3827" w:type="dxa"/>
          </w:tcPr>
          <w:p>
            <w:pPr>
              <w:pStyle w:val="Table"/>
              <w:rPr>
                <w:sz w:val="18"/>
              </w:rPr>
            </w:pPr>
            <w:r>
              <w:rPr>
                <w:sz w:val="18"/>
              </w:rPr>
              <w:t>Simka</w:t>
            </w:r>
          </w:p>
        </w:tc>
      </w:tr>
      <w:tr>
        <w:tc>
          <w:tcPr>
            <w:tcW w:w="3261" w:type="dxa"/>
          </w:tcPr>
          <w:p>
            <w:pPr>
              <w:pStyle w:val="Table"/>
              <w:rPr>
                <w:sz w:val="18"/>
              </w:rPr>
            </w:pPr>
            <w:r>
              <w:rPr>
                <w:sz w:val="18"/>
              </w:rPr>
              <w:t>Stirling</w:t>
            </w:r>
          </w:p>
        </w:tc>
        <w:tc>
          <w:tcPr>
            <w:tcW w:w="3827" w:type="dxa"/>
          </w:tcPr>
          <w:p>
            <w:pPr>
              <w:pStyle w:val="Table"/>
              <w:rPr>
                <w:sz w:val="18"/>
              </w:rPr>
            </w:pPr>
            <w:r>
              <w:rPr>
                <w:sz w:val="18"/>
              </w:rPr>
              <w:t>Stirling</w:t>
            </w:r>
          </w:p>
        </w:tc>
      </w:tr>
      <w:tr>
        <w:tc>
          <w:tcPr>
            <w:tcW w:w="3261" w:type="dxa"/>
          </w:tcPr>
          <w:p>
            <w:pPr>
              <w:pStyle w:val="Table"/>
              <w:rPr>
                <w:sz w:val="18"/>
              </w:rPr>
            </w:pPr>
            <w:r>
              <w:rPr>
                <w:sz w:val="18"/>
              </w:rPr>
              <w:t>Skipper</w:t>
            </w:r>
          </w:p>
        </w:tc>
        <w:tc>
          <w:tcPr>
            <w:tcW w:w="3827" w:type="dxa"/>
          </w:tcPr>
          <w:p>
            <w:pPr>
              <w:pStyle w:val="Table"/>
              <w:rPr>
                <w:sz w:val="18"/>
              </w:rPr>
            </w:pPr>
            <w:r>
              <w:rPr>
                <w:sz w:val="18"/>
              </w:rPr>
              <w:t>Skip</w:t>
            </w:r>
          </w:p>
        </w:tc>
      </w:tr>
      <w:tr>
        <w:tc>
          <w:tcPr>
            <w:tcW w:w="3261" w:type="dxa"/>
          </w:tcPr>
          <w:p>
            <w:pPr>
              <w:pStyle w:val="Table"/>
              <w:rPr>
                <w:sz w:val="18"/>
              </w:rPr>
            </w:pPr>
            <w:r>
              <w:rPr>
                <w:sz w:val="18"/>
              </w:rPr>
              <w:t>Wickson</w:t>
            </w:r>
          </w:p>
        </w:tc>
        <w:tc>
          <w:tcPr>
            <w:tcW w:w="3827" w:type="dxa"/>
          </w:tcPr>
          <w:p>
            <w:pPr>
              <w:pStyle w:val="Table"/>
              <w:rPr>
                <w:sz w:val="18"/>
              </w:rPr>
            </w:pPr>
            <w:r>
              <w:rPr>
                <w:sz w:val="18"/>
              </w:rPr>
              <w:t>Wick</w:t>
            </w:r>
          </w:p>
        </w:tc>
      </w:tr>
      <w:tr>
        <w:tc>
          <w:tcPr>
            <w:tcW w:w="3261" w:type="dxa"/>
          </w:tcPr>
          <w:p>
            <w:pPr>
              <w:pStyle w:val="Table"/>
              <w:rPr>
                <w:sz w:val="18"/>
              </w:rPr>
            </w:pPr>
            <w:r>
              <w:rPr>
                <w:sz w:val="18"/>
              </w:rPr>
              <w:t>Wilson</w:t>
            </w:r>
          </w:p>
        </w:tc>
        <w:tc>
          <w:tcPr>
            <w:tcW w:w="3827" w:type="dxa"/>
          </w:tcPr>
          <w:p>
            <w:pPr>
              <w:pStyle w:val="Table"/>
              <w:rPr>
                <w:sz w:val="18"/>
              </w:rPr>
            </w:pPr>
            <w:r>
              <w:rPr>
                <w:sz w:val="18"/>
              </w:rPr>
              <w:t>Wil</w:t>
            </w:r>
          </w:p>
        </w:tc>
      </w:tr>
      <w:tr>
        <w:tc>
          <w:tcPr>
            <w:tcW w:w="3261" w:type="dxa"/>
          </w:tcPr>
          <w:p>
            <w:pPr>
              <w:pStyle w:val="Table"/>
              <w:rPr>
                <w:sz w:val="18"/>
              </w:rPr>
            </w:pPr>
            <w:r>
              <w:rPr>
                <w:sz w:val="18"/>
              </w:rPr>
              <w:t>Wilson Seedling</w:t>
            </w:r>
          </w:p>
        </w:tc>
        <w:tc>
          <w:tcPr>
            <w:tcW w:w="3827" w:type="dxa"/>
          </w:tcPr>
          <w:p>
            <w:pPr>
              <w:pStyle w:val="Table"/>
              <w:rPr>
                <w:sz w:val="18"/>
              </w:rPr>
            </w:pPr>
            <w:r>
              <w:rPr>
                <w:sz w:val="18"/>
              </w:rPr>
              <w:t>Wills</w:t>
            </w:r>
          </w:p>
        </w:tc>
      </w:tr>
      <w:tr>
        <w:tc>
          <w:tcPr>
            <w:tcW w:w="3261" w:type="dxa"/>
          </w:tcPr>
          <w:p>
            <w:pPr>
              <w:pStyle w:val="Table"/>
              <w:rPr>
                <w:sz w:val="18"/>
              </w:rPr>
            </w:pPr>
            <w:r>
              <w:rPr>
                <w:sz w:val="18"/>
              </w:rPr>
              <w:t>8-1</w:t>
            </w:r>
          </w:p>
        </w:tc>
        <w:tc>
          <w:tcPr>
            <w:tcW w:w="3827" w:type="dxa"/>
          </w:tcPr>
          <w:p>
            <w:pPr>
              <w:pStyle w:val="Table"/>
              <w:rPr>
                <w:sz w:val="18"/>
              </w:rPr>
            </w:pPr>
            <w:r>
              <w:rPr>
                <w:sz w:val="18"/>
              </w:rPr>
              <w:t>8-1</w:t>
            </w:r>
          </w:p>
        </w:tc>
      </w:tr>
      <w:tr>
        <w:tc>
          <w:tcPr>
            <w:tcW w:w="3261" w:type="dxa"/>
          </w:tcPr>
          <w:p>
            <w:pPr>
              <w:pStyle w:val="Table"/>
              <w:rPr>
                <w:sz w:val="18"/>
              </w:rPr>
            </w:pPr>
            <w:r>
              <w:rPr>
                <w:sz w:val="18"/>
              </w:rPr>
              <w:t>All other varieties</w:t>
            </w:r>
          </w:p>
        </w:tc>
        <w:tc>
          <w:tcPr>
            <w:tcW w:w="3827" w:type="dxa"/>
          </w:tcPr>
          <w:p>
            <w:pPr>
              <w:pStyle w:val="Table"/>
              <w:rPr>
                <w:sz w:val="18"/>
              </w:rPr>
            </w:pPr>
            <w:r>
              <w:rPr>
                <w:sz w:val="18"/>
              </w:rPr>
              <w:t>Full name</w:t>
            </w:r>
          </w:p>
        </w:tc>
      </w:tr>
    </w:tbl>
    <w:p>
      <w:pPr>
        <w:pStyle w:val="Heading5"/>
        <w:rPr>
          <w:snapToGrid w:val="0"/>
        </w:rPr>
      </w:pPr>
      <w:bookmarkStart w:id="58" w:name="_Toc378254970"/>
      <w:bookmarkStart w:id="59" w:name="_Toc426976474"/>
      <w:r>
        <w:rPr>
          <w:rStyle w:val="CharSectno"/>
        </w:rPr>
        <w:t>20</w:t>
      </w:r>
      <w:r>
        <w:rPr>
          <w:snapToGrid w:val="0"/>
        </w:rPr>
        <w:t>.</w:t>
      </w:r>
      <w:r>
        <w:rPr>
          <w:snapToGrid w:val="0"/>
        </w:rPr>
        <w:tab/>
        <w:t>Trade description for retail sale</w:t>
      </w:r>
      <w:bookmarkEnd w:id="58"/>
      <w:bookmarkEnd w:id="59"/>
      <w:r>
        <w:rPr>
          <w:snapToGrid w:val="0"/>
        </w:rPr>
        <w:t xml:space="preserve"> </w:t>
      </w:r>
    </w:p>
    <w:p>
      <w:pPr>
        <w:pStyle w:val="Subsection"/>
        <w:rPr>
          <w:snapToGrid w:val="0"/>
        </w:rPr>
      </w:pPr>
      <w:r>
        <w:rPr>
          <w:snapToGrid w:val="0"/>
        </w:rPr>
        <w:tab/>
        <w:t>(1)</w:t>
      </w:r>
      <w:r>
        <w:rPr>
          <w:snapToGrid w:val="0"/>
        </w:rPr>
        <w:tab/>
        <w:t>A label showing the class of the plums shall be attached to each display of plums offered for retail sale and if the label specifies a variety of plum the plums displayed shall correspond to the variety so specified.</w:t>
      </w:r>
    </w:p>
    <w:p>
      <w:pPr>
        <w:pStyle w:val="Subsection"/>
        <w:rPr>
          <w:snapToGrid w:val="0"/>
        </w:rPr>
      </w:pPr>
      <w:r>
        <w:rPr>
          <w:snapToGrid w:val="0"/>
        </w:rPr>
        <w:tab/>
        <w:t>(2)</w:t>
      </w:r>
      <w:r>
        <w:rPr>
          <w:snapToGrid w:val="0"/>
        </w:rPr>
        <w:tab/>
        <w:t>If a display includes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60" w:name="_Toc378254971"/>
      <w:bookmarkStart w:id="61" w:name="_Toc426976475"/>
      <w:r>
        <w:rPr>
          <w:rStyle w:val="CharSectno"/>
        </w:rPr>
        <w:t>21</w:t>
      </w:r>
      <w:r>
        <w:rPr>
          <w:snapToGrid w:val="0"/>
        </w:rPr>
        <w:t>.</w:t>
      </w:r>
      <w:r>
        <w:rPr>
          <w:snapToGrid w:val="0"/>
        </w:rPr>
        <w:tab/>
        <w:t>Prohibited quality descriptions</w:t>
      </w:r>
      <w:bookmarkEnd w:id="60"/>
      <w:bookmarkEnd w:id="61"/>
      <w:r>
        <w:rPr>
          <w:snapToGrid w:val="0"/>
        </w:rPr>
        <w:t xml:space="preserve"> </w:t>
      </w:r>
    </w:p>
    <w:p>
      <w:pPr>
        <w:pStyle w:val="Subsection"/>
        <w:rPr>
          <w:snapToGrid w:val="0"/>
        </w:rPr>
      </w:pPr>
      <w:r>
        <w:rPr>
          <w:snapToGrid w:val="0"/>
        </w:rPr>
        <w:tab/>
      </w:r>
      <w:r>
        <w:rPr>
          <w:snapToGrid w:val="0"/>
        </w:rPr>
        <w:tab/>
        <w:t>Plums shall not be designated as “special”, “specially packed”, “selected”, “fancy” or by any other word or form of words that indicates that the plums have special quality characteristics.</w:t>
      </w:r>
    </w:p>
    <w:p>
      <w:pPr>
        <w:pStyle w:val="Heading2"/>
      </w:pPr>
      <w:bookmarkStart w:id="62" w:name="_Toc378254943"/>
      <w:bookmarkStart w:id="63" w:name="_Toc378254972"/>
      <w:bookmarkStart w:id="64" w:name="_Toc426976447"/>
      <w:bookmarkStart w:id="65" w:name="_Toc426976476"/>
      <w:r>
        <w:rPr>
          <w:rStyle w:val="CharPartNo"/>
        </w:rPr>
        <w:t>Part 5</w:t>
      </w:r>
      <w:r>
        <w:rPr>
          <w:rStyle w:val="CharDivNo"/>
        </w:rPr>
        <w:t> </w:t>
      </w:r>
      <w:r>
        <w:t>—</w:t>
      </w:r>
      <w:r>
        <w:rPr>
          <w:rStyle w:val="CharDivText"/>
        </w:rPr>
        <w:t> </w:t>
      </w:r>
      <w:r>
        <w:rPr>
          <w:rStyle w:val="CharPartText"/>
        </w:rPr>
        <w:t>Repeal</w:t>
      </w:r>
      <w:bookmarkEnd w:id="62"/>
      <w:bookmarkEnd w:id="63"/>
      <w:bookmarkEnd w:id="64"/>
      <w:bookmarkEnd w:id="65"/>
    </w:p>
    <w:p>
      <w:pPr>
        <w:pStyle w:val="Heading5"/>
        <w:rPr>
          <w:snapToGrid w:val="0"/>
        </w:rPr>
      </w:pPr>
      <w:bookmarkStart w:id="66" w:name="_Toc378254973"/>
      <w:bookmarkStart w:id="67" w:name="_Toc426976477"/>
      <w:r>
        <w:rPr>
          <w:rStyle w:val="CharSectno"/>
        </w:rPr>
        <w:t>22</w:t>
      </w:r>
      <w:r>
        <w:rPr>
          <w:snapToGrid w:val="0"/>
        </w:rPr>
        <w:t>.</w:t>
      </w:r>
      <w:r>
        <w:rPr>
          <w:snapToGrid w:val="0"/>
        </w:rPr>
        <w:tab/>
        <w:t>Repeal of former code</w:t>
      </w:r>
      <w:bookmarkEnd w:id="66"/>
      <w:bookmarkEnd w:id="67"/>
    </w:p>
    <w:p>
      <w:pPr>
        <w:pStyle w:val="Subsection"/>
        <w:rPr>
          <w:snapToGrid w:val="0"/>
        </w:rPr>
      </w:pPr>
      <w:r>
        <w:rPr>
          <w:snapToGrid w:val="0"/>
        </w:rPr>
        <w:tab/>
      </w:r>
      <w:r>
        <w:rPr>
          <w:snapToGrid w:val="0"/>
        </w:rPr>
        <w:tab/>
        <w:t xml:space="preserve">The </w:t>
      </w:r>
      <w:r>
        <w:rPr>
          <w:i/>
          <w:snapToGrid w:val="0"/>
        </w:rPr>
        <w:t>Plum Grading and Packing Code 1983*</w:t>
      </w:r>
      <w:r>
        <w:rPr>
          <w:snapToGrid w:val="0"/>
        </w:rPr>
        <w:t xml:space="preserve"> is repealed.</w:t>
      </w:r>
    </w:p>
    <w:p>
      <w:pPr>
        <w:pStyle w:val="MiscellaneousBody"/>
        <w:tabs>
          <w:tab w:val="left" w:pos="851"/>
        </w:tabs>
        <w:ind w:left="851" w:hanging="851"/>
      </w:pPr>
      <w:r>
        <w:tab/>
        <w:t>[</w:t>
      </w:r>
      <w:r>
        <w:rPr>
          <w:i/>
        </w:rPr>
        <w:t>*Published in the Gazette on 23 September 1983 at pp.3875</w:t>
      </w:r>
      <w:r>
        <w:rPr>
          <w:i/>
        </w:rPr>
        <w:noBreakHyphen/>
        <w:t>76.</w:t>
      </w:r>
      <w:r>
        <w:t xml:space="preserve">]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8" w:name="_Toc378254945"/>
      <w:bookmarkStart w:id="69" w:name="_Toc378254974"/>
      <w:bookmarkStart w:id="70" w:name="_Toc426976449"/>
      <w:bookmarkStart w:id="71" w:name="_Toc426976478"/>
      <w:r>
        <w:t>Notes</w:t>
      </w:r>
      <w:bookmarkEnd w:id="68"/>
      <w:bookmarkEnd w:id="69"/>
      <w:bookmarkEnd w:id="70"/>
      <w:bookmarkEnd w:id="7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Plum Grading and Packing Code 1992</w:t>
      </w:r>
      <w:r>
        <w:rPr>
          <w:snapToGrid w:val="0"/>
        </w:rPr>
        <w:t xml:space="preserve"> and includes the amendments referred to in the following Table.</w:t>
      </w:r>
    </w:p>
    <w:p>
      <w:pPr>
        <w:pStyle w:val="nHeading3"/>
        <w:rPr>
          <w:snapToGrid w:val="0"/>
        </w:rPr>
      </w:pPr>
      <w:bookmarkStart w:id="72" w:name="_Toc378254975"/>
      <w:bookmarkStart w:id="73" w:name="_Toc426976479"/>
      <w:r>
        <w:rPr>
          <w:snapToGrid w:val="0"/>
        </w:rPr>
        <w:t>Compilation table</w:t>
      </w:r>
      <w:bookmarkEnd w:id="72"/>
      <w:bookmarkEnd w:id="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Plum Grading and Packing Code 1992</w:t>
            </w:r>
          </w:p>
        </w:tc>
        <w:tc>
          <w:tcPr>
            <w:tcW w:w="1276" w:type="dxa"/>
            <w:tcBorders>
              <w:top w:val="single" w:sz="8" w:space="0" w:color="auto"/>
              <w:bottom w:val="single" w:sz="8" w:space="0" w:color="auto"/>
            </w:tcBorders>
          </w:tcPr>
          <w:p>
            <w:pPr>
              <w:pStyle w:val="nTable"/>
              <w:spacing w:after="40"/>
            </w:pPr>
            <w:r>
              <w:t>11 Sep 1992 p. 4581-7</w:t>
            </w:r>
          </w:p>
        </w:tc>
        <w:tc>
          <w:tcPr>
            <w:tcW w:w="2693" w:type="dxa"/>
            <w:tcBorders>
              <w:top w:val="single" w:sz="8" w:space="0" w:color="auto"/>
              <w:bottom w:val="single" w:sz="8" w:space="0" w:color="auto"/>
            </w:tcBorders>
          </w:tcPr>
          <w:p>
            <w:pPr>
              <w:pStyle w:val="nTable"/>
              <w:spacing w:after="40"/>
            </w:pPr>
            <w:r>
              <w:t>11 Sep 1992</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 xml:space="preserve">Gazette </w:t>
            </w:r>
            <w:r>
              <w:rPr>
                <w:b/>
                <w:bCs/>
                <w:color w:val="FF0000"/>
              </w:rPr>
              <w:t>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Plum Grading and Packing Code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Plum Grading and Packing Code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 Grading and Packing Code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2631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E0293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7612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122E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249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669C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72007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525F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9474C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E9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E63AF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647"/>
    <w:docVar w:name="WAFER_20140123145410" w:val="RemoveTocBookmarks,RemoveUnusedBookmarks,RemoveLanguageTags,UsedStyles,ResetPageSize,UpdateArrangement"/>
    <w:docVar w:name="WAFER_20140123145410_GUID" w:val="5338b264-515c-4669-ab36-71f58334041a"/>
    <w:docVar w:name="WAFER_20140123152914" w:val="RemoveTocBookmarks,RunningHeaders"/>
    <w:docVar w:name="WAFER_20140123152914_GUID" w:val="3d5a1464-8d89-4b5a-a6fa-f6764989faa3"/>
    <w:docVar w:name="WAFER_20150810110811" w:val="ResetPageSize,UpdateArrangement,UpdateNTable"/>
    <w:docVar w:name="WAFER_20150810110811_GUID" w:val="9fdf127f-c892-4952-a766-affc557e547f"/>
    <w:docVar w:name="WAFER_20151117132647" w:val="UpdateStyles,UsedStyles"/>
    <w:docVar w:name="WAFER_20151117132647_GUID" w:val="da4657a6-7b61-47e0-8a1f-90644b303f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2173</Words>
  <Characters>10390</Characters>
  <Application>Microsoft Office Word</Application>
  <DocSecurity>0</DocSecurity>
  <Lines>432</Lines>
  <Paragraphs>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 Grading and Packing Code 1992 - 00-b0-05</dc:title>
  <dc:subject/>
  <dc:creator/>
  <cp:keywords/>
  <dc:description/>
  <cp:lastModifiedBy>svcMRProcess</cp:lastModifiedBy>
  <cp:revision>4</cp:revision>
  <cp:lastPrinted>2006-04-19T08:32:00Z</cp:lastPrinted>
  <dcterms:created xsi:type="dcterms:W3CDTF">2015-11-17T06:36:00Z</dcterms:created>
  <dcterms:modified xsi:type="dcterms:W3CDTF">2015-11-17T06:36:00Z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pp.4581-7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