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Poisons Regulations 1965</w:t>
      </w:r>
      <w:r>
        <w:fldChar w:fldCharType="end"/>
      </w:r>
    </w:p>
    <w:p>
      <w:pPr>
        <w:pStyle w:val="yHeading3"/>
        <w:keepNext w:val="0"/>
        <w:spacing w:before="0"/>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_Toc393706711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_Toc393706712 \h </w:instrText>
      </w:r>
      <w:r>
        <w:fldChar w:fldCharType="separate"/>
      </w:r>
      <w:r>
        <w:t>2</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_Toc393706713 \h </w:instrText>
      </w:r>
      <w:r>
        <w:fldChar w:fldCharType="separate"/>
      </w:r>
      <w:r>
        <w:t>6</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_Toc393706714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_Toc393706717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_Toc393706718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_Toc393706719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_Toc393706720 \h </w:instrText>
      </w:r>
      <w:r>
        <w:fldChar w:fldCharType="separate"/>
      </w:r>
      <w:r>
        <w:t>10</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_Toc393706721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_Toc393706722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_Toc393706723 \h </w:instrText>
      </w:r>
      <w:r>
        <w:fldChar w:fldCharType="separate"/>
      </w:r>
      <w:r>
        <w:t>14</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_Toc393706724 \h </w:instrText>
      </w:r>
      <w:r>
        <w:fldChar w:fldCharType="separate"/>
      </w:r>
      <w:r>
        <w:t>14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_Toc393706725 \h </w:instrText>
      </w:r>
      <w:r>
        <w:fldChar w:fldCharType="separate"/>
      </w:r>
      <w:r>
        <w:t>15</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_Toc393706726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Commissioner of Health may designate remote area nursing posts</w:t>
      </w:r>
      <w:r>
        <w:tab/>
      </w:r>
      <w:r>
        <w:fldChar w:fldCharType="begin"/>
      </w:r>
      <w:r>
        <w:instrText xml:space="preserve"> PAGEREF _Toc393706727 \h </w:instrText>
      </w:r>
      <w:r>
        <w:fldChar w:fldCharType="separate"/>
      </w:r>
      <w:r>
        <w:t>15</w:t>
      </w:r>
      <w:r>
        <w:fldChar w:fldCharType="end"/>
      </w:r>
    </w:p>
    <w:p>
      <w:pPr>
        <w:pStyle w:val="TOC8"/>
        <w:rPr>
          <w:rFonts w:asciiTheme="minorHAnsi" w:eastAsiaTheme="minorEastAsia" w:hAnsiTheme="minorHAnsi" w:cstheme="minorBidi"/>
          <w:szCs w:val="22"/>
        </w:rPr>
      </w:pPr>
      <w:r>
        <w:t>11A.</w:t>
      </w:r>
      <w:r>
        <w:tab/>
        <w:t>Commissioner of Health may designate areas for the purposes of section 23 of the Act</w:t>
      </w:r>
      <w:r>
        <w:tab/>
      </w:r>
      <w:r>
        <w:fldChar w:fldCharType="begin"/>
      </w:r>
      <w:r>
        <w:instrText xml:space="preserve"> PAGEREF _Toc393706728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_Toc393706729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_Toc393706731 \h </w:instrText>
      </w:r>
      <w:r>
        <w:fldChar w:fldCharType="separate"/>
      </w:r>
      <w:r>
        <w:t>17</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_Toc393706732 \h </w:instrText>
      </w:r>
      <w:r>
        <w:fldChar w:fldCharType="separate"/>
      </w:r>
      <w:r>
        <w:t>18</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_Toc393706733 \h </w:instrText>
      </w:r>
      <w:r>
        <w:fldChar w:fldCharType="separate"/>
      </w:r>
      <w:r>
        <w:t>18</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_Toc393706734 \h </w:instrText>
      </w:r>
      <w:r>
        <w:fldChar w:fldCharType="separate"/>
      </w:r>
      <w:r>
        <w:t>19</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w:t>
      </w:r>
      <w:r>
        <w:tab/>
      </w:r>
      <w:r>
        <w:fldChar w:fldCharType="begin"/>
      </w:r>
      <w:r>
        <w:instrText xml:space="preserve"> PAGEREF _Toc393706735 \h </w:instrText>
      </w:r>
      <w:r>
        <w:fldChar w:fldCharType="separate"/>
      </w:r>
      <w:r>
        <w:t>19</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_Toc393706736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_Toc393706738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_Toc393706739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_Toc393706740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_Toc393706741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_Toc393706744 \h </w:instrText>
      </w:r>
      <w:r>
        <w:fldChar w:fldCharType="separate"/>
      </w:r>
      <w:r>
        <w:t>22</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_Toc393706745 \h </w:instrText>
      </w:r>
      <w:r>
        <w:fldChar w:fldCharType="separate"/>
      </w:r>
      <w:r>
        <w:t>22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_Toc393706746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_Toc393706748 \h </w:instrText>
      </w:r>
      <w:r>
        <w:fldChar w:fldCharType="separate"/>
      </w:r>
      <w:r>
        <w:t>23</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_Toc393706749 \h </w:instrText>
      </w:r>
      <w:r>
        <w:fldChar w:fldCharType="separate"/>
      </w:r>
      <w:r>
        <w:t>26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_Toc393706750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Commissioner of Health may approve container or label</w:t>
      </w:r>
      <w:r>
        <w:tab/>
      </w:r>
      <w:r>
        <w:fldChar w:fldCharType="begin"/>
      </w:r>
      <w:r>
        <w:instrText xml:space="preserve"> PAGEREF _Toc393706752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snapToGrid w:val="0"/>
          <w:spacing w:val="-4"/>
        </w:rPr>
        <w:t>Commissioner of Health may suspend use of container or label</w:t>
      </w:r>
      <w:r>
        <w:tab/>
      </w:r>
      <w:r>
        <w:fldChar w:fldCharType="begin"/>
      </w:r>
      <w:r>
        <w:instrText xml:space="preserve"> PAGEREF _Toc393706753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_Toc393706755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_Toc393706756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_Toc393706757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5 — Sale, supply and use of poisons</w:t>
      </w:r>
    </w:p>
    <w:p>
      <w:pPr>
        <w:pStyle w:val="TOC2"/>
        <w:tabs>
          <w:tab w:val="right" w:leader="dot" w:pos="7086"/>
        </w:tabs>
        <w:rPr>
          <w:rFonts w:asciiTheme="minorHAnsi" w:eastAsiaTheme="minorEastAsia" w:hAnsiTheme="minorHAnsi" w:cstheme="minorBidi"/>
          <w:b w:val="0"/>
          <w:noProof/>
          <w:sz w:val="22"/>
          <w:szCs w:val="22"/>
        </w:rPr>
      </w:pPr>
      <w:r>
        <w:rPr>
          <w:noProof/>
        </w:rP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_Toc393706760 \h </w:instrText>
      </w:r>
      <w:r>
        <w:fldChar w:fldCharType="separate"/>
      </w:r>
      <w:r>
        <w:t>30</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_Toc393706761 \h </w:instrText>
      </w:r>
      <w:r>
        <w:fldChar w:fldCharType="separate"/>
      </w:r>
      <w:r>
        <w:t>30</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_Toc393706762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_Toc393706763 \h </w:instrText>
      </w:r>
      <w:r>
        <w:fldChar w:fldCharType="separate"/>
      </w:r>
      <w:r>
        <w:t>31</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_Toc393706764 \h </w:instrText>
      </w:r>
      <w:r>
        <w:fldChar w:fldCharType="separate"/>
      </w:r>
      <w:r>
        <w:t>31</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_Toc393706765 \h </w:instrText>
      </w:r>
      <w:r>
        <w:fldChar w:fldCharType="separate"/>
      </w:r>
      <w:r>
        <w:t>33</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_Toc393706766 \h </w:instrText>
      </w:r>
      <w:r>
        <w:fldChar w:fldCharType="separate"/>
      </w:r>
      <w:r>
        <w:t>33</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_Toc393706767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_Toc393706769 \h </w:instrText>
      </w:r>
      <w:r>
        <w:fldChar w:fldCharType="separate"/>
      </w:r>
      <w:r>
        <w:t>35</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_Toc393706770 \h </w:instrText>
      </w:r>
      <w:r>
        <w:fldChar w:fldCharType="separate"/>
      </w:r>
      <w:r>
        <w:t>39</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_Toc393706771 \h </w:instrText>
      </w:r>
      <w:r>
        <w:fldChar w:fldCharType="separate"/>
      </w:r>
      <w:r>
        <w:t>42</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_Toc393706772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_Toc393706773 \h </w:instrText>
      </w:r>
      <w:r>
        <w:fldChar w:fldCharType="separate"/>
      </w:r>
      <w:r>
        <w:t>44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_Toc393706774 \h </w:instrText>
      </w:r>
      <w:r>
        <w:fldChar w:fldCharType="separate"/>
      </w:r>
      <w:r>
        <w:t>46</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_Toc393706775 \h </w:instrText>
      </w:r>
      <w:r>
        <w:fldChar w:fldCharType="separate"/>
      </w:r>
      <w:r>
        <w:t>47</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_Toc393706776 \h </w:instrText>
      </w:r>
      <w:r>
        <w:fldChar w:fldCharType="separate"/>
      </w:r>
      <w:r>
        <w:t>47</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_Toc393706777 \h </w:instrText>
      </w:r>
      <w:r>
        <w:fldChar w:fldCharType="separate"/>
      </w:r>
      <w:r>
        <w:t>48</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_Toc393706778 \h </w:instrText>
      </w:r>
      <w:r>
        <w:fldChar w:fldCharType="separate"/>
      </w:r>
      <w:r>
        <w:t>49</w:t>
      </w:r>
      <w:r>
        <w:fldChar w:fldCharType="end"/>
      </w:r>
    </w:p>
    <w:p>
      <w:pPr>
        <w:pStyle w:val="TOC8"/>
        <w:rPr>
          <w:rFonts w:asciiTheme="minorHAnsi" w:eastAsiaTheme="minorEastAsia" w:hAnsiTheme="minorHAnsi" w:cstheme="minorBidi"/>
          <w:szCs w:val="22"/>
        </w:rPr>
      </w:pPr>
      <w:r>
        <w:t>38F</w:t>
      </w:r>
      <w:r>
        <w:rPr>
          <w:snapToGrid w:val="0"/>
        </w:rPr>
        <w:t>.</w:t>
      </w:r>
      <w:r>
        <w:rPr>
          <w:snapToGrid w:val="0"/>
        </w:rPr>
        <w:tab/>
        <w:t>Isotretinoin</w:t>
      </w:r>
      <w:r>
        <w:tab/>
      </w:r>
      <w:r>
        <w:fldChar w:fldCharType="begin"/>
      </w:r>
      <w:r>
        <w:instrText xml:space="preserve"> PAGEREF _Toc393706779 \h </w:instrText>
      </w:r>
      <w:r>
        <w:fldChar w:fldCharType="separate"/>
      </w:r>
      <w:r>
        <w:t>49</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_Toc393706780 \h </w:instrText>
      </w:r>
      <w:r>
        <w:fldChar w:fldCharType="separate"/>
      </w:r>
      <w:r>
        <w:t>50</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_Toc393706781 \h </w:instrText>
      </w:r>
      <w:r>
        <w:fldChar w:fldCharType="separate"/>
      </w:r>
      <w:r>
        <w:t>50</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_Toc393706782 \h </w:instrText>
      </w:r>
      <w:r>
        <w:fldChar w:fldCharType="separate"/>
      </w:r>
      <w:r>
        <w:t>51</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_Toc393706783 \h </w:instrText>
      </w:r>
      <w:r>
        <w:fldChar w:fldCharType="separate"/>
      </w:r>
      <w:r>
        <w:t>51</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_Toc393706784 \h </w:instrText>
      </w:r>
      <w:r>
        <w:fldChar w:fldCharType="separate"/>
      </w:r>
      <w:r>
        <w:t>51</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_Toc393706785 \h </w:instrText>
      </w:r>
      <w:r>
        <w:fldChar w:fldCharType="separate"/>
      </w:r>
      <w:r>
        <w:t>52</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_Toc393706786 \h </w:instrText>
      </w:r>
      <w:r>
        <w:fldChar w:fldCharType="separate"/>
      </w:r>
      <w:r>
        <w:t>52</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_Toc393706787 \h </w:instrText>
      </w:r>
      <w:r>
        <w:fldChar w:fldCharType="separate"/>
      </w:r>
      <w:r>
        <w:t>53</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_Toc393706788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_Toc393706789 \h </w:instrText>
      </w:r>
      <w:r>
        <w:fldChar w:fldCharType="separate"/>
      </w:r>
      <w:r>
        <w:t>54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_Toc393706790 \h </w:instrText>
      </w:r>
      <w:r>
        <w:fldChar w:fldCharType="separate"/>
      </w:r>
      <w:r>
        <w:t>54</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_Toc393706791 \h </w:instrText>
      </w:r>
      <w:r>
        <w:fldChar w:fldCharType="separate"/>
      </w:r>
      <w:r>
        <w:t>55</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_Toc393706792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_Toc393706793 \h </w:instrText>
      </w:r>
      <w:r>
        <w:fldChar w:fldCharType="separate"/>
      </w:r>
      <w:r>
        <w:t>58</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_Toc393706794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_Toc393706796 \h </w:instrText>
      </w:r>
      <w:r>
        <w:fldChar w:fldCharType="separate"/>
      </w:r>
      <w:r>
        <w:t>60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_Toc393706797 \h </w:instrText>
      </w:r>
      <w:r>
        <w:fldChar w:fldCharType="separate"/>
      </w:r>
      <w:r>
        <w:t>60</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_Toc393706798 \h </w:instrText>
      </w:r>
      <w:r>
        <w:fldChar w:fldCharType="separate"/>
      </w:r>
      <w:r>
        <w:t>61</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_Toc393706799 \h </w:instrText>
      </w:r>
      <w:r>
        <w:fldChar w:fldCharType="separate"/>
      </w:r>
      <w:r>
        <w:t>61</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_Toc393706800 \h </w:instrText>
      </w:r>
      <w:r>
        <w:fldChar w:fldCharType="separate"/>
      </w:r>
      <w:r>
        <w:t>62</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_Toc393706801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_Toc393706804 \h </w:instrText>
      </w:r>
      <w:r>
        <w:fldChar w:fldCharType="separate"/>
      </w:r>
      <w:r>
        <w:t>64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_Toc393706805 \h </w:instrText>
      </w:r>
      <w:r>
        <w:fldChar w:fldCharType="separate"/>
      </w:r>
      <w:r>
        <w:t>64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_Toc393706806 \h </w:instrText>
      </w:r>
      <w:r>
        <w:fldChar w:fldCharType="separate"/>
      </w:r>
      <w:r>
        <w:t>66</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_Toc393706807 \h </w:instrText>
      </w:r>
      <w:r>
        <w:fldChar w:fldCharType="separate"/>
      </w:r>
      <w:r>
        <w:t>67</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_Toc393706808 \h </w:instrText>
      </w:r>
      <w:r>
        <w:fldChar w:fldCharType="separate"/>
      </w:r>
      <w:r>
        <w:t>67</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_Toc393706809 \h </w:instrText>
      </w:r>
      <w:r>
        <w:fldChar w:fldCharType="separate"/>
      </w:r>
      <w:r>
        <w:t>67</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_Toc393706810 \h </w:instrText>
      </w:r>
      <w:r>
        <w:fldChar w:fldCharType="separate"/>
      </w:r>
      <w:r>
        <w:t>68</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_Toc393706811 \h </w:instrText>
      </w:r>
      <w:r>
        <w:fldChar w:fldCharType="separate"/>
      </w:r>
      <w:r>
        <w:t>69</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_Toc393706812 \h </w:instrText>
      </w:r>
      <w:r>
        <w:fldChar w:fldCharType="separate"/>
      </w:r>
      <w:r>
        <w:t>71</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_Toc393706813 \h </w:instrText>
      </w:r>
      <w:r>
        <w:fldChar w:fldCharType="separate"/>
      </w:r>
      <w:r>
        <w:t>72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_Toc393706814 \h </w:instrText>
      </w:r>
      <w:r>
        <w:fldChar w:fldCharType="separate"/>
      </w:r>
      <w:r>
        <w:t>73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_Toc393706815 \h </w:instrText>
      </w:r>
      <w:r>
        <w:fldChar w:fldCharType="separate"/>
      </w:r>
      <w:r>
        <w:t>74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_Toc393706816 \h </w:instrText>
      </w:r>
      <w:r>
        <w:fldChar w:fldCharType="separate"/>
      </w:r>
      <w:r>
        <w:t>75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_Toc393706817 \h </w:instrText>
      </w:r>
      <w:r>
        <w:fldChar w:fldCharType="separate"/>
      </w:r>
      <w:r>
        <w:t>75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_Toc393706818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_Toc393706821 \h </w:instrText>
      </w:r>
      <w:r>
        <w:fldChar w:fldCharType="separate"/>
      </w:r>
      <w:r>
        <w:t>78</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rPr>
          <w:snapToGrid w:val="0"/>
        </w:rPr>
        <w:t>.</w:t>
      </w:r>
      <w:r>
        <w:rPr>
          <w:snapToGrid w:val="0"/>
        </w:rPr>
        <w:tab/>
        <w:t>Definition of “drug addict”</w:t>
      </w:r>
      <w:r>
        <w:tab/>
      </w:r>
      <w:r>
        <w:fldChar w:fldCharType="begin"/>
      </w:r>
      <w:r>
        <w:instrText xml:space="preserve"> PAGEREF _Toc393706823 \h </w:instrText>
      </w:r>
      <w:r>
        <w:fldChar w:fldCharType="separate"/>
      </w:r>
      <w:r>
        <w:t>80</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_Toc393706824 \h </w:instrText>
      </w:r>
      <w:r>
        <w:fldChar w:fldCharType="separate"/>
      </w:r>
      <w:r>
        <w:t>80</w:t>
      </w:r>
      <w:r>
        <w:fldChar w:fldCharType="end"/>
      </w:r>
    </w:p>
    <w:p>
      <w:pPr>
        <w:pStyle w:val="TOC8"/>
        <w:rPr>
          <w:rFonts w:asciiTheme="minorHAnsi" w:eastAsiaTheme="minorEastAsia" w:hAnsiTheme="minorHAnsi" w:cstheme="minorBidi"/>
          <w:szCs w:val="22"/>
        </w:rPr>
      </w:pPr>
      <w:r>
        <w:t>51B</w:t>
      </w:r>
      <w:r>
        <w:rPr>
          <w:snapToGrid w:val="0"/>
        </w:rPr>
        <w:t>.</w:t>
      </w:r>
      <w:r>
        <w:rPr>
          <w:snapToGrid w:val="0"/>
        </w:rPr>
        <w:tab/>
        <w:t>Drug addicts: medical practitioner or dentist not to prescribe or supply drugs of addiction without written authorisation</w:t>
      </w:r>
      <w:r>
        <w:tab/>
      </w:r>
      <w:r>
        <w:fldChar w:fldCharType="begin"/>
      </w:r>
      <w:r>
        <w:instrText xml:space="preserve"> PAGEREF _Toc393706825 \h </w:instrText>
      </w:r>
      <w:r>
        <w:fldChar w:fldCharType="separate"/>
      </w:r>
      <w:r>
        <w:t>81</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 xml:space="preserve">Authorisation of Commissioner of Health required for medical practitioner to prescribe methadone </w:t>
      </w:r>
      <w:r>
        <w:t>or buprenorphine</w:t>
      </w:r>
      <w:r>
        <w:rPr>
          <w:snapToGrid w:val="0"/>
        </w:rPr>
        <w:t xml:space="preserve"> for drug addict</w:t>
      </w:r>
      <w:r>
        <w:tab/>
      </w:r>
      <w:r>
        <w:fldChar w:fldCharType="begin"/>
      </w:r>
      <w:r>
        <w:instrText xml:space="preserve"> PAGEREF _Toc393706826 \h </w:instrText>
      </w:r>
      <w:r>
        <w:fldChar w:fldCharType="separate"/>
      </w:r>
      <w:r>
        <w:t>81</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Assessment of drug addict for treatment purposes</w:t>
      </w:r>
      <w:r>
        <w:tab/>
      </w:r>
      <w:r>
        <w:fldChar w:fldCharType="begin"/>
      </w:r>
      <w:r>
        <w:instrText xml:space="preserve"> PAGEREF _Toc393706827 \h </w:instrText>
      </w:r>
      <w:r>
        <w:fldChar w:fldCharType="separate"/>
      </w:r>
      <w:r>
        <w:t>82</w:t>
      </w:r>
      <w:r>
        <w:fldChar w:fldCharType="end"/>
      </w:r>
    </w:p>
    <w:p>
      <w:pPr>
        <w:pStyle w:val="TOC8"/>
        <w:rPr>
          <w:rFonts w:asciiTheme="minorHAnsi" w:eastAsiaTheme="minorEastAsia" w:hAnsiTheme="minorHAnsi" w:cstheme="minorBidi"/>
          <w:szCs w:val="22"/>
        </w:rPr>
      </w:pPr>
      <w:r>
        <w:t>51E</w:t>
      </w:r>
      <w:r>
        <w:rPr>
          <w:snapToGrid w:val="0"/>
        </w:rPr>
        <w:t>.</w:t>
      </w:r>
      <w:r>
        <w:rPr>
          <w:snapToGrid w:val="0"/>
        </w:rPr>
        <w:tab/>
        <w:t>Conditions on treatment of drug addict</w:t>
      </w:r>
      <w:r>
        <w:tab/>
      </w:r>
      <w:r>
        <w:fldChar w:fldCharType="begin"/>
      </w:r>
      <w:r>
        <w:instrText xml:space="preserve"> PAGEREF _Toc393706828 \h </w:instrText>
      </w:r>
      <w:r>
        <w:fldChar w:fldCharType="separate"/>
      </w:r>
      <w:r>
        <w:t>83</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Treatment not to exceed 60 days unless authorised by Commissioner of Health</w:t>
      </w:r>
      <w:r>
        <w:tab/>
      </w:r>
      <w:r>
        <w:fldChar w:fldCharType="begin"/>
      </w:r>
      <w:r>
        <w:instrText xml:space="preserve"> PAGEREF _Toc393706829 \h </w:instrText>
      </w:r>
      <w:r>
        <w:fldChar w:fldCharType="separate"/>
      </w:r>
      <w:r>
        <w:t>84</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Supply and prescription of certain substances</w:t>
      </w:r>
    </w:p>
    <w:p>
      <w:pPr>
        <w:pStyle w:val="TOC8"/>
        <w:rPr>
          <w:rFonts w:asciiTheme="minorHAnsi" w:eastAsiaTheme="minorEastAsia" w:hAnsiTheme="minorHAnsi" w:cstheme="minorBidi"/>
          <w:szCs w:val="22"/>
        </w:rPr>
      </w:pPr>
      <w:r>
        <w:t>51G.</w:t>
      </w:r>
      <w:r>
        <w:tab/>
        <w:t>Interpretation</w:t>
      </w:r>
      <w:r>
        <w:tab/>
      </w:r>
      <w:r>
        <w:fldChar w:fldCharType="begin"/>
      </w:r>
      <w:r>
        <w:instrText xml:space="preserve"> PAGEREF _Toc393706831 \h </w:instrText>
      </w:r>
      <w:r>
        <w:fldChar w:fldCharType="separate"/>
      </w:r>
      <w:r>
        <w:t>87</w:t>
      </w:r>
      <w:r>
        <w:fldChar w:fldCharType="end"/>
      </w:r>
    </w:p>
    <w:p>
      <w:pPr>
        <w:pStyle w:val="TOC8"/>
        <w:rPr>
          <w:rFonts w:asciiTheme="minorHAnsi" w:eastAsiaTheme="minorEastAsia" w:hAnsiTheme="minorHAnsi" w:cstheme="minorBidi"/>
          <w:szCs w:val="22"/>
        </w:rPr>
      </w:pPr>
      <w:r>
        <w:t>51GAA.</w:t>
      </w:r>
      <w:r>
        <w:tab/>
        <w:t>When a medical practitioner may supply or prescribe a stimulant</w:t>
      </w:r>
      <w:r>
        <w:tab/>
      </w:r>
      <w:r>
        <w:fldChar w:fldCharType="begin"/>
      </w:r>
      <w:r>
        <w:instrText xml:space="preserve"> PAGEREF _Toc393706832 \h </w:instrText>
      </w:r>
      <w:r>
        <w:fldChar w:fldCharType="separate"/>
      </w:r>
      <w:r>
        <w:t>87</w:t>
      </w:r>
      <w:r>
        <w:fldChar w:fldCharType="end"/>
      </w:r>
    </w:p>
    <w:p>
      <w:pPr>
        <w:pStyle w:val="TOC8"/>
        <w:rPr>
          <w:rFonts w:asciiTheme="minorHAnsi" w:eastAsiaTheme="minorEastAsia" w:hAnsiTheme="minorHAnsi" w:cstheme="minorBidi"/>
          <w:szCs w:val="22"/>
        </w:rPr>
      </w:pPr>
      <w:r>
        <w:t>51GAB.</w:t>
      </w:r>
      <w:r>
        <w:tab/>
        <w:t>Authorisation to supply or prescribe a stimulant</w:t>
      </w:r>
      <w:r>
        <w:tab/>
      </w:r>
      <w:r>
        <w:fldChar w:fldCharType="begin"/>
      </w:r>
      <w:r>
        <w:instrText xml:space="preserve"> PAGEREF _Toc393706833 \h </w:instrText>
      </w:r>
      <w:r>
        <w:fldChar w:fldCharType="separate"/>
      </w:r>
      <w:r>
        <w:t>88</w:t>
      </w:r>
      <w:r>
        <w:fldChar w:fldCharType="end"/>
      </w:r>
    </w:p>
    <w:p>
      <w:pPr>
        <w:pStyle w:val="TOC8"/>
        <w:rPr>
          <w:rFonts w:asciiTheme="minorHAnsi" w:eastAsiaTheme="minorEastAsia" w:hAnsiTheme="minorHAnsi" w:cstheme="minorBidi"/>
          <w:szCs w:val="22"/>
        </w:rPr>
      </w:pPr>
      <w:r>
        <w:t>51GAC.</w:t>
      </w:r>
      <w:r>
        <w:tab/>
        <w:t>When an authorised practitioner may supply or prescribe a stimulant</w:t>
      </w:r>
      <w:r>
        <w:tab/>
      </w:r>
      <w:r>
        <w:fldChar w:fldCharType="begin"/>
      </w:r>
      <w:r>
        <w:instrText xml:space="preserve"> PAGEREF _Toc393706834 \h </w:instrText>
      </w:r>
      <w:r>
        <w:fldChar w:fldCharType="separate"/>
      </w:r>
      <w:r>
        <w:t>88</w:t>
      </w:r>
      <w:r>
        <w:fldChar w:fldCharType="end"/>
      </w:r>
    </w:p>
    <w:p>
      <w:pPr>
        <w:pStyle w:val="TOC8"/>
        <w:rPr>
          <w:rFonts w:asciiTheme="minorHAnsi" w:eastAsiaTheme="minorEastAsia" w:hAnsiTheme="minorHAnsi" w:cstheme="minorBidi"/>
          <w:szCs w:val="22"/>
        </w:rPr>
      </w:pPr>
      <w:r>
        <w:t>51GAD.</w:t>
      </w:r>
      <w:r>
        <w:tab/>
        <w:t>Treatment of attention deficit hyperactivity disorder with a stimulant</w:t>
      </w:r>
      <w:r>
        <w:tab/>
      </w:r>
      <w:r>
        <w:fldChar w:fldCharType="begin"/>
      </w:r>
      <w:r>
        <w:instrText xml:space="preserve"> PAGEREF _Toc393706835 \h </w:instrText>
      </w:r>
      <w:r>
        <w:fldChar w:fldCharType="separate"/>
      </w:r>
      <w:r>
        <w:t>89</w:t>
      </w:r>
      <w:r>
        <w:fldChar w:fldCharType="end"/>
      </w:r>
    </w:p>
    <w:p>
      <w:pPr>
        <w:pStyle w:val="TOC8"/>
        <w:rPr>
          <w:rFonts w:asciiTheme="minorHAnsi" w:eastAsiaTheme="minorEastAsia" w:hAnsiTheme="minorHAnsi" w:cstheme="minorBidi"/>
          <w:szCs w:val="22"/>
        </w:rPr>
      </w:pPr>
      <w:r>
        <w:t>51GAE.</w:t>
      </w:r>
      <w:r>
        <w:tab/>
        <w:t>Dose for supply or prescription of a stimulant</w:t>
      </w:r>
      <w:r>
        <w:tab/>
      </w:r>
      <w:r>
        <w:fldChar w:fldCharType="begin"/>
      </w:r>
      <w:r>
        <w:instrText xml:space="preserve"> PAGEREF _Toc393706836 \h </w:instrText>
      </w:r>
      <w:r>
        <w:fldChar w:fldCharType="separate"/>
      </w:r>
      <w:r>
        <w:t>90</w:t>
      </w:r>
      <w:r>
        <w:fldChar w:fldCharType="end"/>
      </w:r>
    </w:p>
    <w:p>
      <w:pPr>
        <w:pStyle w:val="TOC8"/>
        <w:rPr>
          <w:rFonts w:asciiTheme="minorHAnsi" w:eastAsiaTheme="minorEastAsia" w:hAnsiTheme="minorHAnsi" w:cstheme="minorBidi"/>
          <w:szCs w:val="22"/>
        </w:rPr>
      </w:pPr>
      <w:r>
        <w:t>51GAF.</w:t>
      </w:r>
      <w:r>
        <w:tab/>
        <w:t>Notification to Commissioner of Health of supply or prescription of a stimulant</w:t>
      </w:r>
      <w:r>
        <w:tab/>
      </w:r>
      <w:r>
        <w:fldChar w:fldCharType="begin"/>
      </w:r>
      <w:r>
        <w:instrText xml:space="preserve"> PAGEREF _Toc393706837 \h </w:instrText>
      </w:r>
      <w:r>
        <w:fldChar w:fldCharType="separate"/>
      </w:r>
      <w:r>
        <w:t>90</w:t>
      </w:r>
      <w:r>
        <w:fldChar w:fldCharType="end"/>
      </w:r>
    </w:p>
    <w:p>
      <w:pPr>
        <w:pStyle w:val="TOC8"/>
        <w:rPr>
          <w:rFonts w:asciiTheme="minorHAnsi" w:eastAsiaTheme="minorEastAsia" w:hAnsiTheme="minorHAnsi" w:cstheme="minorBidi"/>
          <w:szCs w:val="22"/>
        </w:rPr>
      </w:pPr>
      <w:r>
        <w:t>51GAG.</w:t>
      </w:r>
      <w:r>
        <w:tab/>
        <w:t>Co</w:t>
      </w:r>
      <w:r>
        <w:noBreakHyphen/>
        <w:t>prescriber for supply or prescription of a stimulant</w:t>
      </w:r>
      <w:r>
        <w:tab/>
      </w:r>
      <w:r>
        <w:fldChar w:fldCharType="begin"/>
      </w:r>
      <w:r>
        <w:instrText xml:space="preserve"> PAGEREF _Toc393706838 \h </w:instrText>
      </w:r>
      <w:r>
        <w:fldChar w:fldCharType="separate"/>
      </w:r>
      <w:r>
        <w:t>91</w:t>
      </w:r>
      <w:r>
        <w:fldChar w:fldCharType="end"/>
      </w:r>
    </w:p>
    <w:p>
      <w:pPr>
        <w:pStyle w:val="TOC8"/>
        <w:rPr>
          <w:rFonts w:asciiTheme="minorHAnsi" w:eastAsiaTheme="minorEastAsia" w:hAnsiTheme="minorHAnsi" w:cstheme="minorBidi"/>
          <w:szCs w:val="22"/>
        </w:rPr>
      </w:pPr>
      <w:r>
        <w:t>51GAH.</w:t>
      </w:r>
      <w:r>
        <w:tab/>
        <w:t>Special authorisation to supply or prescription of a stimulant</w:t>
      </w:r>
      <w:r>
        <w:tab/>
      </w:r>
      <w:r>
        <w:fldChar w:fldCharType="begin"/>
      </w:r>
      <w:r>
        <w:instrText xml:space="preserve"> PAGEREF _Toc393706839 \h </w:instrText>
      </w:r>
      <w:r>
        <w:fldChar w:fldCharType="separate"/>
      </w:r>
      <w:r>
        <w:t>92</w:t>
      </w:r>
      <w:r>
        <w:fldChar w:fldCharType="end"/>
      </w:r>
    </w:p>
    <w:p>
      <w:pPr>
        <w:pStyle w:val="TOC8"/>
        <w:rPr>
          <w:rFonts w:asciiTheme="minorHAnsi" w:eastAsiaTheme="minorEastAsia" w:hAnsiTheme="minorHAnsi" w:cstheme="minorBidi"/>
          <w:szCs w:val="22"/>
        </w:rPr>
      </w:pPr>
      <w:r>
        <w:t>51GAI.</w:t>
      </w:r>
      <w:r>
        <w:tab/>
        <w:t>Supply or prescription of a stimulant in a public hospital or prison</w:t>
      </w:r>
      <w:r>
        <w:tab/>
      </w:r>
      <w:r>
        <w:fldChar w:fldCharType="begin"/>
      </w:r>
      <w:r>
        <w:instrText xml:space="preserve"> PAGEREF _Toc393706840 \h </w:instrText>
      </w:r>
      <w:r>
        <w:fldChar w:fldCharType="separate"/>
      </w:r>
      <w:r>
        <w:t>92</w:t>
      </w:r>
      <w:r>
        <w:fldChar w:fldCharType="end"/>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_Toc393706841 \h </w:instrText>
      </w:r>
      <w:r>
        <w:fldChar w:fldCharType="separate"/>
      </w:r>
      <w:r>
        <w:t>92</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_Toc393706842 \h </w:instrText>
      </w:r>
      <w:r>
        <w:fldChar w:fldCharType="separate"/>
      </w:r>
      <w:r>
        <w:t>93</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_Toc393706843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_Toc393706845 \h </w:instrText>
      </w:r>
      <w:r>
        <w:fldChar w:fldCharType="separate"/>
      </w:r>
      <w:r>
        <w:t>95</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_Toc393706846 \h </w:instrText>
      </w:r>
      <w:r>
        <w:fldChar w:fldCharType="separate"/>
      </w:r>
      <w:r>
        <w:t>100</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_Toc393706847 \h </w:instrText>
      </w:r>
      <w:r>
        <w:fldChar w:fldCharType="separate"/>
      </w:r>
      <w:r>
        <w:t>100</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_Toc393706848 \h </w:instrText>
      </w:r>
      <w:r>
        <w:fldChar w:fldCharType="separate"/>
      </w:r>
      <w:r>
        <w:t>101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_Toc393706849 \h </w:instrText>
      </w:r>
      <w:r>
        <w:fldChar w:fldCharType="separate"/>
      </w:r>
      <w:r>
        <w:t>101</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certain poisons included in Schedule 8</w:t>
      </w:r>
      <w:r>
        <w:tab/>
      </w:r>
      <w:r>
        <w:fldChar w:fldCharType="begin"/>
      </w:r>
      <w:r>
        <w:instrText xml:space="preserve"> PAGEREF _Toc393706850 \h </w:instrText>
      </w:r>
      <w:r>
        <w:fldChar w:fldCharType="separate"/>
      </w:r>
      <w:r>
        <w:t>102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_Toc393706851 \h </w:instrText>
      </w:r>
      <w:r>
        <w:fldChar w:fldCharType="separate"/>
      </w:r>
      <w:r>
        <w:t>103</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_Toc393706852 \h </w:instrText>
      </w:r>
      <w:r>
        <w:fldChar w:fldCharType="separate"/>
      </w:r>
      <w:r>
        <w:t>104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_Toc393706853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_Toc393706855 \h </w:instrText>
      </w:r>
      <w:r>
        <w:fldChar w:fldCharType="separate"/>
      </w:r>
      <w:r>
        <w:t>105</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_Toc393706856 \h </w:instrText>
      </w:r>
      <w:r>
        <w:fldChar w:fldCharType="separate"/>
      </w:r>
      <w:r>
        <w:t>107</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_Toc393706857 \h </w:instrText>
      </w:r>
      <w:r>
        <w:fldChar w:fldCharType="separate"/>
      </w:r>
      <w:r>
        <w:t>107</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_Toc393706858 \h </w:instrText>
      </w:r>
      <w:r>
        <w:fldChar w:fldCharType="separate"/>
      </w:r>
      <w:r>
        <w:t>108</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_Toc393706859 \h </w:instrText>
      </w:r>
      <w:r>
        <w:fldChar w:fldCharType="separate"/>
      </w:r>
      <w:r>
        <w:t>108</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_Toc393706860 \h </w:instrText>
      </w:r>
      <w:r>
        <w:fldChar w:fldCharType="separate"/>
      </w:r>
      <w:r>
        <w:t>108</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_Toc393706861 \h </w:instrText>
      </w:r>
      <w:r>
        <w:fldChar w:fldCharType="separate"/>
      </w:r>
      <w:r>
        <w:t>109</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_Toc393706862 \h </w:instrText>
      </w:r>
      <w:r>
        <w:fldChar w:fldCharType="separate"/>
      </w:r>
      <w:r>
        <w:t>109</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_Toc393706863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_Toc393706865 \h </w:instrText>
      </w:r>
      <w:r>
        <w:fldChar w:fldCharType="separate"/>
      </w:r>
      <w:r>
        <w:t>110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_Toc393706866 \h </w:instrText>
      </w:r>
      <w:r>
        <w:fldChar w:fldCharType="separate"/>
      </w:r>
      <w:r>
        <w:t>111</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_Toc393706868 \h </w:instrText>
      </w:r>
      <w:r>
        <w:fldChar w:fldCharType="separate"/>
      </w:r>
      <w:r>
        <w:t>112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_Toc393706869 \h </w:instrText>
      </w:r>
      <w:r>
        <w:fldChar w:fldCharType="separate"/>
      </w:r>
      <w:r>
        <w:t>112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_Toc393706870 \h </w:instrText>
      </w:r>
      <w:r>
        <w:fldChar w:fldCharType="separate"/>
      </w:r>
      <w:r>
        <w:t>113</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Appendix A</w:t>
      </w:r>
    </w:p>
    <w:p>
      <w:pPr>
        <w:pStyle w:val="TOC2"/>
        <w:tabs>
          <w:tab w:val="right" w:leader="dot" w:pos="7086"/>
        </w:tabs>
        <w:rPr>
          <w:rFonts w:asciiTheme="minorHAnsi" w:eastAsiaTheme="minorEastAsia" w:hAnsiTheme="minorHAnsi" w:cstheme="minorBidi"/>
          <w:b w:val="0"/>
          <w:noProof/>
          <w:sz w:val="22"/>
          <w:szCs w:val="22"/>
        </w:rPr>
      </w:pPr>
      <w:r>
        <w:rPr>
          <w:noProof/>
        </w:rPr>
        <w:t>Appendix G</w:t>
      </w:r>
    </w:p>
    <w:p>
      <w:pPr>
        <w:pStyle w:val="TOC2"/>
        <w:tabs>
          <w:tab w:val="right" w:leader="dot" w:pos="7086"/>
        </w:tabs>
        <w:rPr>
          <w:rFonts w:asciiTheme="minorHAnsi" w:eastAsiaTheme="minorEastAsia" w:hAnsiTheme="minorHAnsi" w:cstheme="minorBidi"/>
          <w:b w:val="0"/>
          <w:noProof/>
          <w:sz w:val="22"/>
          <w:szCs w:val="22"/>
        </w:rPr>
      </w:pPr>
      <w:r>
        <w:rPr>
          <w:noProof/>
        </w:rPr>
        <w:t>Appendix H</w:t>
      </w:r>
    </w:p>
    <w:p>
      <w:pPr>
        <w:pStyle w:val="TOC2"/>
        <w:tabs>
          <w:tab w:val="right" w:leader="dot" w:pos="7086"/>
        </w:tabs>
        <w:rPr>
          <w:rFonts w:asciiTheme="minorHAnsi" w:eastAsiaTheme="minorEastAsia" w:hAnsiTheme="minorHAnsi" w:cstheme="minorBidi"/>
          <w:b w:val="0"/>
          <w:noProof/>
          <w:sz w:val="22"/>
          <w:szCs w:val="22"/>
        </w:rPr>
      </w:pPr>
      <w:r>
        <w:rPr>
          <w:noProof/>
        </w:rPr>
        <w:t>Appendix J</w:t>
      </w:r>
    </w:p>
    <w:p>
      <w:pPr>
        <w:pStyle w:val="TOC2"/>
        <w:tabs>
          <w:tab w:val="right" w:leader="dot" w:pos="7086"/>
        </w:tabs>
        <w:rPr>
          <w:rFonts w:asciiTheme="minorHAnsi" w:eastAsiaTheme="minorEastAsia" w:hAnsiTheme="minorHAnsi" w:cstheme="minorBidi"/>
          <w:b w:val="0"/>
          <w:noProof/>
          <w:sz w:val="22"/>
          <w:szCs w:val="22"/>
        </w:rPr>
      </w:pPr>
      <w:r>
        <w:rPr>
          <w:noProof/>
        </w:rPr>
        <w:t>Appendix L</w:t>
      </w:r>
    </w:p>
    <w:p>
      <w:pPr>
        <w:pStyle w:val="TOC8"/>
        <w:rPr>
          <w:rFonts w:asciiTheme="minorHAnsi" w:eastAsiaTheme="minorEastAsia" w:hAnsiTheme="minorHAnsi" w:cstheme="minorBidi"/>
          <w:szCs w:val="22"/>
        </w:rPr>
      </w:pPr>
      <w:r>
        <w:rPr>
          <w:snapToGrid w:val="0"/>
        </w:rPr>
        <w:tab/>
        <w:t>1.</w:t>
      </w:r>
      <w:r>
        <w:tab/>
      </w:r>
      <w:r>
        <w:fldChar w:fldCharType="begin"/>
      </w:r>
      <w:r>
        <w:instrText xml:space="preserve"> PAGEREF _Toc393706876 \h </w:instrText>
      </w:r>
      <w:r>
        <w:fldChar w:fldCharType="separate"/>
      </w:r>
      <w:r>
        <w:t>132</w:t>
      </w:r>
      <w:r>
        <w:fldChar w:fldCharType="end"/>
      </w:r>
    </w:p>
    <w:p>
      <w:pPr>
        <w:pStyle w:val="TOC8"/>
        <w:rPr>
          <w:rFonts w:asciiTheme="minorHAnsi" w:eastAsiaTheme="minorEastAsia" w:hAnsiTheme="minorHAnsi" w:cstheme="minorBidi"/>
          <w:szCs w:val="22"/>
        </w:rPr>
      </w:pPr>
      <w:r>
        <w:rPr>
          <w:snapToGrid w:val="0"/>
        </w:rPr>
        <w:tab/>
        <w:t>2.</w:t>
      </w:r>
      <w:r>
        <w:tab/>
      </w:r>
      <w:r>
        <w:fldChar w:fldCharType="begin"/>
      </w:r>
      <w:r>
        <w:instrText xml:space="preserve"> PAGEREF _Toc393706877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Appendix M</w:t>
      </w:r>
    </w:p>
    <w:p>
      <w:pPr>
        <w:pStyle w:val="TOC8"/>
        <w:rPr>
          <w:rFonts w:asciiTheme="minorHAnsi" w:eastAsiaTheme="minorEastAsia" w:hAnsiTheme="minorHAnsi" w:cstheme="minorBidi"/>
          <w:szCs w:val="22"/>
        </w:rPr>
      </w:pPr>
      <w:r>
        <w:rPr>
          <w:snapToGrid w:val="0"/>
        </w:rPr>
        <w:t>1.</w:t>
      </w:r>
      <w:r>
        <w:rPr>
          <w:snapToGrid w:val="0"/>
        </w:rPr>
        <w:tab/>
        <w:t>Safes</w:t>
      </w:r>
      <w:r>
        <w:tab/>
      </w:r>
      <w:r>
        <w:fldChar w:fldCharType="begin"/>
      </w:r>
      <w:r>
        <w:instrText xml:space="preserve"> PAGEREF _Toc393706879 \h </w:instrText>
      </w:r>
      <w:r>
        <w:fldChar w:fldCharType="separate"/>
      </w:r>
      <w:r>
        <w:t>134</w:t>
      </w:r>
      <w:r>
        <w:fldChar w:fldCharType="end"/>
      </w:r>
    </w:p>
    <w:p>
      <w:pPr>
        <w:pStyle w:val="TOC8"/>
        <w:rPr>
          <w:rFonts w:asciiTheme="minorHAnsi" w:eastAsiaTheme="minorEastAsia" w:hAnsiTheme="minorHAnsi" w:cstheme="minorBidi"/>
          <w:szCs w:val="22"/>
        </w:rPr>
      </w:pPr>
      <w:r>
        <w:rPr>
          <w:snapToGrid w:val="0"/>
        </w:rPr>
        <w:t>2.</w:t>
      </w:r>
      <w:r>
        <w:rPr>
          <w:snapToGrid w:val="0"/>
        </w:rPr>
        <w:tab/>
        <w:t>Additional security requirements</w:t>
      </w:r>
      <w:r>
        <w:tab/>
      </w:r>
      <w:r>
        <w:fldChar w:fldCharType="begin"/>
      </w:r>
      <w:r>
        <w:instrText xml:space="preserve"> PAGEREF _Toc393706880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_Toc393706882 \h </w:instrText>
      </w:r>
      <w:r>
        <w:fldChar w:fldCharType="separate"/>
      </w:r>
      <w:r>
        <w:t>136</w:t>
      </w:r>
      <w:r>
        <w:fldChar w:fldCharType="end"/>
      </w:r>
    </w:p>
    <w:p>
      <w:pPr>
        <w:pStyle w:val="TOC6"/>
        <w:rPr>
          <w:i/>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Poisons Act 1964</w:t>
      </w:r>
    </w:p>
    <w:p>
      <w:pPr>
        <w:pStyle w:val="NameofActReg"/>
      </w:pPr>
      <w:r>
        <w:t>Poisons Regulations 1965</w:t>
      </w:r>
    </w:p>
    <w:p>
      <w:pPr>
        <w:pStyle w:val="Heading2"/>
      </w:pPr>
      <w:bookmarkStart w:id="1" w:name="_Toc393706710"/>
      <w:r>
        <w:rPr>
          <w:rStyle w:val="CharPartNo"/>
        </w:rPr>
        <w:t>Part 1</w:t>
      </w:r>
      <w:r>
        <w:t xml:space="preserve"> — </w:t>
      </w:r>
      <w:r>
        <w:rPr>
          <w:rStyle w:val="CharPartText"/>
        </w:rPr>
        <w:t>Preliminary</w:t>
      </w:r>
      <w:bookmarkEnd w:id="1"/>
    </w:p>
    <w:p>
      <w:pPr>
        <w:pStyle w:val="Footnoteheading"/>
        <w:tabs>
          <w:tab w:val="left" w:pos="851"/>
        </w:tabs>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93706711"/>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93706712"/>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animal</w:t>
      </w:r>
      <w:r>
        <w:rPr>
          <w:b/>
        </w:rPr>
        <w:t>”</w:t>
      </w:r>
      <w:r>
        <w:t xml:space="preserve"> includes bees, birds, cetaceans, crustaceans, fish, molluscs and reptiles;</w:t>
      </w:r>
    </w:p>
    <w:p>
      <w:pPr>
        <w:pStyle w:val="Defstart"/>
      </w:pPr>
      <w:r>
        <w:rPr>
          <w:b/>
        </w:rPr>
        <w:tab/>
        <w:t>“</w:t>
      </w:r>
      <w:r>
        <w:rPr>
          <w:rStyle w:val="CharDefText"/>
        </w:rPr>
        <w:t>approved needle and syringe programme</w:t>
      </w:r>
      <w:r>
        <w:rPr>
          <w:b/>
        </w:rPr>
        <w:t>”</w:t>
      </w:r>
      <w:r>
        <w:t xml:space="preserve"> means a needle and syringe programme that has been approved by the Commissioner of Health;</w:t>
      </w:r>
    </w:p>
    <w:p>
      <w:pPr>
        <w:pStyle w:val="Defstart"/>
      </w:pPr>
      <w:r>
        <w:rPr>
          <w:b/>
        </w:rPr>
        <w:tab/>
        <w:t>“</w:t>
      </w:r>
      <w:r>
        <w:rPr>
          <w:rStyle w:val="CharDefText"/>
        </w:rPr>
        <w:t>child</w:t>
      </w:r>
      <w:r>
        <w:rPr>
          <w:b/>
        </w:rPr>
        <w:t>”</w:t>
      </w:r>
      <w:r>
        <w:t xml:space="preserve"> means a person under the age of 12 years;</w:t>
      </w:r>
    </w:p>
    <w:p>
      <w:pPr>
        <w:pStyle w:val="Defstart"/>
      </w:pPr>
      <w:r>
        <w:rPr>
          <w:b/>
        </w:rPr>
        <w:tab/>
        <w:t>“</w:t>
      </w:r>
      <w:r>
        <w:rPr>
          <w:rStyle w:val="CharDefText"/>
        </w:rPr>
        <w:t>coordinator</w:t>
      </w:r>
      <w:r>
        <w:rPr>
          <w:b/>
        </w:rPr>
        <w:t>”</w:t>
      </w:r>
      <w:r>
        <w:t>, in relation to an approved needle and syringe programme, means the person nominated in an application referred to in regulation 12A to be the coordinator of that programme;</w:t>
      </w:r>
    </w:p>
    <w:p>
      <w:pPr>
        <w:pStyle w:val="Defstart"/>
      </w:pPr>
      <w:r>
        <w:rPr>
          <w:b/>
        </w:rPr>
        <w:tab/>
        <w:t>“</w:t>
      </w:r>
      <w:r>
        <w:rPr>
          <w:rStyle w:val="CharDefText"/>
        </w:rPr>
        <w:t>dermatologist</w:t>
      </w:r>
      <w:r>
        <w:rPr>
          <w:b/>
        </w:rPr>
        <w:t>”</w:t>
      </w:r>
      <w:r>
        <w:t xml:space="preserve"> means a medical practitioner who has qualifications recognised by the Medical Board as appropriate to a specialist in dermatology;</w:t>
      </w:r>
    </w:p>
    <w:p>
      <w:pPr>
        <w:pStyle w:val="Defstart"/>
      </w:pPr>
      <w:r>
        <w:rPr>
          <w:b/>
        </w:rPr>
        <w:tab/>
        <w:t>“</w:t>
      </w:r>
      <w:r>
        <w:rPr>
          <w:rStyle w:val="CharDefText"/>
        </w:rPr>
        <w:t>direction</w:t>
      </w:r>
      <w:r>
        <w:rPr>
          <w:b/>
        </w:rPr>
        <w:t>”</w:t>
      </w:r>
      <w:r>
        <w:t xml:space="preserve"> means regular and frequent supervision but does not necessarily imply continuous personal supervision;</w:t>
      </w:r>
    </w:p>
    <w:p>
      <w:pPr>
        <w:pStyle w:val="Defstart"/>
      </w:pPr>
      <w:r>
        <w:rPr>
          <w:b/>
        </w:rPr>
        <w:tab/>
        <w:t>“</w:t>
      </w:r>
      <w:r>
        <w:rPr>
          <w:rStyle w:val="CharDefText"/>
        </w:rPr>
        <w:t>director of nursing</w:t>
      </w:r>
      <w:r>
        <w:rPr>
          <w:b/>
        </w:rPr>
        <w:t>”</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t>“</w:t>
      </w:r>
      <w:r>
        <w:rPr>
          <w:rStyle w:val="CharDefText"/>
        </w:rPr>
        <w:t>dispense</w:t>
      </w:r>
      <w:r>
        <w:rPr>
          <w:b/>
        </w:rPr>
        <w:t>”</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t>“</w:t>
      </w:r>
      <w:r>
        <w:rPr>
          <w:rStyle w:val="CharDefText"/>
        </w:rPr>
        <w:t>distributor</w:t>
      </w:r>
      <w:r>
        <w:rPr>
          <w:b/>
        </w:rPr>
        <w:t>”</w:t>
      </w:r>
      <w:r>
        <w:t xml:space="preserve"> means a person who imports, sells or otherwise supplies a poison;</w:t>
      </w:r>
    </w:p>
    <w:p>
      <w:pPr>
        <w:pStyle w:val="Defstart"/>
      </w:pPr>
      <w:r>
        <w:rPr>
          <w:b/>
        </w:rPr>
        <w:tab/>
        <w:t>“</w:t>
      </w:r>
      <w:r>
        <w:rPr>
          <w:rStyle w:val="CharDefText"/>
        </w:rPr>
        <w:t>dosage unit</w:t>
      </w:r>
      <w:r>
        <w:rPr>
          <w:b/>
        </w:rPr>
        <w:t>”</w:t>
      </w:r>
      <w:r>
        <w:t xml:space="preserve"> means an individual dose of a poison and includes a tablet, capsule, cachet, single dose powder, or a single dose sachet of powders or granules;</w:t>
      </w:r>
    </w:p>
    <w:p>
      <w:pPr>
        <w:pStyle w:val="Defstart"/>
      </w:pPr>
      <w:r>
        <w:rPr>
          <w:b/>
        </w:rPr>
        <w:tab/>
        <w:t>“</w:t>
      </w:r>
      <w:r>
        <w:rPr>
          <w:rStyle w:val="CharDefText"/>
        </w:rPr>
        <w:t>experienced person</w:t>
      </w:r>
      <w:r>
        <w:rPr>
          <w:b/>
        </w:rPr>
        <w:t>”</w:t>
      </w:r>
      <w:r>
        <w:t xml:space="preserve"> means a person who for at least 5 years has been employed in the manufacture, handling or selling of poisons;</w:t>
      </w:r>
    </w:p>
    <w:p>
      <w:pPr>
        <w:pStyle w:val="Defstart"/>
      </w:pPr>
      <w:r>
        <w:rPr>
          <w:b/>
        </w:rPr>
        <w:tab/>
        <w:t>“</w:t>
      </w:r>
      <w:r>
        <w:rPr>
          <w:rStyle w:val="CharDefText"/>
        </w:rPr>
        <w:t>external</w:t>
      </w:r>
      <w:r>
        <w:rPr>
          <w:b/>
        </w:rPr>
        <w:t>”</w:t>
      </w:r>
      <w:r>
        <w:t xml:space="preserve"> in relation to the use of a poison, means application in the ears, eyes or nose, or to a body surface other than in the mouth, rectum, vagina, urethra or other body orifice;</w:t>
      </w:r>
    </w:p>
    <w:p>
      <w:pPr>
        <w:pStyle w:val="Defstart"/>
      </w:pPr>
      <w:r>
        <w:rPr>
          <w:b/>
        </w:rPr>
        <w:tab/>
        <w:t>“</w:t>
      </w:r>
      <w:r>
        <w:rPr>
          <w:rStyle w:val="CharDefText"/>
        </w:rPr>
        <w:t>gynaecologist</w:t>
      </w:r>
      <w:r>
        <w:rPr>
          <w:b/>
        </w:rPr>
        <w:t>”</w:t>
      </w:r>
      <w:r>
        <w:t xml:space="preserve"> means a medical practitioner who has qualifications recognised by the Medical Board as appropriate to a specialist in gynaecology;</w:t>
      </w:r>
    </w:p>
    <w:p>
      <w:pPr>
        <w:pStyle w:val="Defstart"/>
      </w:pPr>
      <w:r>
        <w:rPr>
          <w:b/>
        </w:rPr>
        <w:tab/>
        <w:t>“</w:t>
      </w:r>
      <w:r>
        <w:rPr>
          <w:rStyle w:val="CharDefText"/>
        </w:rPr>
        <w:t>immediate container</w:t>
      </w:r>
      <w:r>
        <w:rPr>
          <w:b/>
        </w:rPr>
        <w:t>”</w:t>
      </w:r>
      <w:r>
        <w:t xml:space="preserve"> includes any form of container in which a poison is directly packed, but does not include any such container intended for consumption or any immediate wrapper;</w:t>
      </w:r>
    </w:p>
    <w:p>
      <w:pPr>
        <w:pStyle w:val="Defstart"/>
      </w:pPr>
      <w:r>
        <w:rPr>
          <w:b/>
        </w:rPr>
        <w:tab/>
        <w:t>“</w:t>
      </w:r>
      <w:r>
        <w:rPr>
          <w:rStyle w:val="CharDefText"/>
        </w:rPr>
        <w:t>immediate wrapper</w:t>
      </w:r>
      <w:r>
        <w:rPr>
          <w:b/>
        </w:rPr>
        <w:t>”</w:t>
      </w:r>
      <w:r>
        <w:t xml:space="preserve"> means metal foil, plastic foil, waxed paper, or any other such material not intended for consumption, when used as the first wrapper for a dosage unit or dressing;</w:t>
      </w:r>
    </w:p>
    <w:p>
      <w:pPr>
        <w:pStyle w:val="Defstart"/>
      </w:pPr>
      <w:r>
        <w:rPr>
          <w:b/>
        </w:rPr>
        <w:tab/>
        <w:t>“</w:t>
      </w:r>
      <w:r>
        <w:rPr>
          <w:rStyle w:val="CharDefText"/>
        </w:rPr>
        <w:t>manufacture</w:t>
      </w:r>
      <w:r>
        <w:rPr>
          <w:b/>
        </w:rPr>
        <w:t>”</w:t>
      </w:r>
      <w:r>
        <w:t xml:space="preserve"> includes the processes of packing and repacking, refining manipulating and mixing any poison;</w:t>
      </w:r>
    </w:p>
    <w:p>
      <w:pPr>
        <w:pStyle w:val="Defstart"/>
      </w:pPr>
      <w:r>
        <w:rPr>
          <w:b/>
        </w:rPr>
        <w:tab/>
        <w:t>“</w:t>
      </w:r>
      <w:r>
        <w:rPr>
          <w:rStyle w:val="CharDefText"/>
        </w:rPr>
        <w:t>manufacturer</w:t>
      </w:r>
      <w:r>
        <w:rPr>
          <w:b/>
        </w:rPr>
        <w:t>”</w:t>
      </w:r>
      <w:r>
        <w:t xml:space="preserve"> means a person who manufactures, produces, or packs a poison;</w:t>
      </w:r>
    </w:p>
    <w:p>
      <w:pPr>
        <w:pStyle w:val="Defstart"/>
      </w:pPr>
      <w:r>
        <w:rPr>
          <w:b/>
        </w:rPr>
        <w:tab/>
        <w:t>“</w:t>
      </w:r>
      <w:r>
        <w:rPr>
          <w:rStyle w:val="CharDefText"/>
        </w:rPr>
        <w:t>Medical Board</w:t>
      </w:r>
      <w:r>
        <w:rPr>
          <w:b/>
        </w:rPr>
        <w:t>”</w:t>
      </w:r>
      <w:r>
        <w:t xml:space="preserve"> means the Medical Board established under section 4 of the </w:t>
      </w:r>
      <w:r>
        <w:rPr>
          <w:i/>
        </w:rPr>
        <w:t>Medical Act 1894</w:t>
      </w:r>
      <w:r>
        <w:t>;</w:t>
      </w:r>
    </w:p>
    <w:p>
      <w:pPr>
        <w:pStyle w:val="Defstart"/>
      </w:pPr>
      <w:r>
        <w:rPr>
          <w:b/>
        </w:rPr>
        <w:tab/>
        <w:t>“</w:t>
      </w:r>
      <w:r>
        <w:rPr>
          <w:rStyle w:val="CharDefText"/>
        </w:rPr>
        <w:t>obstetrician</w:t>
      </w:r>
      <w:r>
        <w:rPr>
          <w:b/>
        </w:rPr>
        <w:t>”</w:t>
      </w:r>
      <w:r>
        <w:t xml:space="preserve"> means a medical practitioner who has qualifications recognised by the Medical Board as appropriate to a specialist in obstetrics;</w:t>
      </w:r>
    </w:p>
    <w:p>
      <w:pPr>
        <w:pStyle w:val="Defstart"/>
      </w:pPr>
      <w:r>
        <w:rPr>
          <w:b/>
        </w:rPr>
        <w:tab/>
        <w:t>“</w:t>
      </w:r>
      <w:r>
        <w:rPr>
          <w:rStyle w:val="CharDefText"/>
        </w:rPr>
        <w:t>permit</w:t>
      </w:r>
      <w:r>
        <w:rPr>
          <w:b/>
        </w:rPr>
        <w:t>”</w:t>
      </w:r>
      <w:r>
        <w:t xml:space="preserve"> means a permit granted pursuant to the Act;</w:t>
      </w:r>
    </w:p>
    <w:p>
      <w:pPr>
        <w:pStyle w:val="Defstart"/>
      </w:pPr>
      <w:r>
        <w:rPr>
          <w:b/>
        </w:rPr>
        <w:tab/>
        <w:t>“</w:t>
      </w:r>
      <w:r>
        <w:rPr>
          <w:rStyle w:val="CharDefText"/>
        </w:rPr>
        <w:t>personal supervision</w:t>
      </w:r>
      <w:r>
        <w:rPr>
          <w:b/>
        </w:rPr>
        <w:t>”</w:t>
      </w:r>
      <w:r>
        <w:t xml:space="preserve"> means close and continuous control requiring the actual presence of the person exercising the supervision;</w:t>
      </w:r>
    </w:p>
    <w:p>
      <w:pPr>
        <w:pStyle w:val="Defstart"/>
      </w:pPr>
      <w:r>
        <w:rPr>
          <w:b/>
        </w:rPr>
        <w:tab/>
        <w:t>“</w:t>
      </w:r>
      <w:r>
        <w:rPr>
          <w:rStyle w:val="CharDefText"/>
        </w:rPr>
        <w:t>physician</w:t>
      </w:r>
      <w:r>
        <w:rPr>
          <w:b/>
        </w:rPr>
        <w:t>”</w:t>
      </w:r>
      <w:r>
        <w:t xml:space="preserve"> means a medical practitioner who has qualifications recognised by the Medical Board as appropriate to a specialist in general medicine;</w:t>
      </w:r>
    </w:p>
    <w:p>
      <w:pPr>
        <w:pStyle w:val="Defstart"/>
      </w:pPr>
      <w:r>
        <w:rPr>
          <w:b/>
        </w:rPr>
        <w:tab/>
        <w:t>“</w:t>
      </w:r>
      <w:r>
        <w:rPr>
          <w:rStyle w:val="CharDefText"/>
        </w:rPr>
        <w:t>poisons cupboard</w:t>
      </w:r>
      <w:r>
        <w:rPr>
          <w:b/>
        </w:rPr>
        <w:t>”</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t>“</w:t>
      </w:r>
      <w:r>
        <w:rPr>
          <w:rStyle w:val="CharDefText"/>
        </w:rPr>
        <w:t>prescribe</w:t>
      </w:r>
      <w:r>
        <w:rPr>
          <w:b/>
        </w:rPr>
        <w:t>”</w:t>
      </w:r>
      <w:r>
        <w:t>, in relation to a drug of addiction, has a meaning affected by regulation 42A;</w:t>
      </w:r>
    </w:p>
    <w:p>
      <w:pPr>
        <w:pStyle w:val="Defstart"/>
      </w:pPr>
      <w:r>
        <w:rPr>
          <w:b/>
        </w:rPr>
        <w:tab/>
        <w:t>“</w:t>
      </w:r>
      <w:r>
        <w:rPr>
          <w:rStyle w:val="CharDefText"/>
        </w:rPr>
        <w:t>psychiatrist</w:t>
      </w:r>
      <w:r>
        <w:rPr>
          <w:b/>
        </w:rPr>
        <w: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t>“</w:t>
      </w:r>
      <w:r>
        <w:rPr>
          <w:rStyle w:val="CharDefText"/>
        </w:rPr>
        <w:t>public hospital</w:t>
      </w:r>
      <w:r>
        <w:rPr>
          <w:b/>
        </w:rPr>
        <w:t>”</w:t>
      </w:r>
      <w:r>
        <w:t xml:space="preserve"> means a public hospital as defined in section 2(1) of the </w:t>
      </w:r>
      <w:r>
        <w:rPr>
          <w:i/>
        </w:rPr>
        <w:t>Hospitals and Health Services Act 1927</w:t>
      </w:r>
      <w:r>
        <w:t>;</w:t>
      </w:r>
    </w:p>
    <w:p>
      <w:pPr>
        <w:pStyle w:val="Defstart"/>
      </w:pPr>
      <w:r>
        <w:rPr>
          <w:b/>
        </w:rPr>
        <w:tab/>
        <w:t>“</w:t>
      </w:r>
      <w:r>
        <w:rPr>
          <w:rStyle w:val="CharDefText"/>
        </w:rPr>
        <w:t>qualified person</w:t>
      </w:r>
      <w:r>
        <w:rPr>
          <w:b/>
        </w:rPr>
        <w:t>”</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Commissioner of Health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Commissioner of Health;</w:t>
      </w:r>
    </w:p>
    <w:p>
      <w:pPr>
        <w:pStyle w:val="Defstart"/>
      </w:pPr>
      <w:r>
        <w:rPr>
          <w:b/>
        </w:rPr>
        <w:tab/>
        <w:t>“</w:t>
      </w:r>
      <w:r>
        <w:rPr>
          <w:rStyle w:val="CharDefText"/>
        </w:rPr>
        <w:t>quarter</w:t>
      </w:r>
      <w:r>
        <w:rPr>
          <w:b/>
        </w:rPr>
        <w:t>”</w:t>
      </w:r>
      <w:r>
        <w:t xml:space="preserve"> means any one of the 3 monthly periods of any year ending on 31 March, 30 June, 30 September or 31 December;</w:t>
      </w:r>
    </w:p>
    <w:p>
      <w:pPr>
        <w:pStyle w:val="Defstart"/>
      </w:pPr>
      <w:r>
        <w:rPr>
          <w:b/>
        </w:rPr>
        <w:tab/>
        <w:t>“</w:t>
      </w:r>
      <w:r>
        <w:rPr>
          <w:rStyle w:val="CharDefText"/>
        </w:rPr>
        <w:t>registered nurse</w:t>
      </w:r>
      <w:r>
        <w:rPr>
          <w:b/>
        </w:rPr>
        <w:t>”</w:t>
      </w:r>
      <w:r>
        <w:t xml:space="preserve"> means a nurse whose name is entered in division 1 of the register referred to in section 33 of the </w:t>
      </w:r>
      <w:r>
        <w:rPr>
          <w:i/>
        </w:rPr>
        <w:t>Nurses Act 1992</w:t>
      </w:r>
      <w:r>
        <w:t>;</w:t>
      </w:r>
    </w:p>
    <w:p>
      <w:pPr>
        <w:pStyle w:val="Defstart"/>
      </w:pPr>
      <w:r>
        <w:rPr>
          <w:b/>
        </w:rPr>
        <w:tab/>
        <w:t>“</w:t>
      </w:r>
      <w:r>
        <w:rPr>
          <w:rStyle w:val="CharDefText"/>
        </w:rPr>
        <w:t>remote area nursing post</w:t>
      </w:r>
      <w:r>
        <w:rPr>
          <w:b/>
        </w:rPr>
        <w:t>”</w:t>
      </w:r>
      <w:r>
        <w:t xml:space="preserve"> means a remote area site designated as a remote area nursing post by the Commissioner of Health under regulation 11;</w:t>
      </w:r>
    </w:p>
    <w:p>
      <w:pPr>
        <w:pStyle w:val="Defstart"/>
      </w:pPr>
      <w:r>
        <w:rPr>
          <w:b/>
        </w:rPr>
        <w:tab/>
        <w:t>“</w:t>
      </w:r>
      <w:r>
        <w:rPr>
          <w:rStyle w:val="CharDefText"/>
        </w:rPr>
        <w:t>sale</w:t>
      </w:r>
      <w:r>
        <w:rPr>
          <w:b/>
        </w:rPr>
        <w:t>”</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b/>
        </w:rPr>
        <w:t>“</w:t>
      </w:r>
      <w:r>
        <w:rPr>
          <w:rStyle w:val="CharDefText"/>
        </w:rPr>
        <w:t>to sell</w:t>
      </w:r>
      <w:r>
        <w:rPr>
          <w:b/>
        </w:rPr>
        <w:t>”</w:t>
      </w:r>
      <w:r>
        <w:t xml:space="preserve"> has a corresponding meaning;</w:t>
      </w:r>
    </w:p>
    <w:p>
      <w:pPr>
        <w:pStyle w:val="Defstart"/>
      </w:pPr>
      <w:r>
        <w:rPr>
          <w:b/>
        </w:rPr>
        <w:tab/>
        <w:t>“</w:t>
      </w:r>
      <w:r>
        <w:rPr>
          <w:rStyle w:val="CharDefText"/>
        </w:rPr>
        <w:t>Schedule</w:t>
      </w:r>
      <w:r>
        <w:rPr>
          <w:b/>
        </w:rPr>
        <w:t>”</w:t>
      </w:r>
      <w:r>
        <w:t xml:space="preserve"> has the meaning given in the Act;</w:t>
      </w:r>
    </w:p>
    <w:p>
      <w:pPr>
        <w:pStyle w:val="Defstart"/>
      </w:pPr>
      <w:r>
        <w:rPr>
          <w:b/>
        </w:rPr>
        <w:tab/>
        <w:t>“</w:t>
      </w:r>
      <w:r>
        <w:rPr>
          <w:rStyle w:val="CharDefText"/>
        </w:rPr>
        <w:t>supply</w:t>
      </w:r>
      <w:r>
        <w:rPr>
          <w:b/>
        </w:rPr>
        <w:t>”</w:t>
      </w:r>
      <w:r>
        <w:t xml:space="preserve"> includes </w:t>
      </w:r>
      <w:r>
        <w:rPr>
          <w:b/>
        </w:rPr>
        <w:t>“</w:t>
      </w:r>
      <w:r>
        <w:rPr>
          <w:rStyle w:val="CharDefText"/>
        </w:rPr>
        <w:t>distribute</w:t>
      </w:r>
      <w:r>
        <w:rPr>
          <w:b/>
        </w:rPr>
        <w:t>”</w:t>
      </w:r>
      <w:r>
        <w:t xml:space="preserve"> and </w:t>
      </w:r>
      <w:r>
        <w:rPr>
          <w:b/>
        </w:rPr>
        <w:t>“</w:t>
      </w:r>
      <w:r>
        <w:rPr>
          <w:rStyle w:val="CharDefText"/>
        </w:rPr>
        <w:t>sell</w:t>
      </w:r>
      <w:r>
        <w:rPr>
          <w:b/>
        </w:rPr>
        <w:t>”</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t>“</w:t>
      </w:r>
      <w:r>
        <w:rPr>
          <w:rStyle w:val="CharDefText"/>
        </w:rPr>
        <w:t>SUSDP</w:t>
      </w:r>
      <w:r>
        <w:rPr>
          <w:b/>
        </w:rPr>
        <w:t>”</w:t>
      </w:r>
      <w:r>
        <w:t xml:space="preserve"> has the meaning given in clause 1(1) of Appendix A to the Act;</w:t>
      </w:r>
    </w:p>
    <w:p>
      <w:pPr>
        <w:pStyle w:val="Defstart"/>
        <w:keepNext/>
      </w:pPr>
      <w:r>
        <w:rPr>
          <w:b/>
        </w:rPr>
        <w:tab/>
        <w:t>“</w:t>
      </w:r>
      <w:r>
        <w:rPr>
          <w:rStyle w:val="CharDefText"/>
        </w:rPr>
        <w:t>the Act</w:t>
      </w:r>
      <w:r>
        <w:rPr>
          <w:b/>
        </w:rPr>
        <w:t>”</w:t>
      </w:r>
      <w:r>
        <w:t xml:space="preserve"> means the </w:t>
      </w:r>
      <w:r>
        <w:rPr>
          <w:i/>
        </w:rPr>
        <w:t>Poisons Act 1964</w:t>
      </w:r>
      <w:r>
        <w:t>.</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28 Apr 1995 p. 1466</w:t>
      </w:r>
      <w:r>
        <w:noBreakHyphen/>
        <w:t>7; 5 Sep 1995 p. 4162; 19 Sep 1995 p. 4383; 17 Jan 1996 p. 267; 19 Mar 1996 p. 1216</w:t>
      </w:r>
      <w:r>
        <w:noBreakHyphen/>
        <w:t xml:space="preserve">17; 11 Apr 1997 p. 1829; 27 Nov 1998 p. 6343; by No. 9 of 2003 s. 41; 12 Aug 2003 p. 3658; 15 Nov 2005 p. 5603.] </w:t>
      </w:r>
    </w:p>
    <w:p>
      <w:pPr>
        <w:pStyle w:val="Heading5"/>
        <w:rPr>
          <w:snapToGrid w:val="0"/>
        </w:rPr>
      </w:pPr>
      <w:bookmarkStart w:id="4" w:name="_Toc393706713"/>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93706714"/>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Heading2"/>
        <w:rPr>
          <w:i/>
        </w:rPr>
      </w:pPr>
      <w:bookmarkStart w:id="6" w:name="_Toc393706715"/>
      <w:r>
        <w:rPr>
          <w:rStyle w:val="CharPartNo"/>
        </w:rPr>
        <w:t>Part 2</w:t>
      </w:r>
      <w:r>
        <w:t xml:space="preserve"> — </w:t>
      </w:r>
      <w:r>
        <w:rPr>
          <w:rStyle w:val="CharPartText"/>
        </w:rPr>
        <w:t>Licences and permits</w:t>
      </w:r>
      <w:bookmarkEnd w:id="6"/>
      <w:r>
        <w:rPr>
          <w:i/>
        </w:rPr>
        <w:t xml:space="preserve"> </w:t>
      </w:r>
    </w:p>
    <w:p>
      <w:pPr>
        <w:pStyle w:val="Footnoteheading"/>
        <w:tabs>
          <w:tab w:val="left" w:pos="851"/>
        </w:tabs>
      </w:pPr>
      <w:r>
        <w:tab/>
        <w:t>[Heading inserted in Gazette 12 Aug 2003 p. 3664.]</w:t>
      </w:r>
    </w:p>
    <w:p>
      <w:pPr>
        <w:pStyle w:val="Ednotedivision"/>
      </w:pPr>
      <w:r>
        <w:t>[Heading deleted in Gazette 12 Aug 2003 p. 3663.]</w:t>
      </w:r>
    </w:p>
    <w:p>
      <w:pPr>
        <w:pStyle w:val="Heading3"/>
        <w:rPr>
          <w:rStyle w:val="CharDivText"/>
        </w:rPr>
      </w:pPr>
      <w:bookmarkStart w:id="7" w:name="_Toc393706716"/>
      <w:r>
        <w:rPr>
          <w:rStyle w:val="CharDivNo"/>
        </w:rPr>
        <w:t>Division 1</w:t>
      </w:r>
      <w:r>
        <w:t xml:space="preserve"> — </w:t>
      </w:r>
      <w:r>
        <w:rPr>
          <w:rStyle w:val="CharDivText"/>
        </w:rPr>
        <w:t>General</w:t>
      </w:r>
      <w:bookmarkEnd w:id="7"/>
    </w:p>
    <w:p>
      <w:pPr>
        <w:pStyle w:val="Footnoteheading"/>
        <w:tabs>
          <w:tab w:val="left" w:pos="851"/>
        </w:tabs>
      </w:pPr>
      <w:r>
        <w:tab/>
        <w:t>[Heading inserted in Gazette 12 Aug 2003 p. 3664.]</w:t>
      </w:r>
    </w:p>
    <w:p>
      <w:pPr>
        <w:pStyle w:val="Heading5"/>
      </w:pPr>
      <w:bookmarkStart w:id="8" w:name="_Toc393706717"/>
      <w:r>
        <w:rPr>
          <w:rStyle w:val="CharSectno"/>
        </w:rPr>
        <w:t>3</w:t>
      </w:r>
      <w:r>
        <w:t>.</w:t>
      </w:r>
      <w:r>
        <w:tab/>
        <w:t>Wholesaler’s licences and permits</w:t>
      </w:r>
      <w:bookmarkEnd w:id="8"/>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keepNext/>
        <w:keepLines/>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pPr>
      <w:r>
        <w:tab/>
        <w:t>(b)</w:t>
      </w:r>
      <w:r>
        <w:tab/>
        <w:t xml:space="preserve">in the case of a qualified person specified for the purposes of subregulation (3), is unable to exercise the necessary supervision, </w:t>
      </w:r>
    </w:p>
    <w:p>
      <w:pPr>
        <w:pStyle w:val="Subsection"/>
      </w:pPr>
      <w:r>
        <w:tab/>
      </w:r>
      <w:r>
        <w:tab/>
        <w:t>the Commissioner of Health may in writing authorise another qualified or experienced person (as the case requires) to act in the specified person’s stead.</w:t>
      </w:r>
    </w:p>
    <w:p>
      <w:pPr>
        <w:pStyle w:val="Subsection"/>
      </w:pPr>
      <w:r>
        <w:tab/>
        <w:t>(6)</w:t>
      </w:r>
      <w:r>
        <w:tab/>
        <w:t>In this regulation —</w:t>
      </w:r>
    </w:p>
    <w:p>
      <w:pPr>
        <w:pStyle w:val="Defstart"/>
      </w:pPr>
      <w:r>
        <w:tab/>
      </w:r>
      <w:r>
        <w:rPr>
          <w:b/>
        </w:rPr>
        <w:t>“</w:t>
      </w:r>
      <w:r>
        <w:rPr>
          <w:rStyle w:val="CharDefText"/>
        </w:rPr>
        <w:t>specified</w:t>
      </w:r>
      <w:r>
        <w:rPr>
          <w:b/>
        </w:rPr>
        <w:t>”</w:t>
      </w:r>
      <w:r>
        <w:t xml:space="preserve"> means specified in a wholesaler’s licence.</w:t>
      </w:r>
    </w:p>
    <w:p>
      <w:pPr>
        <w:pStyle w:val="Footnotesection"/>
      </w:pPr>
      <w:r>
        <w:tab/>
        <w:t>[Regulation 3 inserted in Gazette 14 Sep 2001 </w:t>
      </w:r>
      <w:r>
        <w:rPr>
          <w:vertAlign w:val="superscript"/>
        </w:rPr>
        <w:t>3</w:t>
      </w:r>
      <w:r>
        <w:t xml:space="preserve"> p. 5073</w:t>
      </w:r>
      <w:r>
        <w:noBreakHyphen/>
        <w:t>4.]</w:t>
      </w:r>
    </w:p>
    <w:p>
      <w:pPr>
        <w:pStyle w:val="Ednotesection"/>
      </w:pPr>
      <w:r>
        <w:t>[</w:t>
      </w:r>
      <w:r>
        <w:rPr>
          <w:b/>
        </w:rPr>
        <w:t>4.</w:t>
      </w:r>
      <w:r>
        <w:tab/>
        <w:t>Repealed in Gazette 14 Sep 2001 p. 5073.]</w:t>
      </w:r>
    </w:p>
    <w:p>
      <w:pPr>
        <w:pStyle w:val="Ednotedivision"/>
      </w:pPr>
      <w:r>
        <w:t>[Heading deleted in Gazette 12 Aug 2003 p. 3663.]</w:t>
      </w:r>
    </w:p>
    <w:p>
      <w:pPr>
        <w:pStyle w:val="Heading5"/>
        <w:rPr>
          <w:snapToGrid w:val="0"/>
        </w:rPr>
      </w:pPr>
      <w:bookmarkStart w:id="9" w:name="_Toc393706718"/>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Footnoteheading"/>
        <w:tabs>
          <w:tab w:val="left" w:pos="851"/>
        </w:tabs>
        <w:rPr>
          <w:i w:val="0"/>
        </w:rPr>
      </w:pPr>
      <w:r>
        <w:tab/>
        <w:t>[Heading deleted in Gazette 12 Aug 2003 p. 3663.]</w:t>
      </w:r>
    </w:p>
    <w:p>
      <w:pPr>
        <w:pStyle w:val="Ednotesection"/>
      </w:pPr>
      <w:r>
        <w:t>[</w:t>
      </w:r>
      <w:r>
        <w:rPr>
          <w:b/>
        </w:rPr>
        <w:t>6.</w:t>
      </w:r>
      <w:r>
        <w:rPr>
          <w:b/>
        </w:rPr>
        <w:tab/>
      </w:r>
      <w:r>
        <w:t xml:space="preserve">Repealed in Gazette 19 Mar 1996 p. 1217.] </w:t>
      </w:r>
    </w:p>
    <w:p>
      <w:pPr>
        <w:pStyle w:val="Ednotedivision"/>
      </w:pPr>
      <w:r>
        <w:t>[Heading deleted in Gazette 12 Aug 2003 p. 3663.]</w:t>
      </w:r>
    </w:p>
    <w:p>
      <w:pPr>
        <w:pStyle w:val="Heading5"/>
        <w:rPr>
          <w:snapToGrid w:val="0"/>
        </w:rPr>
      </w:pPr>
      <w:bookmarkStart w:id="10" w:name="_Toc393706719"/>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11" w:name="_Toc393706720"/>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2" w:name="_Toc393706721"/>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b/>
          <w:snapToGrid w:val="0"/>
          <w:spacing w:val="-4"/>
        </w:rPr>
        <w:t>“</w:t>
      </w:r>
      <w:r>
        <w:rPr>
          <w:rStyle w:val="CharDefText"/>
          <w:spacing w:val="-4"/>
        </w:rPr>
        <w:t>specified drug</w:t>
      </w:r>
      <w:r>
        <w:rPr>
          <w:b/>
          <w:snapToGrid w:val="0"/>
          <w:spacing w:val="-4"/>
        </w:rPr>
        <w:t>”</w:t>
      </w:r>
      <w:r>
        <w:rPr>
          <w:snapToGrid w:val="0"/>
          <w:spacing w:val="-4"/>
        </w:rPr>
        <w:t xml:space="preserve"> for the purposes of the Act.</w:t>
      </w:r>
    </w:p>
    <w:p>
      <w:pPr>
        <w:pStyle w:val="Subsection"/>
        <w:keepNext/>
        <w:keepLines/>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within 7 days of ceasing to represent the manufacturer or wholesale supplier, the detailer shall advise the Commissioner of Health in writing of the fact and deliver up therewith his permit to the Commissioner of Health and the Commissioner of Health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 Commissioner of Health,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Upon receiving a written request from the Commissioner of Health a detailer shall submit all records of samples received and delivered and shall make an account of those samples to the Commissioner of Health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t>“</w:t>
      </w:r>
      <w:r>
        <w:rPr>
          <w:rStyle w:val="CharDefText"/>
        </w:rPr>
        <w:t>proprietary preparation</w:t>
      </w:r>
      <w:r>
        <w:rPr>
          <w:b/>
        </w:rPr>
        <w:t>”</w:t>
      </w:r>
      <w:r>
        <w:t xml:space="preserve"> means one or more forms of a poison intended for therapeutic use boxed or wrapped in a single sample package;</w:t>
      </w:r>
    </w:p>
    <w:p>
      <w:pPr>
        <w:pStyle w:val="Defstart"/>
      </w:pPr>
      <w:r>
        <w:rPr>
          <w:b/>
        </w:rPr>
        <w:tab/>
        <w:t>“</w:t>
      </w:r>
      <w:r>
        <w:rPr>
          <w:rStyle w:val="CharDefText"/>
        </w:rPr>
        <w:t>sample</w:t>
      </w:r>
      <w:r>
        <w:rPr>
          <w:b/>
        </w:rPr>
        <w:t>”</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w:t>
      </w:r>
    </w:p>
    <w:p>
      <w:pPr>
        <w:pStyle w:val="Ednotedivision"/>
      </w:pPr>
      <w:r>
        <w:t>[Heading deleted in Gazette 12 Aug 2003 p. 3663.]</w:t>
      </w:r>
    </w:p>
    <w:p>
      <w:pPr>
        <w:pStyle w:val="Heading5"/>
        <w:spacing w:before="120"/>
        <w:rPr>
          <w:snapToGrid w:val="0"/>
        </w:rPr>
      </w:pPr>
      <w:bookmarkStart w:id="13" w:name="_Toc393706722"/>
      <w:r>
        <w:rPr>
          <w:rStyle w:val="CharSectno"/>
        </w:rPr>
        <w:t>9</w:t>
      </w:r>
      <w:r>
        <w:rPr>
          <w:snapToGrid w:val="0"/>
        </w:rPr>
        <w:t>.</w:t>
      </w:r>
      <w:r>
        <w:rPr>
          <w:snapToGrid w:val="0"/>
        </w:rPr>
        <w:tab/>
        <w:t>Poisons permit (Industrial)</w:t>
      </w:r>
      <w:bookmarkEnd w:id="13"/>
      <w:r>
        <w:rPr>
          <w:snapToGrid w:val="0"/>
        </w:rPr>
        <w:t xml:space="preserve"> </w:t>
      </w:r>
    </w:p>
    <w:p>
      <w:pPr>
        <w:pStyle w:val="Subsection"/>
        <w:spacing w:before="80"/>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rPr>
          <w:snapToGrid w:val="0"/>
        </w:rPr>
      </w:pPr>
      <w:bookmarkStart w:id="14" w:name="_Toc393706723"/>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15" w:name="_Toc393706724"/>
      <w:r>
        <w:rPr>
          <w:rStyle w:val="CharSectno"/>
        </w:rPr>
        <w:t>10AA</w:t>
      </w:r>
      <w:r>
        <w:t>.</w:t>
      </w:r>
      <w:r>
        <w:tab/>
        <w:t>Poisons permit (Health services)</w:t>
      </w:r>
      <w:bookmarkEnd w:id="1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rPr>
          <w:snapToGrid w:val="0"/>
        </w:rPr>
      </w:pPr>
      <w:bookmarkStart w:id="16" w:name="_Toc393706725"/>
      <w:r>
        <w:rPr>
          <w:rStyle w:val="CharSectno"/>
        </w:rPr>
        <w:t>10A</w:t>
      </w:r>
      <w:r>
        <w:rPr>
          <w:snapToGrid w:val="0"/>
        </w:rPr>
        <w:t>.</w:t>
      </w:r>
      <w:r>
        <w:rPr>
          <w:snapToGrid w:val="0"/>
        </w:rPr>
        <w:tab/>
        <w:t>Poisons permit (Departmental and hospital)</w:t>
      </w:r>
      <w:bookmarkEnd w:id="16"/>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rPr>
          <w:snapToGrid w:val="0"/>
        </w:rPr>
      </w:pPr>
      <w:bookmarkStart w:id="17" w:name="_Toc393706726"/>
      <w:r>
        <w:rPr>
          <w:rStyle w:val="CharSectno"/>
        </w:rPr>
        <w:t>10B</w:t>
      </w:r>
      <w:r>
        <w:rPr>
          <w:snapToGrid w:val="0"/>
        </w:rPr>
        <w:t>.</w:t>
      </w:r>
      <w:r>
        <w:rPr>
          <w:snapToGrid w:val="0"/>
        </w:rPr>
        <w:tab/>
        <w:t>Licence to cultivate prohibited plants</w:t>
      </w:r>
      <w:bookmarkEnd w:id="17"/>
      <w:r>
        <w:rPr>
          <w:snapToGrid w:val="0"/>
        </w:rPr>
        <w:t xml:space="preserve"> </w:t>
      </w:r>
    </w:p>
    <w:p>
      <w:pPr>
        <w:pStyle w:val="Subsection"/>
        <w:keepNext/>
        <w:rPr>
          <w:snapToGrid w:val="0"/>
        </w:rPr>
      </w:pPr>
      <w:r>
        <w:rPr>
          <w:snapToGrid w:val="0"/>
        </w:rPr>
        <w:tab/>
      </w:r>
      <w:r>
        <w:rPr>
          <w:snapToGrid w:val="0"/>
        </w:rPr>
        <w:tab/>
        <w:t>A licence under section 41A of the Act shall be in the form of Form 13A in Appendix A.</w:t>
      </w:r>
    </w:p>
    <w:p>
      <w:pPr>
        <w:pStyle w:val="Footnotesection"/>
      </w:pPr>
      <w:r>
        <w:tab/>
        <w:t>[Regulation 10B inserted in Gazette 23 Aug 1996 p. 4089.]</w:t>
      </w:r>
    </w:p>
    <w:p>
      <w:pPr>
        <w:pStyle w:val="Ednotedivision"/>
      </w:pPr>
      <w:r>
        <w:t>[Heading repealed in Gazette 27 May 1988 p. 1789.]</w:t>
      </w:r>
    </w:p>
    <w:p>
      <w:pPr>
        <w:pStyle w:val="Heading5"/>
        <w:spacing w:before="180"/>
        <w:rPr>
          <w:snapToGrid w:val="0"/>
        </w:rPr>
      </w:pPr>
      <w:bookmarkStart w:id="18" w:name="_Toc393706727"/>
      <w:r>
        <w:rPr>
          <w:rStyle w:val="CharSectno"/>
        </w:rPr>
        <w:t>11</w:t>
      </w:r>
      <w:r>
        <w:rPr>
          <w:snapToGrid w:val="0"/>
        </w:rPr>
        <w:t>.</w:t>
      </w:r>
      <w:r>
        <w:rPr>
          <w:snapToGrid w:val="0"/>
        </w:rPr>
        <w:tab/>
        <w:t>Commissioner of Health may designate remote area nursing posts</w:t>
      </w:r>
      <w:bookmarkEnd w:id="18"/>
      <w:r>
        <w:rPr>
          <w:snapToGrid w:val="0"/>
        </w:rPr>
        <w:t xml:space="preserve"> </w:t>
      </w:r>
    </w:p>
    <w:p>
      <w:pPr>
        <w:pStyle w:val="Subsection"/>
        <w:spacing w:before="120"/>
        <w:rPr>
          <w:snapToGrid w:val="0"/>
        </w:rPr>
      </w:pPr>
      <w:r>
        <w:rPr>
          <w:snapToGrid w:val="0"/>
        </w:rPr>
        <w:tab/>
        <w:t>(1)</w:t>
      </w:r>
      <w:r>
        <w:rPr>
          <w:snapToGrid w:val="0"/>
        </w:rPr>
        <w:tab/>
        <w:t>The Commissioner of Health may, in writing, designate a remote area site to be a remote area nursing post for the purposes of these regulations.</w:t>
      </w:r>
    </w:p>
    <w:p>
      <w:pPr>
        <w:pStyle w:val="Subsection"/>
        <w:spacing w:before="120"/>
        <w:rPr>
          <w:snapToGrid w:val="0"/>
        </w:rPr>
      </w:pPr>
      <w:r>
        <w:rPr>
          <w:snapToGrid w:val="0"/>
        </w:rPr>
        <w:tab/>
        <w:t>(2)</w:t>
      </w:r>
      <w:r>
        <w:rPr>
          <w:snapToGrid w:val="0"/>
        </w:rPr>
        <w:tab/>
        <w:t>The Commissioner of Health may amend or withdraw a designation under subregulation (1), in writing, at any time.</w:t>
      </w:r>
    </w:p>
    <w:p>
      <w:pPr>
        <w:pStyle w:val="Footnotesection"/>
      </w:pPr>
      <w:r>
        <w:tab/>
        <w:t>[Regulation 11 inserted in Gazette 24 Jun 1994 p. 2865.]</w:t>
      </w:r>
    </w:p>
    <w:p>
      <w:pPr>
        <w:pStyle w:val="Heading5"/>
      </w:pPr>
      <w:bookmarkStart w:id="19" w:name="_Toc393706728"/>
      <w:r>
        <w:rPr>
          <w:rStyle w:val="CharSectno"/>
        </w:rPr>
        <w:t>11A</w:t>
      </w:r>
      <w:r>
        <w:t>.</w:t>
      </w:r>
      <w:r>
        <w:tab/>
        <w:t>Commissioner of Health may designate areas for the purposes of section 23 of the Act</w:t>
      </w:r>
      <w:bookmarkEnd w:id="19"/>
    </w:p>
    <w:p>
      <w:pPr>
        <w:pStyle w:val="Subsection"/>
      </w:pPr>
      <w:r>
        <w:tab/>
        <w:t>(1)</w:t>
      </w:r>
      <w:r>
        <w:tab/>
        <w:t>The Commissioner of Health may, in writing, designate an area for the purposes of section 23(2)(e) of the Act.</w:t>
      </w:r>
    </w:p>
    <w:p>
      <w:pPr>
        <w:pStyle w:val="Subsection"/>
      </w:pPr>
      <w:r>
        <w:tab/>
        <w:t>(2)</w:t>
      </w:r>
      <w:r>
        <w:tab/>
        <w:t>The Commissioner of Health may amend or withdraw a designation under subregulation (1), in writing, at any time, subject to subregulation (4).</w:t>
      </w:r>
    </w:p>
    <w:p>
      <w:pPr>
        <w:pStyle w:val="Subsection"/>
        <w:rPr>
          <w:snapToGrid w:val="0"/>
        </w:rPr>
      </w:pPr>
      <w:r>
        <w:tab/>
        <w:t>(3)</w:t>
      </w:r>
      <w:r>
        <w:tab/>
      </w:r>
      <w:r>
        <w:rPr>
          <w:snapToGrid w:val="0"/>
        </w:rPr>
        <w:t>The Commissioner of Health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The Commissioner of Health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No. 9 of 2003 s. 42.]</w:t>
      </w:r>
    </w:p>
    <w:p>
      <w:pPr>
        <w:pStyle w:val="Ednotedivision"/>
      </w:pPr>
      <w:r>
        <w:t>[Heading deleted in Gazette 12 Aug 2003 p. 3663.]</w:t>
      </w:r>
    </w:p>
    <w:p>
      <w:pPr>
        <w:pStyle w:val="Heading5"/>
        <w:spacing w:before="180"/>
        <w:rPr>
          <w:snapToGrid w:val="0"/>
        </w:rPr>
      </w:pPr>
      <w:bookmarkStart w:id="20" w:name="_Toc393706729"/>
      <w:r>
        <w:rPr>
          <w:rStyle w:val="CharSectno"/>
        </w:rPr>
        <w:t>12</w:t>
      </w:r>
      <w:r>
        <w:rPr>
          <w:snapToGrid w:val="0"/>
        </w:rPr>
        <w:t>.</w:t>
      </w:r>
      <w:r>
        <w:rPr>
          <w:snapToGrid w:val="0"/>
        </w:rPr>
        <w:tab/>
        <w:t>Application for licence or permit (sections 24 and 25)</w:t>
      </w:r>
      <w:bookmarkEnd w:id="20"/>
      <w:r>
        <w:rPr>
          <w:snapToGrid w:val="0"/>
        </w:rPr>
        <w:t xml:space="preserve"> </w:t>
      </w:r>
    </w:p>
    <w:p>
      <w:pPr>
        <w:pStyle w:val="Subsection"/>
        <w:spacing w:before="120"/>
        <w:rPr>
          <w:snapToGrid w:val="0"/>
        </w:rPr>
      </w:pPr>
      <w:r>
        <w:rPr>
          <w:snapToGrid w:val="0"/>
        </w:rPr>
        <w:tab/>
        <w:t>(1)</w:t>
      </w:r>
      <w:r>
        <w:rPr>
          <w:snapToGrid w:val="0"/>
        </w:rPr>
        <w:tab/>
        <w:t>A person who wishes to apply for a licence under section 24 of the Act or a permit under section 25 of the Act shall lodge with the Commissioner of Health an application in such form as may be approved by the Commissioner of Health from time to time for that purpose.</w:t>
      </w:r>
    </w:p>
    <w:p>
      <w:pPr>
        <w:pStyle w:val="Subsection"/>
        <w:spacing w:before="120"/>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spacing w:before="120"/>
        <w:rPr>
          <w:snapToGrid w:val="0"/>
        </w:rPr>
      </w:pPr>
      <w:r>
        <w:rPr>
          <w:snapToGrid w:val="0"/>
        </w:rPr>
        <w:tab/>
        <w:t>(3)</w:t>
      </w:r>
      <w:r>
        <w:rPr>
          <w:snapToGrid w:val="0"/>
        </w:rPr>
        <w:tab/>
        <w:t>The appropriate fees for licences or permits, and renewals of licences or permits, are those set out in Appendix G.</w:t>
      </w:r>
    </w:p>
    <w:p>
      <w:pPr>
        <w:pStyle w:val="Subsection"/>
        <w:spacing w:before="120"/>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The Commissioner of Health may only grant an application and issue a licence or permit, or renew a licence or permit, if the application under this regulation is accompanied by the appropriate fee set out in Appendix G.</w:t>
      </w:r>
    </w:p>
    <w:p>
      <w:pPr>
        <w:pStyle w:val="Footnotesection"/>
        <w:keepLines w:val="0"/>
      </w:pPr>
      <w:r>
        <w:tab/>
        <w:t>[Regulation 12 inserted in Gazette 19 Mar 1996 p. 1219.]</w:t>
      </w:r>
    </w:p>
    <w:p>
      <w:pPr>
        <w:pStyle w:val="Heading3"/>
      </w:pPr>
      <w:bookmarkStart w:id="21" w:name="_Toc393706730"/>
      <w:r>
        <w:rPr>
          <w:rStyle w:val="CharDivNo"/>
        </w:rPr>
        <w:t>Division 2</w:t>
      </w:r>
      <w:r>
        <w:t xml:space="preserve"> — </w:t>
      </w:r>
      <w:r>
        <w:rPr>
          <w:rStyle w:val="CharDivText"/>
        </w:rPr>
        <w:t>Needle and syringe programme</w:t>
      </w:r>
      <w:bookmarkEnd w:id="21"/>
    </w:p>
    <w:p>
      <w:pPr>
        <w:pStyle w:val="Footnoteheading"/>
        <w:tabs>
          <w:tab w:val="left" w:pos="851"/>
        </w:tabs>
      </w:pPr>
      <w:r>
        <w:tab/>
        <w:t>[Heading inserted in Gazette 12 Aug 2003 p. 3664.]</w:t>
      </w:r>
    </w:p>
    <w:p>
      <w:pPr>
        <w:pStyle w:val="Heading5"/>
        <w:rPr>
          <w:snapToGrid w:val="0"/>
        </w:rPr>
      </w:pPr>
      <w:bookmarkStart w:id="22" w:name="_Toc393706731"/>
      <w:r>
        <w:rPr>
          <w:rStyle w:val="CharSectno"/>
        </w:rPr>
        <w:t>12A</w:t>
      </w:r>
      <w:r>
        <w:rPr>
          <w:snapToGrid w:val="0"/>
        </w:rPr>
        <w:t>.</w:t>
      </w:r>
      <w:r>
        <w:rPr>
          <w:snapToGrid w:val="0"/>
        </w:rPr>
        <w:tab/>
        <w:t>Approval of needle and syringe programme</w:t>
      </w:r>
      <w:bookmarkEnd w:id="22"/>
      <w:r>
        <w:rPr>
          <w:snapToGrid w:val="0"/>
        </w:rPr>
        <w:t xml:space="preserve"> </w:t>
      </w:r>
    </w:p>
    <w:p>
      <w:pPr>
        <w:pStyle w:val="Subsection"/>
        <w:rPr>
          <w:snapToGrid w:val="0"/>
        </w:rPr>
      </w:pPr>
      <w:r>
        <w:rPr>
          <w:snapToGrid w:val="0"/>
        </w:rPr>
        <w:tab/>
        <w:t>(1)</w:t>
      </w:r>
      <w:r>
        <w:rPr>
          <w:snapToGrid w:val="0"/>
        </w:rPr>
        <w:tab/>
        <w:t>A person may apply to the Commissioner of Health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The Commissioner of Health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 Commissioner of Health;</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The Commissioner of Health is not to approve a needle and syringe programme unless the Commissioner of Health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w:t>
      </w:r>
    </w:p>
    <w:p>
      <w:pPr>
        <w:pStyle w:val="Heading5"/>
        <w:rPr>
          <w:snapToGrid w:val="0"/>
        </w:rPr>
      </w:pPr>
      <w:bookmarkStart w:id="23" w:name="_Toc393706732"/>
      <w:r>
        <w:rPr>
          <w:rStyle w:val="CharSectno"/>
        </w:rPr>
        <w:t>12B</w:t>
      </w:r>
      <w:r>
        <w:rPr>
          <w:snapToGrid w:val="0"/>
        </w:rPr>
        <w:t>.</w:t>
      </w:r>
      <w:r>
        <w:rPr>
          <w:snapToGrid w:val="0"/>
        </w:rPr>
        <w:tab/>
        <w:t>Copy of approval to be provided</w:t>
      </w:r>
      <w:bookmarkEnd w:id="23"/>
      <w:r>
        <w:rPr>
          <w:snapToGrid w:val="0"/>
        </w:rPr>
        <w:t xml:space="preserve"> </w:t>
      </w:r>
    </w:p>
    <w:p>
      <w:pPr>
        <w:pStyle w:val="Subsection"/>
        <w:rPr>
          <w:snapToGrid w:val="0"/>
        </w:rPr>
      </w:pPr>
      <w:r>
        <w:rPr>
          <w:snapToGrid w:val="0"/>
        </w:rPr>
        <w:tab/>
      </w:r>
      <w:r>
        <w:rPr>
          <w:snapToGrid w:val="0"/>
        </w:rPr>
        <w:tab/>
        <w:t>Where the Commissioner of Health approves a needle and syringe programme, the Commissioner of Health is to provide a copy of the instrument of approval to the coordinator of the programme.</w:t>
      </w:r>
    </w:p>
    <w:p>
      <w:pPr>
        <w:pStyle w:val="Footnotesection"/>
      </w:pPr>
      <w:r>
        <w:tab/>
        <w:t>[Regulation 12B inserted in Gazette 26 May 1994 p. 2198.]</w:t>
      </w:r>
    </w:p>
    <w:p>
      <w:pPr>
        <w:pStyle w:val="Heading5"/>
        <w:rPr>
          <w:snapToGrid w:val="0"/>
        </w:rPr>
      </w:pPr>
      <w:bookmarkStart w:id="24" w:name="_Toc393706733"/>
      <w:r>
        <w:rPr>
          <w:rStyle w:val="CharSectno"/>
        </w:rPr>
        <w:t>12C</w:t>
      </w:r>
      <w:r>
        <w:rPr>
          <w:snapToGrid w:val="0"/>
        </w:rPr>
        <w:t>.</w:t>
      </w:r>
      <w:r>
        <w:rPr>
          <w:snapToGrid w:val="0"/>
        </w:rPr>
        <w:tab/>
        <w:t>Duties of coordinator</w:t>
      </w:r>
      <w:bookmarkEnd w:id="24"/>
      <w:r>
        <w:rPr>
          <w:snapToGrid w:val="0"/>
        </w:rPr>
        <w:t xml:space="preserve"> </w:t>
      </w:r>
    </w:p>
    <w:p>
      <w:pPr>
        <w:pStyle w:val="Subsection"/>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submit to the Commissioner of Health before 30 June in each year an annual report on the needle and syringe programme; and</w:t>
      </w:r>
    </w:p>
    <w:p>
      <w:pPr>
        <w:pStyle w:val="Indenta"/>
        <w:rPr>
          <w:snapToGrid w:val="0"/>
        </w:rPr>
      </w:pPr>
      <w:r>
        <w:rPr>
          <w:snapToGrid w:val="0"/>
        </w:rPr>
        <w:tab/>
        <w:t>(d)</w:t>
      </w:r>
      <w:r>
        <w:rPr>
          <w:snapToGrid w:val="0"/>
        </w:rPr>
        <w:tab/>
        <w:t>report to the Commissioner of Health any irregularities that occur in the conduct of the programme.</w:t>
      </w:r>
    </w:p>
    <w:p>
      <w:pPr>
        <w:pStyle w:val="Footnotesection"/>
      </w:pPr>
      <w:r>
        <w:tab/>
        <w:t xml:space="preserve">[Regulation 12C inserted in Gazette 26 May 1994 p. 2198.] </w:t>
      </w:r>
    </w:p>
    <w:p>
      <w:pPr>
        <w:pStyle w:val="Heading5"/>
        <w:spacing w:before="120"/>
        <w:rPr>
          <w:snapToGrid w:val="0"/>
        </w:rPr>
      </w:pPr>
      <w:bookmarkStart w:id="25" w:name="_Toc393706734"/>
      <w:r>
        <w:rPr>
          <w:rStyle w:val="CharSectno"/>
        </w:rPr>
        <w:t>12D</w:t>
      </w:r>
      <w:r>
        <w:rPr>
          <w:snapToGrid w:val="0"/>
        </w:rPr>
        <w:t>.</w:t>
      </w:r>
      <w:r>
        <w:rPr>
          <w:snapToGrid w:val="0"/>
        </w:rPr>
        <w:tab/>
        <w:t>Requirements relating to programme</w:t>
      </w:r>
      <w:bookmarkEnd w:id="25"/>
      <w:r>
        <w:rPr>
          <w:snapToGrid w:val="0"/>
        </w:rPr>
        <w:t xml:space="preserve"> </w:t>
      </w:r>
    </w:p>
    <w:p>
      <w:pPr>
        <w:pStyle w:val="Subsection"/>
        <w:rPr>
          <w:snapToGrid w:val="0"/>
        </w:rPr>
      </w:pPr>
      <w:r>
        <w:rPr>
          <w:snapToGrid w:val="0"/>
        </w:rPr>
        <w:tab/>
        <w:t>(1)</w:t>
      </w:r>
      <w:r>
        <w:rPr>
          <w:snapToGrid w:val="0"/>
        </w:rPr>
        <w:tab/>
      </w:r>
      <w:r>
        <w:rPr>
          <w:snapToGrid w:val="0"/>
          <w:spacing w:val="-4"/>
        </w:rPr>
        <w:t>Where the Commissioner of Health approves a needle and syringe programme, the Commissioner of Health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w:t>
      </w:r>
    </w:p>
    <w:p>
      <w:pPr>
        <w:pStyle w:val="Heading5"/>
        <w:rPr>
          <w:snapToGrid w:val="0"/>
        </w:rPr>
      </w:pPr>
      <w:bookmarkStart w:id="26" w:name="_Toc393706735"/>
      <w:r>
        <w:rPr>
          <w:rStyle w:val="CharSectno"/>
        </w:rPr>
        <w:t>12E</w:t>
      </w:r>
      <w:r>
        <w:rPr>
          <w:snapToGrid w:val="0"/>
        </w:rPr>
        <w:t>.</w:t>
      </w:r>
      <w:r>
        <w:rPr>
          <w:snapToGrid w:val="0"/>
        </w:rPr>
        <w:tab/>
        <w:t>Direction to person</w:t>
      </w:r>
      <w:bookmarkEnd w:id="26"/>
      <w:r>
        <w:rPr>
          <w:snapToGrid w:val="0"/>
        </w:rPr>
        <w:t xml:space="preserve"> </w:t>
      </w:r>
    </w:p>
    <w:p>
      <w:pPr>
        <w:pStyle w:val="Subsection"/>
        <w:rPr>
          <w:snapToGrid w:val="0"/>
        </w:rPr>
      </w:pPr>
      <w:r>
        <w:rPr>
          <w:snapToGrid w:val="0"/>
        </w:rPr>
        <w:tab/>
        <w:t>(1)</w:t>
      </w:r>
      <w:r>
        <w:rPr>
          <w:snapToGrid w:val="0"/>
        </w:rPr>
        <w:tab/>
        <w:t>Where the Commissioner of Health is of the opinion that a person is not a suitable person to participate in the conduct of an approved needle and syringe programme, the Commissioner of Health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w:t>
      </w:r>
    </w:p>
    <w:p>
      <w:pPr>
        <w:pStyle w:val="Heading5"/>
        <w:rPr>
          <w:snapToGrid w:val="0"/>
        </w:rPr>
      </w:pPr>
      <w:bookmarkStart w:id="27" w:name="_Toc393706736"/>
      <w:r>
        <w:rPr>
          <w:rStyle w:val="CharSectno"/>
        </w:rPr>
        <w:t>12F</w:t>
      </w:r>
      <w:r>
        <w:rPr>
          <w:snapToGrid w:val="0"/>
        </w:rPr>
        <w:t>.</w:t>
      </w:r>
      <w:r>
        <w:rPr>
          <w:snapToGrid w:val="0"/>
        </w:rPr>
        <w:tab/>
        <w:t>Requirements relating to used hypodermic needles and syringes</w:t>
      </w:r>
      <w:bookmarkEnd w:id="2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A person who, in the course of the conduct of an approved needle and syringe programme, receives any used hypodermic needle or used hypodermic syringe shall immediately place the needle and syringe in a receptacle of a type approved by the Commissioner of Health and the Commissioner of Police.</w:t>
      </w:r>
    </w:p>
    <w:p>
      <w:pPr>
        <w:pStyle w:val="Footnotesection"/>
      </w:pPr>
      <w:r>
        <w:tab/>
        <w:t>[Regulation 12F inserted in Gazette 26 May 1994 p. 2199.]</w:t>
      </w:r>
    </w:p>
    <w:p>
      <w:pPr>
        <w:pStyle w:val="Ednotesection"/>
      </w:pPr>
      <w:r>
        <w:t>[</w:t>
      </w:r>
      <w:r>
        <w:rPr>
          <w:b/>
        </w:rPr>
        <w:t>13, 14.</w:t>
      </w:r>
      <w:r>
        <w:rPr>
          <w:b/>
        </w:rPr>
        <w:tab/>
      </w:r>
      <w:r>
        <w:t xml:space="preserve">Repealed in Gazette 19 Mar 1996 p. 1219.] </w:t>
      </w:r>
    </w:p>
    <w:p>
      <w:pPr>
        <w:pStyle w:val="Ednotedivision"/>
      </w:pPr>
      <w:r>
        <w:t>[Heading deleted in Gazette 12 Aug 2003 p. 3663.]</w:t>
      </w:r>
    </w:p>
    <w:p>
      <w:pPr>
        <w:pStyle w:val="Heading3"/>
      </w:pPr>
      <w:bookmarkStart w:id="28" w:name="_Toc393706737"/>
      <w:r>
        <w:rPr>
          <w:rStyle w:val="CharDivNo"/>
        </w:rPr>
        <w:t>Division 3</w:t>
      </w:r>
      <w:r>
        <w:t xml:space="preserve"> — </w:t>
      </w:r>
      <w:r>
        <w:rPr>
          <w:rStyle w:val="CharDivText"/>
        </w:rPr>
        <w:t>Restrictions and obligations</w:t>
      </w:r>
      <w:bookmarkEnd w:id="28"/>
    </w:p>
    <w:p>
      <w:pPr>
        <w:pStyle w:val="Footnoteheading"/>
        <w:tabs>
          <w:tab w:val="left" w:pos="851"/>
        </w:tabs>
      </w:pPr>
      <w:r>
        <w:tab/>
        <w:t>[Heading inserted in Gazette 12 Aug 2003 p. 3664.]</w:t>
      </w:r>
    </w:p>
    <w:p>
      <w:pPr>
        <w:pStyle w:val="Heading5"/>
        <w:rPr>
          <w:snapToGrid w:val="0"/>
        </w:rPr>
      </w:pPr>
      <w:bookmarkStart w:id="29" w:name="_Toc393706738"/>
      <w:r>
        <w:rPr>
          <w:rStyle w:val="CharSectno"/>
        </w:rPr>
        <w:t>15</w:t>
      </w:r>
      <w:r>
        <w:rPr>
          <w:snapToGrid w:val="0"/>
        </w:rPr>
        <w:t>.</w:t>
      </w:r>
      <w:r>
        <w:rPr>
          <w:snapToGrid w:val="0"/>
        </w:rPr>
        <w:tab/>
        <w:t>Restriction to issue of licence or permit</w:t>
      </w:r>
      <w:bookmarkEnd w:id="29"/>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 Commissioner of Health.</w:t>
      </w:r>
    </w:p>
    <w:p>
      <w:pPr>
        <w:pStyle w:val="Footnotesection"/>
        <w:keepNext/>
      </w:pPr>
      <w:r>
        <w:tab/>
        <w:t>[Regulation 15 amended in Gazette 29 Jun 1984 p. 1784; 25 Jun 1993 p. 3085; 26 May 1994 p. 2201.]</w:t>
      </w:r>
    </w:p>
    <w:p>
      <w:pPr>
        <w:pStyle w:val="Heading5"/>
        <w:rPr>
          <w:snapToGrid w:val="0"/>
        </w:rPr>
      </w:pPr>
      <w:bookmarkStart w:id="30" w:name="_Toc393706739"/>
      <w:r>
        <w:rPr>
          <w:rStyle w:val="CharSectno"/>
        </w:rPr>
        <w:t>16</w:t>
      </w:r>
      <w:r>
        <w:rPr>
          <w:snapToGrid w:val="0"/>
        </w:rPr>
        <w:t>.</w:t>
      </w:r>
      <w:r>
        <w:rPr>
          <w:snapToGrid w:val="0"/>
        </w:rPr>
        <w:tab/>
        <w:t>Sale of poison only by licensee</w:t>
      </w:r>
      <w:bookmarkEnd w:id="3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1" w:name="_Toc393706740"/>
      <w:r>
        <w:rPr>
          <w:rStyle w:val="CharSectno"/>
        </w:rPr>
        <w:t>17</w:t>
      </w:r>
      <w:r>
        <w:rPr>
          <w:snapToGrid w:val="0"/>
        </w:rPr>
        <w:t>.</w:t>
      </w:r>
      <w:r>
        <w:rPr>
          <w:snapToGrid w:val="0"/>
        </w:rPr>
        <w:tab/>
        <w:t>Licence or permit not transferable</w:t>
      </w:r>
      <w:bookmarkEnd w:id="31"/>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 Commissioner of Health,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 Commissioner of Health.</w:t>
      </w:r>
    </w:p>
    <w:p>
      <w:pPr>
        <w:pStyle w:val="Footnotesection"/>
      </w:pPr>
      <w:r>
        <w:tab/>
        <w:t xml:space="preserve">[Regulation 17 amended in Gazette 29 Jun 1984 p. 1784; 25 Jun 1993 p. 3085; 26 May 1994 p. 2201.] </w:t>
      </w:r>
    </w:p>
    <w:p>
      <w:pPr>
        <w:pStyle w:val="Heading5"/>
        <w:rPr>
          <w:snapToGrid w:val="0"/>
        </w:rPr>
      </w:pPr>
      <w:bookmarkStart w:id="32" w:name="_Toc393706741"/>
      <w:r>
        <w:rPr>
          <w:rStyle w:val="CharSectno"/>
        </w:rPr>
        <w:t>18</w:t>
      </w:r>
      <w:r>
        <w:rPr>
          <w:snapToGrid w:val="0"/>
        </w:rPr>
        <w:t>.</w:t>
      </w:r>
      <w:r>
        <w:rPr>
          <w:snapToGrid w:val="0"/>
        </w:rPr>
        <w:tab/>
        <w:t>Licensee to display licence</w:t>
      </w:r>
      <w:bookmarkEnd w:id="3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Heading2"/>
        <w:rPr>
          <w:i/>
        </w:rPr>
      </w:pPr>
      <w:bookmarkStart w:id="33" w:name="_Toc393706742"/>
      <w:r>
        <w:rPr>
          <w:rStyle w:val="CharPartNo"/>
        </w:rPr>
        <w:t>Part 3</w:t>
      </w:r>
      <w:r>
        <w:t xml:space="preserve"> — </w:t>
      </w:r>
      <w:r>
        <w:rPr>
          <w:rStyle w:val="CharPartText"/>
        </w:rPr>
        <w:t>Containers and labels</w:t>
      </w:r>
      <w:bookmarkEnd w:id="33"/>
      <w:r>
        <w:rPr>
          <w:i/>
        </w:rPr>
        <w:t xml:space="preserve"> </w:t>
      </w:r>
    </w:p>
    <w:p>
      <w:pPr>
        <w:pStyle w:val="Footnoteheading"/>
        <w:tabs>
          <w:tab w:val="left" w:pos="851"/>
        </w:tabs>
      </w:pPr>
      <w:r>
        <w:tab/>
        <w:t>[Heading inserted in Gazette 12 Aug 2003 p. 3664.]</w:t>
      </w:r>
    </w:p>
    <w:p>
      <w:pPr>
        <w:pStyle w:val="Ednotedivision"/>
      </w:pPr>
      <w:r>
        <w:t>[Heading deleted in Gazette 12 Aug 2003 p. 3663.]</w:t>
      </w:r>
    </w:p>
    <w:p>
      <w:pPr>
        <w:pStyle w:val="Heading3"/>
      </w:pPr>
      <w:bookmarkStart w:id="34" w:name="_Toc393706743"/>
      <w:r>
        <w:rPr>
          <w:rStyle w:val="CharDivNo"/>
        </w:rPr>
        <w:t>Division 1</w:t>
      </w:r>
      <w:r>
        <w:t xml:space="preserve"> — </w:t>
      </w:r>
      <w:r>
        <w:rPr>
          <w:rStyle w:val="CharDivText"/>
        </w:rPr>
        <w:t>Containers</w:t>
      </w:r>
      <w:bookmarkEnd w:id="34"/>
    </w:p>
    <w:p>
      <w:pPr>
        <w:pStyle w:val="Footnoteheading"/>
        <w:tabs>
          <w:tab w:val="left" w:pos="851"/>
        </w:tabs>
      </w:pPr>
      <w:r>
        <w:tab/>
        <w:t>[Heading inserted in Gazette 12 Aug 2003 p. 3664.]</w:t>
      </w:r>
    </w:p>
    <w:p>
      <w:pPr>
        <w:pStyle w:val="Heading5"/>
        <w:rPr>
          <w:snapToGrid w:val="0"/>
        </w:rPr>
      </w:pPr>
      <w:bookmarkStart w:id="35" w:name="_Toc393706744"/>
      <w:r>
        <w:rPr>
          <w:rStyle w:val="CharSectno"/>
        </w:rPr>
        <w:t>19</w:t>
      </w:r>
      <w:r>
        <w:rPr>
          <w:snapToGrid w:val="0"/>
        </w:rPr>
        <w:t>.</w:t>
      </w:r>
      <w:r>
        <w:rPr>
          <w:snapToGrid w:val="0"/>
        </w:rPr>
        <w:tab/>
        <w:t>Adoption of SUSDP for containers and labels</w:t>
      </w:r>
      <w:bookmarkEnd w:id="3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spacing w:before="100"/>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spacing w:before="120"/>
        <w:rPr>
          <w:snapToGrid w:val="0"/>
        </w:rPr>
      </w:pPr>
      <w:bookmarkStart w:id="36" w:name="_Toc393706745"/>
      <w:r>
        <w:rPr>
          <w:rStyle w:val="CharSectno"/>
        </w:rPr>
        <w:t>19AA</w:t>
      </w:r>
      <w:r>
        <w:rPr>
          <w:snapToGrid w:val="0"/>
        </w:rPr>
        <w:t>.</w:t>
      </w:r>
      <w:r>
        <w:rPr>
          <w:snapToGrid w:val="0"/>
        </w:rPr>
        <w:tab/>
        <w:t>Certain containers prohibited</w:t>
      </w:r>
      <w:bookmarkEnd w:id="36"/>
      <w:r>
        <w:rPr>
          <w:snapToGrid w:val="0"/>
        </w:rPr>
        <w:t xml:space="preserve"> </w:t>
      </w:r>
    </w:p>
    <w:p>
      <w:pPr>
        <w:pStyle w:val="Subsection"/>
        <w:spacing w:before="100"/>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spacing w:before="100"/>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 Commissioner of Health.</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 Commissioner of Health.</w:t>
      </w:r>
    </w:p>
    <w:p>
      <w:pPr>
        <w:pStyle w:val="Footnotesection"/>
      </w:pPr>
      <w:r>
        <w:tab/>
        <w:t>[Regulation 19AA inserted in Gazette 23 Nov 1990 p. 5791; amended in Gazette 26 May 1994 p. 2201; 19 Mar 1996 p. 1219</w:t>
      </w:r>
      <w:r>
        <w:noBreakHyphen/>
        <w:t>20.]</w:t>
      </w:r>
    </w:p>
    <w:p>
      <w:pPr>
        <w:pStyle w:val="Heading5"/>
        <w:spacing w:before="260"/>
        <w:rPr>
          <w:snapToGrid w:val="0"/>
        </w:rPr>
      </w:pPr>
      <w:bookmarkStart w:id="37" w:name="_Toc393706746"/>
      <w:r>
        <w:rPr>
          <w:rStyle w:val="CharSectno"/>
        </w:rPr>
        <w:t>19A</w:t>
      </w:r>
      <w:r>
        <w:rPr>
          <w:snapToGrid w:val="0"/>
        </w:rPr>
        <w:t>.</w:t>
      </w:r>
      <w:r>
        <w:rPr>
          <w:snapToGrid w:val="0"/>
        </w:rPr>
        <w:tab/>
        <w:t>Food etc. containers to be distinguishable from poison containers</w:t>
      </w:r>
      <w:bookmarkEnd w:id="37"/>
      <w:r>
        <w:rPr>
          <w:snapToGrid w:val="0"/>
        </w:rPr>
        <w:t xml:space="preserve"> </w:t>
      </w:r>
    </w:p>
    <w:p>
      <w:pPr>
        <w:pStyle w:val="Subsection"/>
        <w:spacing w:before="200"/>
        <w:rPr>
          <w:snapToGrid w:val="0"/>
        </w:rPr>
      </w:pPr>
      <w:r>
        <w:rPr>
          <w:snapToGrid w:val="0"/>
        </w:rPr>
        <w:tab/>
      </w:r>
      <w:r>
        <w:rPr>
          <w:snapToGrid w:val="0"/>
        </w:rPr>
        <w:tab/>
        <w:t>A person shall not sell any food, drink, or condiment, or any drug or medicine for internal use, in a container — </w:t>
      </w:r>
    </w:p>
    <w:p>
      <w:pPr>
        <w:pStyle w:val="Indenta"/>
        <w:spacing w:before="10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100"/>
        <w:rPr>
          <w:snapToGrid w:val="0"/>
        </w:rPr>
      </w:pPr>
      <w:r>
        <w:rPr>
          <w:snapToGrid w:val="0"/>
        </w:rPr>
        <w:tab/>
        <w:t>(b)</w:t>
      </w:r>
      <w:r>
        <w:rPr>
          <w:snapToGrid w:val="0"/>
        </w:rPr>
        <w:tab/>
        <w:t>of a like description to that prescribed for a container in which a poison intended for external use may be sold.</w:t>
      </w:r>
    </w:p>
    <w:p>
      <w:pPr>
        <w:pStyle w:val="Footnotesection"/>
        <w:ind w:left="890" w:hanging="890"/>
      </w:pPr>
      <w:r>
        <w:tab/>
        <w:t xml:space="preserve">[Regulation 19A inserted in Gazette 26 May 1971 p. 1773; amended in Gazette 19 Mar 1996 p. 1220.] </w:t>
      </w:r>
    </w:p>
    <w:p>
      <w:pPr>
        <w:pStyle w:val="Ednotesection"/>
        <w:spacing w:before="260"/>
        <w:ind w:left="890" w:hanging="890"/>
      </w:pPr>
      <w:r>
        <w:t>[</w:t>
      </w:r>
      <w:r>
        <w:rPr>
          <w:b/>
        </w:rPr>
        <w:t>20.</w:t>
      </w:r>
      <w:r>
        <w:tab/>
        <w:t xml:space="preserve">Repealed in Gazette 23 Nov 1990 p. 5792.] </w:t>
      </w:r>
    </w:p>
    <w:p>
      <w:pPr>
        <w:pStyle w:val="Ednotedivision"/>
      </w:pPr>
      <w:r>
        <w:t>[Heading deleted in Gazette 12 Aug 2003 p. 3663.]</w:t>
      </w:r>
    </w:p>
    <w:p>
      <w:pPr>
        <w:pStyle w:val="Heading3"/>
      </w:pPr>
      <w:bookmarkStart w:id="38" w:name="_Toc393706747"/>
      <w:r>
        <w:rPr>
          <w:rStyle w:val="CharDivNo"/>
        </w:rPr>
        <w:t>Division 2</w:t>
      </w:r>
      <w:r>
        <w:t xml:space="preserve"> — </w:t>
      </w:r>
      <w:r>
        <w:rPr>
          <w:rStyle w:val="CharDivText"/>
        </w:rPr>
        <w:t>Labels</w:t>
      </w:r>
      <w:bookmarkEnd w:id="38"/>
    </w:p>
    <w:p>
      <w:pPr>
        <w:pStyle w:val="Footnoteheading"/>
        <w:tabs>
          <w:tab w:val="left" w:pos="851"/>
        </w:tabs>
      </w:pPr>
      <w:r>
        <w:tab/>
        <w:t>[Heading inserted in Gazette 12 Aug 2003 p. 3664.]</w:t>
      </w:r>
    </w:p>
    <w:p>
      <w:pPr>
        <w:pStyle w:val="Heading5"/>
        <w:spacing w:before="260"/>
        <w:rPr>
          <w:snapToGrid w:val="0"/>
        </w:rPr>
      </w:pPr>
      <w:bookmarkStart w:id="39" w:name="_Toc393706748"/>
      <w:r>
        <w:rPr>
          <w:rStyle w:val="CharSectno"/>
        </w:rPr>
        <w:t>21</w:t>
      </w:r>
      <w:r>
        <w:rPr>
          <w:snapToGrid w:val="0"/>
        </w:rPr>
        <w:t>.</w:t>
      </w:r>
      <w:r>
        <w:rPr>
          <w:snapToGrid w:val="0"/>
        </w:rPr>
        <w:tab/>
        <w:t>Labels on medicines or preparations</w:t>
      </w:r>
      <w:bookmarkEnd w:id="39"/>
      <w:r>
        <w:rPr>
          <w:snapToGrid w:val="0"/>
        </w:rPr>
        <w:t xml:space="preserve"> </w:t>
      </w:r>
    </w:p>
    <w:p>
      <w:pPr>
        <w:pStyle w:val="Subsection"/>
        <w:spacing w:before="20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100"/>
        <w:rPr>
          <w:snapToGrid w:val="0"/>
        </w:rPr>
      </w:pPr>
      <w:r>
        <w:rPr>
          <w:snapToGrid w:val="0"/>
        </w:rPr>
        <w:tab/>
        <w:t>(iii)</w:t>
      </w:r>
      <w:r>
        <w:rPr>
          <w:snapToGrid w:val="0"/>
        </w:rPr>
        <w:tab/>
        <w:t>the name of the patient;</w:t>
      </w:r>
    </w:p>
    <w:p>
      <w:pPr>
        <w:pStyle w:val="Indenti"/>
        <w:keepNext/>
        <w:keepLines/>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spacing w:before="60"/>
        <w:rPr>
          <w:snapToGrid w:val="0"/>
        </w:rPr>
      </w:pPr>
      <w:r>
        <w:rPr>
          <w:snapToGrid w:val="0"/>
        </w:rPr>
        <w:tab/>
        <w:t>(iv)</w:t>
      </w:r>
      <w:r>
        <w:rPr>
          <w:snapToGrid w:val="0"/>
        </w:rPr>
        <w:tab/>
        <w:t>instructions for the use of that medicine or preparation;</w:t>
      </w:r>
    </w:p>
    <w:p>
      <w:pPr>
        <w:pStyle w:val="Indenti"/>
        <w:spacing w:before="6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spacing w:before="60"/>
        <w:rPr>
          <w:snapToGrid w:val="0"/>
        </w:rPr>
      </w:pPr>
      <w:r>
        <w:rPr>
          <w:snapToGrid w:val="0"/>
        </w:rPr>
        <w:tab/>
        <w:t>(vi)</w:t>
      </w:r>
      <w:r>
        <w:rPr>
          <w:snapToGrid w:val="0"/>
        </w:rPr>
        <w:tab/>
        <w:t>the name and address of the pharmacy, or veterinary practice, from which it is supplied;</w:t>
      </w:r>
    </w:p>
    <w:p>
      <w:pPr>
        <w:pStyle w:val="Indenti"/>
        <w:spacing w:before="6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6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spacing w:before="80"/>
        <w:ind w:left="890" w:hanging="890"/>
      </w:pPr>
      <w:r>
        <w:tab/>
        <w:t>[Regulation 21 inserted in Gazette 7 Aug 1992 p. 3865</w:t>
      </w:r>
      <w:r>
        <w:noBreakHyphen/>
        <w:t>6; amended in Gazette 24 Jun 1994 p. 2865</w:t>
      </w:r>
      <w:r>
        <w:noBreakHyphen/>
        <w:t>6; 19 Mar 1996 p. 1220; by No. 9 of 2003 s. 43.]</w:t>
      </w:r>
    </w:p>
    <w:p>
      <w:pPr>
        <w:pStyle w:val="Heading5"/>
        <w:spacing w:before="180"/>
        <w:rPr>
          <w:snapToGrid w:val="0"/>
        </w:rPr>
      </w:pPr>
      <w:bookmarkStart w:id="40" w:name="_Toc393706749"/>
      <w:r>
        <w:rPr>
          <w:rStyle w:val="CharSectno"/>
        </w:rPr>
        <w:t>21A</w:t>
      </w:r>
      <w:r>
        <w:rPr>
          <w:snapToGrid w:val="0"/>
        </w:rPr>
        <w:t>.</w:t>
      </w:r>
      <w:r>
        <w:rPr>
          <w:snapToGrid w:val="0"/>
        </w:rPr>
        <w:tab/>
        <w:t>Appendix K container must have appropriate label</w:t>
      </w:r>
      <w:bookmarkEnd w:id="40"/>
      <w:r>
        <w:rPr>
          <w:snapToGrid w:val="0"/>
        </w:rPr>
        <w:t xml:space="preserve"> </w:t>
      </w:r>
    </w:p>
    <w:p>
      <w:pPr>
        <w:pStyle w:val="Subsection"/>
        <w:spacing w:before="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p>
      <w:pPr>
        <w:pStyle w:val="MiscellaneousHeading"/>
        <w:rPr>
          <w:b/>
          <w:bCs/>
          <w:snapToGrid w:val="0"/>
        </w:rPr>
      </w:pPr>
    </w:p>
    <w:tbl>
      <w:tblPr>
        <w:tblW w:w="0" w:type="auto"/>
        <w:tblInd w:w="1101" w:type="dxa"/>
        <w:tblLook w:val="0000" w:firstRow="0" w:lastRow="0" w:firstColumn="0" w:lastColumn="0" w:noHBand="0" w:noVBand="0"/>
      </w:tblPr>
      <w:tblGrid>
        <w:gridCol w:w="4819"/>
      </w:tblGrid>
      <w:tr>
        <w:tc>
          <w:tcPr>
            <w:tcW w:w="4819" w:type="dxa"/>
          </w:tcPr>
          <w:p>
            <w:pPr>
              <w:pStyle w:val="Table"/>
              <w:rPr>
                <w:snapToGrid w:val="0"/>
              </w:rPr>
            </w:pPr>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spacing w:before="120"/>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spacing w:before="120"/>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spacing w:before="120"/>
        <w:rPr>
          <w:snapToGrid w:val="0"/>
        </w:rPr>
      </w:pPr>
      <w:r>
        <w:rPr>
          <w:snapToGrid w:val="0"/>
        </w:rPr>
        <w:tab/>
        <w:t>(4)</w:t>
      </w:r>
      <w:r>
        <w:rPr>
          <w:snapToGrid w:val="0"/>
        </w:rPr>
        <w:tab/>
        <w:t>In this regulation — </w:t>
      </w:r>
    </w:p>
    <w:p>
      <w:pPr>
        <w:pStyle w:val="Defstart"/>
      </w:pPr>
      <w:r>
        <w:rPr>
          <w:b/>
        </w:rPr>
        <w:tab/>
        <w:t>“</w:t>
      </w:r>
      <w:r>
        <w:rPr>
          <w:rStyle w:val="CharDefText"/>
        </w:rPr>
        <w:t>height</w:t>
      </w:r>
      <w:r>
        <w:rPr>
          <w:b/>
        </w:rPr>
        <w:t>”</w:t>
      </w:r>
      <w:r>
        <w:t xml:space="preserve"> means the height of capital letters or lower case letters having an ascender or a descender.</w:t>
      </w:r>
    </w:p>
    <w:p>
      <w:pPr>
        <w:pStyle w:val="Footnotesection"/>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41" w:name="_Toc393706750"/>
      <w:r>
        <w:rPr>
          <w:rStyle w:val="CharSectno"/>
        </w:rPr>
        <w:t>24A</w:t>
      </w:r>
      <w:r>
        <w:rPr>
          <w:snapToGrid w:val="0"/>
        </w:rPr>
        <w:t>.</w:t>
      </w:r>
      <w:r>
        <w:rPr>
          <w:snapToGrid w:val="0"/>
        </w:rPr>
        <w:tab/>
        <w:t>Carcinogenicity and teratogenicity warnings to be approved</w:t>
      </w:r>
      <w:bookmarkEnd w:id="41"/>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 Commissioner of Health.</w:t>
      </w:r>
    </w:p>
    <w:p>
      <w:pPr>
        <w:pStyle w:val="Footnotesection"/>
        <w:rPr>
          <w:spacing w:val="-4"/>
        </w:rPr>
      </w:pPr>
      <w:r>
        <w:tab/>
      </w:r>
      <w:r>
        <w:rPr>
          <w:spacing w:val="-4"/>
        </w:rPr>
        <w:t>[Regulation 24A inserted in Gazette 17 Aug 1990 p. 4081; amended in Gazette 26 May 1994 p. 2201; 19 Mar 1996 p. 1220.]</w:t>
      </w:r>
    </w:p>
    <w:p>
      <w:pPr>
        <w:pStyle w:val="Ednotedivision"/>
      </w:pPr>
      <w:r>
        <w:t>[Heading deleted in Gazette 12 Aug 2003 p. 3663.]</w:t>
      </w:r>
    </w:p>
    <w:p>
      <w:pPr>
        <w:pStyle w:val="Heading3"/>
      </w:pPr>
      <w:bookmarkStart w:id="42" w:name="_Toc393706751"/>
      <w:r>
        <w:rPr>
          <w:rStyle w:val="CharDivNo"/>
        </w:rPr>
        <w:t>Division 3</w:t>
      </w:r>
      <w:r>
        <w:t xml:space="preserve"> — </w:t>
      </w:r>
      <w:r>
        <w:rPr>
          <w:rStyle w:val="CharDivText"/>
        </w:rPr>
        <w:t>General</w:t>
      </w:r>
      <w:bookmarkEnd w:id="42"/>
    </w:p>
    <w:p>
      <w:pPr>
        <w:pStyle w:val="Footnoteheading"/>
        <w:tabs>
          <w:tab w:val="left" w:pos="851"/>
        </w:tabs>
      </w:pPr>
      <w:r>
        <w:tab/>
        <w:t>[Heading inserted in Gazette 12 Aug 2003 p. 3664.]</w:t>
      </w:r>
    </w:p>
    <w:p>
      <w:pPr>
        <w:pStyle w:val="Heading5"/>
        <w:keepLines w:val="0"/>
        <w:rPr>
          <w:snapToGrid w:val="0"/>
        </w:rPr>
      </w:pPr>
      <w:bookmarkStart w:id="43" w:name="_Toc393706752"/>
      <w:r>
        <w:rPr>
          <w:rStyle w:val="CharSectno"/>
        </w:rPr>
        <w:t>25</w:t>
      </w:r>
      <w:r>
        <w:rPr>
          <w:snapToGrid w:val="0"/>
        </w:rPr>
        <w:t>.</w:t>
      </w:r>
      <w:r>
        <w:rPr>
          <w:snapToGrid w:val="0"/>
        </w:rPr>
        <w:tab/>
        <w:t>Commissioner of Health may approve container or label</w:t>
      </w:r>
      <w:bookmarkEnd w:id="43"/>
      <w:r>
        <w:rPr>
          <w:snapToGrid w:val="0"/>
        </w:rPr>
        <w:t xml:space="preserve"> </w:t>
      </w:r>
    </w:p>
    <w:p>
      <w:pPr>
        <w:pStyle w:val="Subsection"/>
        <w:rPr>
          <w:snapToGrid w:val="0"/>
        </w:rPr>
      </w:pPr>
      <w:r>
        <w:rPr>
          <w:snapToGrid w:val="0"/>
        </w:rPr>
        <w:tab/>
      </w:r>
      <w:r>
        <w:rPr>
          <w:snapToGrid w:val="0"/>
        </w:rPr>
        <w:tab/>
        <w:t>The Commissioner of Health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w:t>
      </w:r>
    </w:p>
    <w:p>
      <w:pPr>
        <w:pStyle w:val="Heading5"/>
        <w:rPr>
          <w:snapToGrid w:val="0"/>
        </w:rPr>
      </w:pPr>
      <w:bookmarkStart w:id="44" w:name="_Toc393706753"/>
      <w:r>
        <w:rPr>
          <w:rStyle w:val="CharSectno"/>
        </w:rPr>
        <w:t>26</w:t>
      </w:r>
      <w:r>
        <w:rPr>
          <w:snapToGrid w:val="0"/>
        </w:rPr>
        <w:t>.</w:t>
      </w:r>
      <w:r>
        <w:rPr>
          <w:snapToGrid w:val="0"/>
        </w:rPr>
        <w:tab/>
      </w:r>
      <w:r>
        <w:rPr>
          <w:snapToGrid w:val="0"/>
          <w:spacing w:val="-4"/>
        </w:rPr>
        <w:t>Commissioner of Health may suspend use of container or label</w:t>
      </w:r>
      <w:bookmarkEnd w:id="44"/>
      <w:r>
        <w:rPr>
          <w:snapToGrid w:val="0"/>
        </w:rPr>
        <w:t xml:space="preserve"> </w:t>
      </w:r>
    </w:p>
    <w:p>
      <w:pPr>
        <w:pStyle w:val="Subsection"/>
        <w:rPr>
          <w:snapToGrid w:val="0"/>
        </w:rPr>
      </w:pPr>
      <w:r>
        <w:rPr>
          <w:snapToGrid w:val="0"/>
        </w:rPr>
        <w:tab/>
      </w:r>
      <w:r>
        <w:rPr>
          <w:snapToGrid w:val="0"/>
        </w:rPr>
        <w:tab/>
        <w:t>The Commissioner of Health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w:t>
      </w:r>
    </w:p>
    <w:p>
      <w:pPr>
        <w:pStyle w:val="Ednotesection"/>
        <w:spacing w:before="180"/>
        <w:ind w:left="890" w:hanging="890"/>
      </w:pPr>
      <w:r>
        <w:t>[</w:t>
      </w:r>
      <w:r>
        <w:rPr>
          <w:b/>
        </w:rPr>
        <w:t>27.</w:t>
      </w:r>
      <w:r>
        <w:rPr>
          <w:b/>
        </w:rPr>
        <w:tab/>
      </w:r>
      <w:r>
        <w:t xml:space="preserve">Repealed in Gazette 23 Nov 1990 p. 5792.] </w:t>
      </w:r>
    </w:p>
    <w:p>
      <w:pPr>
        <w:pStyle w:val="Ednotesection"/>
        <w:spacing w:before="180"/>
        <w:ind w:left="890" w:hanging="890"/>
      </w:pPr>
      <w:r>
        <w:t>[</w:t>
      </w:r>
      <w:r>
        <w:rPr>
          <w:b/>
        </w:rPr>
        <w:t>27AA, 27A.</w:t>
      </w:r>
      <w:r>
        <w:rPr>
          <w:b/>
        </w:rPr>
        <w:tab/>
      </w:r>
      <w:r>
        <w:t xml:space="preserve">Repealed in Gazette 24 Jun 1994 p. 2866.] </w:t>
      </w:r>
    </w:p>
    <w:p>
      <w:pPr>
        <w:pStyle w:val="Ednotesection"/>
        <w:spacing w:before="180"/>
        <w:ind w:left="890" w:hanging="890"/>
      </w:pPr>
      <w:r>
        <w:t>[</w:t>
      </w:r>
      <w:r>
        <w:rPr>
          <w:b/>
        </w:rPr>
        <w:t>28.</w:t>
      </w:r>
      <w:r>
        <w:rPr>
          <w:b/>
        </w:rPr>
        <w:tab/>
      </w:r>
      <w:r>
        <w:t xml:space="preserve">Repealed in Gazette 23 Nov 1990 p. 5792.] </w:t>
      </w:r>
    </w:p>
    <w:p>
      <w:pPr>
        <w:pStyle w:val="Ednotesection"/>
        <w:spacing w:before="180"/>
        <w:ind w:left="890" w:hanging="890"/>
      </w:pPr>
      <w:r>
        <w:t>[</w:t>
      </w:r>
      <w:r>
        <w:rPr>
          <w:b/>
        </w:rPr>
        <w:t>29, 29A, 29B.</w:t>
      </w:r>
      <w:r>
        <w:tab/>
        <w:t xml:space="preserve">Repealed in Gazette 28 May 1993 p. 2595.] </w:t>
      </w:r>
    </w:p>
    <w:p>
      <w:pPr>
        <w:pStyle w:val="Ednotedivision"/>
      </w:pPr>
      <w:r>
        <w:t>[Heading deleted in Gazette 12 Aug 2003 p. 3663.]</w:t>
      </w:r>
    </w:p>
    <w:p>
      <w:pPr>
        <w:pStyle w:val="Heading2"/>
      </w:pPr>
      <w:bookmarkStart w:id="45" w:name="_Toc393706754"/>
      <w:r>
        <w:rPr>
          <w:rStyle w:val="CharPartNo"/>
        </w:rPr>
        <w:t>Part 4</w:t>
      </w:r>
      <w:r>
        <w:t xml:space="preserve"> — </w:t>
      </w:r>
      <w:r>
        <w:rPr>
          <w:rStyle w:val="CharPartText"/>
        </w:rPr>
        <w:t>Storage, disposal and loss or theft of poisons</w:t>
      </w:r>
      <w:bookmarkEnd w:id="45"/>
    </w:p>
    <w:p>
      <w:pPr>
        <w:pStyle w:val="Footnoteheading"/>
        <w:tabs>
          <w:tab w:val="left" w:pos="851"/>
        </w:tabs>
      </w:pPr>
      <w:r>
        <w:tab/>
        <w:t>[Heading inserted in Gazette 12 Aug 2003 p. 3664.]</w:t>
      </w:r>
    </w:p>
    <w:p>
      <w:pPr>
        <w:pStyle w:val="Ednotedivision"/>
      </w:pPr>
      <w:r>
        <w:t>[Heading deleted in Gazette 12 Aug 2003 p. 3663.]</w:t>
      </w:r>
    </w:p>
    <w:p>
      <w:pPr>
        <w:pStyle w:val="Heading5"/>
        <w:rPr>
          <w:snapToGrid w:val="0"/>
        </w:rPr>
      </w:pPr>
      <w:bookmarkStart w:id="46" w:name="_Toc393706755"/>
      <w:r>
        <w:rPr>
          <w:rStyle w:val="CharSectno"/>
        </w:rPr>
        <w:t>30</w:t>
      </w:r>
      <w:r>
        <w:rPr>
          <w:snapToGrid w:val="0"/>
        </w:rPr>
        <w:t>.</w:t>
      </w:r>
      <w:r>
        <w:rPr>
          <w:snapToGrid w:val="0"/>
        </w:rPr>
        <w:tab/>
        <w:t>Storage of substances other than those specified in regulation 56</w:t>
      </w:r>
      <w:bookmarkEnd w:id="4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section"/>
      </w:pPr>
      <w:r>
        <w:tab/>
        <w:t>[Heading deleted in Gazette 12 Aug 2003 p. 3663.]</w:t>
      </w:r>
    </w:p>
    <w:p>
      <w:pPr>
        <w:pStyle w:val="Heading5"/>
        <w:spacing w:before="120"/>
        <w:rPr>
          <w:snapToGrid w:val="0"/>
        </w:rPr>
      </w:pPr>
      <w:bookmarkStart w:id="47" w:name="_Toc393706756"/>
      <w:r>
        <w:rPr>
          <w:rStyle w:val="CharSectno"/>
        </w:rPr>
        <w:t>31</w:t>
      </w:r>
      <w:r>
        <w:rPr>
          <w:snapToGrid w:val="0"/>
        </w:rPr>
        <w:t>.</w:t>
      </w:r>
      <w:r>
        <w:rPr>
          <w:snapToGrid w:val="0"/>
        </w:rPr>
        <w:tab/>
        <w:t>Disposal of poisons</w:t>
      </w:r>
      <w:bookmarkEnd w:id="47"/>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spacing w:before="120"/>
        <w:rPr>
          <w:snapToGrid w:val="0"/>
        </w:rPr>
      </w:pPr>
      <w:bookmarkStart w:id="48" w:name="_Toc393706757"/>
      <w:r>
        <w:rPr>
          <w:rStyle w:val="CharSectno"/>
        </w:rPr>
        <w:t>32</w:t>
      </w:r>
      <w:r>
        <w:rPr>
          <w:snapToGrid w:val="0"/>
        </w:rPr>
        <w:t>.</w:t>
      </w:r>
      <w:r>
        <w:rPr>
          <w:snapToGrid w:val="0"/>
        </w:rPr>
        <w:tab/>
        <w:t>Notification of loss or theft of poison</w:t>
      </w:r>
      <w:bookmarkEnd w:id="48"/>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49" w:name="_Toc393706758"/>
      <w:r>
        <w:rPr>
          <w:rStyle w:val="CharPartNo"/>
        </w:rPr>
        <w:t>Part 5</w:t>
      </w:r>
      <w:r>
        <w:t xml:space="preserve"> — </w:t>
      </w:r>
      <w:r>
        <w:rPr>
          <w:rStyle w:val="CharPartText"/>
        </w:rPr>
        <w:t>Sale, supply and use of poisons</w:t>
      </w:r>
      <w:bookmarkEnd w:id="49"/>
    </w:p>
    <w:p>
      <w:pPr>
        <w:pStyle w:val="Footnoteheading"/>
        <w:tabs>
          <w:tab w:val="left" w:pos="851"/>
        </w:tabs>
      </w:pPr>
      <w:r>
        <w:tab/>
        <w:t>[Heading inserted in Gazette 12 Aug 2003 p. 3664.]</w:t>
      </w:r>
    </w:p>
    <w:p>
      <w:pPr>
        <w:pStyle w:val="Heading2"/>
        <w:pageBreakBefore w:val="0"/>
      </w:pPr>
      <w:bookmarkStart w:id="50" w:name="_Toc393706759"/>
      <w:r>
        <w:rPr>
          <w:rStyle w:val="CharDivNo"/>
          <w:snapToGrid/>
          <w:sz w:val="26"/>
        </w:rPr>
        <w:t>Division 1</w:t>
      </w:r>
      <w:r>
        <w:t xml:space="preserve"> — </w:t>
      </w:r>
      <w:r>
        <w:rPr>
          <w:rStyle w:val="CharDivText"/>
          <w:snapToGrid/>
          <w:sz w:val="26"/>
        </w:rPr>
        <w:t>Restrictions</w:t>
      </w:r>
      <w:bookmarkEnd w:id="50"/>
    </w:p>
    <w:p>
      <w:pPr>
        <w:pStyle w:val="Footnoteheading"/>
        <w:tabs>
          <w:tab w:val="left" w:pos="851"/>
        </w:tabs>
      </w:pPr>
      <w:r>
        <w:tab/>
        <w:t>[Heading inserted in Gazette 12 Aug 2003 p. 3664.]</w:t>
      </w:r>
    </w:p>
    <w:p>
      <w:pPr>
        <w:pStyle w:val="Heading5"/>
        <w:rPr>
          <w:snapToGrid w:val="0"/>
        </w:rPr>
      </w:pPr>
      <w:bookmarkStart w:id="51" w:name="_Toc393706760"/>
      <w:r>
        <w:rPr>
          <w:rStyle w:val="CharSectno"/>
        </w:rPr>
        <w:t>33</w:t>
      </w:r>
      <w:r>
        <w:rPr>
          <w:snapToGrid w:val="0"/>
        </w:rPr>
        <w:t>.</w:t>
      </w:r>
      <w:r>
        <w:rPr>
          <w:snapToGrid w:val="0"/>
        </w:rPr>
        <w:tab/>
        <w:t>Poison not to be sold to persons under 16 years</w:t>
      </w:r>
      <w:bookmarkEnd w:id="51"/>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2" w:name="_Toc393706761"/>
      <w:r>
        <w:rPr>
          <w:rStyle w:val="CharSectno"/>
        </w:rPr>
        <w:t>33A</w:t>
      </w:r>
      <w:r>
        <w:rPr>
          <w:snapToGrid w:val="0"/>
        </w:rPr>
        <w:t>.</w:t>
      </w:r>
      <w:r>
        <w:rPr>
          <w:snapToGrid w:val="0"/>
        </w:rPr>
        <w:tab/>
        <w:t>Restrictions applying to veterinary preparations</w:t>
      </w:r>
      <w:bookmarkEnd w:id="5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keepNext/>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53" w:name="_Toc393706762"/>
      <w:r>
        <w:rPr>
          <w:rStyle w:val="CharSectno"/>
        </w:rPr>
        <w:t>33B</w:t>
      </w:r>
      <w:r>
        <w:rPr>
          <w:snapToGrid w:val="0"/>
        </w:rPr>
        <w:t>.</w:t>
      </w:r>
      <w:r>
        <w:rPr>
          <w:snapToGrid w:val="0"/>
        </w:rPr>
        <w:tab/>
        <w:t>Adoption of SUSDP for certain paints</w:t>
      </w:r>
      <w:bookmarkEnd w:id="53"/>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repealed in Gazette 23 May 1986 p. 1716.]</w:t>
      </w:r>
    </w:p>
    <w:p>
      <w:pPr>
        <w:pStyle w:val="Ednotesection"/>
      </w:pPr>
      <w:r>
        <w:t>[</w:t>
      </w:r>
      <w:r>
        <w:rPr>
          <w:b/>
        </w:rPr>
        <w:t>34.</w:t>
      </w:r>
      <w:r>
        <w:tab/>
        <w:t xml:space="preserve">Repealed in Gazette 23 May 1986 p. 1716.] </w:t>
      </w:r>
    </w:p>
    <w:p>
      <w:pPr>
        <w:pStyle w:val="Ednotedivision"/>
      </w:pPr>
      <w:r>
        <w:t>[Heading repealed in Gazette 23 May 1986 p. 1716.]</w:t>
      </w:r>
    </w:p>
    <w:p>
      <w:pPr>
        <w:pStyle w:val="Ednotesection"/>
      </w:pPr>
      <w:r>
        <w:t>[</w:t>
      </w:r>
      <w:r>
        <w:rPr>
          <w:b/>
        </w:rPr>
        <w:t>34A, 34B, 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r>
        <w:t>[Heading deleted in Gazette 12 Aug 2003 p. 3663.]</w:t>
      </w:r>
    </w:p>
    <w:p>
      <w:pPr>
        <w:pStyle w:val="Heading5"/>
        <w:spacing w:before="120"/>
        <w:rPr>
          <w:snapToGrid w:val="0"/>
        </w:rPr>
      </w:pPr>
      <w:bookmarkStart w:id="54" w:name="_Toc393706763"/>
      <w:r>
        <w:rPr>
          <w:rStyle w:val="CharSectno"/>
        </w:rPr>
        <w:t>35</w:t>
      </w:r>
      <w:r>
        <w:rPr>
          <w:snapToGrid w:val="0"/>
        </w:rPr>
        <w:t>.</w:t>
      </w:r>
      <w:r>
        <w:rPr>
          <w:snapToGrid w:val="0"/>
        </w:rPr>
        <w:tab/>
        <w:t>Restrictions on retail sale of substances included in Schedule 2</w:t>
      </w:r>
      <w:bookmarkEnd w:id="54"/>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spacing w:before="120"/>
        <w:rPr>
          <w:snapToGrid w:val="0"/>
        </w:rPr>
      </w:pPr>
      <w:bookmarkStart w:id="55" w:name="_Toc393706764"/>
      <w:r>
        <w:rPr>
          <w:rStyle w:val="CharSectno"/>
        </w:rPr>
        <w:t>35A</w:t>
      </w:r>
      <w:r>
        <w:rPr>
          <w:snapToGrid w:val="0"/>
        </w:rPr>
        <w:t>.</w:t>
      </w:r>
      <w:r>
        <w:rPr>
          <w:snapToGrid w:val="0"/>
        </w:rPr>
        <w:tab/>
        <w:t>Restrictions on retail sale of substances included in Schedule 3</w:t>
      </w:r>
      <w:bookmarkEnd w:id="55"/>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A substance included in Schedule 3 shall not be sold or supplied by retail except under the personal supervision of a pharmaceutical chemist.</w:t>
      </w:r>
    </w:p>
    <w:p>
      <w:pPr>
        <w:pStyle w:val="Subsection"/>
        <w:spacing w:before="80"/>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spacing w:before="80"/>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p>
    <w:p>
      <w:pPr>
        <w:pStyle w:val="Subsection"/>
        <w:spacing w:before="80"/>
        <w:rPr>
          <w:snapToGrid w:val="0"/>
        </w:rPr>
      </w:pPr>
      <w:r>
        <w:rPr>
          <w:snapToGrid w:val="0"/>
        </w:rPr>
        <w:tab/>
        <w:t>(2)</w:t>
      </w:r>
      <w:r>
        <w:rPr>
          <w:snapToGrid w:val="0"/>
        </w:rPr>
        <w:tab/>
        <w:t>Before a substance referred to in Appendix J is delivered to a purchaser on a sale by retail, the pharmaceutical chemist or graduate trainee in pharmacy making the sale shall — </w:t>
      </w:r>
    </w:p>
    <w:p>
      <w:pPr>
        <w:pStyle w:val="Indenta"/>
        <w:rPr>
          <w:snapToGrid w:val="0"/>
        </w:rPr>
      </w:pPr>
      <w:r>
        <w:rPr>
          <w:snapToGrid w:val="0"/>
        </w:rPr>
        <w:tab/>
        <w:t>(a)</w:t>
      </w:r>
      <w:r>
        <w:rPr>
          <w:snapToGrid w:val="0"/>
        </w:rPr>
        <w:tab/>
        <w:t>record, in ink, in the prescription book referred to in regulation 36(3)(c), the following particulars — </w:t>
      </w:r>
    </w:p>
    <w:p>
      <w:pPr>
        <w:pStyle w:val="Indenti"/>
        <w:rPr>
          <w:snapToGrid w:val="0"/>
        </w:rPr>
      </w:pPr>
      <w:r>
        <w:rPr>
          <w:snapToGrid w:val="0"/>
        </w:rPr>
        <w:tab/>
        <w:t>(i)</w:t>
      </w:r>
      <w:r>
        <w:rPr>
          <w:snapToGrid w:val="0"/>
        </w:rPr>
        <w:tab/>
        <w:t>the date of sale;</w:t>
      </w:r>
    </w:p>
    <w:p>
      <w:pPr>
        <w:pStyle w:val="Indenti"/>
        <w:rPr>
          <w:snapToGrid w:val="0"/>
        </w:rPr>
      </w:pPr>
      <w:r>
        <w:rPr>
          <w:snapToGrid w:val="0"/>
        </w:rPr>
        <w:tab/>
        <w:t>(ii)</w:t>
      </w:r>
      <w:r>
        <w:rPr>
          <w:snapToGrid w:val="0"/>
        </w:rPr>
        <w:tab/>
        <w:t>the name and address of the purchaser and, where the person for whom the substance is intended is not the purchaser, the name and address of the person for whom the substance is intended; and</w:t>
      </w:r>
    </w:p>
    <w:p>
      <w:pPr>
        <w:pStyle w:val="Indenti"/>
        <w:rPr>
          <w:snapToGrid w:val="0"/>
        </w:rPr>
      </w:pPr>
      <w:r>
        <w:rPr>
          <w:snapToGrid w:val="0"/>
        </w:rPr>
        <w:tab/>
        <w:t>(iii)</w:t>
      </w:r>
      <w:r>
        <w:rPr>
          <w:snapToGrid w:val="0"/>
        </w:rPr>
        <w:tab/>
        <w:t>the name and quantity of the substance supplied,</w:t>
      </w:r>
    </w:p>
    <w:p>
      <w:pPr>
        <w:pStyle w:val="Indenta"/>
        <w:rPr>
          <w:snapToGrid w:val="0"/>
        </w:rPr>
      </w:pPr>
      <w:r>
        <w:rPr>
          <w:snapToGrid w:val="0"/>
        </w:rPr>
        <w:tab/>
      </w:r>
      <w:r>
        <w:rPr>
          <w:snapToGrid w:val="0"/>
        </w:rPr>
        <w:tab/>
        <w:t>and the entry in the prescription book shall be given a unique identification number or letter;</w:t>
      </w:r>
    </w:p>
    <w:p>
      <w:pPr>
        <w:pStyle w:val="Indenta"/>
        <w:rPr>
          <w:snapToGrid w:val="0"/>
        </w:rPr>
      </w:pPr>
      <w:r>
        <w:rPr>
          <w:snapToGrid w:val="0"/>
        </w:rPr>
        <w:tab/>
        <w:t>(b)</w:t>
      </w:r>
      <w:r>
        <w:rPr>
          <w:snapToGrid w:val="0"/>
        </w:rPr>
        <w:tab/>
        <w:t>label the product with — </w:t>
      </w:r>
    </w:p>
    <w:p>
      <w:pPr>
        <w:pStyle w:val="Indenti"/>
        <w:rPr>
          <w:snapToGrid w:val="0"/>
        </w:rPr>
      </w:pPr>
      <w:r>
        <w:rPr>
          <w:snapToGrid w:val="0"/>
        </w:rPr>
        <w:tab/>
        <w:t>(i)</w:t>
      </w:r>
      <w:r>
        <w:rPr>
          <w:snapToGrid w:val="0"/>
        </w:rPr>
        <w:tab/>
        <w:t>the name and address of the pharmacy; and</w:t>
      </w:r>
    </w:p>
    <w:p>
      <w:pPr>
        <w:pStyle w:val="Indenti"/>
        <w:rPr>
          <w:snapToGrid w:val="0"/>
        </w:rPr>
      </w:pPr>
      <w:r>
        <w:rPr>
          <w:snapToGrid w:val="0"/>
        </w:rPr>
        <w:tab/>
        <w:t>(ii)</w:t>
      </w:r>
      <w:r>
        <w:rPr>
          <w:snapToGrid w:val="0"/>
        </w:rPr>
        <w:tab/>
        <w:t>the unique identifying number or letter allocated in accordance with paragraph (a).</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w:t>
      </w:r>
    </w:p>
    <w:p>
      <w:pPr>
        <w:pStyle w:val="Ednotesection"/>
      </w:pPr>
      <w:r>
        <w:t>[</w:t>
      </w:r>
      <w:r>
        <w:rPr>
          <w:b/>
        </w:rPr>
        <w:t>35AA.</w:t>
      </w:r>
      <w:r>
        <w:rPr>
          <w:b/>
        </w:rPr>
        <w:tab/>
      </w:r>
      <w:r>
        <w:t xml:space="preserve">Repealed in Gazette 11 Apr 1997 p. 1829.] </w:t>
      </w:r>
    </w:p>
    <w:p>
      <w:pPr>
        <w:pStyle w:val="Heading5"/>
        <w:rPr>
          <w:snapToGrid w:val="0"/>
        </w:rPr>
      </w:pPr>
      <w:bookmarkStart w:id="56" w:name="_Toc393706765"/>
      <w:r>
        <w:rPr>
          <w:rStyle w:val="CharSectno"/>
        </w:rPr>
        <w:t>35B</w:t>
      </w:r>
      <w:r>
        <w:rPr>
          <w:snapToGrid w:val="0"/>
        </w:rPr>
        <w:t>.</w:t>
      </w:r>
      <w:r>
        <w:rPr>
          <w:snapToGrid w:val="0"/>
        </w:rPr>
        <w:tab/>
        <w:t>Storage of substances included in Schedule 3</w:t>
      </w:r>
      <w:bookmarkEnd w:id="56"/>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57" w:name="_Toc393706766"/>
      <w:r>
        <w:rPr>
          <w:rStyle w:val="CharSectno"/>
        </w:rPr>
        <w:t>35C</w:t>
      </w:r>
      <w:r>
        <w:rPr>
          <w:snapToGrid w:val="0"/>
        </w:rPr>
        <w:t>.</w:t>
      </w:r>
      <w:r>
        <w:rPr>
          <w:snapToGrid w:val="0"/>
        </w:rPr>
        <w:tab/>
        <w:t>Advertising of substances included in Schedule 3</w:t>
      </w:r>
      <w:bookmarkEnd w:id="57"/>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spacing w:before="120"/>
        <w:rPr>
          <w:snapToGrid w:val="0"/>
        </w:rPr>
      </w:pPr>
      <w:r>
        <w:tab/>
        <w:t>(4)</w:t>
      </w:r>
      <w:r>
        <w:tab/>
        <w:t xml:space="preserve">In this </w:t>
      </w:r>
      <w:r>
        <w:rPr>
          <w:snapToGrid w:val="0"/>
        </w:rPr>
        <w:t>regulation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name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b/>
          <w:spacing w:val="-4"/>
        </w:rPr>
        <w:t>“</w:t>
      </w:r>
      <w:r>
        <w:rPr>
          <w:rStyle w:val="CharDefText"/>
          <w:spacing w:val="-4"/>
        </w:rPr>
        <w:t>brand name</w:t>
      </w:r>
      <w:r>
        <w:rPr>
          <w:b/>
          <w:spacing w:val="-4"/>
        </w:rPr>
        <w:t>”</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58" w:name="_Toc393706767"/>
      <w:r>
        <w:rPr>
          <w:rStyle w:val="CharSectno"/>
        </w:rPr>
        <w:t>35D</w:t>
      </w:r>
      <w:r>
        <w:t>.</w:t>
      </w:r>
      <w:r>
        <w:tab/>
        <w:t>Advertising of substances included in Schedule 4</w:t>
      </w:r>
      <w:bookmarkEnd w:id="58"/>
    </w:p>
    <w:p>
      <w:pPr>
        <w:pStyle w:val="Subsection"/>
        <w:spacing w:before="120"/>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2"/>
      </w:pPr>
      <w:bookmarkStart w:id="59" w:name="_Toc393706768"/>
      <w:r>
        <w:rPr>
          <w:rStyle w:val="CharDivNo"/>
          <w:snapToGrid/>
          <w:sz w:val="26"/>
        </w:rPr>
        <w:t>Division 2</w:t>
      </w:r>
      <w:r>
        <w:t xml:space="preserve"> — </w:t>
      </w:r>
      <w:r>
        <w:rPr>
          <w:rStyle w:val="CharDivText"/>
          <w:sz w:val="26"/>
        </w:rPr>
        <w:t>Schedule 4 poisons</w:t>
      </w:r>
      <w:bookmarkEnd w:id="59"/>
    </w:p>
    <w:p>
      <w:pPr>
        <w:pStyle w:val="Footnoteheading"/>
        <w:tabs>
          <w:tab w:val="left" w:pos="851"/>
        </w:tabs>
        <w:ind w:left="851" w:hanging="851"/>
      </w:pPr>
      <w:r>
        <w:tab/>
        <w:t>[Heading inserted in Gazette 12 Aug 2003 p. 3664; amended in Gazette 4 Jan 2005 p. 3.]</w:t>
      </w:r>
    </w:p>
    <w:p>
      <w:pPr>
        <w:pStyle w:val="Heading5"/>
        <w:rPr>
          <w:snapToGrid w:val="0"/>
        </w:rPr>
      </w:pPr>
      <w:bookmarkStart w:id="60" w:name="_Toc393706769"/>
      <w:r>
        <w:rPr>
          <w:rStyle w:val="CharSectno"/>
        </w:rPr>
        <w:t>36</w:t>
      </w:r>
      <w:r>
        <w:rPr>
          <w:snapToGrid w:val="0"/>
        </w:rPr>
        <w:t>.</w:t>
      </w:r>
      <w:r>
        <w:rPr>
          <w:snapToGrid w:val="0"/>
        </w:rPr>
        <w:tab/>
        <w:t>Supply of poisons included in Schedule 4</w:t>
      </w:r>
      <w:bookmarkEnd w:id="60"/>
      <w:r>
        <w:rPr>
          <w:snapToGrid w:val="0"/>
        </w:rPr>
        <w:t xml:space="preserve"> </w:t>
      </w:r>
    </w:p>
    <w:p>
      <w:pPr>
        <w:pStyle w:val="Subsection"/>
        <w:spacing w:before="120"/>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the person to whom the poison is sold or supplied is the holder of a prescription written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 Commissioner of Health;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rPr>
          <w:snapToGrid w:val="0"/>
        </w:rPr>
      </w:pPr>
      <w:r>
        <w:rPr>
          <w:snapToGrid w:val="0"/>
        </w:rPr>
        <w:tab/>
        <w:t>(a)</w:t>
      </w:r>
      <w:r>
        <w:rPr>
          <w:snapToGrid w:val="0"/>
        </w:rPr>
        <w:tab/>
        <w:t>the prescription shall not be dispensed more than the maximum number of times indicated thereon, and on each occasion upon which it is dispensed the prescription shall be stamped or marked to show clearly the date upon which it is dispensed and the name and address of the pharmacy at which it is dispensed;</w:t>
      </w:r>
    </w:p>
    <w:p>
      <w:pPr>
        <w:pStyle w:val="Indenta"/>
        <w:rPr>
          <w:snapToGrid w:val="0"/>
        </w:rPr>
      </w:pPr>
      <w:r>
        <w:rPr>
          <w:snapToGrid w:val="0"/>
        </w:rPr>
        <w:tab/>
        <w:t>(b)</w:t>
      </w:r>
      <w:r>
        <w:rPr>
          <w:snapToGrid w:val="0"/>
        </w:rPr>
        <w:tab/>
        <w:t>the person who dispenses a prescription which does not clearly indicate the maximum number of times it is to be dispensed, or which has reached the last occasion upon which it may be dispensed according to the maximum indicated thereon, shall write in ink, stamp or mark in legible letters across such prescription the word “cancelled”;</w:t>
      </w:r>
    </w:p>
    <w:p>
      <w:pPr>
        <w:pStyle w:val="Indenta"/>
        <w:rPr>
          <w:snapToGrid w:val="0"/>
        </w:rPr>
      </w:pPr>
      <w:r>
        <w:rPr>
          <w:snapToGrid w:val="0"/>
        </w:rPr>
        <w:tab/>
        <w:t>(c)(i)</w:t>
      </w:r>
      <w:r>
        <w:rPr>
          <w:snapToGrid w:val="0"/>
        </w:rPr>
        <w:tab/>
        <w:t>for the purposes of this paragraph — </w:t>
      </w:r>
    </w:p>
    <w:p>
      <w:pPr>
        <w:pStyle w:val="Indenti"/>
        <w:rPr>
          <w:snapToGrid w:val="0"/>
        </w:rPr>
      </w:pPr>
      <w:r>
        <w:rPr>
          <w:snapToGrid w:val="0"/>
        </w:rPr>
        <w:tab/>
        <w:t>(I)</w:t>
      </w:r>
      <w:r>
        <w:rPr>
          <w:snapToGrid w:val="0"/>
        </w:rPr>
        <w:tab/>
        <w:t>handwritten records in a bound book with sequentially numbered pages;</w:t>
      </w:r>
    </w:p>
    <w:p>
      <w:pPr>
        <w:pStyle w:val="Indenti"/>
        <w:rPr>
          <w:snapToGrid w:val="0"/>
        </w:rPr>
      </w:pPr>
      <w:r>
        <w:rPr>
          <w:snapToGrid w:val="0"/>
        </w:rPr>
        <w:tab/>
        <w:t>(II)</w:t>
      </w:r>
      <w:r>
        <w:rPr>
          <w:snapToGrid w:val="0"/>
        </w:rPr>
        <w:tab/>
        <w:t>computer records on disk or tape that can be displayed and from which printed copies of the records can be produced on demand;</w:t>
      </w:r>
    </w:p>
    <w:p>
      <w:pPr>
        <w:pStyle w:val="Indenti"/>
        <w:rPr>
          <w:snapToGrid w:val="0"/>
        </w:rPr>
      </w:pPr>
      <w:r>
        <w:rPr>
          <w:snapToGrid w:val="0"/>
        </w:rPr>
        <w:tab/>
        <w:t>(III)</w:t>
      </w:r>
      <w:r>
        <w:rPr>
          <w:snapToGrid w:val="0"/>
        </w:rPr>
        <w:tab/>
        <w:t>microfilm, microfiche, or any other photographic systems in logical sequence and retrievable form;</w:t>
      </w:r>
    </w:p>
    <w:p>
      <w:pPr>
        <w:pStyle w:val="Indenti"/>
        <w:rPr>
          <w:snapToGrid w:val="0"/>
        </w:rPr>
      </w:pPr>
      <w:r>
        <w:rPr>
          <w:snapToGrid w:val="0"/>
        </w:rPr>
        <w:tab/>
        <w:t>(IV)</w:t>
      </w:r>
      <w:r>
        <w:rPr>
          <w:snapToGrid w:val="0"/>
        </w:rPr>
        <w:tab/>
        <w:t xml:space="preserve">client record cards, which include the details set out in a prescription; or </w:t>
      </w:r>
    </w:p>
    <w:p>
      <w:pPr>
        <w:pStyle w:val="Indenti"/>
        <w:rPr>
          <w:snapToGrid w:val="0"/>
        </w:rPr>
      </w:pPr>
      <w:r>
        <w:rPr>
          <w:snapToGrid w:val="0"/>
        </w:rPr>
        <w:tab/>
        <w:t>(V)</w:t>
      </w:r>
      <w:r>
        <w:rPr>
          <w:snapToGrid w:val="0"/>
        </w:rPr>
        <w:tab/>
        <w:t>alternative recording methods which have been specifically and individually approved in writing by the Commissioner of Health for the purposes of this paragraph,</w:t>
      </w:r>
    </w:p>
    <w:p>
      <w:pPr>
        <w:pStyle w:val="Indenta"/>
        <w:rPr>
          <w:snapToGrid w:val="0"/>
        </w:rPr>
      </w:pPr>
      <w:r>
        <w:rPr>
          <w:snapToGrid w:val="0"/>
        </w:rPr>
        <w:tab/>
      </w:r>
      <w:r>
        <w:rPr>
          <w:snapToGrid w:val="0"/>
        </w:rPr>
        <w:tab/>
        <w:t>are deemed to be the Prescription Book;</w:t>
      </w:r>
    </w:p>
    <w:p>
      <w:pPr>
        <w:pStyle w:val="Indenta"/>
        <w:rPr>
          <w:snapToGrid w:val="0"/>
        </w:rPr>
      </w:pPr>
      <w:r>
        <w:rPr>
          <w:snapToGrid w:val="0"/>
        </w:rPr>
        <w:tab/>
        <w:t>(ii)</w:t>
      </w:r>
      <w:r>
        <w:rPr>
          <w:snapToGrid w:val="0"/>
        </w:rPr>
        <w:tab/>
        <w:t>before the poison is handed to the purchaser the following details from the prescription shall be entered into the Prescription Book — </w:t>
      </w:r>
    </w:p>
    <w:p>
      <w:pPr>
        <w:pStyle w:val="Indenti"/>
        <w:rPr>
          <w:snapToGrid w:val="0"/>
        </w:rPr>
      </w:pPr>
      <w:r>
        <w:rPr>
          <w:snapToGrid w:val="0"/>
        </w:rPr>
        <w:tab/>
      </w:r>
      <w:r>
        <w:rPr>
          <w:snapToGrid w:val="0"/>
        </w:rPr>
        <w:tab/>
        <w:t>the name and quantity of the poison, the direction for use (if applicable), the date of issue of the prescription, the name and address of the patient, the name and address, or the name and identifying initials, of the prescriber, the date of dispensing the prescription, and the entry shall be given an identifying letter or number or combination of letter and number;</w:t>
      </w:r>
    </w:p>
    <w:p>
      <w:pPr>
        <w:pStyle w:val="Indenta"/>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a"/>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a"/>
        <w:rPr>
          <w:snapToGrid w:val="0"/>
        </w:rPr>
      </w:pPr>
      <w:r>
        <w:rPr>
          <w:snapToGrid w:val="0"/>
        </w:rPr>
        <w:tab/>
        <w:t>(v)</w:t>
      </w:r>
      <w:r>
        <w:rPr>
          <w:snapToGrid w:val="0"/>
        </w:rPr>
        <w:tab/>
        <w:t>the Prescription Book shall be kept at the place at which the poison included in Schedule 4 was dispensed for at least 2 years and shall be produced on demand to any person authorised in that behalf under the Act or these regulations;</w:t>
      </w:r>
    </w:p>
    <w:p>
      <w:pPr>
        <w:pStyle w:val="Indenta"/>
        <w:keepNext/>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t>marked “cancelled”; 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a pharmaceutical chemist to whom a prescription referred to in paragraph (e) is presented shall retain the prescription and forthwith inform the Commissioner of Health of the relevant circumstances and the reasons for his refusal to dispense the prescription.</w:t>
      </w:r>
    </w:p>
    <w:p>
      <w:pPr>
        <w:pStyle w:val="Subsection"/>
        <w:rPr>
          <w:snapToGrid w:val="0"/>
          <w:spacing w:val="-4"/>
        </w:rPr>
      </w:pPr>
      <w:r>
        <w:rPr>
          <w:snapToGrid w:val="0"/>
          <w:spacing w:val="-4"/>
        </w:rPr>
        <w:tab/>
        <w:t>(4)</w:t>
      </w:r>
      <w:r>
        <w:rPr>
          <w:snapToGrid w:val="0"/>
          <w:spacing w:val="-4"/>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 xml:space="preserve">2; by No. 9 of 2003 s. 44.] </w:t>
      </w:r>
    </w:p>
    <w:p>
      <w:pPr>
        <w:pStyle w:val="Heading5"/>
      </w:pPr>
      <w:bookmarkStart w:id="61" w:name="_Toc393706770"/>
      <w:r>
        <w:rPr>
          <w:rStyle w:val="CharSectno"/>
        </w:rPr>
        <w:t>36AA</w:t>
      </w:r>
      <w:r>
        <w:t>.</w:t>
      </w:r>
      <w:r>
        <w:tab/>
        <w:t>Provision of “approved starter packs” by registered nurses</w:t>
      </w:r>
      <w:bookmarkEnd w:id="61"/>
    </w:p>
    <w:p>
      <w:pPr>
        <w:pStyle w:val="Subsection"/>
      </w:pPr>
      <w:r>
        <w:tab/>
        <w:t>(1)</w:t>
      </w:r>
      <w:r>
        <w:tab/>
        <w:t>In this regulation —</w:t>
      </w:r>
    </w:p>
    <w:p>
      <w:pPr>
        <w:pStyle w:val="Defstart"/>
      </w:pPr>
      <w:r>
        <w:tab/>
      </w:r>
      <w:r>
        <w:rPr>
          <w:b/>
        </w:rPr>
        <w:t>“</w:t>
      </w:r>
      <w:r>
        <w:rPr>
          <w:rStyle w:val="CharDefText"/>
        </w:rPr>
        <w:t>approved health service</w:t>
      </w:r>
      <w:r>
        <w:rPr>
          <w:b/>
        </w:rPr>
        <w:t>”</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Commissioner of Health for the purposes of this regulation; </w:t>
      </w:r>
    </w:p>
    <w:p>
      <w:pPr>
        <w:pStyle w:val="Defstart"/>
      </w:pPr>
      <w:r>
        <w:tab/>
      </w:r>
      <w:r>
        <w:rPr>
          <w:b/>
        </w:rPr>
        <w:t>“</w:t>
      </w:r>
      <w:r>
        <w:rPr>
          <w:rStyle w:val="CharDefText"/>
        </w:rPr>
        <w:t>approved name</w:t>
      </w:r>
      <w:r>
        <w:rPr>
          <w:b/>
        </w:rPr>
        <w:t>”</w:t>
      </w:r>
      <w:r>
        <w:t xml:space="preserve"> has the same meaning as in regulation 35C; </w:t>
      </w:r>
    </w:p>
    <w:p>
      <w:pPr>
        <w:pStyle w:val="Defstart"/>
      </w:pPr>
      <w:r>
        <w:tab/>
      </w:r>
      <w:r>
        <w:rPr>
          <w:b/>
        </w:rPr>
        <w:t>“</w:t>
      </w:r>
      <w:r>
        <w:rPr>
          <w:rStyle w:val="CharDefText"/>
        </w:rPr>
        <w:t>approved starter pack</w:t>
      </w:r>
      <w:r>
        <w:rPr>
          <w:b/>
        </w:rPr>
        <w:t>”</w:t>
      </w:r>
      <w:r>
        <w:t xml:space="preserve"> means a starter pack approved by the Commissioner of Health for the purposes of this regulation; </w:t>
      </w:r>
    </w:p>
    <w:p>
      <w:pPr>
        <w:pStyle w:val="Defstart"/>
      </w:pPr>
      <w:r>
        <w:tab/>
      </w:r>
      <w:r>
        <w:rPr>
          <w:b/>
        </w:rPr>
        <w:t>“</w:t>
      </w:r>
      <w:r>
        <w:rPr>
          <w:rStyle w:val="CharDefText"/>
        </w:rPr>
        <w:t>brand name</w:t>
      </w:r>
      <w:r>
        <w:rPr>
          <w:b/>
        </w:rPr>
        <w:t>”</w:t>
      </w:r>
      <w:r>
        <w:t xml:space="preserve"> has the same meaning as in regulation 35C; </w:t>
      </w:r>
    </w:p>
    <w:p>
      <w:pPr>
        <w:pStyle w:val="Defstart"/>
      </w:pPr>
      <w:r>
        <w:tab/>
      </w:r>
      <w:r>
        <w:rPr>
          <w:b/>
        </w:rPr>
        <w:t>“</w:t>
      </w:r>
      <w:r>
        <w:rPr>
          <w:rStyle w:val="CharDefText"/>
        </w:rPr>
        <w:t>starter pack</w:t>
      </w:r>
      <w:r>
        <w:rPr>
          <w:b/>
        </w:rPr>
        <w:t>”</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b/>
        </w:rPr>
        <w:t>“</w:t>
      </w:r>
      <w:r>
        <w:rPr>
          <w:rStyle w:val="CharDefText"/>
        </w:rPr>
        <w:t>starter pack instruction</w:t>
      </w:r>
      <w:r>
        <w:rPr>
          <w:b/>
        </w:rPr>
        <w:t>”</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keepNext/>
        <w:keepLines/>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Commissioner of Health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w:t>
      </w:r>
    </w:p>
    <w:p>
      <w:pPr>
        <w:pStyle w:val="Heading5"/>
      </w:pPr>
      <w:bookmarkStart w:id="62" w:name="_Toc393706771"/>
      <w:r>
        <w:rPr>
          <w:rStyle w:val="CharSectno"/>
        </w:rPr>
        <w:t>36A</w:t>
      </w:r>
      <w:r>
        <w:t>.</w:t>
      </w:r>
      <w:r>
        <w:tab/>
        <w:t>Storage of substances included in Schedule 4</w:t>
      </w:r>
      <w:bookmarkEnd w:id="62"/>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b/>
        </w:rPr>
        <w:t>“</w:t>
      </w:r>
      <w:r>
        <w:rPr>
          <w:rStyle w:val="CharDefText"/>
        </w:rPr>
        <w:t>emergency supplies</w:t>
      </w:r>
      <w:r>
        <w:rPr>
          <w:b/>
        </w:rPr>
        <w:t>”</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pPr>
      <w:bookmarkStart w:id="63" w:name="_Toc393706772"/>
      <w:r>
        <w:rPr>
          <w:rStyle w:val="CharSectno"/>
        </w:rPr>
        <w:t>36B</w:t>
      </w:r>
      <w:r>
        <w:t>.</w:t>
      </w:r>
      <w:r>
        <w:tab/>
        <w:t>Record of supply or administration of substances included in Schedule 4</w:t>
      </w:r>
      <w:bookmarkEnd w:id="63"/>
    </w:p>
    <w:p>
      <w:pPr>
        <w:pStyle w:val="Subsection"/>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64" w:name="_Toc393706773"/>
      <w:r>
        <w:rPr>
          <w:rStyle w:val="CharSectno"/>
        </w:rPr>
        <w:t>37</w:t>
      </w:r>
      <w:r>
        <w:rPr>
          <w:snapToGrid w:val="0"/>
        </w:rPr>
        <w:t>.</w:t>
      </w:r>
      <w:r>
        <w:rPr>
          <w:snapToGrid w:val="0"/>
        </w:rPr>
        <w:tab/>
        <w:t>Conditions for prescription of a poison included in Schedule 4</w:t>
      </w:r>
      <w:bookmarkEnd w:id="64"/>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keepNext/>
        <w:rPr>
          <w:snapToGrid w:val="0"/>
        </w:rPr>
      </w:pPr>
      <w:r>
        <w:rPr>
          <w:snapToGrid w:val="0"/>
        </w:rPr>
        <w:tab/>
        <w:t>(a)</w:t>
      </w:r>
      <w:r>
        <w:rPr>
          <w:snapToGrid w:val="0"/>
        </w:rPr>
        <w:tab/>
        <w:t>it shall show in a clearly legible and indelible manner —</w:t>
      </w:r>
    </w:p>
    <w:p>
      <w:pPr>
        <w:pStyle w:val="Indenti"/>
        <w:rPr>
          <w:snapToGrid w:val="0"/>
        </w:rPr>
      </w:pPr>
      <w:r>
        <w:rPr>
          <w:snapToGrid w:val="0"/>
        </w:rPr>
        <w:tab/>
        <w:t>(i)</w:t>
      </w:r>
      <w:r>
        <w:rPr>
          <w:snapToGrid w:val="0"/>
        </w:rPr>
        <w:tab/>
        <w:t>the name and address of prescriber;</w:t>
      </w:r>
    </w:p>
    <w:p>
      <w:pPr>
        <w:pStyle w:val="Indenti"/>
        <w:rPr>
          <w:snapToGrid w:val="0"/>
        </w:rPr>
      </w:pPr>
      <w:r>
        <w:rPr>
          <w:snapToGrid w:val="0"/>
        </w:rPr>
        <w:tab/>
        <w:t>(ii)</w:t>
      </w:r>
      <w:r>
        <w:rPr>
          <w:snapToGrid w:val="0"/>
        </w:rPr>
        <w:tab/>
        <w:t>the name and address of the patient;</w:t>
      </w:r>
    </w:p>
    <w:p>
      <w:pPr>
        <w:pStyle w:val="Indenta"/>
        <w:rPr>
          <w:snapToGrid w:val="0"/>
        </w:rPr>
      </w:pPr>
      <w:r>
        <w:rPr>
          <w:snapToGrid w:val="0"/>
        </w:rPr>
        <w:tab/>
        <w:t>(b)</w:t>
      </w:r>
      <w:r>
        <w:rPr>
          <w:snapToGrid w:val="0"/>
        </w:rPr>
        <w:tab/>
        <w:t>subject to paragraph (ba) there shall be written in ink in the prescriber’s own handwriting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the name and quantity of the substance;</w:t>
      </w:r>
    </w:p>
    <w:p>
      <w:pPr>
        <w:pStyle w:val="Indenti"/>
        <w:rPr>
          <w:snapToGrid w:val="0"/>
        </w:rPr>
      </w:pPr>
      <w:r>
        <w:rPr>
          <w:snapToGrid w:val="0"/>
        </w:rPr>
        <w:tab/>
        <w:t>(iii)</w:t>
      </w:r>
      <w:r>
        <w:rPr>
          <w:snapToGrid w:val="0"/>
        </w:rPr>
        <w:tab/>
        <w:t>direction for use, if necessary;</w:t>
      </w:r>
    </w:p>
    <w:p>
      <w:pPr>
        <w:pStyle w:val="Indenti"/>
        <w:rPr>
          <w:snapToGrid w:val="0"/>
        </w:rPr>
      </w:pPr>
      <w:r>
        <w:rPr>
          <w:snapToGrid w:val="0"/>
        </w:rPr>
        <w:tab/>
        <w:t>(iv)</w:t>
      </w:r>
      <w:r>
        <w:rPr>
          <w:snapToGrid w:val="0"/>
        </w:rPr>
        <w:tab/>
        <w:t>the date on which it is written;</w:t>
      </w:r>
    </w:p>
    <w:p>
      <w:pPr>
        <w:pStyle w:val="Indenti"/>
        <w:rPr>
          <w:snapToGrid w:val="0"/>
        </w:rPr>
      </w:pPr>
      <w:r>
        <w:rPr>
          <w:snapToGrid w:val="0"/>
        </w:rPr>
        <w:tab/>
        <w:t>(v)</w:t>
      </w:r>
      <w:r>
        <w:rPr>
          <w:snapToGrid w:val="0"/>
        </w:rPr>
        <w:tab/>
        <w:t>the maximum number of times it may be repeated, if any, and (where applicable) the intervals at which it may be repeated; and</w:t>
      </w:r>
    </w:p>
    <w:p>
      <w:pPr>
        <w:pStyle w:val="Indenti"/>
        <w:rPr>
          <w:snapToGrid w:val="0"/>
        </w:rPr>
      </w:pPr>
      <w:r>
        <w:rPr>
          <w:snapToGrid w:val="0"/>
        </w:rPr>
        <w:tab/>
        <w:t>(vi)</w:t>
      </w:r>
      <w:r>
        <w:rPr>
          <w:snapToGrid w:val="0"/>
        </w:rPr>
        <w:tab/>
        <w:t>the signature of the prescriber;</w:t>
      </w:r>
    </w:p>
    <w:p>
      <w:pPr>
        <w:pStyle w:val="Indenta"/>
        <w:keepNext/>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keepNext/>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spacing w:before="120"/>
        <w:rPr>
          <w:snapToGrid w:val="0"/>
        </w:rPr>
      </w:pPr>
      <w:r>
        <w:rPr>
          <w:snapToGrid w:val="0"/>
        </w:rPr>
        <w:tab/>
      </w:r>
      <w:r>
        <w:rPr>
          <w:snapToGrid w:val="0"/>
        </w:rPr>
        <w:tab/>
        <w:t>the prescription shall contain — </w:t>
      </w:r>
    </w:p>
    <w:p>
      <w:pPr>
        <w:pStyle w:val="Indenti"/>
        <w:spacing w:before="120"/>
        <w:rPr>
          <w:snapToGrid w:val="0"/>
        </w:rPr>
      </w:pPr>
      <w:r>
        <w:rPr>
          <w:snapToGrid w:val="0"/>
        </w:rPr>
        <w:tab/>
        <w:t>(iii)</w:t>
      </w:r>
      <w:r>
        <w:rPr>
          <w:snapToGrid w:val="0"/>
        </w:rPr>
        <w:tab/>
        <w:t>the information required under paragraph (b)(ii) to (v), in a form generated by the computer;</w:t>
      </w:r>
    </w:p>
    <w:p>
      <w:pPr>
        <w:pStyle w:val="Indenti"/>
        <w:spacing w:before="120"/>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37(1)(ba))”; and</w:t>
      </w:r>
    </w:p>
    <w:p>
      <w:pPr>
        <w:pStyle w:val="Indenti"/>
        <w:spacing w:before="120"/>
        <w:rPr>
          <w:snapToGrid w:val="0"/>
        </w:rPr>
      </w:pPr>
      <w:r>
        <w:rPr>
          <w:snapToGrid w:val="0"/>
        </w:rPr>
        <w:tab/>
        <w:t>(v)</w:t>
      </w:r>
      <w:r>
        <w:rPr>
          <w:snapToGrid w:val="0"/>
        </w:rPr>
        <w:tab/>
        <w:t>the signature of the prescriber in his or her own handwriting;</w:t>
      </w:r>
    </w:p>
    <w:p>
      <w:pPr>
        <w:pStyle w:val="Indenta"/>
        <w:spacing w:before="120"/>
        <w:rPr>
          <w:snapToGrid w:val="0"/>
        </w:rPr>
      </w:pPr>
      <w:r>
        <w:rPr>
          <w:snapToGrid w:val="0"/>
        </w:rPr>
        <w:tab/>
        <w:t>(c)</w:t>
      </w:r>
      <w:r>
        <w:rPr>
          <w:snapToGrid w:val="0"/>
        </w:rPr>
        <w:tab/>
        <w:t>a prescription written by a dentist shall be for dental purposes only and shall be marked as such and a prescription written by a veterinary surgeon shall be for veterinary use only and shall be marked “For veterinary use only” or “For animal treatment only”;</w:t>
      </w:r>
    </w:p>
    <w:p>
      <w:pPr>
        <w:pStyle w:val="Indenta"/>
        <w:spacing w:before="120"/>
        <w:rPr>
          <w:snapToGrid w:val="0"/>
        </w:rPr>
      </w:pPr>
      <w:r>
        <w:rPr>
          <w:snapToGrid w:val="0"/>
        </w:rPr>
        <w:tab/>
        <w:t>(d)</w:t>
      </w:r>
      <w:r>
        <w:rPr>
          <w:snapToGrid w:val="0"/>
        </w:rPr>
        <w:tab/>
        <w:t>if a prescription contains an unusual dose the prescriber shall indicate that such a dose is intended by underlining that part of the prescription and initialling the same in margin;</w:t>
      </w:r>
    </w:p>
    <w:p>
      <w:pPr>
        <w:pStyle w:val="Indenta"/>
        <w:spacing w:before="120"/>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120"/>
        <w:rPr>
          <w:snapToGrid w:val="0"/>
        </w:rPr>
      </w:pPr>
      <w:r>
        <w:rPr>
          <w:snapToGrid w:val="0"/>
        </w:rPr>
        <w:tab/>
        <w:t>(f)</w:t>
      </w:r>
      <w:r>
        <w:rPr>
          <w:snapToGrid w:val="0"/>
        </w:rPr>
        <w:tab/>
        <w:t>a prescription shall not be written in cipher.</w:t>
      </w:r>
    </w:p>
    <w:p>
      <w:pPr>
        <w:pStyle w:val="Subsection"/>
        <w:spacing w:before="120"/>
        <w:rPr>
          <w:snapToGrid w:val="0"/>
        </w:rPr>
      </w:pPr>
      <w:r>
        <w:rPr>
          <w:snapToGrid w:val="0"/>
        </w:rPr>
        <w:tab/>
        <w:t>(2)</w:t>
      </w:r>
      <w:r>
        <w:rPr>
          <w:snapToGrid w:val="0"/>
        </w:rPr>
        <w:tab/>
        <w:t>With the written approval of the Commissioner of Health a medical practitioner,</w:t>
      </w:r>
      <w:r>
        <w:t xml:space="preserve"> nurse practitioner,</w:t>
      </w:r>
      <w:r>
        <w:rPr>
          <w:snapToGrid w:val="0"/>
        </w:rPr>
        <w:t xml:space="preserve"> dentist or veterinary surgeon may issue a typewritten prescription where the Commissioner of Health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by No. 9 of 2003 s. 45.]</w:t>
      </w:r>
    </w:p>
    <w:p>
      <w:pPr>
        <w:pStyle w:val="Ednotedivision"/>
      </w:pPr>
      <w:r>
        <w:t>[Heading deleted in Gazette 12 Aug 2003 p. 3663.]</w:t>
      </w:r>
    </w:p>
    <w:p>
      <w:pPr>
        <w:pStyle w:val="Heading5"/>
        <w:rPr>
          <w:snapToGrid w:val="0"/>
        </w:rPr>
      </w:pPr>
      <w:bookmarkStart w:id="65" w:name="_Toc393706774"/>
      <w:r>
        <w:rPr>
          <w:rStyle w:val="CharSectno"/>
        </w:rPr>
        <w:t>38</w:t>
      </w:r>
      <w:r>
        <w:rPr>
          <w:snapToGrid w:val="0"/>
        </w:rPr>
        <w:t>.</w:t>
      </w:r>
      <w:r>
        <w:rPr>
          <w:snapToGrid w:val="0"/>
        </w:rPr>
        <w:tab/>
      </w:r>
      <w:r>
        <w:rPr>
          <w:snapToGrid w:val="0"/>
          <w:spacing w:val="-4"/>
        </w:rPr>
        <w:t>Dispensing poisons included in Schedule 4 in emergency cases</w:t>
      </w:r>
      <w:bookmarkEnd w:id="65"/>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pPr>
      <w:r>
        <w:tab/>
        <w:t>[Regulation 38 amended in Gazette 19 Mar 1996 p. 1222; by No. 9 of 2003 s. 46.]</w:t>
      </w:r>
    </w:p>
    <w:p>
      <w:pPr>
        <w:pStyle w:val="Ednotesection"/>
      </w:pPr>
      <w:r>
        <w:t>[</w:t>
      </w:r>
      <w:r>
        <w:rPr>
          <w:b/>
        </w:rPr>
        <w:t>38A.</w:t>
      </w:r>
      <w:r>
        <w:rPr>
          <w:b/>
        </w:rPr>
        <w:tab/>
      </w:r>
      <w:r>
        <w:t xml:space="preserve">Repealed in Gazette 17 Mar 1998 p. 1417.] </w:t>
      </w:r>
    </w:p>
    <w:p>
      <w:pPr>
        <w:pStyle w:val="Ednotedivision"/>
      </w:pPr>
      <w:r>
        <w:t>[Heading deleted in Gazette 12 Aug 2003 p. 3663.]</w:t>
      </w:r>
    </w:p>
    <w:p>
      <w:pPr>
        <w:pStyle w:val="Heading5"/>
        <w:spacing w:before="180"/>
        <w:rPr>
          <w:snapToGrid w:val="0"/>
        </w:rPr>
      </w:pPr>
      <w:bookmarkStart w:id="66" w:name="_Toc393706775"/>
      <w:r>
        <w:rPr>
          <w:rStyle w:val="CharSectno"/>
        </w:rPr>
        <w:t>38AA</w:t>
      </w:r>
      <w:r>
        <w:rPr>
          <w:snapToGrid w:val="0"/>
        </w:rPr>
        <w:t>.</w:t>
      </w:r>
      <w:r>
        <w:rPr>
          <w:snapToGrid w:val="0"/>
        </w:rPr>
        <w:tab/>
        <w:t>Administration of poisons included in Schedule 4 in hospital</w:t>
      </w:r>
      <w:bookmarkEnd w:id="66"/>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by No. 9 of 2003 s. 47.]</w:t>
      </w:r>
    </w:p>
    <w:p>
      <w:pPr>
        <w:pStyle w:val="Ednotesection"/>
      </w:pPr>
      <w:r>
        <w:t>[</w:t>
      </w:r>
      <w:r>
        <w:rPr>
          <w:b/>
        </w:rPr>
        <w:t>38B.</w:t>
      </w:r>
      <w:r>
        <w:rPr>
          <w:b/>
        </w:rPr>
        <w:tab/>
      </w:r>
      <w:r>
        <w:t xml:space="preserve">Repealed in Gazette 24 Jun 1994 p. 2867.] </w:t>
      </w:r>
    </w:p>
    <w:p>
      <w:pPr>
        <w:pStyle w:val="Ednotedivision"/>
      </w:pPr>
      <w:r>
        <w:t>[Heading deleted in Gazette 12 Aug 2003 p. 3663.]</w:t>
      </w:r>
    </w:p>
    <w:p>
      <w:pPr>
        <w:pStyle w:val="Heading5"/>
        <w:rPr>
          <w:snapToGrid w:val="0"/>
        </w:rPr>
      </w:pPr>
      <w:bookmarkStart w:id="67" w:name="_Toc393706776"/>
      <w:r>
        <w:rPr>
          <w:rStyle w:val="CharSectno"/>
        </w:rPr>
        <w:t>38C</w:t>
      </w:r>
      <w:r>
        <w:rPr>
          <w:snapToGrid w:val="0"/>
        </w:rPr>
        <w:t>.</w:t>
      </w:r>
      <w:r>
        <w:rPr>
          <w:snapToGrid w:val="0"/>
        </w:rPr>
        <w:tab/>
        <w:t>Clomiphene and cyclofenil</w:t>
      </w:r>
      <w:bookmarkEnd w:id="67"/>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 Commissioner of Health;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w:t>
      </w:r>
    </w:p>
    <w:p>
      <w:pPr>
        <w:pStyle w:val="Ednotedivision"/>
      </w:pPr>
      <w:r>
        <w:t>[Heading deleted in Gazette 12 Aug 2003 p. 3663.]</w:t>
      </w:r>
    </w:p>
    <w:p>
      <w:pPr>
        <w:pStyle w:val="Heading5"/>
        <w:rPr>
          <w:snapToGrid w:val="0"/>
        </w:rPr>
      </w:pPr>
      <w:bookmarkStart w:id="68" w:name="_Toc393706777"/>
      <w:r>
        <w:rPr>
          <w:rStyle w:val="CharSectno"/>
        </w:rPr>
        <w:t>38D</w:t>
      </w:r>
      <w:r>
        <w:rPr>
          <w:snapToGrid w:val="0"/>
        </w:rPr>
        <w:t>.</w:t>
      </w:r>
      <w:r>
        <w:rPr>
          <w:snapToGrid w:val="0"/>
        </w:rPr>
        <w:tab/>
        <w:t>Etretinate or acitretin</w:t>
      </w:r>
      <w:bookmarkEnd w:id="68"/>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pPr>
      <w:r>
        <w:t>[Heading deleted in Gazette 12 Aug 2003 p. 3663.]</w:t>
      </w:r>
    </w:p>
    <w:p>
      <w:pPr>
        <w:pStyle w:val="Heading5"/>
        <w:spacing w:before="180"/>
        <w:rPr>
          <w:snapToGrid w:val="0"/>
        </w:rPr>
      </w:pPr>
      <w:bookmarkStart w:id="69" w:name="_Toc393706778"/>
      <w:r>
        <w:rPr>
          <w:rStyle w:val="CharSectno"/>
        </w:rPr>
        <w:t>38E</w:t>
      </w:r>
      <w:r>
        <w:rPr>
          <w:snapToGrid w:val="0"/>
        </w:rPr>
        <w:t>.</w:t>
      </w:r>
      <w:r>
        <w:rPr>
          <w:snapToGrid w:val="0"/>
        </w:rPr>
        <w:tab/>
        <w:t>Prostaglandins</w:t>
      </w:r>
      <w:bookmarkEnd w:id="69"/>
      <w:r>
        <w:rPr>
          <w:snapToGrid w:val="0"/>
        </w:rPr>
        <w:t xml:space="preserve"> </w:t>
      </w:r>
    </w:p>
    <w:p>
      <w:pPr>
        <w:pStyle w:val="Subsection"/>
        <w:keepNext/>
        <w:keepLines/>
        <w:spacing w:before="120"/>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60"/>
        <w:rPr>
          <w:snapToGrid w:val="0"/>
        </w:rPr>
      </w:pPr>
      <w:r>
        <w:rPr>
          <w:snapToGrid w:val="0"/>
        </w:rPr>
        <w:tab/>
        <w:t>(a)</w:t>
      </w:r>
      <w:r>
        <w:rPr>
          <w:snapToGrid w:val="0"/>
        </w:rPr>
        <w:tab/>
        <w:t>by a veterinary surgeon for use in the treatment of animals; or</w:t>
      </w:r>
    </w:p>
    <w:p>
      <w:pPr>
        <w:pStyle w:val="Indenta"/>
        <w:spacing w:before="60"/>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 Commissioner of Health.</w:t>
      </w:r>
    </w:p>
    <w:p>
      <w:pPr>
        <w:pStyle w:val="Footnotesection"/>
      </w:pPr>
      <w:r>
        <w:tab/>
        <w:t xml:space="preserve">[Regulation 38E inserted in Gazette 2 Jun 1989 p. 1604; amended in Gazette 16 Apr 1992 p. 1635; 25 Jun 1993 p. 3085; 26 May 1994 p. 2201; 11 Apr 1997 p. 1830.] </w:t>
      </w:r>
    </w:p>
    <w:p>
      <w:pPr>
        <w:pStyle w:val="Ednotedivision"/>
      </w:pPr>
      <w:r>
        <w:t>[Heading deleted in Gazette 12 Aug 2003 p. 3663.]</w:t>
      </w:r>
    </w:p>
    <w:p>
      <w:pPr>
        <w:pStyle w:val="Heading5"/>
        <w:spacing w:before="180"/>
        <w:rPr>
          <w:snapToGrid w:val="0"/>
        </w:rPr>
      </w:pPr>
      <w:bookmarkStart w:id="70" w:name="_Toc393706779"/>
      <w:r>
        <w:rPr>
          <w:rStyle w:val="CharSectno"/>
        </w:rPr>
        <w:t>38F</w:t>
      </w:r>
      <w:r>
        <w:rPr>
          <w:snapToGrid w:val="0"/>
        </w:rPr>
        <w:t>.</w:t>
      </w:r>
      <w:r>
        <w:rPr>
          <w:snapToGrid w:val="0"/>
        </w:rPr>
        <w:tab/>
        <w:t>Isotretinoin</w:t>
      </w:r>
      <w:bookmarkEnd w:id="70"/>
      <w:r>
        <w:rPr>
          <w:snapToGrid w:val="0"/>
        </w:rPr>
        <w:t xml:space="preserve"> </w:t>
      </w:r>
    </w:p>
    <w:p>
      <w:pPr>
        <w:pStyle w:val="Subsection"/>
        <w:spacing w:before="120"/>
        <w:rPr>
          <w:snapToGrid w:val="0"/>
        </w:rPr>
      </w:pPr>
      <w:r>
        <w:rPr>
          <w:snapToGrid w:val="0"/>
        </w:rPr>
        <w:tab/>
        <w:t>(1)</w:t>
      </w:r>
      <w:r>
        <w:rPr>
          <w:snapToGrid w:val="0"/>
        </w:rPr>
        <w:tab/>
        <w:t>Isotretinoin or a substance containing isotretinoin shall not be prescribed except by a physician or dermatologist.</w:t>
      </w:r>
    </w:p>
    <w:p>
      <w:pPr>
        <w:pStyle w:val="Subsection"/>
        <w:spacing w:before="120"/>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spacing w:before="120"/>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pPr>
      <w:r>
        <w:t>[Heading deleted in Gazette 12 Aug 2003 p. 3663.]</w:t>
      </w:r>
    </w:p>
    <w:p>
      <w:pPr>
        <w:pStyle w:val="Heading5"/>
        <w:rPr>
          <w:snapToGrid w:val="0"/>
        </w:rPr>
      </w:pPr>
      <w:bookmarkStart w:id="71" w:name="_Toc393706780"/>
      <w:r>
        <w:rPr>
          <w:rStyle w:val="CharSectno"/>
        </w:rPr>
        <w:t>38G</w:t>
      </w:r>
      <w:r>
        <w:rPr>
          <w:snapToGrid w:val="0"/>
        </w:rPr>
        <w:t>.</w:t>
      </w:r>
      <w:r>
        <w:rPr>
          <w:snapToGrid w:val="0"/>
        </w:rPr>
        <w:tab/>
        <w:t>Thalidomide for human use</w:t>
      </w:r>
      <w:bookmarkEnd w:id="71"/>
      <w:r>
        <w:rPr>
          <w:snapToGrid w:val="0"/>
        </w:rPr>
        <w:t xml:space="preserve"> </w:t>
      </w:r>
    </w:p>
    <w:p>
      <w:pPr>
        <w:pStyle w:val="Subsection"/>
        <w:rPr>
          <w:snapToGrid w:val="0"/>
        </w:rPr>
      </w:pPr>
      <w:r>
        <w:rPr>
          <w:snapToGrid w:val="0"/>
        </w:rPr>
        <w:tab/>
        <w:t>(1)</w:t>
      </w:r>
      <w:r>
        <w:rPr>
          <w:snapToGrid w:val="0"/>
        </w:rPr>
        <w:tab/>
        <w:t>Thalidomide or a substance containing thalidomide shall not be prescribed except by a physician or dermatologist.</w:t>
      </w:r>
    </w:p>
    <w:p>
      <w:pPr>
        <w:pStyle w:val="Subsection"/>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72" w:name="_Toc393706781"/>
      <w:r>
        <w:rPr>
          <w:rStyle w:val="CharSectno"/>
        </w:rPr>
        <w:t>38H</w:t>
      </w:r>
      <w:r>
        <w:rPr>
          <w:snapToGrid w:val="0"/>
        </w:rPr>
        <w:t>.</w:t>
      </w:r>
      <w:r>
        <w:rPr>
          <w:snapToGrid w:val="0"/>
        </w:rPr>
        <w:tab/>
        <w:t>Chloramphenicol</w:t>
      </w:r>
      <w:bookmarkEnd w:id="72"/>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73" w:name="_Toc393706782"/>
      <w:r>
        <w:rPr>
          <w:rStyle w:val="CharSectno"/>
        </w:rPr>
        <w:t>38I</w:t>
      </w:r>
      <w:r>
        <w:rPr>
          <w:snapToGrid w:val="0"/>
        </w:rPr>
        <w:t>.</w:t>
      </w:r>
      <w:r>
        <w:rPr>
          <w:snapToGrid w:val="0"/>
        </w:rPr>
        <w:tab/>
        <w:t>Follicular stimulating hormone and luteinising hormone</w:t>
      </w:r>
      <w:bookmarkEnd w:id="73"/>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 Commissioner of Health;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38I inserted in Gazette 2 Jun 1989 p. 1604; amended in Gazette 11 Apr 1997 p. 1831.]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74" w:name="_Toc393706783"/>
      <w:r>
        <w:rPr>
          <w:rStyle w:val="CharSectno"/>
        </w:rPr>
        <w:t>38K</w:t>
      </w:r>
      <w:r>
        <w:rPr>
          <w:snapToGrid w:val="0"/>
        </w:rPr>
        <w:t>.</w:t>
      </w:r>
      <w:r>
        <w:rPr>
          <w:snapToGrid w:val="0"/>
        </w:rPr>
        <w:tab/>
        <w:t>Carnidazole</w:t>
      </w:r>
      <w:bookmarkEnd w:id="74"/>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75" w:name="_Toc393706784"/>
      <w:r>
        <w:rPr>
          <w:rStyle w:val="CharSectno"/>
        </w:rPr>
        <w:t>38L</w:t>
      </w:r>
      <w:r>
        <w:rPr>
          <w:snapToGrid w:val="0"/>
        </w:rPr>
        <w:t>.</w:t>
      </w:r>
      <w:r>
        <w:rPr>
          <w:snapToGrid w:val="0"/>
        </w:rPr>
        <w:tab/>
        <w:t>Oxolinic acid</w:t>
      </w:r>
      <w:bookmarkEnd w:id="75"/>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76" w:name="_Toc393706785"/>
      <w:r>
        <w:rPr>
          <w:rStyle w:val="CharSectno"/>
        </w:rPr>
        <w:t>38M</w:t>
      </w:r>
      <w:r>
        <w:rPr>
          <w:snapToGrid w:val="0"/>
        </w:rPr>
        <w:t>.</w:t>
      </w:r>
      <w:r>
        <w:rPr>
          <w:snapToGrid w:val="0"/>
        </w:rPr>
        <w:tab/>
        <w:t>Clozapine</w:t>
      </w:r>
      <w:bookmarkEnd w:id="76"/>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 Commissioner of Health.</w:t>
      </w:r>
    </w:p>
    <w:p>
      <w:pPr>
        <w:pStyle w:val="Footnotesection"/>
      </w:pPr>
      <w:r>
        <w:tab/>
        <w:t xml:space="preserve">[Regulation 38M inserted in Gazette 24 Jun 1994 p. 2868; amended in Gazette 19 Mar 1996 p. 1223; 11 Apr 1997 p. 1831; 27 Nov 1998 p. 6344.] </w:t>
      </w:r>
    </w:p>
    <w:p>
      <w:pPr>
        <w:pStyle w:val="Heading5"/>
        <w:rPr>
          <w:snapToGrid w:val="0"/>
        </w:rPr>
      </w:pPr>
      <w:bookmarkStart w:id="77" w:name="_Toc393706786"/>
      <w:r>
        <w:rPr>
          <w:rStyle w:val="CharSectno"/>
        </w:rPr>
        <w:t>38N</w:t>
      </w:r>
      <w:r>
        <w:rPr>
          <w:snapToGrid w:val="0"/>
        </w:rPr>
        <w:t>.</w:t>
      </w:r>
      <w:r>
        <w:rPr>
          <w:snapToGrid w:val="0"/>
        </w:rPr>
        <w:tab/>
        <w:t>Nitrofuran derivatives</w:t>
      </w:r>
      <w:bookmarkEnd w:id="77"/>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bCs/>
          <w:snapToGrid w:val="0"/>
        </w:rPr>
      </w:pPr>
      <w:r>
        <w:rPr>
          <w:b/>
          <w:bCs/>
          <w:snapToGrid w:val="0"/>
        </w:rPr>
        <w:t>Table</w:t>
      </w:r>
      <w:r>
        <w:rPr>
          <w:b/>
          <w:bCs/>
          <w:snapToGrid w:val="0"/>
        </w:rPr>
        <w:br/>
        <w:t>Nitrofuran derivatives</w:t>
      </w:r>
    </w:p>
    <w:tbl>
      <w:tblPr>
        <w:tblW w:w="0" w:type="auto"/>
        <w:tblInd w:w="1560" w:type="dxa"/>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w:t>
      </w:r>
    </w:p>
    <w:p>
      <w:pPr>
        <w:pStyle w:val="Ednotedivision"/>
      </w:pPr>
      <w:r>
        <w:t>[Heading deleted in Gazette 12 Aug 2003 p. 3663.]</w:t>
      </w:r>
    </w:p>
    <w:p>
      <w:pPr>
        <w:pStyle w:val="Heading5"/>
      </w:pPr>
      <w:bookmarkStart w:id="78" w:name="_Toc393706787"/>
      <w:r>
        <w:rPr>
          <w:rStyle w:val="CharSectno"/>
        </w:rPr>
        <w:t>38O</w:t>
      </w:r>
      <w:r>
        <w:t>.</w:t>
      </w:r>
      <w:r>
        <w:tab/>
        <w:t>Bosentan for human use</w:t>
      </w:r>
      <w:bookmarkEnd w:id="78"/>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Commissioner of Health.</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w:t>
      </w:r>
    </w:p>
    <w:p>
      <w:pPr>
        <w:pStyle w:val="Heading5"/>
      </w:pPr>
      <w:bookmarkStart w:id="79" w:name="_Toc393706788"/>
      <w:r>
        <w:rPr>
          <w:rStyle w:val="CharSectno"/>
        </w:rPr>
        <w:t>38P</w:t>
      </w:r>
      <w:r>
        <w:t>.</w:t>
      </w:r>
      <w:r>
        <w:tab/>
        <w:t>Teriparatide for human use</w:t>
      </w:r>
      <w:bookmarkEnd w:id="79"/>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Commissioner of Health.</w:t>
      </w:r>
    </w:p>
    <w:p>
      <w:pPr>
        <w:pStyle w:val="Footnotesection"/>
      </w:pPr>
      <w:r>
        <w:tab/>
        <w:t>[Regulation 38P inserted in Gazette 5 Oct 2004 p. 4310.]</w:t>
      </w:r>
    </w:p>
    <w:p>
      <w:pPr>
        <w:pStyle w:val="Heading5"/>
        <w:rPr>
          <w:snapToGrid w:val="0"/>
        </w:rPr>
      </w:pPr>
      <w:bookmarkStart w:id="80" w:name="_Toc393706789"/>
      <w:r>
        <w:rPr>
          <w:rStyle w:val="CharSectno"/>
        </w:rPr>
        <w:t>39</w:t>
      </w:r>
      <w:r>
        <w:rPr>
          <w:snapToGrid w:val="0"/>
        </w:rPr>
        <w:t>.</w:t>
      </w:r>
      <w:r>
        <w:rPr>
          <w:snapToGrid w:val="0"/>
        </w:rPr>
        <w:tab/>
        <w:t>Veterinary use of poisons included in Schedule 4</w:t>
      </w:r>
      <w:bookmarkEnd w:id="80"/>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pPr>
      <w:r>
        <w:tab/>
        <w:t>[Regulation 39 inserted in Gazette 26 Aug 1977 p. 2966; amended in Gazette 2 Oct 1987 p. 3776; 19 Mar 1996 p. 1223</w:t>
      </w:r>
      <w:r>
        <w:noBreakHyphen/>
        <w:t>4.]</w:t>
      </w:r>
    </w:p>
    <w:p>
      <w:pPr>
        <w:pStyle w:val="Heading5"/>
        <w:spacing w:before="260"/>
        <w:rPr>
          <w:snapToGrid w:val="0"/>
        </w:rPr>
      </w:pPr>
      <w:bookmarkStart w:id="81" w:name="_Toc393706790"/>
      <w:r>
        <w:rPr>
          <w:rStyle w:val="CharSectno"/>
        </w:rPr>
        <w:t>39A</w:t>
      </w:r>
      <w:r>
        <w:rPr>
          <w:snapToGrid w:val="0"/>
        </w:rPr>
        <w:t>.</w:t>
      </w:r>
      <w:r>
        <w:rPr>
          <w:snapToGrid w:val="0"/>
        </w:rPr>
        <w:tab/>
        <w:t>Stockfeed manufacturers may sell poisons included in Schedule 4</w:t>
      </w:r>
      <w:bookmarkEnd w:id="81"/>
      <w:r>
        <w:rPr>
          <w:snapToGrid w:val="0"/>
        </w:rPr>
        <w:t xml:space="preserve"> </w:t>
      </w:r>
    </w:p>
    <w:p>
      <w:pPr>
        <w:pStyle w:val="Subsection"/>
        <w:spacing w:before="20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spacing w:before="200"/>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200"/>
        <w:rPr>
          <w:snapToGrid w:val="0"/>
        </w:rPr>
      </w:pPr>
      <w:r>
        <w:rPr>
          <w:snapToGrid w:val="0"/>
        </w:rPr>
        <w:tab/>
        <w:t>(3)</w:t>
      </w:r>
      <w:r>
        <w:rPr>
          <w:snapToGrid w:val="0"/>
        </w:rPr>
        <w:tab/>
        <w:t>A stockfeed manufacturer who wishes to sell by retail mixtures pursuant to subregulation (1) may apply to the Commissioner of Health for, and at the discretion of the Commissioner of Health be granted, a permit in Form 11AA in Appendix A, specifying the poisons included in Schedule 4 that may be contained in such mixtures, and any limits as to the quantity or composition of such mixtures that may be sold.</w:t>
      </w:r>
    </w:p>
    <w:p>
      <w:pPr>
        <w:pStyle w:val="Subsection"/>
        <w:spacing w:before="20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160"/>
        <w:ind w:left="890" w:hanging="890"/>
      </w:pPr>
      <w:r>
        <w:tab/>
        <w:t>[Regulation 39A inserted in Gazette 5 Oct 1979 p. 3085; amended in Gazette 29 Jun 1984 p. 1784; 25 Jun 1993 p. 3085; 26 May 1994 p. 2201; 19 Mar 1996 p. 1224.]</w:t>
      </w:r>
    </w:p>
    <w:p>
      <w:pPr>
        <w:pStyle w:val="Heading5"/>
        <w:rPr>
          <w:snapToGrid w:val="0"/>
        </w:rPr>
      </w:pPr>
      <w:bookmarkStart w:id="82" w:name="_Toc393706791"/>
      <w:r>
        <w:rPr>
          <w:rStyle w:val="CharSectno"/>
        </w:rPr>
        <w:t>39B</w:t>
      </w:r>
      <w:r>
        <w:rPr>
          <w:snapToGrid w:val="0"/>
        </w:rPr>
        <w:t>.</w:t>
      </w:r>
      <w:r>
        <w:rPr>
          <w:snapToGrid w:val="0"/>
        </w:rPr>
        <w:tab/>
        <w:t>Use of poisons included in Schedule 4 on ships and aircraft</w:t>
      </w:r>
      <w:bookmarkEnd w:id="82"/>
      <w:r>
        <w:rPr>
          <w:snapToGrid w:val="0"/>
        </w:rPr>
        <w:t xml:space="preserve"> </w:t>
      </w:r>
    </w:p>
    <w:p>
      <w:pPr>
        <w:pStyle w:val="Subsection"/>
        <w:keepNext/>
        <w:keepLines/>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83" w:name="_Toc393706792"/>
      <w:r>
        <w:rPr>
          <w:rStyle w:val="CharSectno"/>
        </w:rPr>
        <w:t>39C</w:t>
      </w:r>
      <w:r>
        <w:t>.</w:t>
      </w:r>
      <w:r>
        <w:tab/>
        <w:t>Use of poisons included in Schedule 4 on ships carrying livestock</w:t>
      </w:r>
      <w:bookmarkEnd w:id="83"/>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iCs/>
        </w:rPr>
        <w:t xml:space="preserve">Australian Livestock Export Standards — March 2001 </w:t>
      </w:r>
      <w:r>
        <w:t xml:space="preserve">(as amended from time to time); or </w:t>
      </w:r>
    </w:p>
    <w:p>
      <w:pPr>
        <w:pStyle w:val="Indenta"/>
      </w:pPr>
      <w:r>
        <w:tab/>
        <w:t>(b)</w:t>
      </w:r>
      <w:r>
        <w:tab/>
        <w:t xml:space="preserve">by the master with order 18 of the </w:t>
      </w:r>
      <w:r>
        <w:rPr>
          <w:i/>
          <w:iCs/>
        </w:rPr>
        <w:t xml:space="preserve">Marine Orders Part 43: Cargo and Cargo Handling — Livestock </w:t>
      </w:r>
      <w:r>
        <w:t xml:space="preserve">(as amended from time to time) made under the </w:t>
      </w:r>
      <w:r>
        <w:rPr>
          <w:i/>
          <w:iCs/>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t>“</w:t>
      </w:r>
      <w:r>
        <w:rPr>
          <w:rStyle w:val="CharDefText"/>
        </w:rPr>
        <w:t>livestock</w:t>
      </w:r>
      <w:r>
        <w:rPr>
          <w:b/>
        </w:rPr>
        <w:t>”</w:t>
      </w:r>
      <w:r>
        <w:t xml:space="preserve"> means livestock in relation to which an exporter has given a notice of intention to export under order 6 of the </w:t>
      </w:r>
      <w:r>
        <w:rPr>
          <w:i/>
          <w:iCs/>
        </w:rPr>
        <w:t>Export Control (Animals) Orders as amended</w:t>
      </w:r>
      <w:r>
        <w:t xml:space="preserve">, made under the </w:t>
      </w:r>
      <w:r>
        <w:rPr>
          <w:i/>
          <w:iCs/>
        </w:rPr>
        <w:t>Export Control (Orders) Regulations 1982</w:t>
      </w:r>
      <w:r>
        <w:t xml:space="preserve"> in force under the </w:t>
      </w:r>
      <w:r>
        <w:rPr>
          <w:i/>
          <w:iCs/>
        </w:rPr>
        <w:t>Export Control Act 1982</w:t>
      </w:r>
      <w:r>
        <w:t xml:space="preserve"> of the Commonwealth;</w:t>
      </w:r>
    </w:p>
    <w:p>
      <w:pPr>
        <w:pStyle w:val="Defstart"/>
      </w:pPr>
      <w:r>
        <w:rPr>
          <w:b/>
        </w:rPr>
        <w:tab/>
        <w:t>“</w:t>
      </w:r>
      <w:r>
        <w:rPr>
          <w:rStyle w:val="CharDefText"/>
        </w:rPr>
        <w:t>exporter</w:t>
      </w:r>
      <w:r>
        <w:rPr>
          <w:b/>
        </w:rPr>
        <w:t>”</w:t>
      </w:r>
      <w:r>
        <w:t xml:space="preserve"> means a person who holds a live</w:t>
      </w:r>
      <w:r>
        <w:noBreakHyphen/>
        <w:t xml:space="preserve">stock export licence under the </w:t>
      </w:r>
      <w:r>
        <w:rPr>
          <w:i/>
          <w:iCs/>
        </w:rPr>
        <w:t>Australian Meat and Live</w:t>
      </w:r>
      <w:r>
        <w:rPr>
          <w:i/>
          <w:iCs/>
        </w:rPr>
        <w:noBreakHyphen/>
        <w:t>stock Industry Act 1997</w:t>
      </w:r>
      <w:r>
        <w:t xml:space="preserve"> of the Commonwealth, or a person authorised in writing by the licensee as the licensee’s agent;</w:t>
      </w:r>
    </w:p>
    <w:p>
      <w:pPr>
        <w:pStyle w:val="Defstart"/>
      </w:pPr>
      <w:r>
        <w:rPr>
          <w:b/>
        </w:rPr>
        <w:tab/>
        <w:t>“</w:t>
      </w:r>
      <w:r>
        <w:rPr>
          <w:rStyle w:val="CharDefText"/>
        </w:rPr>
        <w:t>master of a ship</w:t>
      </w:r>
      <w:r>
        <w:rPr>
          <w:b/>
        </w:rPr>
        <w:t>”</w:t>
      </w:r>
      <w:r>
        <w:t xml:space="preserve"> includes, except in subregulation (3), a person authorised in writing by the master as the master’s agent. </w:t>
      </w:r>
    </w:p>
    <w:p>
      <w:pPr>
        <w:pStyle w:val="Footnotesection"/>
      </w:pPr>
      <w:r>
        <w:tab/>
        <w:t>[Regulation 39C inserted in Gazette 4 Jan 2005 p. 3-4.]</w:t>
      </w:r>
    </w:p>
    <w:p>
      <w:pPr>
        <w:pStyle w:val="Ednotedivision"/>
      </w:pPr>
      <w:r>
        <w:t>[Heading deleted in Gazette 12 Aug 2003 p. 3663.]</w:t>
      </w:r>
    </w:p>
    <w:p>
      <w:pPr>
        <w:pStyle w:val="Heading5"/>
        <w:rPr>
          <w:snapToGrid w:val="0"/>
        </w:rPr>
      </w:pPr>
      <w:bookmarkStart w:id="84" w:name="_Toc393706793"/>
      <w:r>
        <w:rPr>
          <w:rStyle w:val="CharSectno"/>
        </w:rPr>
        <w:t>40</w:t>
      </w:r>
      <w:r>
        <w:rPr>
          <w:snapToGrid w:val="0"/>
        </w:rPr>
        <w:t>.</w:t>
      </w:r>
      <w:r>
        <w:rPr>
          <w:snapToGrid w:val="0"/>
        </w:rPr>
        <w:tab/>
        <w:t>Special authority to purchase poisons included in Schedule 4</w:t>
      </w:r>
      <w:bookmarkEnd w:id="84"/>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 Commissioner of Health,</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 Commissioner of Health.</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bCs/>
        </w:rPr>
      </w:pPr>
      <w:r>
        <w:rPr>
          <w:b/>
          <w:bCs/>
        </w:rPr>
        <w:t>Table</w:t>
      </w:r>
    </w:p>
    <w:tbl>
      <w:tblPr>
        <w:tblW w:w="0" w:type="auto"/>
        <w:tblInd w:w="851" w:type="dxa"/>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by No. 9 of 2003 s. 48; 5 Oct 2004 p. 4311.]</w:t>
      </w:r>
    </w:p>
    <w:p>
      <w:pPr>
        <w:pStyle w:val="Ednotedivision"/>
      </w:pPr>
      <w:r>
        <w:t>[Heading deleted in Gazette 12 Aug 2003 p. 3663.]</w:t>
      </w:r>
    </w:p>
    <w:p>
      <w:pPr>
        <w:pStyle w:val="Heading5"/>
        <w:rPr>
          <w:snapToGrid w:val="0"/>
        </w:rPr>
      </w:pPr>
      <w:bookmarkStart w:id="85" w:name="_Toc393706794"/>
      <w:r>
        <w:rPr>
          <w:rStyle w:val="CharSectno"/>
        </w:rPr>
        <w:t>40A</w:t>
      </w:r>
      <w:r>
        <w:rPr>
          <w:snapToGrid w:val="0"/>
        </w:rPr>
        <w:t>.</w:t>
      </w:r>
      <w:r>
        <w:rPr>
          <w:snapToGrid w:val="0"/>
        </w:rPr>
        <w:tab/>
        <w:t>Delivery of a poison included in Schedule 4 on order</w:t>
      </w:r>
      <w:bookmarkEnd w:id="85"/>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w:t>
      </w:r>
      <w:r>
        <w:rPr>
          <w:vertAlign w:val="superscript"/>
        </w:rPr>
        <w:t>4</w:t>
      </w:r>
      <w:r>
        <w:t xml:space="preserve"> (formerly regulation 41) inserted in Gazette 8 Jun 1990 p. 2627; amended in Gazette 19 Mar 1996 p. 1225.] </w:t>
      </w:r>
    </w:p>
    <w:p>
      <w:pPr>
        <w:pStyle w:val="Heading2"/>
        <w:rPr>
          <w:sz w:val="26"/>
        </w:rPr>
      </w:pPr>
      <w:bookmarkStart w:id="86" w:name="_Toc393706795"/>
      <w:r>
        <w:rPr>
          <w:rStyle w:val="CharDivNo"/>
          <w:snapToGrid/>
          <w:sz w:val="26"/>
        </w:rPr>
        <w:t>Division 3</w:t>
      </w:r>
      <w:r>
        <w:rPr>
          <w:sz w:val="26"/>
        </w:rPr>
        <w:t xml:space="preserve"> — </w:t>
      </w:r>
      <w:r>
        <w:rPr>
          <w:rStyle w:val="CharDivText"/>
          <w:snapToGrid/>
          <w:sz w:val="26"/>
        </w:rPr>
        <w:t>General</w:t>
      </w:r>
      <w:bookmarkEnd w:id="86"/>
    </w:p>
    <w:p>
      <w:pPr>
        <w:pStyle w:val="Footnoteheading"/>
        <w:tabs>
          <w:tab w:val="left" w:pos="851"/>
        </w:tabs>
      </w:pPr>
      <w:r>
        <w:tab/>
        <w:t>[Heading inserted in Gazette 12 Aug 2003 p. 3664.]</w:t>
      </w:r>
    </w:p>
    <w:p>
      <w:pPr>
        <w:pStyle w:val="Heading5"/>
        <w:rPr>
          <w:snapToGrid w:val="0"/>
        </w:rPr>
      </w:pPr>
      <w:bookmarkStart w:id="87" w:name="_Toc393706796"/>
      <w:r>
        <w:rPr>
          <w:rStyle w:val="CharSectno"/>
        </w:rPr>
        <w:t>41</w:t>
      </w:r>
      <w:r>
        <w:rPr>
          <w:snapToGrid w:val="0"/>
        </w:rPr>
        <w:t>.</w:t>
      </w:r>
      <w:r>
        <w:rPr>
          <w:snapToGrid w:val="0"/>
        </w:rPr>
        <w:tab/>
        <w:t>Revocation notice in relation to poisons included in Schedule 6</w:t>
      </w:r>
      <w:bookmarkEnd w:id="87"/>
      <w:r>
        <w:rPr>
          <w:snapToGrid w:val="0"/>
        </w:rPr>
        <w:t xml:space="preserve"> </w:t>
      </w:r>
    </w:p>
    <w:p>
      <w:pPr>
        <w:pStyle w:val="Subsection"/>
        <w:rPr>
          <w:snapToGrid w:val="0"/>
        </w:rPr>
      </w:pPr>
      <w:r>
        <w:rPr>
          <w:snapToGrid w:val="0"/>
        </w:rPr>
        <w:tab/>
      </w:r>
      <w:r>
        <w:rPr>
          <w:snapToGrid w:val="0"/>
        </w:rPr>
        <w:tab/>
        <w:t>The Commissioner of Health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w:t>
      </w:r>
    </w:p>
    <w:p>
      <w:pPr>
        <w:pStyle w:val="Ednotedivision"/>
      </w:pPr>
      <w:r>
        <w:t>[Heading deleted in Gazette 12 Aug 2003 p. 3663.]</w:t>
      </w:r>
    </w:p>
    <w:p>
      <w:pPr>
        <w:pStyle w:val="Heading5"/>
        <w:rPr>
          <w:snapToGrid w:val="0"/>
        </w:rPr>
      </w:pPr>
      <w:bookmarkStart w:id="88" w:name="_Toc393706797"/>
      <w:r>
        <w:rPr>
          <w:rStyle w:val="CharSectno"/>
        </w:rPr>
        <w:t>41A</w:t>
      </w:r>
      <w:r>
        <w:rPr>
          <w:snapToGrid w:val="0"/>
        </w:rPr>
        <w:t>.</w:t>
      </w:r>
      <w:r>
        <w:rPr>
          <w:snapToGrid w:val="0"/>
        </w:rPr>
        <w:tab/>
        <w:t>Sale of poisons included in Schedule 7</w:t>
      </w:r>
      <w:bookmarkEnd w:id="88"/>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Commissioner of Health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[Regulation 41A inserted in Gazette 19 Mar 1996 p. 1226 </w:t>
      </w:r>
      <w:r>
        <w:rPr>
          <w:vertAlign w:val="superscript"/>
        </w:rPr>
        <w:t>4</w:t>
      </w:r>
      <w:r>
        <w:t xml:space="preserve">; amended in Gazette 14 Sep 2001 p. 5076.] </w:t>
      </w:r>
    </w:p>
    <w:p>
      <w:pPr>
        <w:pStyle w:val="Heading5"/>
        <w:rPr>
          <w:snapToGrid w:val="0"/>
        </w:rPr>
      </w:pPr>
      <w:bookmarkStart w:id="89" w:name="_Toc393706798"/>
      <w:r>
        <w:rPr>
          <w:rStyle w:val="CharSectno"/>
        </w:rPr>
        <w:t>41AA</w:t>
      </w:r>
      <w:r>
        <w:rPr>
          <w:snapToGrid w:val="0"/>
        </w:rPr>
        <w:t>.</w:t>
      </w:r>
      <w:r>
        <w:rPr>
          <w:snapToGrid w:val="0"/>
        </w:rPr>
        <w:tab/>
        <w:t>Standard for intramammary antibiotic preparations</w:t>
      </w:r>
      <w:bookmarkEnd w:id="8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rPr>
          <w:snapToGrid w:val="0"/>
        </w:rPr>
      </w:pPr>
      <w:bookmarkStart w:id="90" w:name="_Toc393706799"/>
      <w:r>
        <w:rPr>
          <w:rStyle w:val="CharSectno"/>
        </w:rPr>
        <w:t>41AB</w:t>
      </w:r>
      <w:r>
        <w:rPr>
          <w:snapToGrid w:val="0"/>
        </w:rPr>
        <w:t>.</w:t>
      </w:r>
      <w:r>
        <w:rPr>
          <w:snapToGrid w:val="0"/>
        </w:rPr>
        <w:tab/>
        <w:t>Camphor and naphthalene</w:t>
      </w:r>
      <w:bookmarkEnd w:id="9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rPr>
          <w:snapToGrid w:val="0"/>
        </w:rPr>
      </w:pPr>
      <w:bookmarkStart w:id="91" w:name="_Toc393706800"/>
      <w:r>
        <w:rPr>
          <w:rStyle w:val="CharSectno"/>
        </w:rPr>
        <w:t>41B</w:t>
      </w:r>
      <w:r>
        <w:rPr>
          <w:snapToGrid w:val="0"/>
        </w:rPr>
        <w:t>.</w:t>
      </w:r>
      <w:r>
        <w:rPr>
          <w:snapToGrid w:val="0"/>
        </w:rPr>
        <w:tab/>
        <w:t>Record of poisons included in Schedule 3, 4 or 7</w:t>
      </w:r>
      <w:bookmarkEnd w:id="91"/>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A person referred to in subregulation (1) shall send to the Commissioner of Health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w:t>
      </w:r>
    </w:p>
    <w:p>
      <w:pPr>
        <w:pStyle w:val="Heading5"/>
        <w:spacing w:before="180"/>
        <w:rPr>
          <w:snapToGrid w:val="0"/>
        </w:rPr>
      </w:pPr>
      <w:bookmarkStart w:id="92" w:name="_Toc393706801"/>
      <w:r>
        <w:rPr>
          <w:rStyle w:val="CharSectno"/>
        </w:rPr>
        <w:t>41C</w:t>
      </w:r>
      <w:r>
        <w:rPr>
          <w:snapToGrid w:val="0"/>
        </w:rPr>
        <w:t>.</w:t>
      </w:r>
      <w:r>
        <w:rPr>
          <w:snapToGrid w:val="0"/>
        </w:rPr>
        <w:tab/>
        <w:t>Access to poisons included in Schedule 7</w:t>
      </w:r>
      <w:bookmarkEnd w:id="92"/>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2"/>
      </w:pPr>
      <w:bookmarkStart w:id="93" w:name="_Toc393706802"/>
      <w:r>
        <w:rPr>
          <w:rStyle w:val="CharPartNo"/>
        </w:rPr>
        <w:t>Part 6</w:t>
      </w:r>
      <w:r>
        <w:t xml:space="preserve"> — </w:t>
      </w:r>
      <w:r>
        <w:rPr>
          <w:rStyle w:val="CharPartText"/>
        </w:rPr>
        <w:t>Drugs of addiction</w:t>
      </w:r>
      <w:bookmarkEnd w:id="93"/>
    </w:p>
    <w:p>
      <w:pPr>
        <w:pStyle w:val="Footnoteheading"/>
        <w:tabs>
          <w:tab w:val="left" w:pos="851"/>
        </w:tabs>
      </w:pPr>
      <w:r>
        <w:tab/>
        <w:t>[Heading inserted in Gazette 12 Aug 2003 p. 3664.]</w:t>
      </w:r>
    </w:p>
    <w:p>
      <w:pPr>
        <w:pStyle w:val="Ednotedivision"/>
      </w:pPr>
      <w:r>
        <w:t>[Heading deleted in Gazette 12 Aug 2003 p. 3663.]</w:t>
      </w:r>
    </w:p>
    <w:p>
      <w:pPr>
        <w:pStyle w:val="Heading3"/>
      </w:pPr>
      <w:bookmarkStart w:id="94" w:name="_Toc393706803"/>
      <w:r>
        <w:rPr>
          <w:rStyle w:val="CharDivNo"/>
        </w:rPr>
        <w:t>Division 1</w:t>
      </w:r>
      <w:r>
        <w:t xml:space="preserve"> — </w:t>
      </w:r>
      <w:r>
        <w:rPr>
          <w:rStyle w:val="CharDivText"/>
        </w:rPr>
        <w:t>General</w:t>
      </w:r>
      <w:bookmarkEnd w:id="94"/>
    </w:p>
    <w:p>
      <w:pPr>
        <w:pStyle w:val="Footnoteheading"/>
        <w:tabs>
          <w:tab w:val="left" w:pos="851"/>
        </w:tabs>
        <w:rPr>
          <w:i w:val="0"/>
        </w:rPr>
      </w:pPr>
      <w:r>
        <w:tab/>
        <w:t>[Heading inserted in Gazette 12 Aug 2003 p. 3664.]</w:t>
      </w:r>
    </w:p>
    <w:p>
      <w:pPr>
        <w:pStyle w:val="Heading5"/>
      </w:pPr>
      <w:bookmarkStart w:id="95" w:name="_Toc393706804"/>
      <w:r>
        <w:rPr>
          <w:rStyle w:val="CharSectno"/>
        </w:rPr>
        <w:t>42A</w:t>
      </w:r>
      <w:r>
        <w:t>.</w:t>
      </w:r>
      <w:r>
        <w:tab/>
        <w:t>Interpretation</w:t>
      </w:r>
      <w:bookmarkEnd w:id="9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96" w:name="_Toc393706805"/>
      <w:r>
        <w:rPr>
          <w:rStyle w:val="CharSectno"/>
        </w:rPr>
        <w:t>42</w:t>
      </w:r>
      <w:r>
        <w:rPr>
          <w:snapToGrid w:val="0"/>
        </w:rPr>
        <w:t>.</w:t>
      </w:r>
      <w:r>
        <w:rPr>
          <w:snapToGrid w:val="0"/>
        </w:rPr>
        <w:tab/>
        <w:t>Authority for prescribed persons to procure and have poisons included in Schedule 8</w:t>
      </w:r>
      <w:bookmarkEnd w:id="96"/>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a person in possession of a permit granted by the Commissioner of Health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A person to whom a prescription for a poison included in Schedule 8 has been given is hereby authorised to procure and have possession of the poison included in Schedule 8 to the extent specified in the prescription.</w:t>
      </w:r>
    </w:p>
    <w:p>
      <w:pPr>
        <w:pStyle w:val="Subsection"/>
        <w:spacing w:before="80"/>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 Commissioner of Health.</w:t>
      </w:r>
    </w:p>
    <w:p>
      <w:pPr>
        <w:pStyle w:val="Subsection"/>
        <w:spacing w:before="8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p>
      <w:pPr>
        <w:pStyle w:val="MiscellaneousHeading"/>
        <w:rPr>
          <w:b/>
          <w:bCs/>
          <w:snapToGrid w:val="0"/>
        </w:rPr>
      </w:pPr>
    </w:p>
    <w:tbl>
      <w:tblPr>
        <w:tblW w:w="0" w:type="auto"/>
        <w:tblInd w:w="1418" w:type="dxa"/>
        <w:tblLook w:val="0000" w:firstRow="0" w:lastRow="0" w:firstColumn="0" w:lastColumn="0" w:noHBand="0" w:noVBand="0"/>
      </w:tblPr>
      <w:tblGrid>
        <w:gridCol w:w="5894"/>
      </w:tblGrid>
      <w:tr>
        <w:trPr>
          <w:cantSplit/>
        </w:trPr>
        <w:tc>
          <w:tcPr>
            <w:tcW w:w="5894" w:type="dxa"/>
          </w:tcPr>
          <w:p>
            <w:pPr>
              <w:pStyle w:val="Table"/>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ind w:left="567" w:hanging="567"/>
              <w:rPr>
                <w:snapToGrid w:val="0"/>
              </w:rPr>
            </w:pPr>
            <w:r>
              <w:rPr>
                <w:snapToGrid w:val="0"/>
              </w:rPr>
              <w:t>PAPAVERETUM, in tablet form, with a total papaveretum content of 240 milligrams</w:t>
            </w:r>
          </w:p>
        </w:tc>
      </w:tr>
      <w:tr>
        <w:trPr>
          <w:cantSplit/>
        </w:trPr>
        <w:tc>
          <w:tcPr>
            <w:tcW w:w="5894" w:type="dxa"/>
          </w:tcPr>
          <w:p>
            <w:pPr>
              <w:pStyle w:val="Table"/>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ind w:left="567" w:hanging="567"/>
              <w:rPr>
                <w:snapToGrid w:val="0"/>
              </w:rPr>
            </w:pPr>
            <w:r>
              <w:rPr>
                <w:snapToGrid w:val="0"/>
              </w:rPr>
              <w:t>METHADONE, in tablet form, with a total methadone content of 240 milligrams</w:t>
            </w:r>
          </w:p>
        </w:tc>
      </w:tr>
      <w:tr>
        <w:trPr>
          <w:cantSplit/>
        </w:trPr>
        <w:tc>
          <w:tcPr>
            <w:tcW w:w="5894" w:type="dxa"/>
          </w:tcPr>
          <w:p>
            <w:pPr>
              <w:pStyle w:val="Table"/>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ind w:left="567" w:hanging="567"/>
              <w:rPr>
                <w:snapToGrid w:val="0"/>
              </w:rPr>
            </w:pPr>
            <w:r>
              <w:rPr>
                <w:snapToGrid w:val="0"/>
              </w:rPr>
              <w:t>OXYCODONE, in tablet form, with a total oxycodone content of 120 milligrams</w:t>
            </w:r>
          </w:p>
        </w:tc>
      </w:tr>
      <w:tr>
        <w:trPr>
          <w:cantSplit/>
        </w:trPr>
        <w:tc>
          <w:tcPr>
            <w:tcW w:w="5894" w:type="dxa"/>
          </w:tcPr>
          <w:p>
            <w:pPr>
              <w:pStyle w:val="Table"/>
              <w:ind w:left="567" w:hanging="567"/>
              <w:rPr>
                <w:snapToGrid w:val="0"/>
              </w:rPr>
            </w:pPr>
            <w:r>
              <w:rPr>
                <w:snapToGrid w:val="0"/>
              </w:rPr>
              <w:t>PENTAZOCINE, in a form prepared for injection, with a total pentazocine content of 360 milligrams.</w:t>
            </w:r>
          </w:p>
        </w:tc>
      </w:tr>
    </w:tbl>
    <w:p>
      <w:pPr>
        <w:pStyle w:val="Footnotesection"/>
      </w:pPr>
      <w:r>
        <w:tab/>
        <w:t>[Regulation 42 amended in Gazette 9 Feb 1970 p. 370; 29 Jun 1984 p. 1784; 8 Feb 1985 p. 520; 25 Jun 1993 p. 3085; 26 May 1994 p. 2201; 19 Mar 1996 p. 1227; 27 Nov 1998 p. 6344.]</w:t>
      </w:r>
    </w:p>
    <w:p>
      <w:pPr>
        <w:pStyle w:val="Ednotedivision"/>
      </w:pPr>
      <w:r>
        <w:t>[Heading deleted in Gazette 12 Aug 2003 p. 3663.]</w:t>
      </w:r>
    </w:p>
    <w:p>
      <w:pPr>
        <w:pStyle w:val="Heading5"/>
        <w:rPr>
          <w:snapToGrid w:val="0"/>
        </w:rPr>
      </w:pPr>
      <w:bookmarkStart w:id="97" w:name="_Toc393706806"/>
      <w:r>
        <w:rPr>
          <w:rStyle w:val="CharSectno"/>
        </w:rPr>
        <w:t>43</w:t>
      </w:r>
      <w:r>
        <w:rPr>
          <w:snapToGrid w:val="0"/>
        </w:rPr>
        <w:t>.</w:t>
      </w:r>
      <w:r>
        <w:rPr>
          <w:snapToGrid w:val="0"/>
        </w:rPr>
        <w:tab/>
        <w:t>Authority for pharmacists to retail, compound and dispense poisons included in Schedule 8</w:t>
      </w:r>
      <w:bookmarkEnd w:id="97"/>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 Commissioner of Health,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spacing w:before="120"/>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 Commissioner of Health.</w:t>
      </w:r>
    </w:p>
    <w:p>
      <w:pPr>
        <w:pStyle w:val="Footnotesection"/>
      </w:pPr>
      <w:r>
        <w:tab/>
        <w:t>[Regulation 43 amended in Gazette 29 Jun 1984 p. 1784; 25 Jun 1993 p. 3085; 26 May 1994 p. 2201; 19 Mar 1996 p. 1227.]</w:t>
      </w:r>
    </w:p>
    <w:p>
      <w:pPr>
        <w:pStyle w:val="Ednotedivision"/>
      </w:pPr>
      <w:r>
        <w:t>[Heading deleted in Gazette 12 Aug 2003 p. 3663.]</w:t>
      </w:r>
    </w:p>
    <w:p>
      <w:pPr>
        <w:pStyle w:val="Heading5"/>
        <w:rPr>
          <w:snapToGrid w:val="0"/>
        </w:rPr>
      </w:pPr>
      <w:bookmarkStart w:id="98" w:name="_Toc393706807"/>
      <w:r>
        <w:rPr>
          <w:rStyle w:val="CharSectno"/>
        </w:rPr>
        <w:t>43A</w:t>
      </w:r>
      <w:r>
        <w:rPr>
          <w:snapToGrid w:val="0"/>
        </w:rPr>
        <w:t>.</w:t>
      </w:r>
      <w:r>
        <w:rPr>
          <w:snapToGrid w:val="0"/>
        </w:rPr>
        <w:tab/>
        <w:t>Revocation notice in relation to poisons included in Schedule 8 and specified drugs</w:t>
      </w:r>
      <w:bookmarkEnd w:id="98"/>
      <w:r>
        <w:rPr>
          <w:snapToGrid w:val="0"/>
        </w:rPr>
        <w:t xml:space="preserve"> </w:t>
      </w:r>
    </w:p>
    <w:p>
      <w:pPr>
        <w:pStyle w:val="Subsection"/>
        <w:spacing w:before="120"/>
        <w:rPr>
          <w:snapToGrid w:val="0"/>
        </w:rPr>
      </w:pPr>
      <w:r>
        <w:rPr>
          <w:snapToGrid w:val="0"/>
        </w:rPr>
        <w:tab/>
      </w:r>
      <w:r>
        <w:rPr>
          <w:snapToGrid w:val="0"/>
        </w:rPr>
        <w:tab/>
        <w:t>The Commissioner of Health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w:t>
      </w:r>
    </w:p>
    <w:p>
      <w:pPr>
        <w:pStyle w:val="Heading5"/>
        <w:spacing w:before="180"/>
        <w:rPr>
          <w:snapToGrid w:val="0"/>
        </w:rPr>
      </w:pPr>
      <w:bookmarkStart w:id="99" w:name="_Toc393706808"/>
      <w:r>
        <w:rPr>
          <w:rStyle w:val="CharSectno"/>
        </w:rPr>
        <w:t>43B</w:t>
      </w:r>
      <w:r>
        <w:rPr>
          <w:snapToGrid w:val="0"/>
        </w:rPr>
        <w:t>.</w:t>
      </w:r>
      <w:r>
        <w:rPr>
          <w:snapToGrid w:val="0"/>
        </w:rPr>
        <w:tab/>
        <w:t>Prescribed purposes (section 41(1))</w:t>
      </w:r>
      <w:bookmarkEnd w:id="99"/>
      <w:r>
        <w:rPr>
          <w:snapToGrid w:val="0"/>
        </w:rPr>
        <w:t xml:space="preserve"> </w:t>
      </w:r>
    </w:p>
    <w:p>
      <w:pPr>
        <w:pStyle w:val="Subsection"/>
        <w:spacing w:before="120"/>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00" w:name="_Toc393706809"/>
      <w:r>
        <w:rPr>
          <w:rStyle w:val="CharSectno"/>
        </w:rPr>
        <w:t>43C</w:t>
      </w:r>
      <w:r>
        <w:rPr>
          <w:snapToGrid w:val="0"/>
        </w:rPr>
        <w:t>.</w:t>
      </w:r>
      <w:r>
        <w:rPr>
          <w:snapToGrid w:val="0"/>
        </w:rPr>
        <w:tab/>
        <w:t>Advertising of substances included in Schedule 8</w:t>
      </w:r>
      <w:bookmarkEnd w:id="100"/>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01" w:name="_Toc393706810"/>
      <w:r>
        <w:rPr>
          <w:rStyle w:val="CharSectno"/>
        </w:rPr>
        <w:t>44</w:t>
      </w:r>
      <w:r>
        <w:t>.</w:t>
      </w:r>
      <w:r>
        <w:tab/>
        <w:t>Register of drugs of addiction</w:t>
      </w:r>
      <w:bookmarkEnd w:id="101"/>
      <w:r>
        <w:t xml:space="preserve"> </w:t>
      </w:r>
    </w:p>
    <w:p>
      <w:pPr>
        <w:pStyle w:val="Subsection"/>
      </w:pPr>
      <w:r>
        <w:tab/>
        <w:t>(1)</w:t>
      </w:r>
      <w:r>
        <w:tab/>
        <w:t>In this regulation —</w:t>
      </w:r>
    </w:p>
    <w:p>
      <w:pPr>
        <w:pStyle w:val="Defstart"/>
      </w:pPr>
      <w:r>
        <w:tab/>
      </w:r>
      <w:r>
        <w:rPr>
          <w:b/>
        </w:rPr>
        <w:t>“</w:t>
      </w:r>
      <w:r>
        <w:rPr>
          <w:rStyle w:val="CharDefText"/>
        </w:rPr>
        <w:t>authorised person</w:t>
      </w:r>
      <w:r>
        <w:rPr>
          <w:b/>
        </w:rPr>
        <w:t>”</w:t>
      </w:r>
      <w:r>
        <w:t xml:space="preserve"> means a person authorised to manufacture, distribute, sell or possess any drug of addiction, other than a person having possession of a drug of addiction by the authority of a prescription from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wrote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w:t>
      </w:r>
    </w:p>
    <w:p>
      <w:pPr>
        <w:pStyle w:val="Heading5"/>
        <w:rPr>
          <w:snapToGrid w:val="0"/>
        </w:rPr>
      </w:pPr>
      <w:bookmarkStart w:id="102" w:name="_Toc393706811"/>
      <w:r>
        <w:rPr>
          <w:rStyle w:val="CharSectno"/>
        </w:rPr>
        <w:t>44A</w:t>
      </w:r>
      <w:r>
        <w:rPr>
          <w:snapToGrid w:val="0"/>
        </w:rPr>
        <w:t>.</w:t>
      </w:r>
      <w:r>
        <w:rPr>
          <w:snapToGrid w:val="0"/>
        </w:rPr>
        <w:tab/>
        <w:t>Destruction of drugs of addiction and poisons included in Schedule 8</w:t>
      </w:r>
      <w:bookmarkEnd w:id="102"/>
      <w:r>
        <w:rPr>
          <w:snapToGrid w:val="0"/>
        </w:rPr>
        <w:t xml:space="preserve"> </w:t>
      </w:r>
    </w:p>
    <w:p>
      <w:pPr>
        <w:pStyle w:val="Subsection"/>
        <w:rPr>
          <w:snapToGrid w:val="0"/>
        </w:rPr>
      </w:pPr>
      <w:r>
        <w:rPr>
          <w:snapToGrid w:val="0"/>
        </w:rPr>
        <w:tab/>
        <w:t>(1)</w:t>
      </w:r>
      <w:r>
        <w:rPr>
          <w:snapToGrid w:val="0"/>
        </w:rPr>
        <w:tab/>
        <w:t>Subject to subregulations (2) and (3) a person authorised to manufacture, distribute, procure, sell or possess a drug of addiction (other than a person who possesses a poison included in Schedule 8 under a prescription from a medical practitioner, 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keepNext/>
        <w:keepLines/>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w:t>
      </w:r>
    </w:p>
    <w:p>
      <w:pPr>
        <w:pStyle w:val="Heading5"/>
      </w:pPr>
      <w:bookmarkStart w:id="103" w:name="_Toc393706812"/>
      <w:r>
        <w:rPr>
          <w:rStyle w:val="CharSectno"/>
        </w:rPr>
        <w:t>44B</w:t>
      </w:r>
      <w:r>
        <w:t>.</w:t>
      </w:r>
      <w:r>
        <w:tab/>
        <w:t>Form of registers</w:t>
      </w:r>
      <w:bookmarkEnd w:id="103"/>
      <w:r>
        <w:t xml:space="preserve"> </w:t>
      </w:r>
    </w:p>
    <w:p>
      <w:pPr>
        <w:pStyle w:val="Subsection"/>
        <w:spacing w:before="120"/>
      </w:pPr>
      <w:r>
        <w:tab/>
        <w:t>(1)</w:t>
      </w:r>
      <w:r>
        <w:tab/>
        <w:t>A register kept for the purposes of regulation 44(2) or 44A(4) may be maintained on paper, electronically or in another approved manner.</w:t>
      </w:r>
    </w:p>
    <w:p>
      <w:pPr>
        <w:pStyle w:val="Subsection"/>
        <w:spacing w:before="120"/>
      </w:pPr>
      <w:r>
        <w:tab/>
        <w:t>(1a)</w:t>
      </w:r>
      <w:r>
        <w:tab/>
        <w:t>If a register is maintained on paper, all entries required to be made in the register are to be made in ink.</w:t>
      </w:r>
    </w:p>
    <w:p>
      <w:pPr>
        <w:pStyle w:val="Subsection"/>
        <w:spacing w:before="120"/>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spacing w:before="120"/>
      </w:pPr>
      <w:r>
        <w:tab/>
        <w:t>(3)</w:t>
      </w:r>
      <w:r>
        <w:tab/>
        <w:t>The register must be maintained in a form and manner approved by the Commissioner of Health.</w:t>
      </w:r>
    </w:p>
    <w:p>
      <w:pPr>
        <w:pStyle w:val="Subsection"/>
        <w:spacing w:before="120"/>
      </w:pPr>
      <w:r>
        <w:tab/>
        <w:t>(4)</w:t>
      </w:r>
      <w:r>
        <w:tab/>
        <w:t>An authorised person must make all the person’s registers available for inspection on request by persons authorised under the Act to inspect registers.</w:t>
      </w:r>
    </w:p>
    <w:p>
      <w:pPr>
        <w:pStyle w:val="Subsection"/>
        <w:spacing w:before="120"/>
      </w:pPr>
      <w:r>
        <w:tab/>
        <w:t>(5)</w:t>
      </w:r>
      <w:r>
        <w:tab/>
        <w:t>Subject to subregulation (6) a person must not alter, obliterate or delete an entry in a register.</w:t>
      </w:r>
    </w:p>
    <w:p>
      <w:pPr>
        <w:pStyle w:val="Subsection"/>
        <w:spacing w:before="120"/>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Commissioner for Health. </w:t>
      </w:r>
    </w:p>
    <w:p>
      <w:pPr>
        <w:pStyle w:val="Footnotesection"/>
      </w:pPr>
      <w:r>
        <w:tab/>
        <w:t>[Regulation 44B inserted in Gazette 29 Feb 2000 p. 994; amended in Gazette 14 Sep 2001 p. 5076.]</w:t>
      </w:r>
    </w:p>
    <w:p>
      <w:pPr>
        <w:pStyle w:val="Heading5"/>
      </w:pPr>
      <w:bookmarkStart w:id="104" w:name="_Toc393706813"/>
      <w:r>
        <w:rPr>
          <w:rStyle w:val="CharSectno"/>
        </w:rPr>
        <w:t>44C</w:t>
      </w:r>
      <w:r>
        <w:t>.</w:t>
      </w:r>
      <w:r>
        <w:tab/>
        <w:t>Control of access to electronic registers</w:t>
      </w:r>
      <w:bookmarkEnd w:id="104"/>
    </w:p>
    <w:p>
      <w:pPr>
        <w:pStyle w:val="Subsection"/>
        <w:spacing w:before="120"/>
      </w:pPr>
      <w:r>
        <w:tab/>
        <w:t>(1)</w:t>
      </w:r>
      <w:r>
        <w:tab/>
        <w:t>In this regulation —</w:t>
      </w:r>
    </w:p>
    <w:p>
      <w:pPr>
        <w:pStyle w:val="Defstart"/>
      </w:pPr>
      <w:r>
        <w:tab/>
      </w:r>
      <w:r>
        <w:rPr>
          <w:b/>
        </w:rPr>
        <w:t>“</w:t>
      </w:r>
      <w:r>
        <w:rPr>
          <w:rStyle w:val="CharDefText"/>
        </w:rPr>
        <w:t>authorised person</w:t>
      </w:r>
      <w:r>
        <w:rPr>
          <w:b/>
        </w:rPr>
        <w:t>”</w:t>
      </w:r>
      <w:r>
        <w:t xml:space="preserve"> means the person who is required under regulation 44(2) or 44A(4) to maintain the register; </w:t>
      </w:r>
    </w:p>
    <w:p>
      <w:pPr>
        <w:pStyle w:val="Defstart"/>
      </w:pPr>
      <w:r>
        <w:tab/>
      </w:r>
      <w:r>
        <w:rPr>
          <w:b/>
        </w:rPr>
        <w:t>“</w:t>
      </w:r>
      <w:r>
        <w:rPr>
          <w:rStyle w:val="CharDefText"/>
        </w:rPr>
        <w:t>entry</w:t>
      </w:r>
      <w:r>
        <w:rPr>
          <w:b/>
        </w:rPr>
        <w:t>”</w:t>
      </w:r>
      <w:r>
        <w:t xml:space="preserve"> includes a note or alteration made in accordance with regulation 44B(6);</w:t>
      </w:r>
    </w:p>
    <w:p>
      <w:pPr>
        <w:pStyle w:val="Defstart"/>
      </w:pPr>
      <w:r>
        <w:tab/>
      </w:r>
      <w:r>
        <w:rPr>
          <w:b/>
        </w:rPr>
        <w:t>“</w:t>
      </w:r>
      <w:r>
        <w:rPr>
          <w:rStyle w:val="CharDefText"/>
        </w:rPr>
        <w:t>register</w:t>
      </w:r>
      <w:r>
        <w:rPr>
          <w:b/>
        </w:rPr>
        <w:t>”</w:t>
      </w:r>
      <w:r>
        <w:t xml:space="preserve"> means a register maintained electronically for the purposes of regulation 44(2) or 44A(4).</w:t>
      </w:r>
    </w:p>
    <w:p>
      <w:pPr>
        <w:pStyle w:val="Subsection"/>
        <w:spacing w:before="120"/>
      </w:pPr>
      <w:r>
        <w:tab/>
        <w:t>(2)</w:t>
      </w:r>
      <w:r>
        <w:tab/>
        <w:t>An authorised person must maintain the register in such a way that entries in the register cannot be deleted.</w:t>
      </w:r>
    </w:p>
    <w:p>
      <w:pPr>
        <w:pStyle w:val="Subsection"/>
        <w:spacing w:before="120"/>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12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spacing w:before="120"/>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rPr>
          <w:spacing w:val="-4"/>
        </w:rPr>
      </w:pPr>
      <w:r>
        <w:tab/>
      </w:r>
      <w:r>
        <w:rPr>
          <w:spacing w:val="-4"/>
        </w:rPr>
        <w:t>[Regulation 44C inserted in Gazette 29 Feb 2000 p. 994</w:t>
      </w:r>
      <w:r>
        <w:rPr>
          <w:spacing w:val="-4"/>
        </w:rPr>
        <w:noBreakHyphen/>
        <w:t>5.]</w:t>
      </w:r>
    </w:p>
    <w:p>
      <w:pPr>
        <w:pStyle w:val="Ednotedivision"/>
      </w:pPr>
      <w:r>
        <w:t>[Heading deleted in Gazette 12 Aug 2003 p. 3663.]</w:t>
      </w:r>
    </w:p>
    <w:p>
      <w:pPr>
        <w:pStyle w:val="Heading5"/>
        <w:rPr>
          <w:snapToGrid w:val="0"/>
        </w:rPr>
      </w:pPr>
      <w:bookmarkStart w:id="105" w:name="_Toc393706814"/>
      <w:r>
        <w:rPr>
          <w:rStyle w:val="CharSectno"/>
        </w:rPr>
        <w:t>45</w:t>
      </w:r>
      <w:r>
        <w:rPr>
          <w:snapToGrid w:val="0"/>
        </w:rPr>
        <w:t>.</w:t>
      </w:r>
      <w:r>
        <w:rPr>
          <w:snapToGrid w:val="0"/>
        </w:rPr>
        <w:tab/>
        <w:t>Inventory of drugs of addiction</w:t>
      </w:r>
      <w:bookmarkEnd w:id="105"/>
      <w:r>
        <w:rPr>
          <w:snapToGrid w:val="0"/>
        </w:rPr>
        <w:t xml:space="preserve"> </w:t>
      </w:r>
    </w:p>
    <w:p>
      <w:pPr>
        <w:pStyle w:val="Subsection"/>
        <w:spacing w:before="120"/>
        <w:rPr>
          <w:snapToGrid w:val="0"/>
        </w:rPr>
      </w:pPr>
      <w:r>
        <w:rPr>
          <w:snapToGrid w:val="0"/>
        </w:rPr>
        <w:tab/>
        <w:t>(1)</w:t>
      </w:r>
      <w:r>
        <w:rPr>
          <w:snapToGrid w:val="0"/>
        </w:rPr>
        <w:tab/>
      </w:r>
      <w:r>
        <w:rPr>
          <w:snapToGrid w:val="0"/>
          <w:spacing w:val="-4"/>
        </w:rPr>
        <w:t>An inventory of drugs of addiction held in stock shall be made —</w:t>
      </w:r>
      <w:r>
        <w:rPr>
          <w:snapToGrid w:val="0"/>
        </w:rPr>
        <w:t>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spacing w:before="120"/>
        <w:rPr>
          <w:snapToGrid w:val="0"/>
        </w:rPr>
      </w:pPr>
      <w:r>
        <w:rPr>
          <w:snapToGrid w:val="0"/>
        </w:rPr>
        <w:tab/>
        <w:t>(2)</w:t>
      </w:r>
      <w:r>
        <w:rPr>
          <w:snapToGrid w:val="0"/>
        </w:rPr>
        <w:tab/>
        <w:t>If such inventory of drugs of addiction in stock does not agree with the balance recorded in the Register, the person required to keep the Register shall immediately notify the Commissioner of Health in writing of the discrepancy.</w:t>
      </w:r>
    </w:p>
    <w:p>
      <w:pPr>
        <w:pStyle w:val="Footnotesection"/>
        <w:rPr>
          <w:spacing w:val="-4"/>
        </w:rPr>
      </w:pPr>
      <w:r>
        <w:tab/>
      </w:r>
      <w:r>
        <w:rPr>
          <w:spacing w:val="-4"/>
        </w:rPr>
        <w:t>[Regulation 45 amended in Gazette 29 Jun 1984 p. 1784; 25 Jun 1993 p. 3085; 26 May 1994 p. 2201; 14 Sep 2001 p. 5076.]</w:t>
      </w:r>
    </w:p>
    <w:p>
      <w:pPr>
        <w:pStyle w:val="Ednotesection"/>
      </w:pPr>
      <w:r>
        <w:t>[</w:t>
      </w:r>
      <w:r>
        <w:rPr>
          <w:b/>
        </w:rPr>
        <w:t>46.</w:t>
      </w:r>
      <w:r>
        <w:tab/>
        <w:t>Repealed in Gazette 29 Feb 2000 p. 995.]</w:t>
      </w:r>
    </w:p>
    <w:p>
      <w:pPr>
        <w:pStyle w:val="Ednotedivision"/>
      </w:pPr>
      <w:r>
        <w:t>[Heading deleted in Gazette 12 Aug 2003 p. 3663.]</w:t>
      </w:r>
    </w:p>
    <w:p>
      <w:pPr>
        <w:pStyle w:val="Heading5"/>
        <w:rPr>
          <w:snapToGrid w:val="0"/>
        </w:rPr>
      </w:pPr>
      <w:bookmarkStart w:id="106" w:name="_Toc393706815"/>
      <w:r>
        <w:rPr>
          <w:rStyle w:val="CharSectno"/>
        </w:rPr>
        <w:t>47</w:t>
      </w:r>
      <w:r>
        <w:rPr>
          <w:snapToGrid w:val="0"/>
        </w:rPr>
        <w:t>.</w:t>
      </w:r>
      <w:r>
        <w:rPr>
          <w:snapToGrid w:val="0"/>
        </w:rPr>
        <w:tab/>
        <w:t>Records to be retained for 7 years and available on demand</w:t>
      </w:r>
      <w:bookmarkEnd w:id="106"/>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In the event of a register being lost or destroyed the person to whom such register belongs shall upon becoming aware of the loss or destruction make and forward to the Commissioner of Health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 Commissioner of Health, surrender any records, registers, prescription books, invoices or other documents and stocks of drugs of addiction that are in his possession to the Commissioner of Health.</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The duplicate copy of the form or printout of the computerised recording system approved by the Commissioner of Health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rPr>
          <w:b/>
        </w:rPr>
      </w:pPr>
      <w:r>
        <w:tab/>
        <w:t>[Regulation 47 amended in Gazette 23 Sep 1983 p. 3804; 29 Jun 1984 p. 1784; 31 Jan 1986 p. 332; 7 Aug 1987 p. 3083; 25 Jun 1993 p. 3085; 26 May 1994 p. 2201; 19 Mar 1996 p. 1229.]</w:t>
      </w:r>
    </w:p>
    <w:p>
      <w:pPr>
        <w:pStyle w:val="Ednotedivision"/>
      </w:pPr>
      <w:r>
        <w:t>[Heading deleted in Gazette 12 Aug 2003 p. 3663.]</w:t>
      </w:r>
    </w:p>
    <w:p>
      <w:pPr>
        <w:pStyle w:val="Heading5"/>
        <w:rPr>
          <w:snapToGrid w:val="0"/>
        </w:rPr>
      </w:pPr>
      <w:bookmarkStart w:id="107" w:name="_Toc393706816"/>
      <w:r>
        <w:rPr>
          <w:rStyle w:val="CharSectno"/>
        </w:rPr>
        <w:t>48</w:t>
      </w:r>
      <w:r>
        <w:rPr>
          <w:snapToGrid w:val="0"/>
        </w:rPr>
        <w:t>.</w:t>
      </w:r>
      <w:r>
        <w:rPr>
          <w:snapToGrid w:val="0"/>
        </w:rPr>
        <w:tab/>
        <w:t>Returns from manufacturers and wholesalers</w:t>
      </w:r>
      <w:bookmarkEnd w:id="107"/>
      <w:r>
        <w:rPr>
          <w:snapToGrid w:val="0"/>
        </w:rPr>
        <w:t xml:space="preserve"> </w:t>
      </w:r>
    </w:p>
    <w:p>
      <w:pPr>
        <w:pStyle w:val="Subsection"/>
        <w:rPr>
          <w:snapToGrid w:val="0"/>
        </w:rPr>
      </w:pPr>
      <w:r>
        <w:rPr>
          <w:snapToGrid w:val="0"/>
        </w:rPr>
        <w:tab/>
        <w:t>(1)</w:t>
      </w:r>
      <w:r>
        <w:rPr>
          <w:snapToGrid w:val="0"/>
        </w:rPr>
        <w:tab/>
        <w:t>Every person who is licensed under regulation 4 shall complete and forward to the Commissioner of Health, every 7 days a form approved by the Commissioner of Health for that purpose, reporting all transactions in poisons included in Schedule 8 made by him during that week.</w:t>
      </w:r>
    </w:p>
    <w:p>
      <w:pPr>
        <w:pStyle w:val="Subsection"/>
        <w:rPr>
          <w:snapToGrid w:val="0"/>
        </w:rPr>
      </w:pPr>
      <w:r>
        <w:rPr>
          <w:snapToGrid w:val="0"/>
        </w:rPr>
        <w:tab/>
        <w:t>(2)</w:t>
      </w:r>
      <w:r>
        <w:rPr>
          <w:snapToGrid w:val="0"/>
        </w:rPr>
        <w:tab/>
        <w:t>The form referred to in subregulation (1) may be required by the Commissioner of Health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pPr>
      <w:r>
        <w:tab/>
        <w:t>[Regulation 48 inserted in Gazette 23 Sep 1983 p. 3804; amended in Gazette 29 Jun 1984 p. 1784; 25 Jun 1993 p. 3080 and 3085; 26 May 1994 p. 2201; 19 Mar 1996 p. 1229.]</w:t>
      </w:r>
    </w:p>
    <w:p>
      <w:pPr>
        <w:pStyle w:val="Ednotedivision"/>
      </w:pPr>
      <w:r>
        <w:t>[Heading deleted in Gazette 12 Aug 2003 p. 3663.]</w:t>
      </w:r>
    </w:p>
    <w:p>
      <w:pPr>
        <w:pStyle w:val="Heading5"/>
        <w:rPr>
          <w:snapToGrid w:val="0"/>
        </w:rPr>
      </w:pPr>
      <w:bookmarkStart w:id="108" w:name="_Toc393706817"/>
      <w:r>
        <w:rPr>
          <w:rStyle w:val="CharSectno"/>
        </w:rPr>
        <w:t>49</w:t>
      </w:r>
      <w:r>
        <w:rPr>
          <w:snapToGrid w:val="0"/>
        </w:rPr>
        <w:t>.</w:t>
      </w:r>
      <w:r>
        <w:rPr>
          <w:snapToGrid w:val="0"/>
        </w:rPr>
        <w:tab/>
        <w:t>Use of poisons included in Schedule 8 on ships and aircraft</w:t>
      </w:r>
      <w:bookmarkEnd w:id="108"/>
      <w:r>
        <w:rPr>
          <w:snapToGrid w:val="0"/>
        </w:rPr>
        <w:t xml:space="preserve"> </w:t>
      </w:r>
    </w:p>
    <w:p>
      <w:pPr>
        <w:pStyle w:val="Subsection"/>
        <w:keepNext/>
        <w:keepLines/>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 xml:space="preserve">the </w:t>
      </w:r>
      <w:r>
        <w:rPr>
          <w:i/>
          <w:snapToGrid w:val="0"/>
        </w:rPr>
        <w:t>“International Medical Guide for Ships”</w:t>
      </w:r>
      <w:r>
        <w:rPr>
          <w:snapToGrid w:val="0"/>
        </w:rPr>
        <w:t xml:space="preserve">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Any person who supplies a poison included in Schedule 8 under this regulation shall, within 24 hours of so doing, report the details to the Commissioner of Health or the officer in charge of the nearest police station.</w:t>
      </w:r>
    </w:p>
    <w:p>
      <w:pPr>
        <w:pStyle w:val="Footnotesection"/>
      </w:pPr>
      <w:r>
        <w:tab/>
        <w:t>[Regulation 49 inserted in Gazette 31 Dec 1993 p. 6884</w:t>
      </w:r>
      <w:r>
        <w:noBreakHyphen/>
        <w:t>5; amended in Gazette 26 May 1994 p. 2201; 19 Mar 1996 p. 1229.]</w:t>
      </w:r>
    </w:p>
    <w:p>
      <w:pPr>
        <w:pStyle w:val="Ednotedivision"/>
      </w:pPr>
      <w:r>
        <w:t>[Heading deleted in Gazette 12 Aug 2003 p. 3663.]</w:t>
      </w:r>
    </w:p>
    <w:p>
      <w:pPr>
        <w:pStyle w:val="Heading5"/>
        <w:rPr>
          <w:snapToGrid w:val="0"/>
        </w:rPr>
      </w:pPr>
      <w:bookmarkStart w:id="109" w:name="_Toc393706818"/>
      <w:r>
        <w:rPr>
          <w:rStyle w:val="CharSectno"/>
        </w:rPr>
        <w:t>50</w:t>
      </w:r>
      <w:r>
        <w:rPr>
          <w:snapToGrid w:val="0"/>
        </w:rPr>
        <w:t>.</w:t>
      </w:r>
      <w:r>
        <w:rPr>
          <w:snapToGrid w:val="0"/>
        </w:rPr>
        <w:tab/>
        <w:t>Used poisons included in Schedule 8 at hospitals</w:t>
      </w:r>
      <w:bookmarkEnd w:id="109"/>
      <w:r>
        <w:rPr>
          <w:snapToGrid w:val="0"/>
        </w:rPr>
        <w:t xml:space="preserve"> </w:t>
      </w:r>
    </w:p>
    <w:p>
      <w:pPr>
        <w:pStyle w:val="Subsection"/>
        <w:spacing w:before="120"/>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spacing w:before="120"/>
        <w:rPr>
          <w:snapToGrid w:val="0"/>
        </w:rPr>
      </w:pPr>
      <w:r>
        <w:rPr>
          <w:snapToGrid w:val="0"/>
        </w:rPr>
        <w:tab/>
        <w:t>(b)</w:t>
      </w:r>
      <w:r>
        <w:rPr>
          <w:snapToGrid w:val="0"/>
        </w:rPr>
        <w:tab/>
        <w:t>Where a Pharmaceutical Chemist is not employed — The director of nursing of a hospital or other person authorised by the Commissioner of Health shall be responsible for ordering, issuing and storing all poisons included in Schedule 8 in such hospital and for keeping records of poisons included in Schedule 8 as required by these regulations.</w:t>
      </w:r>
    </w:p>
    <w:p>
      <w:pPr>
        <w:pStyle w:val="Subsection"/>
        <w:spacing w:before="120"/>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spacing w:before="120"/>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pPr>
      <w:r>
        <w:tab/>
        <w:t>[Regulation 50 amended in Gazette 29 Jun 1984 p. 1784; 28 May 1993 p. 2597; 25 Jun 1993 p. 3085; 26 May 1994 p. 2201; 19 Mar 1996 p. 1230.]</w:t>
      </w:r>
    </w:p>
    <w:p>
      <w:pPr>
        <w:pStyle w:val="Heading3"/>
      </w:pPr>
      <w:bookmarkStart w:id="110" w:name="_Toc393706819"/>
      <w:r>
        <w:rPr>
          <w:rStyle w:val="CharDivNo"/>
        </w:rPr>
        <w:t>Division 2</w:t>
      </w:r>
      <w:r>
        <w:t xml:space="preserve"> — </w:t>
      </w:r>
      <w:r>
        <w:rPr>
          <w:rStyle w:val="CharDivText"/>
        </w:rPr>
        <w:t>Supply and prescription</w:t>
      </w:r>
      <w:bookmarkEnd w:id="110"/>
    </w:p>
    <w:p>
      <w:pPr>
        <w:pStyle w:val="Footnoteheading"/>
        <w:tabs>
          <w:tab w:val="left" w:pos="851"/>
        </w:tabs>
      </w:pPr>
      <w:r>
        <w:tab/>
        <w:t>[Heading inserted in Gazette 12 Aug 2003 p. 3664.]</w:t>
      </w:r>
    </w:p>
    <w:p>
      <w:pPr>
        <w:pStyle w:val="Heading4"/>
      </w:pPr>
      <w:bookmarkStart w:id="111" w:name="_Toc393706820"/>
      <w:r>
        <w:t>Subdivision 1 — Prescriptions generally</w:t>
      </w:r>
      <w:bookmarkEnd w:id="111"/>
    </w:p>
    <w:p>
      <w:pPr>
        <w:pStyle w:val="Footnoteheading"/>
        <w:tabs>
          <w:tab w:val="left" w:pos="851"/>
        </w:tabs>
      </w:pPr>
      <w:r>
        <w:tab/>
        <w:t>[Heading inserted in Gazette 12 Aug 2003 p. 3664.]</w:t>
      </w:r>
    </w:p>
    <w:p>
      <w:pPr>
        <w:pStyle w:val="Ednotedivision"/>
      </w:pPr>
      <w:r>
        <w:t>[Heading deleted in Gazette 12 Aug 2003 p. 3663.]</w:t>
      </w:r>
    </w:p>
    <w:p>
      <w:pPr>
        <w:pStyle w:val="Heading5"/>
        <w:rPr>
          <w:snapToGrid w:val="0"/>
        </w:rPr>
      </w:pPr>
      <w:bookmarkStart w:id="112" w:name="_Toc393706821"/>
      <w:r>
        <w:rPr>
          <w:rStyle w:val="CharSectno"/>
        </w:rPr>
        <w:t>51</w:t>
      </w:r>
      <w:r>
        <w:rPr>
          <w:snapToGrid w:val="0"/>
        </w:rPr>
        <w:t>.</w:t>
      </w:r>
      <w:r>
        <w:rPr>
          <w:snapToGrid w:val="0"/>
        </w:rPr>
        <w:tab/>
        <w:t>Prescriptions</w:t>
      </w:r>
      <w:bookmarkEnd w:id="112"/>
      <w:r>
        <w:rPr>
          <w:snapToGrid w:val="0"/>
        </w:rPr>
        <w:t xml:space="preserve"> </w:t>
      </w:r>
    </w:p>
    <w:p>
      <w:pPr>
        <w:pStyle w:val="Subsection"/>
        <w:spacing w:before="120"/>
        <w:rPr>
          <w:snapToGrid w:val="0"/>
        </w:rPr>
      </w:pPr>
      <w:r>
        <w:rPr>
          <w:snapToGrid w:val="0"/>
        </w:rPr>
        <w:tab/>
        <w:t>(1)</w:t>
      </w:r>
      <w:r>
        <w:rPr>
          <w:snapToGrid w:val="0"/>
        </w:rPr>
        <w:tab/>
        <w:t>A prescription for the supply of a drug of addiction shall comply with the following conditions — </w:t>
      </w:r>
    </w:p>
    <w:p>
      <w:pPr>
        <w:pStyle w:val="Indenta"/>
        <w:rPr>
          <w:snapToGrid w:val="0"/>
        </w:rPr>
      </w:pPr>
      <w:r>
        <w:rPr>
          <w:snapToGrid w:val="0"/>
        </w:rPr>
        <w:tab/>
        <w:t>(a)</w:t>
      </w:r>
      <w:r>
        <w:rPr>
          <w:snapToGrid w:val="0"/>
        </w:rPr>
        <w:tab/>
        <w:t>the prescription shall bear on its face, legibly printed or written in ink the name and address of the prescriber;</w:t>
      </w:r>
    </w:p>
    <w:p>
      <w:pPr>
        <w:pStyle w:val="Indenta"/>
      </w:pPr>
      <w:r>
        <w:tab/>
        <w:t>(aa)</w:t>
      </w:r>
      <w:r>
        <w:tab/>
        <w:t>it shall not prescribe more than one drug of addiction, nor any other substance, but may prescribe the same drug in more than one form;</w:t>
      </w:r>
    </w:p>
    <w:p>
      <w:pPr>
        <w:pStyle w:val="Indenta"/>
        <w:rPr>
          <w:snapToGrid w:val="0"/>
        </w:rPr>
      </w:pPr>
      <w:r>
        <w:rPr>
          <w:snapToGrid w:val="0"/>
        </w:rPr>
        <w:tab/>
        <w:t>(b)</w:t>
      </w:r>
      <w:r>
        <w:rPr>
          <w:snapToGrid w:val="0"/>
        </w:rPr>
        <w:tab/>
        <w:t>subject to paragraph (ba) the prescription shall bear on its face, legibly written in ink in the handwriting of the prescriber — </w:t>
      </w:r>
    </w:p>
    <w:p>
      <w:pPr>
        <w:pStyle w:val="Indenti"/>
        <w:rPr>
          <w:snapToGrid w:val="0"/>
        </w:rPr>
      </w:pPr>
      <w:r>
        <w:rPr>
          <w:snapToGrid w:val="0"/>
        </w:rPr>
        <w:tab/>
        <w:t>(i)</w:t>
      </w:r>
      <w:r>
        <w:rPr>
          <w:snapToGrid w:val="0"/>
        </w:rPr>
        <w:tab/>
        <w:t>the date when it is written;</w:t>
      </w:r>
    </w:p>
    <w:p>
      <w:pPr>
        <w:pStyle w:val="Indenti"/>
        <w:rPr>
          <w:snapToGrid w:val="0"/>
        </w:rPr>
      </w:pPr>
      <w:r>
        <w:rPr>
          <w:snapToGrid w:val="0"/>
        </w:rPr>
        <w:tab/>
        <w:t>(ii)</w:t>
      </w:r>
      <w:r>
        <w:rPr>
          <w:snapToGrid w:val="0"/>
        </w:rPr>
        <w:tab/>
        <w:t>the signature of the prescriber;</w:t>
      </w:r>
    </w:p>
    <w:p>
      <w:pPr>
        <w:pStyle w:val="Indenti"/>
        <w:rPr>
          <w:snapToGrid w:val="0"/>
        </w:rPr>
      </w:pPr>
      <w:r>
        <w:rPr>
          <w:snapToGrid w:val="0"/>
        </w:rPr>
        <w:tab/>
        <w:t>(iii)</w:t>
      </w:r>
      <w:r>
        <w:rPr>
          <w:snapToGrid w:val="0"/>
        </w:rPr>
        <w:tab/>
        <w:t xml:space="preserve">the </w:t>
      </w:r>
      <w:r>
        <w:t>name, full address and date of birth of the patient</w:t>
      </w:r>
      <w:r>
        <w:rPr>
          <w:snapToGrid w:val="0"/>
        </w:rPr>
        <w:t xml:space="preserve"> or, in the case of a prescription for veterinary use, the name and full address of the person having the care of the animal for which it is intended;</w:t>
      </w:r>
    </w:p>
    <w:p>
      <w:pPr>
        <w:pStyle w:val="Indenti"/>
        <w:keepNext/>
        <w:rPr>
          <w:snapToGrid w:val="0"/>
        </w:rPr>
      </w:pPr>
      <w:r>
        <w:rPr>
          <w:snapToGrid w:val="0"/>
        </w:rPr>
        <w:tab/>
        <w:t>(iv)</w:t>
      </w:r>
      <w:r>
        <w:rPr>
          <w:snapToGrid w:val="0"/>
        </w:rPr>
        <w:tab/>
      </w:r>
      <w:r>
        <w:rPr>
          <w:snapToGrid w:val="0"/>
          <w:spacing w:val="-2"/>
        </w:rPr>
        <w:t xml:space="preserve">the description and quantity of the </w:t>
      </w:r>
      <w:r>
        <w:t>drug of addiction</w:t>
      </w:r>
      <w:r>
        <w:rPr>
          <w:snapToGrid w:val="0"/>
          <w:spacing w:val="-2"/>
        </w:rPr>
        <w:t xml:space="preserve"> to be dispensed;</w:t>
      </w:r>
    </w:p>
    <w:p>
      <w:pPr>
        <w:pStyle w:val="Indenti"/>
      </w:pPr>
      <w:r>
        <w:tab/>
        <w:t>(v)</w:t>
      </w:r>
      <w:r>
        <w:tab/>
        <w:t>precise directions for the use of the drug of addiction, including the dose to be taken or administered and the frequency with which the dose is to be taken or administered;</w:t>
      </w:r>
    </w:p>
    <w:p>
      <w:pPr>
        <w:pStyle w:val="Indenti"/>
        <w:rPr>
          <w:snapToGrid w:val="0"/>
        </w:rPr>
      </w:pPr>
      <w:r>
        <w:rPr>
          <w:snapToGrid w:val="0"/>
        </w:rPr>
        <w:tab/>
        <w:t>(vi)</w:t>
      </w:r>
      <w:r>
        <w:rPr>
          <w:snapToGrid w:val="0"/>
        </w:rPr>
        <w:tab/>
        <w:t xml:space="preserve">where </w:t>
      </w:r>
      <w:r>
        <w:t xml:space="preserve">the drug of addiction is to be dispensed more than once under the prescription, </w:t>
      </w:r>
      <w:r>
        <w:rPr>
          <w:snapToGrid w:val="0"/>
        </w:rPr>
        <w:t>the maximum number of times it may be repeated and the intervals at which it may be dispensed;</w:t>
      </w:r>
    </w:p>
    <w:p>
      <w:pPr>
        <w:pStyle w:val="Indenti"/>
        <w:rPr>
          <w:snapToGrid w:val="0"/>
        </w:rPr>
      </w:pPr>
      <w:r>
        <w:rPr>
          <w:snapToGrid w:val="0"/>
        </w:rPr>
        <w:tab/>
        <w:t>(vii)</w:t>
      </w:r>
      <w:r>
        <w:rPr>
          <w:snapToGrid w:val="0"/>
        </w:rPr>
        <w:tab/>
        <w:t>the words ‘for animal treatment only’ if it is written by a veterinary surgeon;</w:t>
      </w:r>
    </w:p>
    <w:p>
      <w:pPr>
        <w:pStyle w:val="Indenti"/>
        <w:rPr>
          <w:snapToGrid w:val="0"/>
        </w:rPr>
      </w:pPr>
      <w:r>
        <w:rPr>
          <w:snapToGrid w:val="0"/>
        </w:rPr>
        <w:tab/>
        <w:t>(viii)</w:t>
      </w:r>
      <w:r>
        <w:rPr>
          <w:snapToGrid w:val="0"/>
        </w:rPr>
        <w:tab/>
        <w:t>the words ‘for dental treatment only’ if it is written by a dentist;</w:t>
      </w:r>
    </w:p>
    <w:p>
      <w:pPr>
        <w:pStyle w:val="Indenti"/>
        <w:rPr>
          <w:snapToGrid w:val="0"/>
        </w:rPr>
      </w:pPr>
      <w:r>
        <w:rPr>
          <w:snapToGrid w:val="0"/>
        </w:rPr>
        <w:tab/>
        <w:t>(ix)</w:t>
      </w:r>
      <w:r>
        <w:rPr>
          <w:snapToGrid w:val="0"/>
        </w:rPr>
        <w:tab/>
      </w:r>
      <w:r>
        <w:rPr>
          <w:snapToGrid w:val="0"/>
          <w:spacing w:val="-4"/>
        </w:rPr>
        <w:t xml:space="preserve">where it </w:t>
      </w:r>
      <w:r>
        <w:t>prescribes</w:t>
      </w:r>
      <w:r>
        <w:rPr>
          <w:snapToGrid w:val="0"/>
          <w:spacing w:val="-4"/>
        </w:rPr>
        <w:t xml:space="preserve"> an unusual dose, an indication that such is intended, by underlining that part of the prescription and initialling the same in the margin;</w:t>
      </w:r>
    </w:p>
    <w:p>
      <w:pPr>
        <w:pStyle w:val="Indenta"/>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keepNext/>
        <w:keepLines/>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 (iii), (vii) and (viii)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51(1)(ba))”;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the prescription shall not bear the impression of a rubber stamp or other such contrivance in lieu of the written signature of the medical practitioner, dentist or veterinary surgeon by whom it has been issued.</w:t>
      </w:r>
    </w:p>
    <w:p>
      <w:pPr>
        <w:pStyle w:val="Subsection"/>
        <w:rPr>
          <w:snapToGrid w:val="0"/>
        </w:rPr>
      </w:pPr>
      <w:r>
        <w:rPr>
          <w:snapToGrid w:val="0"/>
        </w:rPr>
        <w:tab/>
        <w:t>(2)</w:t>
      </w:r>
      <w:r>
        <w:rPr>
          <w:snapToGrid w:val="0"/>
        </w:rPr>
        <w:tab/>
      </w:r>
      <w:r>
        <w:rPr>
          <w:snapToGrid w:val="0"/>
          <w:spacing w:val="-4"/>
        </w:rPr>
        <w:t>With the written approval of the Commissioner of Health a person authorised to prescribe drugs of addiction may issue a typewritten prescription where the Commissioner of Health is satisfied that by reason of physical infirmity the prescriber is unable to write legibly in his own handwriting but in that case the prescriber shall sign the prescription with his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5603-4.]</w:t>
      </w:r>
    </w:p>
    <w:p>
      <w:pPr>
        <w:pStyle w:val="Heading4"/>
      </w:pPr>
      <w:bookmarkStart w:id="113" w:name="_Toc393706822"/>
      <w:r>
        <w:t>Subdivision 2 — Supply and prescription to drug addicts</w:t>
      </w:r>
      <w:bookmarkEnd w:id="113"/>
    </w:p>
    <w:p>
      <w:pPr>
        <w:pStyle w:val="Footnoteheading"/>
        <w:tabs>
          <w:tab w:val="left" w:pos="851"/>
        </w:tabs>
      </w:pPr>
      <w:r>
        <w:tab/>
        <w:t>[Heading inserted in Gazette 12 Aug 2003 p. 3664.]</w:t>
      </w:r>
    </w:p>
    <w:p>
      <w:pPr>
        <w:pStyle w:val="Heading5"/>
        <w:rPr>
          <w:snapToGrid w:val="0"/>
        </w:rPr>
      </w:pPr>
      <w:bookmarkStart w:id="114" w:name="_Toc393706823"/>
      <w:r>
        <w:rPr>
          <w:rStyle w:val="CharSectno"/>
        </w:rPr>
        <w:t>51A</w:t>
      </w:r>
      <w:r>
        <w:rPr>
          <w:snapToGrid w:val="0"/>
        </w:rPr>
        <w:t>.</w:t>
      </w:r>
      <w:r>
        <w:rPr>
          <w:snapToGrid w:val="0"/>
        </w:rPr>
        <w:tab/>
        <w:t>Definition of “drug addict”</w:t>
      </w:r>
      <w:bookmarkEnd w:id="114"/>
      <w:r>
        <w:rPr>
          <w:snapToGrid w:val="0"/>
        </w:rPr>
        <w:t xml:space="preserve"> </w:t>
      </w:r>
    </w:p>
    <w:p>
      <w:pPr>
        <w:pStyle w:val="Subsection"/>
        <w:rPr>
          <w:snapToGrid w:val="0"/>
        </w:rPr>
      </w:pPr>
      <w:r>
        <w:tab/>
      </w:r>
      <w:r>
        <w:tab/>
        <w:t>In this Subdivision —</w:t>
      </w:r>
    </w:p>
    <w:p>
      <w:pPr>
        <w:pStyle w:val="Defstart"/>
      </w:pPr>
      <w:r>
        <w:rPr>
          <w:b/>
        </w:rPr>
        <w:tab/>
        <w:t>“</w:t>
      </w:r>
      <w:r>
        <w:rPr>
          <w:rStyle w:val="CharDefText"/>
        </w:rPr>
        <w:t>drug addict</w:t>
      </w:r>
      <w:r>
        <w:rPr>
          <w:b/>
        </w:rPr>
        <w:t>”</w:t>
      </w:r>
      <w:r>
        <w:t xml:space="preserve"> means a person who is — </w:t>
      </w:r>
    </w:p>
    <w:p>
      <w:pPr>
        <w:pStyle w:val="Defpara"/>
      </w:pPr>
      <w:r>
        <w:tab/>
        <w:t>(a)</w:t>
      </w:r>
      <w:r>
        <w:tab/>
        <w:t>under a state of periodic or chronic intoxication produced by consumption of a drug of addiction or any substitute therefor;</w:t>
      </w:r>
    </w:p>
    <w:p>
      <w:pPr>
        <w:pStyle w:val="Defpara"/>
      </w:pPr>
      <w:r>
        <w:tab/>
        <w:t>(b)</w:t>
      </w:r>
      <w:r>
        <w:tab/>
        <w:t>under a desire or craving to take a drug of addiction or any substitute therefor until he has so satisfied that desire or craving;</w:t>
      </w:r>
    </w:p>
    <w:p>
      <w:pPr>
        <w:pStyle w:val="Defpara"/>
      </w:pPr>
      <w:r>
        <w:tab/>
        <w:t>(c)</w:t>
      </w:r>
      <w:r>
        <w:tab/>
        <w:t>under a psychic or physical dependence to take a drug of addiction or any substitute therefor; or</w:t>
      </w:r>
    </w:p>
    <w:p>
      <w:pPr>
        <w:pStyle w:val="Defpara"/>
        <w:keepNext/>
        <w:keepLines/>
      </w:pPr>
      <w:r>
        <w:tab/>
        <w:t>(d)</w:t>
      </w:r>
      <w:r>
        <w:tab/>
        <w:t xml:space="preserve">listed in the register of information kept under the </w:t>
      </w:r>
      <w:r>
        <w:rPr>
          <w:i/>
        </w:rPr>
        <w:t>Drugs of Addiction Notification Regulations 1980.</w:t>
      </w:r>
      <w:r>
        <w:t xml:space="preserve"> </w:t>
      </w:r>
    </w:p>
    <w:p>
      <w:pPr>
        <w:pStyle w:val="Footnotesection"/>
      </w:pPr>
      <w:r>
        <w:tab/>
        <w:t xml:space="preserve">[Regulation 51A inserted in Gazette 29 Aug 1980 p. 3028; amended in Gazette 12 Oct 1984 p. 3267; 12 Apr 1991 p. 1608; 12 Aug 2003 p. 3659.] </w:t>
      </w:r>
    </w:p>
    <w:p>
      <w:pPr>
        <w:pStyle w:val="Heading5"/>
      </w:pPr>
      <w:bookmarkStart w:id="115" w:name="_Toc393706824"/>
      <w:r>
        <w:rPr>
          <w:rStyle w:val="CharSectno"/>
        </w:rPr>
        <w:t>51AA</w:t>
      </w:r>
      <w:r>
        <w:t>.</w:t>
      </w:r>
      <w:r>
        <w:tab/>
        <w:t>Disclosure by drug addict to medical practitioner</w:t>
      </w:r>
      <w:bookmarkEnd w:id="115"/>
    </w:p>
    <w:p>
      <w:pPr>
        <w:pStyle w:val="Subsection"/>
      </w:pPr>
      <w:r>
        <w:tab/>
      </w:r>
      <w:r>
        <w:tab/>
        <w:t>A drug addict shall,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pPr>
      <w:r>
        <w:tab/>
      </w:r>
      <w:r>
        <w:tab/>
        <w:t>disclose to the medical practitioner or dentist the fact that he is a drug addict.</w:t>
      </w:r>
    </w:p>
    <w:p>
      <w:pPr>
        <w:pStyle w:val="Footnotesection"/>
      </w:pPr>
      <w:r>
        <w:tab/>
        <w:t xml:space="preserve">[Regulation 51AA inserted in Gazette 12 Oct 1984 p. 3267; amended in Gazette 11 Apr 1997 p. 1832.] </w:t>
      </w:r>
    </w:p>
    <w:p>
      <w:pPr>
        <w:pStyle w:val="Heading5"/>
        <w:rPr>
          <w:snapToGrid w:val="0"/>
        </w:rPr>
      </w:pPr>
      <w:bookmarkStart w:id="116" w:name="_Toc393706825"/>
      <w:r>
        <w:rPr>
          <w:rStyle w:val="CharSectno"/>
        </w:rPr>
        <w:t>51B</w:t>
      </w:r>
      <w:r>
        <w:rPr>
          <w:snapToGrid w:val="0"/>
        </w:rPr>
        <w:t>.</w:t>
      </w:r>
      <w:r>
        <w:rPr>
          <w:snapToGrid w:val="0"/>
        </w:rPr>
        <w:tab/>
        <w:t>Drug addicts: medical practitioner or dentist not to prescribe or supply drugs of addiction without written authorisation</w:t>
      </w:r>
      <w:bookmarkEnd w:id="116"/>
      <w:r>
        <w:rPr>
          <w:snapToGrid w:val="0"/>
        </w:rPr>
        <w:t xml:space="preserve"> </w:t>
      </w:r>
    </w:p>
    <w:p>
      <w:pPr>
        <w:pStyle w:val="Subsection"/>
        <w:rPr>
          <w:snapToGrid w:val="0"/>
        </w:rPr>
      </w:pPr>
      <w:r>
        <w:rPr>
          <w:snapToGrid w:val="0"/>
        </w:rPr>
        <w:tab/>
        <w:t>(1)</w:t>
      </w:r>
      <w:r>
        <w:rPr>
          <w:snapToGrid w:val="0"/>
        </w:rPr>
        <w:tab/>
        <w:t>A medical practitioner or dentist shall not write, issue or authorise a prescription or document prescribing the use, sale or supply of a drug of addiction, or supply a drug of addiction, for the treatment of a person — </w:t>
      </w:r>
    </w:p>
    <w:p>
      <w:pPr>
        <w:pStyle w:val="Indenta"/>
        <w:rPr>
          <w:snapToGrid w:val="0"/>
        </w:rPr>
      </w:pPr>
      <w:r>
        <w:rPr>
          <w:snapToGrid w:val="0"/>
        </w:rPr>
        <w:tab/>
        <w:t>(a)</w:t>
      </w:r>
      <w:r>
        <w:rPr>
          <w:snapToGrid w:val="0"/>
        </w:rPr>
        <w:tab/>
        <w:t>who is a drug addict; or</w:t>
      </w:r>
    </w:p>
    <w:p>
      <w:pPr>
        <w:pStyle w:val="Indenta"/>
        <w:rPr>
          <w:snapToGrid w:val="0"/>
        </w:rPr>
      </w:pPr>
      <w:r>
        <w:rPr>
          <w:snapToGrid w:val="0"/>
        </w:rPr>
        <w:tab/>
        <w:t>(b)</w:t>
      </w:r>
      <w:r>
        <w:rPr>
          <w:snapToGrid w:val="0"/>
        </w:rPr>
        <w:tab/>
        <w:t>who has been named as a drug addict by the Commissioner of Health by notice forwarded to the medical practitioner or dentist,</w:t>
      </w:r>
    </w:p>
    <w:p>
      <w:pPr>
        <w:pStyle w:val="Subsection"/>
        <w:rPr>
          <w:snapToGrid w:val="0"/>
        </w:rPr>
      </w:pPr>
      <w:r>
        <w:rPr>
          <w:snapToGrid w:val="0"/>
        </w:rPr>
        <w:tab/>
      </w:r>
      <w:r>
        <w:rPr>
          <w:snapToGrid w:val="0"/>
        </w:rPr>
        <w:tab/>
        <w:t>unless the medical practitioner or dentist has first obtained written authorisation to do so from the Commissioner of Health.</w:t>
      </w:r>
    </w:p>
    <w:p>
      <w:pPr>
        <w:pStyle w:val="Subsection"/>
        <w:keepNext/>
        <w:keepLines/>
        <w:rPr>
          <w:snapToGrid w:val="0"/>
        </w:rPr>
      </w:pPr>
      <w:r>
        <w:rPr>
          <w:snapToGrid w:val="0"/>
        </w:rPr>
        <w:tab/>
        <w:t>(2)</w:t>
      </w:r>
      <w:r>
        <w:rPr>
          <w:snapToGrid w:val="0"/>
        </w:rPr>
        <w:tab/>
        <w:t>In this regulation — </w:t>
      </w:r>
    </w:p>
    <w:p>
      <w:pPr>
        <w:pStyle w:val="Defstart"/>
      </w:pPr>
      <w:r>
        <w:rPr>
          <w:b/>
        </w:rPr>
        <w:tab/>
        <w:t>“</w:t>
      </w:r>
      <w:r>
        <w:rPr>
          <w:rStyle w:val="CharDefText"/>
        </w:rPr>
        <w:t>drug of addiction</w:t>
      </w:r>
      <w:r>
        <w:rPr>
          <w:b/>
        </w:rPr>
        <w:t>”</w:t>
      </w:r>
      <w:r>
        <w:t xml:space="preserve"> includes methadone only if prescribed or supplied by a dentist.</w:t>
      </w:r>
    </w:p>
    <w:p>
      <w:pPr>
        <w:pStyle w:val="Footnotesection"/>
      </w:pPr>
      <w:r>
        <w:tab/>
        <w:t xml:space="preserve">[Regulation 51B inserted in Gazette 11 Apr 1997 p. 1832.] </w:t>
      </w:r>
    </w:p>
    <w:p>
      <w:pPr>
        <w:pStyle w:val="Heading5"/>
        <w:rPr>
          <w:snapToGrid w:val="0"/>
        </w:rPr>
      </w:pPr>
      <w:bookmarkStart w:id="117" w:name="_Toc393706826"/>
      <w:r>
        <w:rPr>
          <w:rStyle w:val="CharSectno"/>
        </w:rPr>
        <w:t>51C</w:t>
      </w:r>
      <w:r>
        <w:rPr>
          <w:snapToGrid w:val="0"/>
        </w:rPr>
        <w:t>.</w:t>
      </w:r>
      <w:r>
        <w:rPr>
          <w:snapToGrid w:val="0"/>
        </w:rPr>
        <w:tab/>
        <w:t xml:space="preserve">Authorisation of Commissioner of Health required for medical practitioner to prescribe methadone </w:t>
      </w:r>
      <w:r>
        <w:t>or buprenorphine</w:t>
      </w:r>
      <w:r>
        <w:rPr>
          <w:snapToGrid w:val="0"/>
        </w:rPr>
        <w:t xml:space="preserve"> for drug addict</w:t>
      </w:r>
      <w:bookmarkEnd w:id="117"/>
      <w:r>
        <w:rPr>
          <w:snapToGrid w:val="0"/>
        </w:rPr>
        <w:t xml:space="preserve"> </w:t>
      </w:r>
    </w:p>
    <w:p>
      <w:pPr>
        <w:pStyle w:val="Subsection"/>
        <w:spacing w:before="120"/>
        <w:rPr>
          <w:snapToGrid w:val="0"/>
        </w:rPr>
      </w:pPr>
      <w:r>
        <w:rPr>
          <w:snapToGrid w:val="0"/>
        </w:rPr>
        <w:tab/>
      </w:r>
      <w:r>
        <w:rPr>
          <w:snapToGrid w:val="0"/>
        </w:rPr>
        <w:tab/>
        <w:t>A medical practitioner shall not write, issue or authorise a prescription or document prescribing the use, sale or supply of methadone</w:t>
      </w:r>
      <w:r>
        <w:t xml:space="preserve"> or buprenorphine</w:t>
      </w:r>
      <w:r>
        <w:rPr>
          <w:snapToGrid w:val="0"/>
        </w:rPr>
        <w:t>, or supply methadone</w:t>
      </w:r>
      <w:r>
        <w:t xml:space="preserve"> or buprenorphine</w:t>
      </w:r>
      <w:r>
        <w:rPr>
          <w:snapToGrid w:val="0"/>
        </w:rPr>
        <w:t>, for the treatment of a person who is — </w:t>
      </w:r>
    </w:p>
    <w:p>
      <w:pPr>
        <w:pStyle w:val="Indenta"/>
        <w:rPr>
          <w:snapToGrid w:val="0"/>
        </w:rPr>
      </w:pPr>
      <w:r>
        <w:rPr>
          <w:snapToGrid w:val="0"/>
        </w:rPr>
        <w:tab/>
        <w:t>(a)</w:t>
      </w:r>
      <w:r>
        <w:rPr>
          <w:snapToGrid w:val="0"/>
        </w:rPr>
        <w:tab/>
        <w:t>a drug addict; or</w:t>
      </w:r>
    </w:p>
    <w:p>
      <w:pPr>
        <w:pStyle w:val="Indenta"/>
        <w:rPr>
          <w:snapToGrid w:val="0"/>
        </w:rPr>
      </w:pPr>
      <w:r>
        <w:rPr>
          <w:snapToGrid w:val="0"/>
        </w:rPr>
        <w:tab/>
        <w:t>(b)</w:t>
      </w:r>
      <w:r>
        <w:rPr>
          <w:snapToGrid w:val="0"/>
        </w:rPr>
        <w:tab/>
        <w:t>a person who has been named as a drug addict by the Commissioner of Health by notice forwarded to the medical practitioner,</w:t>
      </w:r>
    </w:p>
    <w:p>
      <w:pPr>
        <w:pStyle w:val="Subsection"/>
        <w:spacing w:before="120"/>
        <w:rPr>
          <w:snapToGrid w:val="0"/>
        </w:rPr>
      </w:pPr>
      <w:r>
        <w:rPr>
          <w:snapToGrid w:val="0"/>
        </w:rPr>
        <w:tab/>
      </w:r>
      <w:r>
        <w:rPr>
          <w:snapToGrid w:val="0"/>
        </w:rPr>
        <w:tab/>
        <w:t>unless the medical practitioner has — </w:t>
      </w:r>
    </w:p>
    <w:p>
      <w:pPr>
        <w:pStyle w:val="Indenta"/>
        <w:keepLines/>
        <w:rPr>
          <w:snapToGrid w:val="0"/>
        </w:rPr>
      </w:pPr>
      <w:r>
        <w:rPr>
          <w:snapToGrid w:val="0"/>
        </w:rPr>
        <w:tab/>
        <w:t>(c)</w:t>
      </w:r>
      <w:r>
        <w:rPr>
          <w:snapToGrid w:val="0"/>
        </w:rPr>
        <w:tab/>
        <w:t xml:space="preserve">notified the Commissioner of Health of the condition of health of that person in accordance with the </w:t>
      </w:r>
      <w:r>
        <w:rPr>
          <w:i/>
          <w:snapToGrid w:val="0"/>
        </w:rPr>
        <w:t>Drugs of Addiction Notification Regulations 1980</w:t>
      </w:r>
      <w:r>
        <w:rPr>
          <w:snapToGrid w:val="0"/>
        </w:rPr>
        <w:t xml:space="preserve"> as in force under the </w:t>
      </w:r>
      <w:r>
        <w:rPr>
          <w:i/>
          <w:snapToGrid w:val="0"/>
        </w:rPr>
        <w:t>Health Act 1911</w:t>
      </w:r>
      <w:r>
        <w:rPr>
          <w:snapToGrid w:val="0"/>
        </w:rPr>
        <w:t xml:space="preserve"> from time to time; and</w:t>
      </w:r>
    </w:p>
    <w:p>
      <w:pPr>
        <w:pStyle w:val="Indenta"/>
        <w:rPr>
          <w:snapToGrid w:val="0"/>
        </w:rPr>
      </w:pPr>
      <w:r>
        <w:rPr>
          <w:snapToGrid w:val="0"/>
        </w:rPr>
        <w:tab/>
        <w:t>(d)</w:t>
      </w:r>
      <w:r>
        <w:rPr>
          <w:snapToGrid w:val="0"/>
        </w:rPr>
        <w:tab/>
        <w:t>received written authorisation to do so from the Commissioner of Health.</w:t>
      </w:r>
    </w:p>
    <w:p>
      <w:pPr>
        <w:pStyle w:val="Footnotesection"/>
      </w:pPr>
      <w:r>
        <w:tab/>
        <w:t xml:space="preserve">[Regulation 51C inserted in Gazette 29 Aug 1980 p. 3029; amended in Gazette 29 Jun 1984 p. 1784; 25 Jun 1993 p. 3085; 26 May 1994 p. 2201; 11 Apr 1997 p. 1832; 14 Aug 2001 p. 4253.] </w:t>
      </w:r>
    </w:p>
    <w:p>
      <w:pPr>
        <w:pStyle w:val="Heading5"/>
        <w:spacing w:before="180"/>
        <w:rPr>
          <w:snapToGrid w:val="0"/>
        </w:rPr>
      </w:pPr>
      <w:bookmarkStart w:id="118" w:name="_Toc393706827"/>
      <w:r>
        <w:rPr>
          <w:rStyle w:val="CharSectno"/>
        </w:rPr>
        <w:t>51D</w:t>
      </w:r>
      <w:r>
        <w:rPr>
          <w:snapToGrid w:val="0"/>
        </w:rPr>
        <w:t>.</w:t>
      </w:r>
      <w:r>
        <w:rPr>
          <w:snapToGrid w:val="0"/>
        </w:rPr>
        <w:tab/>
        <w:t>Assessment of drug addict for treatment purposes</w:t>
      </w:r>
      <w:bookmarkEnd w:id="118"/>
      <w:r>
        <w:rPr>
          <w:snapToGrid w:val="0"/>
        </w:rPr>
        <w:t xml:space="preserve"> </w:t>
      </w:r>
    </w:p>
    <w:p>
      <w:pPr>
        <w:pStyle w:val="Subsection"/>
        <w:spacing w:before="120"/>
        <w:rPr>
          <w:snapToGrid w:val="0"/>
        </w:rPr>
      </w:pPr>
      <w:r>
        <w:rPr>
          <w:snapToGrid w:val="0"/>
        </w:rPr>
        <w:tab/>
        <w:t>(1)</w:t>
      </w:r>
      <w:r>
        <w:rPr>
          <w:snapToGrid w:val="0"/>
        </w:rPr>
        <w:tab/>
        <w:t>Before an authorisation is issued by the Commissioner of Health for the treatment of a drug addict with methadone</w:t>
      </w:r>
      <w:r>
        <w:t xml:space="preserve"> or buprenorphine</w:t>
      </w:r>
      <w:r>
        <w:rPr>
          <w:snapToGrid w:val="0"/>
        </w:rPr>
        <w:t xml:space="preserve"> the drug addict in relation to whom the treatment </w:t>
      </w:r>
    </w:p>
    <w:p>
      <w:pPr>
        <w:pStyle w:val="Subsection"/>
        <w:keepNext/>
        <w:spacing w:before="120"/>
        <w:rPr>
          <w:snapToGrid w:val="0"/>
        </w:rPr>
      </w:pPr>
      <w:r>
        <w:rPr>
          <w:snapToGrid w:val="0"/>
        </w:rPr>
        <w:tab/>
      </w:r>
      <w:r>
        <w:rPr>
          <w:snapToGrid w:val="0"/>
        </w:rPr>
        <w:tab/>
        <w:t>is to be authorised, prescribed or used shall be assessed for such treatment by — </w:t>
      </w:r>
    </w:p>
    <w:p>
      <w:pPr>
        <w:pStyle w:val="Indenta"/>
      </w:pPr>
      <w:r>
        <w:tab/>
        <w:t>(a)</w:t>
      </w:r>
      <w:r>
        <w:tab/>
        <w:t>a medical practitioner approved by the Commissioner of Health;</w:t>
      </w:r>
    </w:p>
    <w:p>
      <w:pPr>
        <w:pStyle w:val="Ednotepara"/>
      </w:pPr>
      <w:r>
        <w:tab/>
        <w:t>[(b) and (c)</w:t>
      </w:r>
      <w:r>
        <w:tab/>
        <w:t>deleted]</w:t>
      </w:r>
    </w:p>
    <w:p>
      <w:pPr>
        <w:pStyle w:val="Indenta"/>
        <w:rPr>
          <w:snapToGrid w:val="0"/>
        </w:rPr>
      </w:pPr>
      <w:r>
        <w:rPr>
          <w:snapToGrid w:val="0"/>
        </w:rPr>
        <w:tab/>
        <w:t>(d)</w:t>
      </w:r>
      <w:r>
        <w:rPr>
          <w:snapToGrid w:val="0"/>
        </w:rPr>
        <w:tab/>
        <w:t xml:space="preserve">a psychiatrist in the course of treating that drug addict at a psychiatric unit of a hospital that is approved of as a teaching hospital as defined in the </w:t>
      </w:r>
      <w:r>
        <w:rPr>
          <w:i/>
          <w:snapToGrid w:val="0"/>
        </w:rPr>
        <w:t>Hospitals and Health Services Act 1927</w:t>
      </w:r>
      <w:r>
        <w:rPr>
          <w:snapToGrid w:val="0"/>
        </w:rPr>
        <w:t>; or</w:t>
      </w:r>
    </w:p>
    <w:p>
      <w:pPr>
        <w:pStyle w:val="Indenta"/>
        <w:rPr>
          <w:snapToGrid w:val="0"/>
        </w:rPr>
      </w:pPr>
      <w:r>
        <w:rPr>
          <w:snapToGrid w:val="0"/>
        </w:rPr>
        <w:tab/>
        <w:t>(e)</w:t>
      </w:r>
      <w:r>
        <w:rPr>
          <w:snapToGrid w:val="0"/>
        </w:rPr>
        <w:tab/>
        <w:t xml:space="preserve">a medical officer attached to a regional hospital established under the </w:t>
      </w:r>
      <w:r>
        <w:rPr>
          <w:i/>
          <w:snapToGrid w:val="0"/>
        </w:rPr>
        <w:t>Hospitals and Health Services Act 1927</w:t>
      </w:r>
      <w:r>
        <w:rPr>
          <w:snapToGrid w:val="0"/>
        </w:rPr>
        <w:t xml:space="preserve"> who is approved of by the Commissioner of Health.</w:t>
      </w:r>
    </w:p>
    <w:p>
      <w:pPr>
        <w:pStyle w:val="Subsection"/>
        <w:spacing w:before="120"/>
        <w:rPr>
          <w:snapToGrid w:val="0"/>
        </w:rPr>
      </w:pPr>
      <w:r>
        <w:rPr>
          <w:snapToGrid w:val="0"/>
        </w:rPr>
        <w:tab/>
        <w:t>(2)</w:t>
      </w:r>
      <w:r>
        <w:rPr>
          <w:snapToGrid w:val="0"/>
        </w:rPr>
        <w:tab/>
        <w:t>A person who makes an assessment for the purposes of subregulation (1) shall specify in the assessment — </w:t>
      </w:r>
    </w:p>
    <w:p>
      <w:pPr>
        <w:pStyle w:val="Indenta"/>
        <w:rPr>
          <w:snapToGrid w:val="0"/>
        </w:rPr>
      </w:pPr>
      <w:r>
        <w:rPr>
          <w:snapToGrid w:val="0"/>
        </w:rPr>
        <w:tab/>
        <w:t>(a)</w:t>
      </w:r>
      <w:r>
        <w:rPr>
          <w:snapToGrid w:val="0"/>
        </w:rPr>
        <w:tab/>
        <w:t>the maximum daily dose not to be exceeded in the treatment in relation to the drug addict with respect to whom the assessment is made; and</w:t>
      </w:r>
    </w:p>
    <w:p>
      <w:pPr>
        <w:pStyle w:val="Indenta"/>
        <w:rPr>
          <w:snapToGrid w:val="0"/>
        </w:rPr>
      </w:pPr>
      <w:r>
        <w:rPr>
          <w:snapToGrid w:val="0"/>
        </w:rPr>
        <w:tab/>
        <w:t>(b)</w:t>
      </w:r>
      <w:r>
        <w:rPr>
          <w:snapToGrid w:val="0"/>
        </w:rPr>
        <w:tab/>
        <w:t>the maximum period of the treatment,</w:t>
      </w:r>
    </w:p>
    <w:p>
      <w:pPr>
        <w:pStyle w:val="Subsection"/>
        <w:rPr>
          <w:snapToGrid w:val="0"/>
        </w:rPr>
      </w:pPr>
      <w:r>
        <w:rPr>
          <w:snapToGrid w:val="0"/>
        </w:rPr>
        <w:tab/>
      </w:r>
      <w:r>
        <w:rPr>
          <w:snapToGrid w:val="0"/>
        </w:rPr>
        <w:tab/>
        <w:t>and shall sign the assessment in his usual signature.</w:t>
      </w:r>
    </w:p>
    <w:p>
      <w:pPr>
        <w:pStyle w:val="Footnotesection"/>
      </w:pPr>
      <w:r>
        <w:tab/>
        <w:t>[Regulation 51D inserted in Gazette 29 Aug 1980 p. 3029; amended in Gazette 29 Jun 1984 p. 1784; 27 May 1988 p. 1771; 12 Apr 1991 p. 1609; 25 Jun 1993 p. 3085; 26 May 1994 p. 2201; 19 Mar 1996 p. 1230; 29 Feb 2000 p. 995; 14 Aug 2001 p. 4253.]</w:t>
      </w:r>
    </w:p>
    <w:p>
      <w:pPr>
        <w:pStyle w:val="Heading5"/>
        <w:spacing w:before="180"/>
        <w:rPr>
          <w:snapToGrid w:val="0"/>
        </w:rPr>
      </w:pPr>
      <w:bookmarkStart w:id="119" w:name="_Toc393706828"/>
      <w:r>
        <w:rPr>
          <w:rStyle w:val="CharSectno"/>
        </w:rPr>
        <w:t>51E</w:t>
      </w:r>
      <w:r>
        <w:rPr>
          <w:snapToGrid w:val="0"/>
        </w:rPr>
        <w:t>.</w:t>
      </w:r>
      <w:r>
        <w:rPr>
          <w:snapToGrid w:val="0"/>
        </w:rPr>
        <w:tab/>
        <w:t>Conditions on treatment of drug addict</w:t>
      </w:r>
      <w:bookmarkEnd w:id="119"/>
      <w:r>
        <w:rPr>
          <w:snapToGrid w:val="0"/>
        </w:rPr>
        <w:t xml:space="preserve"> </w:t>
      </w:r>
    </w:p>
    <w:p>
      <w:pPr>
        <w:pStyle w:val="Subsection"/>
        <w:spacing w:before="120"/>
        <w:rPr>
          <w:snapToGrid w:val="0"/>
        </w:rPr>
      </w:pPr>
      <w:r>
        <w:rPr>
          <w:snapToGrid w:val="0"/>
        </w:rPr>
        <w:tab/>
        <w:t>(1)</w:t>
      </w:r>
      <w:r>
        <w:rPr>
          <w:snapToGrid w:val="0"/>
        </w:rPr>
        <w:tab/>
        <w:t>In an authorisation given with respect to the treatment of a particular drug addict with methadone</w:t>
      </w:r>
      <w:r>
        <w:t xml:space="preserve"> or buprenorphine</w:t>
      </w:r>
      <w:r>
        <w:rPr>
          <w:snapToGrid w:val="0"/>
        </w:rPr>
        <w:t xml:space="preserve">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treatment administered by, a specified medical practitioner;</w:t>
      </w:r>
    </w:p>
    <w:p>
      <w:pPr>
        <w:pStyle w:val="Indenta"/>
        <w:rPr>
          <w:snapToGrid w:val="0"/>
        </w:rPr>
      </w:pPr>
      <w:r>
        <w:rPr>
          <w:snapToGrid w:val="0"/>
        </w:rPr>
        <w:tab/>
        <w:t>(b)</w:t>
      </w:r>
      <w:r>
        <w:rPr>
          <w:snapToGrid w:val="0"/>
        </w:rPr>
        <w:tab/>
        <w:t>that the type of methadone</w:t>
      </w:r>
      <w:r>
        <w:t xml:space="preserve"> or buprenorphine</w:t>
      </w:r>
      <w:r>
        <w:rPr>
          <w:snapToGrid w:val="0"/>
        </w:rPr>
        <w:t xml:space="preserve"> prescribed or administered be of the type specified;</w:t>
      </w:r>
    </w:p>
    <w:p>
      <w:pPr>
        <w:pStyle w:val="Indenta"/>
        <w:rPr>
          <w:snapToGrid w:val="0"/>
        </w:rPr>
      </w:pPr>
      <w:r>
        <w:rPr>
          <w:snapToGrid w:val="0"/>
        </w:rPr>
        <w:tab/>
        <w:t>(c)</w:t>
      </w:r>
      <w:r>
        <w:rPr>
          <w:snapToGrid w:val="0"/>
        </w:rPr>
        <w:tab/>
        <w:t>that the amount to be prescribed or used for treatment shall not exceed the amount specified;</w:t>
      </w:r>
    </w:p>
    <w:p>
      <w:pPr>
        <w:pStyle w:val="Indenta"/>
        <w:rPr>
          <w:snapToGrid w:val="0"/>
        </w:rPr>
      </w:pPr>
      <w:r>
        <w:rPr>
          <w:snapToGrid w:val="0"/>
        </w:rPr>
        <w:tab/>
        <w:t>(d)</w:t>
      </w:r>
      <w:r>
        <w:rPr>
          <w:snapToGrid w:val="0"/>
        </w:rPr>
        <w:tab/>
        <w:t>that the amount to be prescribed or used on any one day shall not exceed the amount specified;</w:t>
      </w:r>
    </w:p>
    <w:p>
      <w:pPr>
        <w:pStyle w:val="Indenta"/>
        <w:rPr>
          <w:snapToGrid w:val="0"/>
        </w:rPr>
      </w:pPr>
      <w:r>
        <w:rPr>
          <w:snapToGrid w:val="0"/>
        </w:rPr>
        <w:tab/>
        <w:t>(e)</w:t>
      </w:r>
      <w:r>
        <w:rPr>
          <w:snapToGrid w:val="0"/>
        </w:rPr>
        <w:tab/>
        <w:t>that the concentration to be prescribed or used shall not exceed the concentration specified;</w:t>
      </w:r>
    </w:p>
    <w:p>
      <w:pPr>
        <w:pStyle w:val="Indenta"/>
        <w:rPr>
          <w:snapToGrid w:val="0"/>
        </w:rPr>
      </w:pPr>
      <w:r>
        <w:rPr>
          <w:snapToGrid w:val="0"/>
        </w:rPr>
        <w:tab/>
        <w:t>(f)</w:t>
      </w:r>
      <w:r>
        <w:rPr>
          <w:snapToGrid w:val="0"/>
        </w:rPr>
        <w:tab/>
        <w:t>that the intervals between the issue of prescriptions or the administration of the treatment shall be such as are specified;</w:t>
      </w:r>
    </w:p>
    <w:p>
      <w:pPr>
        <w:pStyle w:val="Indenta"/>
        <w:rPr>
          <w:snapToGrid w:val="0"/>
        </w:rPr>
      </w:pPr>
      <w:r>
        <w:rPr>
          <w:snapToGrid w:val="0"/>
        </w:rPr>
        <w:tab/>
        <w:t>(g)</w:t>
      </w:r>
      <w:r>
        <w:rPr>
          <w:snapToGrid w:val="0"/>
        </w:rPr>
        <w:tab/>
        <w:t>that the prescription be supplied at the pharmacy or institution specified;</w:t>
      </w:r>
    </w:p>
    <w:p>
      <w:pPr>
        <w:pStyle w:val="Indenta"/>
        <w:rPr>
          <w:snapToGrid w:val="0"/>
        </w:rPr>
      </w:pPr>
      <w:r>
        <w:rPr>
          <w:snapToGrid w:val="0"/>
        </w:rPr>
        <w:tab/>
        <w:t>(h)</w:t>
      </w:r>
      <w:r>
        <w:rPr>
          <w:snapToGrid w:val="0"/>
        </w:rPr>
        <w:tab/>
        <w:t>that the amount dispensed on a single prescription form shall not exceed such amount as is specified;</w:t>
      </w:r>
    </w:p>
    <w:p>
      <w:pPr>
        <w:pStyle w:val="Indenta"/>
        <w:rPr>
          <w:snapToGrid w:val="0"/>
        </w:rPr>
      </w:pPr>
      <w:r>
        <w:rPr>
          <w:snapToGrid w:val="0"/>
        </w:rPr>
        <w:tab/>
        <w:t>(i)</w:t>
      </w:r>
      <w:r>
        <w:rPr>
          <w:snapToGrid w:val="0"/>
        </w:rPr>
        <w:tab/>
        <w:t>the amount that may be supplied on any one day shall not exceed such amount as is specified.</w:t>
      </w:r>
    </w:p>
    <w:p>
      <w:pPr>
        <w:pStyle w:val="Subsection"/>
        <w:rPr>
          <w:snapToGrid w:val="0"/>
        </w:rPr>
      </w:pPr>
      <w:r>
        <w:rPr>
          <w:snapToGrid w:val="0"/>
        </w:rPr>
        <w:tab/>
        <w:t>(2)</w:t>
      </w:r>
      <w:r>
        <w:rPr>
          <w:snapToGrid w:val="0"/>
        </w:rPr>
        <w:tab/>
        <w:t>Subject to subregulation (3) an authorisation under subregulation (1) is valid for a period of 12 months from the date of its issue or such earlier date (if any) as is specified.</w:t>
      </w:r>
    </w:p>
    <w:p>
      <w:pPr>
        <w:pStyle w:val="Subsection"/>
        <w:rPr>
          <w:snapToGrid w:val="0"/>
        </w:rPr>
      </w:pPr>
      <w:r>
        <w:rPr>
          <w:snapToGrid w:val="0"/>
        </w:rPr>
        <w:tab/>
        <w:t>(3)</w:t>
      </w:r>
      <w:r>
        <w:rPr>
          <w:snapToGrid w:val="0"/>
        </w:rPr>
        <w:tab/>
        <w:t>The Commissioner of Health may at any time revoke an authorisation or if the period has not expired vary the period for which the authorisation is valid.</w:t>
      </w:r>
    </w:p>
    <w:p>
      <w:pPr>
        <w:pStyle w:val="Subsection"/>
        <w:rPr>
          <w:snapToGrid w:val="0"/>
        </w:rPr>
      </w:pPr>
      <w:r>
        <w:rPr>
          <w:snapToGrid w:val="0"/>
        </w:rPr>
        <w:tab/>
        <w:t>(4)</w:t>
      </w:r>
      <w:r>
        <w:rPr>
          <w:snapToGrid w:val="0"/>
        </w:rPr>
        <w:tab/>
        <w:t>A medical practitioner shall not write, issue or authorise a prescription or document prescribing the use, sale or supply of methadone</w:t>
      </w:r>
      <w:r>
        <w:t xml:space="preserve"> or buprenorphine</w:t>
      </w:r>
      <w:r>
        <w:rPr>
          <w:snapToGrid w:val="0"/>
        </w:rPr>
        <w:t xml:space="preserve"> or supply methadone</w:t>
      </w:r>
      <w:r>
        <w:t xml:space="preserve"> or buprenorphine</w:t>
      </w:r>
      <w:r>
        <w:rPr>
          <w:snapToGrid w:val="0"/>
        </w:rPr>
        <w:t xml:space="preserve"> contrary to such conditions and restrictions as are specified.</w:t>
      </w:r>
    </w:p>
    <w:p>
      <w:pPr>
        <w:pStyle w:val="Subsection"/>
        <w:rPr>
          <w:snapToGrid w:val="0"/>
        </w:rPr>
      </w:pPr>
      <w:r>
        <w:rPr>
          <w:snapToGrid w:val="0"/>
        </w:rPr>
        <w:tab/>
        <w:t>(5)</w:t>
      </w:r>
      <w:r>
        <w:rPr>
          <w:snapToGrid w:val="0"/>
        </w:rPr>
        <w:tab/>
        <w:t>A pharmaceutical chemist shall not sell or supply methadone</w:t>
      </w:r>
      <w:r>
        <w:t xml:space="preserve"> or buprenorphine</w:t>
      </w:r>
      <w:r>
        <w:rPr>
          <w:snapToGrid w:val="0"/>
        </w:rPr>
        <w:t xml:space="preserve"> otherwise than in accordance with such conditions and restrictions as are specified.</w:t>
      </w:r>
    </w:p>
    <w:p>
      <w:pPr>
        <w:pStyle w:val="Subsection"/>
        <w:rPr>
          <w:snapToGrid w:val="0"/>
        </w:rPr>
      </w:pPr>
      <w:r>
        <w:rPr>
          <w:snapToGrid w:val="0"/>
        </w:rPr>
        <w:tab/>
        <w:t>(6)</w:t>
      </w:r>
      <w:r>
        <w:rPr>
          <w:snapToGrid w:val="0"/>
        </w:rPr>
        <w:tab/>
        <w:t>An authorisation issued under these regulations prior to 1 October 1980 is valid until it is revoked by the Commissioner of Health or until it expires whichever first occurs.</w:t>
      </w:r>
    </w:p>
    <w:p>
      <w:pPr>
        <w:pStyle w:val="Footnotesection"/>
      </w:pPr>
      <w:r>
        <w:tab/>
        <w:t>[Regulation 51E inserted in Gazette 29 Aug 1980 p. 3029; amended in Gazette 29 Jun 1984 p. 1784; 12 Apr 1991 p. 1609; 25 Jun 1993 p. 3085; 26 May 1994 p. 2201; 19 Mar 1996 p. 1230; 14 Aug 2001 p. 4253.]</w:t>
      </w:r>
    </w:p>
    <w:p>
      <w:pPr>
        <w:pStyle w:val="Heading5"/>
        <w:rPr>
          <w:snapToGrid w:val="0"/>
        </w:rPr>
      </w:pPr>
      <w:bookmarkStart w:id="120" w:name="_Toc393706829"/>
      <w:r>
        <w:rPr>
          <w:rStyle w:val="CharSectno"/>
        </w:rPr>
        <w:t>51F</w:t>
      </w:r>
      <w:r>
        <w:rPr>
          <w:snapToGrid w:val="0"/>
        </w:rPr>
        <w:t>.</w:t>
      </w:r>
      <w:r>
        <w:rPr>
          <w:snapToGrid w:val="0"/>
        </w:rPr>
        <w:tab/>
        <w:t>Treatment not to exceed 60 days unless authorised by Commissioner of Health</w:t>
      </w:r>
      <w:bookmarkEnd w:id="120"/>
      <w:r>
        <w:rPr>
          <w:snapToGrid w:val="0"/>
        </w:rPr>
        <w:t xml:space="preserve"> </w:t>
      </w:r>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 Commissioner of Health.</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 Commissioner of Health; or</w:t>
      </w:r>
    </w:p>
    <w:p>
      <w:pPr>
        <w:pStyle w:val="Indenta"/>
        <w:rPr>
          <w:snapToGrid w:val="0"/>
        </w:rPr>
      </w:pPr>
      <w:r>
        <w:rPr>
          <w:snapToGrid w:val="0"/>
        </w:rPr>
        <w:tab/>
        <w:t>(b)</w:t>
      </w:r>
      <w:r>
        <w:rPr>
          <w:snapToGrid w:val="0"/>
        </w:rPr>
        <w:tab/>
        <w:t>the Commissioner of Health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In any authorisation issued for the purposes of subregulation (1) or (2) given with respect to a particular person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120"/>
        <w:rPr>
          <w:snapToGrid w:val="0"/>
        </w:rPr>
      </w:pPr>
      <w:r>
        <w:rPr>
          <w:snapToGrid w:val="0"/>
        </w:rPr>
        <w:tab/>
        <w:t>(5)</w:t>
      </w:r>
      <w:r>
        <w:rPr>
          <w:snapToGrid w:val="0"/>
        </w:rPr>
        <w:tab/>
        <w:t>An authorisation issued for the purposes of subregulation (1) or (2) is valid for such period as is specified unless revoked by the Commissioner of Health before the expiration of that period.</w:t>
      </w:r>
    </w:p>
    <w:p>
      <w:pPr>
        <w:pStyle w:val="Subsection"/>
        <w:spacing w:before="12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2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120"/>
        <w:rPr>
          <w:snapToGrid w:val="0"/>
        </w:rPr>
      </w:pPr>
      <w:r>
        <w:rPr>
          <w:snapToGrid w:val="0"/>
        </w:rPr>
        <w:tab/>
        <w:t>(8)</w:t>
      </w:r>
      <w:r>
        <w:rPr>
          <w:snapToGrid w:val="0"/>
        </w:rPr>
        <w:tab/>
        <w:t>An authorisation issued prior to 1 October 1980 is valid until revoked by the Commissioner of Health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w:t>
      </w:r>
    </w:p>
    <w:p>
      <w:pPr>
        <w:pStyle w:val="Heading4"/>
      </w:pPr>
      <w:bookmarkStart w:id="121" w:name="_Toc393706830"/>
      <w:r>
        <w:t>Subdivision 3 — Supply and prescription of certain substances</w:t>
      </w:r>
      <w:bookmarkEnd w:id="121"/>
    </w:p>
    <w:p>
      <w:pPr>
        <w:pStyle w:val="Footnoteheading"/>
        <w:tabs>
          <w:tab w:val="left" w:pos="851"/>
        </w:tabs>
      </w:pPr>
      <w:r>
        <w:tab/>
        <w:t>[Heading inserted in Gazette 12 Aug 2003 p. 3664.]</w:t>
      </w:r>
    </w:p>
    <w:p>
      <w:pPr>
        <w:pStyle w:val="Heading5"/>
      </w:pPr>
      <w:bookmarkStart w:id="122" w:name="_Toc393706831"/>
      <w:r>
        <w:rPr>
          <w:rStyle w:val="CharSectno"/>
        </w:rPr>
        <w:t>51G</w:t>
      </w:r>
      <w:r>
        <w:t>.</w:t>
      </w:r>
      <w:r>
        <w:tab/>
        <w:t>Interpretation</w:t>
      </w:r>
      <w:bookmarkEnd w:id="122"/>
    </w:p>
    <w:p>
      <w:pPr>
        <w:pStyle w:val="Subsection"/>
      </w:pPr>
      <w:r>
        <w:tab/>
      </w:r>
      <w:r>
        <w:tab/>
        <w:t xml:space="preserve">In this Subdivision — </w:t>
      </w:r>
    </w:p>
    <w:p>
      <w:pPr>
        <w:pStyle w:val="Defstart"/>
      </w:pPr>
      <w:r>
        <w:tab/>
      </w:r>
      <w:r>
        <w:rPr>
          <w:b/>
          <w:bCs/>
        </w:rPr>
        <w:t>“</w:t>
      </w:r>
      <w:r>
        <w:rPr>
          <w:rStyle w:val="CharDefText"/>
        </w:rPr>
        <w:t>authorised practitioner</w:t>
      </w:r>
      <w:r>
        <w:rPr>
          <w:b/>
          <w:bCs/>
        </w:rPr>
        <w:t>”</w:t>
      </w:r>
      <w:r>
        <w:t xml:space="preserve"> means a medical practitioner who holds an authorisation under regulation 51GAB;</w:t>
      </w:r>
    </w:p>
    <w:p>
      <w:pPr>
        <w:pStyle w:val="Defstart"/>
      </w:pPr>
      <w:r>
        <w:rPr>
          <w:b/>
        </w:rPr>
        <w:tab/>
        <w:t>“</w:t>
      </w:r>
      <w:r>
        <w:rPr>
          <w:rStyle w:val="CharDefText"/>
        </w:rPr>
        <w:t>stimulant</w:t>
      </w:r>
      <w:r>
        <w:rPr>
          <w:b/>
        </w:rPr>
        <w: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pPr>
      <w:bookmarkStart w:id="123" w:name="_Toc393706832"/>
      <w:r>
        <w:rPr>
          <w:rStyle w:val="CharSectno"/>
        </w:rPr>
        <w:t>51GAA</w:t>
      </w:r>
      <w:r>
        <w:t>.</w:t>
      </w:r>
      <w:r>
        <w:tab/>
        <w:t>When a medical practitioner may supply or prescribe a stimulant</w:t>
      </w:r>
      <w:bookmarkEnd w:id="123"/>
    </w:p>
    <w:p>
      <w:pPr>
        <w:pStyle w:val="Subsection"/>
      </w:pPr>
      <w:r>
        <w:tab/>
      </w:r>
      <w:r>
        <w:tab/>
        <w:t>Despite regulations 51B and 51F, 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w:t>
      </w:r>
    </w:p>
    <w:p>
      <w:pPr>
        <w:pStyle w:val="Heading5"/>
      </w:pPr>
      <w:bookmarkStart w:id="124" w:name="_Toc393706833"/>
      <w:r>
        <w:rPr>
          <w:rStyle w:val="CharSectno"/>
        </w:rPr>
        <w:t>51GAB</w:t>
      </w:r>
      <w:r>
        <w:t>.</w:t>
      </w:r>
      <w:r>
        <w:tab/>
        <w:t>Authorisation to supply or prescribe a stimulant</w:t>
      </w:r>
      <w:bookmarkEnd w:id="124"/>
    </w:p>
    <w:p>
      <w:pPr>
        <w:pStyle w:val="Subsection"/>
      </w:pPr>
      <w:r>
        <w:tab/>
        <w:t>(1)</w:t>
      </w:r>
      <w:r>
        <w:tab/>
        <w:t>A medical practitioner may apply to the Commissioner of Health for authorisation to supply a stimulant or to provide a prescription for a stimulant.</w:t>
      </w:r>
    </w:p>
    <w:p>
      <w:pPr>
        <w:pStyle w:val="Subsection"/>
      </w:pPr>
      <w:r>
        <w:tab/>
        <w:t>(2)</w:t>
      </w:r>
      <w:r>
        <w:tab/>
        <w:t>The application must be in a form approved by the Commissioner of Health.</w:t>
      </w:r>
    </w:p>
    <w:p>
      <w:pPr>
        <w:pStyle w:val="Subsection"/>
      </w:pPr>
      <w:r>
        <w:tab/>
        <w:t>(3)</w:t>
      </w:r>
      <w:r>
        <w:tab/>
        <w:t>On receiving an application under subregulation (1) the Commissioner of Health may grant the authorisation.</w:t>
      </w:r>
    </w:p>
    <w:p>
      <w:pPr>
        <w:pStyle w:val="Subsection"/>
      </w:pPr>
      <w:r>
        <w:tab/>
        <w:t>(4)</w:t>
      </w:r>
      <w:r>
        <w:tab/>
        <w:t>An authorisation remains in force until the applicant ceases to be a registered medical practitioner or the Commissioner of Health revokes the authorisation.</w:t>
      </w:r>
    </w:p>
    <w:p>
      <w:pPr>
        <w:pStyle w:val="Subsection"/>
      </w:pPr>
      <w:r>
        <w:tab/>
        <w:t>(5)</w:t>
      </w:r>
      <w:r>
        <w:tab/>
        <w:t>The Commissioner of Health may by notice in writing cancel or vary the terms of an authorisation at any time.</w:t>
      </w:r>
    </w:p>
    <w:p>
      <w:pPr>
        <w:pStyle w:val="Footnotesection"/>
      </w:pPr>
      <w:r>
        <w:tab/>
        <w:t>[Regulation 51GAB inserted in Gazette 12 Aug 2003 p. 3659</w:t>
      </w:r>
      <w:r>
        <w:noBreakHyphen/>
        <w:t>60.]</w:t>
      </w:r>
    </w:p>
    <w:p>
      <w:pPr>
        <w:pStyle w:val="Heading5"/>
      </w:pPr>
      <w:bookmarkStart w:id="125" w:name="_Toc393706834"/>
      <w:r>
        <w:rPr>
          <w:rStyle w:val="CharSectno"/>
        </w:rPr>
        <w:t>51GAC</w:t>
      </w:r>
      <w:r>
        <w:t>.</w:t>
      </w:r>
      <w:r>
        <w:tab/>
        <w:t>When an authorised practitioner may supply or prescribe a stimulant</w:t>
      </w:r>
      <w:bookmarkEnd w:id="125"/>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126" w:name="_Toc393706835"/>
      <w:r>
        <w:rPr>
          <w:rStyle w:val="CharSectno"/>
        </w:rPr>
        <w:t>51GAD</w:t>
      </w:r>
      <w:r>
        <w:t>.</w:t>
      </w:r>
      <w:r>
        <w:tab/>
        <w:t>Treatment of attention deficit hyperactivity disorder with a stimulant</w:t>
      </w:r>
      <w:bookmarkEnd w:id="126"/>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Commissioner of Health,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Commissioner of Health,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w:t>
      </w:r>
    </w:p>
    <w:p>
      <w:pPr>
        <w:pStyle w:val="Heading5"/>
      </w:pPr>
      <w:bookmarkStart w:id="127" w:name="_Toc393706836"/>
      <w:r>
        <w:rPr>
          <w:rStyle w:val="CharSectno"/>
        </w:rPr>
        <w:t>51GAE</w:t>
      </w:r>
      <w:r>
        <w:t>.</w:t>
      </w:r>
      <w:r>
        <w:tab/>
        <w:t>Dose for supply or prescription of a stimulant</w:t>
      </w:r>
      <w:bookmarkEnd w:id="127"/>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Commissioner of Health,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Commissioner of Health, prescribe a total daily dosage exceeding 12 tablets/day for those stimulants.</w:t>
      </w:r>
    </w:p>
    <w:p>
      <w:pPr>
        <w:pStyle w:val="Footnotesection"/>
      </w:pPr>
      <w:r>
        <w:tab/>
        <w:t>[Regulation 51GAE inserted in Gazette 12 Aug 2003 p. 3661.]</w:t>
      </w:r>
    </w:p>
    <w:p>
      <w:pPr>
        <w:pStyle w:val="Heading5"/>
      </w:pPr>
      <w:bookmarkStart w:id="128" w:name="_Toc393706837"/>
      <w:r>
        <w:rPr>
          <w:rStyle w:val="CharSectno"/>
        </w:rPr>
        <w:t>51GAF</w:t>
      </w:r>
      <w:r>
        <w:t>.</w:t>
      </w:r>
      <w:r>
        <w:tab/>
        <w:t>Notification to Commissioner of Health of supply or prescription of a stimulant</w:t>
      </w:r>
      <w:bookmarkEnd w:id="128"/>
    </w:p>
    <w:p>
      <w:pPr>
        <w:pStyle w:val="Subsection"/>
      </w:pPr>
      <w:r>
        <w:tab/>
        <w:t>(1)</w:t>
      </w:r>
      <w:r>
        <w:tab/>
        <w:t xml:space="preserve">An authorised practitioner must notify the Commissioner of Health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Commissioner of Health.</w:t>
      </w:r>
    </w:p>
    <w:p>
      <w:pPr>
        <w:pStyle w:val="Subsection"/>
      </w:pPr>
      <w:r>
        <w:tab/>
        <w:t>(3)</w:t>
      </w:r>
      <w:r>
        <w:tab/>
        <w:t>Upon receiving notification under subregulation (1)(a) or (b), the Commissioner of Health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w:t>
      </w:r>
    </w:p>
    <w:p>
      <w:pPr>
        <w:pStyle w:val="Heading5"/>
      </w:pPr>
      <w:bookmarkStart w:id="129" w:name="_Toc393706838"/>
      <w:r>
        <w:rPr>
          <w:rStyle w:val="CharSectno"/>
        </w:rPr>
        <w:t>51GAG</w:t>
      </w:r>
      <w:r>
        <w:t>.</w:t>
      </w:r>
      <w:r>
        <w:tab/>
        <w:t>Co</w:t>
      </w:r>
      <w:r>
        <w:noBreakHyphen/>
        <w:t>prescriber for supply or prescription of a stimulant</w:t>
      </w:r>
      <w:bookmarkEnd w:id="129"/>
    </w:p>
    <w:p>
      <w:pPr>
        <w:pStyle w:val="Subsection"/>
      </w:pPr>
      <w:r>
        <w:tab/>
        <w:t>(1)</w:t>
      </w:r>
      <w:r>
        <w:tab/>
        <w:t>An authorised practitioner may nominate another medical practitioner to be a co</w:t>
      </w:r>
      <w:r>
        <w:noBreakHyphen/>
        <w:t>prescriber of a stimulant in a notification to the Commissioner of Health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w:t>
      </w:r>
    </w:p>
    <w:p>
      <w:pPr>
        <w:pStyle w:val="Heading5"/>
      </w:pPr>
      <w:bookmarkStart w:id="130" w:name="_Toc393706839"/>
      <w:r>
        <w:rPr>
          <w:rStyle w:val="CharSectno"/>
        </w:rPr>
        <w:t>51GAH</w:t>
      </w:r>
      <w:r>
        <w:t>.</w:t>
      </w:r>
      <w:r>
        <w:tab/>
        <w:t>Special authorisation to supply or prescription of a stimulant</w:t>
      </w:r>
      <w:bookmarkEnd w:id="130"/>
    </w:p>
    <w:p>
      <w:pPr>
        <w:pStyle w:val="Subsection"/>
      </w:pPr>
      <w:r>
        <w:tab/>
        <w:t>(1)</w:t>
      </w:r>
      <w:r>
        <w:tab/>
        <w:t>A medical practitioner may apply to the Commissioner of Health for a special authorisation to supply or prescribe a stimulant to a particular patient in circumstances not set out in regulation 51GAC.</w:t>
      </w:r>
    </w:p>
    <w:p>
      <w:pPr>
        <w:pStyle w:val="Subsection"/>
      </w:pPr>
      <w:r>
        <w:tab/>
        <w:t>(2)</w:t>
      </w:r>
      <w:r>
        <w:tab/>
        <w:t>The application must be in a form approved by the Commissioner of Health.</w:t>
      </w:r>
    </w:p>
    <w:p>
      <w:pPr>
        <w:pStyle w:val="Subsection"/>
      </w:pPr>
      <w:r>
        <w:tab/>
        <w:t>(3)</w:t>
      </w:r>
      <w:r>
        <w:tab/>
        <w:t>On an application under subregulation (1), the Commissioner of Health may grant the special authorisation if the Commissioner considers that there are sound medical grounds for doing so.</w:t>
      </w:r>
    </w:p>
    <w:p>
      <w:pPr>
        <w:pStyle w:val="Subsection"/>
      </w:pPr>
      <w:r>
        <w:tab/>
        <w:t>(4)</w:t>
      </w:r>
      <w:r>
        <w:tab/>
        <w:t>The Commissioner of Health may by notice in writing cancel or vary the terms of a special authorisation at any time.</w:t>
      </w:r>
    </w:p>
    <w:p>
      <w:pPr>
        <w:pStyle w:val="Footnotesection"/>
      </w:pPr>
      <w:r>
        <w:tab/>
        <w:t>[Regulation 51GAH inserted in Gazette 12 Aug 2003 p. 3662.]</w:t>
      </w:r>
    </w:p>
    <w:p>
      <w:pPr>
        <w:pStyle w:val="Heading5"/>
      </w:pPr>
      <w:bookmarkStart w:id="131" w:name="_Toc393706840"/>
      <w:r>
        <w:rPr>
          <w:rStyle w:val="CharSectno"/>
        </w:rPr>
        <w:t>51GAI</w:t>
      </w:r>
      <w:r>
        <w:t>.</w:t>
      </w:r>
      <w:r>
        <w:tab/>
        <w:t>Supply or prescription of a stimulant in a public hospital or prison</w:t>
      </w:r>
      <w:bookmarkEnd w:id="131"/>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132" w:name="_Toc393706841"/>
      <w:r>
        <w:rPr>
          <w:rStyle w:val="CharSectno"/>
        </w:rPr>
        <w:t>51GA</w:t>
      </w:r>
      <w:r>
        <w:rPr>
          <w:snapToGrid w:val="0"/>
        </w:rPr>
        <w:t>.</w:t>
      </w:r>
      <w:r>
        <w:rPr>
          <w:snapToGrid w:val="0"/>
        </w:rPr>
        <w:tab/>
        <w:t>Supply of dronabinol</w:t>
      </w:r>
      <w:bookmarkEnd w:id="132"/>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33" w:name="_Toc393706842"/>
      <w:r>
        <w:rPr>
          <w:rStyle w:val="CharSectno"/>
        </w:rPr>
        <w:t>51GB</w:t>
      </w:r>
      <w:r>
        <w:rPr>
          <w:snapToGrid w:val="0"/>
        </w:rPr>
        <w:t>.</w:t>
      </w:r>
      <w:r>
        <w:rPr>
          <w:snapToGrid w:val="0"/>
        </w:rPr>
        <w:tab/>
        <w:t>Supply of flunitrazepam</w:t>
      </w:r>
      <w:bookmarkEnd w:id="133"/>
      <w:r>
        <w:rPr>
          <w:snapToGrid w:val="0"/>
        </w:rPr>
        <w:t xml:space="preserve"> </w:t>
      </w:r>
    </w:p>
    <w:p>
      <w:pPr>
        <w:pStyle w:val="Subsection"/>
        <w:rPr>
          <w:snapToGrid w:val="0"/>
        </w:rPr>
      </w:pPr>
      <w:r>
        <w:rPr>
          <w:snapToGrid w:val="0"/>
        </w:rPr>
        <w:tab/>
        <w:t>(1)</w:t>
      </w:r>
      <w:r>
        <w:rPr>
          <w:snapToGrid w:val="0"/>
        </w:rPr>
        <w:tab/>
        <w:t>Notwithstanding regulations 51B to 51F, a medical practitioner shall not supply flunitrazepam or issue, write or authorise a prescription for flunitrazepam for a person unless that practitioner has been authorised in writing to do so in relation to that particular person by the Commissioner of Health.</w:t>
      </w:r>
    </w:p>
    <w:p>
      <w:pPr>
        <w:pStyle w:val="Subsection"/>
        <w:rPr>
          <w:snapToGrid w:val="0"/>
        </w:rPr>
      </w:pPr>
      <w:r>
        <w:rPr>
          <w:snapToGrid w:val="0"/>
        </w:rPr>
        <w:tab/>
        <w:t>(2)</w:t>
      </w:r>
      <w:r>
        <w:rPr>
          <w:snapToGrid w:val="0"/>
        </w:rPr>
        <w:tab/>
        <w:t xml:space="preserve">The Commissioner of Health shall give the authorisation an identifying number (in this regulation called </w:t>
      </w:r>
      <w:r>
        <w:rPr>
          <w:b/>
          <w:snapToGrid w:val="0"/>
        </w:rPr>
        <w:t>“</w:t>
      </w:r>
      <w:r>
        <w:rPr>
          <w:rStyle w:val="CharDefText"/>
        </w:rPr>
        <w:t>the HDWA Authorisation No.</w:t>
      </w:r>
      <w:r>
        <w:rPr>
          <w:b/>
          <w:snapToGrid w:val="0"/>
        </w:rPr>
        <w:t>”</w:t>
      </w:r>
      <w:r>
        <w:rPr>
          <w:snapToGrid w:val="0"/>
        </w:rPr>
        <w:t>).</w:t>
      </w:r>
    </w:p>
    <w:p>
      <w:pPr>
        <w:pStyle w:val="Subsection"/>
        <w:keepNext/>
        <w:keepLines/>
        <w:rPr>
          <w:snapToGrid w:val="0"/>
        </w:rPr>
      </w:pPr>
      <w:r>
        <w:rPr>
          <w:snapToGrid w:val="0"/>
        </w:rPr>
        <w:tab/>
        <w:t>(3)</w:t>
      </w:r>
      <w:r>
        <w:rPr>
          <w:snapToGrid w:val="0"/>
        </w:rPr>
        <w:tab/>
        <w:t>In an authorisation given under subregulation (1),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An authorisation issued for the purpose of subregulation (1) is valid for such period as is specified by the Commissioner of Health unless revoked by the Commissioner, by notice in writing served on the practitioner, before the expiration of that period.</w:t>
      </w:r>
    </w:p>
    <w:p>
      <w:pPr>
        <w:pStyle w:val="Subsection"/>
        <w:rPr>
          <w:snapToGrid w:val="0"/>
        </w:rPr>
      </w:pPr>
      <w:r>
        <w:rPr>
          <w:snapToGrid w:val="0"/>
        </w:rPr>
        <w:tab/>
        <w:t>(5)</w:t>
      </w:r>
      <w:r>
        <w:rPr>
          <w:snapToGrid w:val="0"/>
        </w:rPr>
        <w:tab/>
        <w:t>The Commissioner of Health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w:t>
      </w:r>
    </w:p>
    <w:p>
      <w:pPr>
        <w:pStyle w:val="Heading5"/>
        <w:rPr>
          <w:snapToGrid w:val="0"/>
        </w:rPr>
      </w:pPr>
      <w:bookmarkStart w:id="134" w:name="_Toc393706843"/>
      <w:r>
        <w:rPr>
          <w:rStyle w:val="CharSectno"/>
        </w:rPr>
        <w:t>51H</w:t>
      </w:r>
      <w:r>
        <w:rPr>
          <w:snapToGrid w:val="0"/>
        </w:rPr>
        <w:t>.</w:t>
      </w:r>
      <w:r>
        <w:rPr>
          <w:snapToGrid w:val="0"/>
        </w:rPr>
        <w:tab/>
        <w:t>Dentists not to prescribe or supply certain drugs of addiction</w:t>
      </w:r>
      <w:bookmarkEnd w:id="134"/>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 Commissioner of Health.</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Commonwealth Schedule</w:t>
      </w:r>
      <w:r>
        <w:rPr>
          <w:b/>
        </w:rPr>
        <w:t>”</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w:t>
      </w:r>
    </w:p>
    <w:p>
      <w:pPr>
        <w:pStyle w:val="Ednotesection"/>
      </w:pPr>
      <w:r>
        <w:t>[</w:t>
      </w:r>
      <w:r>
        <w:rPr>
          <w:b/>
        </w:rPr>
        <w:t>51J.</w:t>
      </w:r>
      <w:r>
        <w:rPr>
          <w:b/>
        </w:rPr>
        <w:tab/>
      </w:r>
      <w:r>
        <w:rPr>
          <w:b/>
        </w:rPr>
        <w:tab/>
      </w:r>
      <w:r>
        <w:t xml:space="preserve">Repealed in Gazette 12 Apr 1991 p. 1609.] </w:t>
      </w:r>
    </w:p>
    <w:p>
      <w:pPr>
        <w:pStyle w:val="Ednotedivision"/>
      </w:pPr>
      <w:r>
        <w:t>[Heading deleted in Gazette 12 Aug 2003 p. 3663.]</w:t>
      </w:r>
    </w:p>
    <w:p>
      <w:pPr>
        <w:pStyle w:val="Heading3"/>
      </w:pPr>
      <w:bookmarkStart w:id="135" w:name="_Toc393706844"/>
      <w:r>
        <w:rPr>
          <w:rStyle w:val="CharDivNo"/>
        </w:rPr>
        <w:t>Division 3</w:t>
      </w:r>
      <w:r>
        <w:t xml:space="preserve"> — </w:t>
      </w:r>
      <w:r>
        <w:rPr>
          <w:rStyle w:val="CharDivText"/>
        </w:rPr>
        <w:t>Dispensing and delivery</w:t>
      </w:r>
      <w:bookmarkEnd w:id="135"/>
    </w:p>
    <w:p>
      <w:pPr>
        <w:pStyle w:val="Footnoteheading"/>
        <w:tabs>
          <w:tab w:val="left" w:pos="851"/>
        </w:tabs>
      </w:pPr>
      <w:r>
        <w:tab/>
        <w:t>[Heading inserted in Gazette 12 Aug 2003 p. 3664.]</w:t>
      </w:r>
    </w:p>
    <w:p>
      <w:pPr>
        <w:pStyle w:val="Heading5"/>
        <w:rPr>
          <w:snapToGrid w:val="0"/>
        </w:rPr>
      </w:pPr>
      <w:bookmarkStart w:id="136" w:name="_Toc393706845"/>
      <w:r>
        <w:rPr>
          <w:rStyle w:val="CharSectno"/>
        </w:rPr>
        <w:t>52</w:t>
      </w:r>
      <w:r>
        <w:rPr>
          <w:snapToGrid w:val="0"/>
        </w:rPr>
        <w:t>.</w:t>
      </w:r>
      <w:r>
        <w:rPr>
          <w:snapToGrid w:val="0"/>
        </w:rPr>
        <w:tab/>
        <w:t>Dispensing drugs of addiction</w:t>
      </w:r>
      <w:bookmarkEnd w:id="136"/>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signed the prescription is a medical practitioner, a dentist or a veterinary surgeon; and</w:t>
      </w:r>
    </w:p>
    <w:p>
      <w:pPr>
        <w:pStyle w:val="Indenti"/>
      </w:pPr>
      <w:r>
        <w:tab/>
        <w:t>(iii)</w:t>
      </w:r>
      <w:r>
        <w:tab/>
        <w:t>in accordance with subregulation (3a), that the prescription was signed by the prescriber whose name appears on the prescription;</w:t>
      </w:r>
    </w:p>
    <w:p>
      <w:pPr>
        <w:pStyle w:val="Indenta"/>
      </w:pPr>
      <w:r>
        <w:tab/>
        <w:t>(b)</w:t>
      </w:r>
      <w:r>
        <w:tab/>
        <w:t>the drug of addiction shall not be dispensed under the prescription more than the maximum number of times indicated on the prescription, or at intervals less than those indicated on the prescription;</w:t>
      </w:r>
    </w:p>
    <w:p>
      <w:pPr>
        <w:pStyle w:val="Indenta"/>
      </w:pPr>
      <w:r>
        <w:tab/>
        <w:t>(ba)</w:t>
      </w:r>
      <w:r>
        <w:tab/>
        <w:t xml:space="preserve">on each occasion on which the drug of addiction is dispensed under the prescription the dispenser shall — </w:t>
      </w:r>
    </w:p>
    <w:p>
      <w:pPr>
        <w:pStyle w:val="Indenti"/>
      </w:pPr>
      <w:r>
        <w:tab/>
        <w:t>(i)</w:t>
      </w:r>
      <w:r>
        <w:tab/>
        <w:t>sign the prescription clearly in ink using his or her usual signature; and</w:t>
      </w:r>
    </w:p>
    <w:p>
      <w:pPr>
        <w:pStyle w:val="Indenti"/>
      </w:pPr>
      <w:r>
        <w:tab/>
        <w:t>(ii)</w:t>
      </w:r>
      <w:r>
        <w:tab/>
        <w:t>stamp or otherwise mark the prescription clearly in ink with the date on which the drug is dispensed;</w:t>
      </w:r>
    </w:p>
    <w:p>
      <w:pPr>
        <w:pStyle w:val="Indenta"/>
      </w:pPr>
      <w:r>
        <w:tab/>
        <w:t>(bb)</w:t>
      </w:r>
      <w:r>
        <w:tab/>
        <w:t>on the first occasion on which the drug of addiction is dispensed under the prescription, the dispenser shall stamp or otherwise mark the prescription clearly in ink with the name and address of the dispensary;</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where the dispenser dispenses less than the prescribed amount of the drug of addiction on presentation of the prescription and dispenses or intends to dispense the remainder on another occasion or occasions, the dispenser shall on each occasion on which part of the prescribed amount is dispensed, note on the prescription clearly in ink the amount dispensed and the date on which it was dispensed;</w:t>
      </w:r>
    </w:p>
    <w:p>
      <w:pPr>
        <w:pStyle w:val="Indenta"/>
      </w:pPr>
      <w:r>
        <w:tab/>
        <w:t>(e)</w:t>
      </w:r>
      <w:r>
        <w:tab/>
        <w:t xml:space="preserve">after dispensing the drug of addiction as directed by the prescription the dispenser shall — </w:t>
      </w:r>
    </w:p>
    <w:p>
      <w:pPr>
        <w:pStyle w:val="Indenti"/>
      </w:pPr>
      <w:r>
        <w:tab/>
        <w:t>(i)</w:t>
      </w:r>
      <w:r>
        <w:tab/>
        <w:t>mark the prescription with the number of occasions remaining (if any) on which the drug of addiction is to be dispensed under the prescription; and</w:t>
      </w:r>
    </w:p>
    <w:p>
      <w:pPr>
        <w:pStyle w:val="Indenti"/>
      </w:pPr>
      <w:r>
        <w:tab/>
        <w:t>(ii)</w:t>
      </w:r>
      <w:r>
        <w:tab/>
        <w:t>subject to subregulation (7), retain the prescription in safe custody at the dispensary;</w:t>
      </w:r>
    </w:p>
    <w:p>
      <w:pPr>
        <w:pStyle w:val="Indenta"/>
      </w:pPr>
      <w:r>
        <w:tab/>
        <w:t>(f)</w:t>
      </w:r>
      <w:r>
        <w:tab/>
        <w:t xml:space="preserve">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full address and date of birth of the patient or, in the case of a prescription for veterinary use, the name and full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rPr>
          <w:snapToGrid w:val="0"/>
        </w:rPr>
      </w:pPr>
      <w:r>
        <w:rPr>
          <w:snapToGrid w:val="0"/>
        </w:rPr>
        <w:tab/>
        <w:t>(4)</w:t>
      </w:r>
      <w:r>
        <w:rPr>
          <w:snapToGrid w:val="0"/>
        </w:rPr>
        <w:tab/>
      </w:r>
      <w:r>
        <w:t>A person shall not dispense a drug of addiction under a prescription</w:t>
      </w:r>
      <w:r>
        <w:rPr>
          <w:snapToGrid w:val="0"/>
        </w:rPr>
        <w:t xml:space="preserve"> marked “cancelled” or that is more than 6 months old.</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to be for the purpose of enabling some unauthorised person to obtain a drug of addiction, or which does not appear to be genuine.</w:t>
      </w:r>
    </w:p>
    <w:p>
      <w:pPr>
        <w:pStyle w:val="Subsection"/>
        <w:rPr>
          <w:snapToGrid w:val="0"/>
        </w:rPr>
      </w:pPr>
      <w:r>
        <w:rPr>
          <w:snapToGrid w:val="0"/>
        </w:rPr>
        <w:tab/>
        <w:t>(6)</w:t>
      </w:r>
      <w:r>
        <w:rPr>
          <w:snapToGrid w:val="0"/>
        </w:rPr>
        <w:tab/>
        <w:t>A pharmaceutical chemist shall retain possession of any prescription prescribing a drug of addiction presented to him for dispensing and which he suspects of being false in any particular and hold the prescription for such reasonable period as will enable him to satisfy himself as to its genuineness and make enquiries concerning the bona fides of the person by whom it is presented or the identity of the individual by whom such prescription purports to have been written.</w:t>
      </w:r>
    </w:p>
    <w:p>
      <w:pPr>
        <w:pStyle w:val="Subsection"/>
        <w:rPr>
          <w:snapToGrid w:val="0"/>
        </w:rPr>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 regulations, he shall cancel it and endorse upon its face in ink in his own handwriting the date and his usual signature, together with the address of the dispensary either stamped or written and forward it to the Commissioner of Health and inform the Commissioner of Health of the relevant circumstances and the reasons for his refusal to dispense </w:t>
      </w:r>
      <w:r>
        <w:t>the drug of addiction under</w:t>
      </w:r>
      <w:r>
        <w:rPr>
          <w:snapToGrid w:val="0"/>
        </w:rPr>
        <w:t xml:space="preserve"> the prescription.</w:t>
      </w:r>
    </w:p>
    <w:p>
      <w:pPr>
        <w:pStyle w:val="Subsection"/>
      </w:pPr>
      <w:r>
        <w:tab/>
        <w:t>(7)</w:t>
      </w:r>
      <w:r>
        <w:tab/>
        <w:t>The dispenser of a drug of addiction may transfer a prescription into the safe custody of another person if the transfer is approved by the Commissioner of Health under subregulation (7a).</w:t>
      </w:r>
    </w:p>
    <w:p>
      <w:pPr>
        <w:pStyle w:val="Subsection"/>
      </w:pPr>
      <w:r>
        <w:tab/>
        <w:t>(7a)</w:t>
      </w:r>
      <w:r>
        <w:tab/>
        <w:t>The Commissioner of Health may, on the oral application of the dispenser, give approval for the dispenser to transfer the prescription to another person by whom the drug can be dispensed in accordance with these regulations.</w:t>
      </w:r>
    </w:p>
    <w:p>
      <w:pPr>
        <w:pStyle w:val="Subsection"/>
        <w:keepNext/>
        <w:keepLines/>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5604-8.]</w:t>
      </w:r>
    </w:p>
    <w:p>
      <w:pPr>
        <w:pStyle w:val="Heading5"/>
        <w:rPr>
          <w:snapToGrid w:val="0"/>
        </w:rPr>
      </w:pPr>
      <w:bookmarkStart w:id="137" w:name="_Toc393706846"/>
      <w:r>
        <w:rPr>
          <w:rStyle w:val="CharSectno"/>
        </w:rPr>
        <w:t>52A</w:t>
      </w:r>
      <w:r>
        <w:rPr>
          <w:snapToGrid w:val="0"/>
        </w:rPr>
        <w:t>.</w:t>
      </w:r>
      <w:r>
        <w:rPr>
          <w:snapToGrid w:val="0"/>
        </w:rPr>
        <w:tab/>
        <w:t>Movement of drugs of addiction in other circumstances</w:t>
      </w:r>
      <w:bookmarkEnd w:id="13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38" w:name="_Toc393706847"/>
      <w:r>
        <w:rPr>
          <w:rStyle w:val="CharSectno"/>
        </w:rPr>
        <w:t>52B</w:t>
      </w:r>
      <w:r>
        <w:rPr>
          <w:snapToGrid w:val="0"/>
        </w:rPr>
        <w:t>.</w:t>
      </w:r>
      <w:r>
        <w:rPr>
          <w:snapToGrid w:val="0"/>
        </w:rPr>
        <w:tab/>
        <w:t>Manner of recording details</w:t>
      </w:r>
      <w:bookmarkEnd w:id="138"/>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 Commissioner of Health; or</w:t>
      </w:r>
    </w:p>
    <w:p>
      <w:pPr>
        <w:pStyle w:val="Indenta"/>
        <w:rPr>
          <w:snapToGrid w:val="0"/>
        </w:rPr>
      </w:pPr>
      <w:r>
        <w:rPr>
          <w:snapToGrid w:val="0"/>
        </w:rPr>
        <w:tab/>
        <w:t>(b)</w:t>
      </w:r>
      <w:r>
        <w:rPr>
          <w:snapToGrid w:val="0"/>
        </w:rPr>
        <w:tab/>
        <w:t>entered in a computerised recording system approved by the Commissioner of Health.</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w:t>
      </w:r>
    </w:p>
    <w:p>
      <w:pPr>
        <w:pStyle w:val="Ednotedivision"/>
      </w:pPr>
      <w:r>
        <w:t>[Heading deleted in Gazette 12 Aug 2003 p. 3663.]</w:t>
      </w:r>
    </w:p>
    <w:p>
      <w:pPr>
        <w:pStyle w:val="Heading5"/>
        <w:rPr>
          <w:snapToGrid w:val="0"/>
        </w:rPr>
      </w:pPr>
      <w:bookmarkStart w:id="139" w:name="_Toc393706848"/>
      <w:r>
        <w:rPr>
          <w:rStyle w:val="CharSectno"/>
        </w:rPr>
        <w:t>52C</w:t>
      </w:r>
      <w:r>
        <w:rPr>
          <w:snapToGrid w:val="0"/>
        </w:rPr>
        <w:t>.</w:t>
      </w:r>
      <w:r>
        <w:rPr>
          <w:snapToGrid w:val="0"/>
        </w:rPr>
        <w:tab/>
        <w:t>Returns to department</w:t>
      </w:r>
      <w:bookmarkEnd w:id="139"/>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40" w:name="_Toc393706849"/>
      <w:r>
        <w:rPr>
          <w:rStyle w:val="CharSectno"/>
        </w:rPr>
        <w:t>53</w:t>
      </w:r>
      <w:r>
        <w:rPr>
          <w:snapToGrid w:val="0"/>
        </w:rPr>
        <w:t>.</w:t>
      </w:r>
      <w:r>
        <w:rPr>
          <w:snapToGrid w:val="0"/>
        </w:rPr>
        <w:tab/>
        <w:t>Dispensing poisons included in Schedule 8 in case of emergency</w:t>
      </w:r>
      <w:bookmarkEnd w:id="140"/>
      <w:r>
        <w:rPr>
          <w:snapToGrid w:val="0"/>
        </w:rPr>
        <w:t xml:space="preserve"> </w:t>
      </w:r>
    </w:p>
    <w:p>
      <w:pPr>
        <w:pStyle w:val="Subsection"/>
        <w:rPr>
          <w:snapToGrid w:val="0"/>
        </w:rPr>
      </w:pPr>
      <w:r>
        <w:rPr>
          <w:snapToGrid w:val="0"/>
        </w:rPr>
        <w:tab/>
        <w:t>(1)</w:t>
      </w:r>
      <w:r>
        <w:rPr>
          <w:snapToGrid w:val="0"/>
        </w:rPr>
        <w:tab/>
        <w:t>Where a medical practitioner, dentist or veterinary surgeon in a case of emergency orally or by telephone or telegram directs the dispensing of a poison included in Schedule 8, he shall forthwith write a prescription complying with the conditions prescribed in regulation 51, mark such prescription so as to show clearly that it is in confirmation of the directions given by him orally or by telephone or telegram, and dispatch such prescription within 24 hours to the person by whom the poison included in Schedule 8 was dispensed.</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 him within 72 hours, immediately report the circumstances to the Commissioner of Health.</w:t>
      </w:r>
    </w:p>
    <w:p>
      <w:pPr>
        <w:pStyle w:val="Footnotesection"/>
      </w:pPr>
      <w:r>
        <w:tab/>
        <w:t>[Regulation 53 amended in Gazette 23 Sep 1983 p. 3806; 27 May 1988 p. 1771; 25 Jun 1993 p. 3085; 26 May 1994 p. 2201; 19 Mar 1996 p. 1232.]</w:t>
      </w:r>
    </w:p>
    <w:p>
      <w:pPr>
        <w:pStyle w:val="Ednotedivision"/>
      </w:pPr>
      <w:r>
        <w:t>[Heading deleted in Gazette 12 Aug 2003 p. 3663.]</w:t>
      </w:r>
    </w:p>
    <w:p>
      <w:pPr>
        <w:pStyle w:val="Heading5"/>
        <w:rPr>
          <w:snapToGrid w:val="0"/>
        </w:rPr>
      </w:pPr>
      <w:bookmarkStart w:id="141" w:name="_Toc393706850"/>
      <w:r>
        <w:rPr>
          <w:rStyle w:val="CharSectno"/>
        </w:rPr>
        <w:t>53A</w:t>
      </w:r>
      <w:r>
        <w:rPr>
          <w:snapToGrid w:val="0"/>
        </w:rPr>
        <w:t>.</w:t>
      </w:r>
      <w:r>
        <w:rPr>
          <w:snapToGrid w:val="0"/>
        </w:rPr>
        <w:tab/>
        <w:t>Dispensing certain poisons included in Schedule 8</w:t>
      </w:r>
      <w:bookmarkEnd w:id="141"/>
      <w:r>
        <w:rPr>
          <w:snapToGrid w:val="0"/>
        </w:rPr>
        <w:t xml:space="preserve"> </w:t>
      </w:r>
    </w:p>
    <w:p>
      <w:pPr>
        <w:pStyle w:val="Subsection"/>
      </w:pPr>
      <w:r>
        <w:rPr>
          <w:snapToGrid w:val="0"/>
        </w:rPr>
        <w:tab/>
        <w:t>(1)</w:t>
      </w:r>
      <w:r>
        <w:rPr>
          <w:snapToGrid w:val="0"/>
        </w:rPr>
        <w:tab/>
        <w:t xml:space="preserve">A person shall not dispense a prescription for or supply upon a prescription any of the following poisons included in Schedule 8, namely — </w:t>
      </w:r>
    </w:p>
    <w:p>
      <w:pPr>
        <w:pStyle w:val="MiscellaneousHeading"/>
        <w:rPr>
          <w:b/>
          <w:bCs/>
          <w:snapToGrid w:val="0"/>
        </w:rPr>
      </w:pPr>
    </w:p>
    <w:tbl>
      <w:tblPr>
        <w:tblW w:w="0" w:type="auto"/>
        <w:tblInd w:w="1134" w:type="dxa"/>
        <w:tblLook w:val="0000" w:firstRow="0" w:lastRow="0" w:firstColumn="0" w:lastColumn="0" w:noHBand="0" w:noVBand="0"/>
      </w:tblPr>
      <w:tblGrid>
        <w:gridCol w:w="2660"/>
      </w:tblGrid>
      <w:tr>
        <w:tc>
          <w:tcPr>
            <w:tcW w:w="2660" w:type="dxa"/>
          </w:tcPr>
          <w:p>
            <w:pPr>
              <w:pStyle w:val="Table"/>
              <w:spacing w:before="0"/>
            </w:pPr>
            <w:r>
              <w:t>Amphetamine</w:t>
            </w:r>
          </w:p>
        </w:tc>
      </w:tr>
      <w:tr>
        <w:tc>
          <w:tcPr>
            <w:tcW w:w="2660" w:type="dxa"/>
          </w:tcPr>
          <w:p>
            <w:pPr>
              <w:pStyle w:val="Table"/>
              <w:spacing w:before="0"/>
              <w:rPr>
                <w:snapToGrid w:val="0"/>
              </w:rPr>
            </w:pPr>
            <w:r>
              <w:t>Buprenorphine</w:t>
            </w:r>
            <w:r>
              <w:rPr>
                <w:snapToGrid w:val="0"/>
              </w:rPr>
              <w:t xml:space="preserve"> </w:t>
            </w:r>
          </w:p>
        </w:tc>
      </w:tr>
      <w:tr>
        <w:tc>
          <w:tcPr>
            <w:tcW w:w="2660" w:type="dxa"/>
          </w:tcPr>
          <w:p>
            <w:pPr>
              <w:pStyle w:val="Table"/>
              <w:spacing w:before="0"/>
            </w:pPr>
            <w:r>
              <w:t>Dexamphetamine</w:t>
            </w:r>
          </w:p>
        </w:tc>
      </w:tr>
      <w:tr>
        <w:tc>
          <w:tcPr>
            <w:tcW w:w="2660" w:type="dxa"/>
          </w:tcPr>
          <w:p>
            <w:pPr>
              <w:pStyle w:val="Table"/>
              <w:spacing w:before="0"/>
              <w:rPr>
                <w:snapToGrid w:val="0"/>
              </w:rPr>
            </w:pPr>
            <w:r>
              <w:rPr>
                <w:snapToGrid w:val="0"/>
              </w:rPr>
              <w:t>Dextromoramide</w:t>
            </w:r>
          </w:p>
        </w:tc>
      </w:tr>
      <w:tr>
        <w:tc>
          <w:tcPr>
            <w:tcW w:w="2660" w:type="dxa"/>
          </w:tcPr>
          <w:p>
            <w:pPr>
              <w:pStyle w:val="Table"/>
              <w:spacing w:before="0"/>
              <w:rPr>
                <w:snapToGrid w:val="0"/>
              </w:rPr>
            </w:pPr>
            <w:r>
              <w:rPr>
                <w:snapToGrid w:val="0"/>
              </w:rPr>
              <w:t>Flunitrazepam</w:t>
            </w:r>
          </w:p>
        </w:tc>
      </w:tr>
      <w:tr>
        <w:tc>
          <w:tcPr>
            <w:tcW w:w="2660" w:type="dxa"/>
          </w:tcPr>
          <w:p>
            <w:pPr>
              <w:pStyle w:val="Table"/>
              <w:spacing w:before="0"/>
              <w:rPr>
                <w:snapToGrid w:val="0"/>
              </w:rPr>
            </w:pPr>
            <w:r>
              <w:rPr>
                <w:snapToGrid w:val="0"/>
              </w:rPr>
              <w:t>Hydromorphone</w:t>
            </w:r>
          </w:p>
        </w:tc>
      </w:tr>
      <w:tr>
        <w:tc>
          <w:tcPr>
            <w:tcW w:w="2660" w:type="dxa"/>
          </w:tcPr>
          <w:p>
            <w:pPr>
              <w:pStyle w:val="Table"/>
              <w:spacing w:before="0"/>
              <w:rPr>
                <w:snapToGrid w:val="0"/>
              </w:rPr>
            </w:pPr>
            <w:r>
              <w:rPr>
                <w:snapToGrid w:val="0"/>
              </w:rPr>
              <w:t>Methadone</w:t>
            </w:r>
          </w:p>
        </w:tc>
      </w:tr>
      <w:tr>
        <w:tc>
          <w:tcPr>
            <w:tcW w:w="2660" w:type="dxa"/>
          </w:tcPr>
          <w:p>
            <w:pPr>
              <w:pStyle w:val="Table"/>
              <w:spacing w:before="0"/>
            </w:pPr>
            <w:r>
              <w:t>Methylamphetamine</w:t>
            </w:r>
          </w:p>
        </w:tc>
      </w:tr>
      <w:tr>
        <w:tc>
          <w:tcPr>
            <w:tcW w:w="2660" w:type="dxa"/>
          </w:tcPr>
          <w:p>
            <w:pPr>
              <w:pStyle w:val="Table"/>
              <w:spacing w:before="0"/>
            </w:pPr>
            <w:r>
              <w:t>Methylphenidate</w:t>
            </w:r>
          </w:p>
        </w:tc>
      </w:tr>
      <w:tr>
        <w:tc>
          <w:tcPr>
            <w:tcW w:w="2660" w:type="dxa"/>
          </w:tcPr>
          <w:p>
            <w:pPr>
              <w:pStyle w:val="Table"/>
              <w:spacing w:before="0"/>
              <w:rPr>
                <w:snapToGrid w:val="0"/>
              </w:rPr>
            </w:pPr>
            <w:r>
              <w:rPr>
                <w:snapToGrid w:val="0"/>
              </w:rPr>
              <w:t>Morphine</w:t>
            </w:r>
          </w:p>
        </w:tc>
      </w:tr>
      <w:tr>
        <w:tc>
          <w:tcPr>
            <w:tcW w:w="2660" w:type="dxa"/>
          </w:tcPr>
          <w:p>
            <w:pPr>
              <w:pStyle w:val="Table"/>
              <w:spacing w:before="0"/>
              <w:rPr>
                <w:snapToGrid w:val="0"/>
              </w:rPr>
            </w:pPr>
            <w:r>
              <w:t>Oxycodone</w:t>
            </w:r>
          </w:p>
        </w:tc>
      </w:tr>
      <w:tr>
        <w:tc>
          <w:tcPr>
            <w:tcW w:w="2660" w:type="dxa"/>
          </w:tcPr>
          <w:p>
            <w:pPr>
              <w:pStyle w:val="Table"/>
              <w:spacing w:before="0"/>
            </w:pPr>
            <w:r>
              <w:rPr>
                <w:snapToGrid w:val="0"/>
              </w:rPr>
              <w:t>Pethidine</w:t>
            </w:r>
            <w:r>
              <w:t xml:space="preserve"> </w:t>
            </w:r>
          </w:p>
        </w:tc>
      </w:tr>
      <w:tr>
        <w:tc>
          <w:tcPr>
            <w:tcW w:w="2660" w:type="dxa"/>
          </w:tcPr>
          <w:p>
            <w:pPr>
              <w:pStyle w:val="Table"/>
              <w:spacing w:before="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he is familiar with the prescriber’s handwriting; or</w:t>
      </w:r>
    </w:p>
    <w:p>
      <w:pPr>
        <w:pStyle w:val="Indenta"/>
        <w:rPr>
          <w:snapToGrid w:val="0"/>
        </w:rPr>
      </w:pPr>
      <w:r>
        <w:rPr>
          <w:snapToGrid w:val="0"/>
        </w:rPr>
        <w:tab/>
        <w:t>(b)</w:t>
      </w:r>
      <w:r>
        <w:rPr>
          <w:snapToGrid w:val="0"/>
        </w:rPr>
        <w:tab/>
        <w:t>he has verified with the purported prescriber that the prescription was written by him.</w:t>
      </w:r>
    </w:p>
    <w:p>
      <w:pPr>
        <w:pStyle w:val="Subsection"/>
        <w:rPr>
          <w:snapToGrid w:val="0"/>
        </w:rPr>
      </w:pPr>
      <w:r>
        <w:rPr>
          <w:snapToGrid w:val="0"/>
        </w:rPr>
        <w:tab/>
        <w:t>(2)</w:t>
      </w:r>
      <w:r>
        <w:rPr>
          <w:snapToGrid w:val="0"/>
        </w:rPr>
        <w:tab/>
        <w:t>Where a person cannot comply with subregulation (1), for good cause, he may dispense the prescription for, or supply upon the prescription, a quantity of the poison included in Schedule 8 sufficient to enable treatment at the rate prescribed for no more than 2 days.</w:t>
      </w:r>
    </w:p>
    <w:p>
      <w:pPr>
        <w:pStyle w:val="Footnotesection"/>
      </w:pPr>
      <w:r>
        <w:tab/>
        <w:t>[Regulation 53A inserted in Gazette 23 Sep 1983 p. 3806; amended in Gazette 19 Mar 1996 p. 1232; 26 May 1998 p. 2967; 16 Nov 2001 p. 5985; 13 Aug 2002 p. 4181; 12 Aug 2003 p. 3663.]</w:t>
      </w:r>
    </w:p>
    <w:p>
      <w:pPr>
        <w:pStyle w:val="Ednotedivision"/>
      </w:pPr>
      <w:r>
        <w:t>[Heading deleted in Gazette 12 Aug 2003 p. 3663.]</w:t>
      </w:r>
    </w:p>
    <w:p>
      <w:pPr>
        <w:pStyle w:val="Heading5"/>
        <w:rPr>
          <w:snapToGrid w:val="0"/>
        </w:rPr>
      </w:pPr>
      <w:bookmarkStart w:id="142" w:name="_Toc393706851"/>
      <w:r>
        <w:rPr>
          <w:rStyle w:val="CharSectno"/>
        </w:rPr>
        <w:t>54</w:t>
      </w:r>
      <w:r>
        <w:rPr>
          <w:snapToGrid w:val="0"/>
        </w:rPr>
        <w:t>.</w:t>
      </w:r>
      <w:r>
        <w:rPr>
          <w:snapToGrid w:val="0"/>
        </w:rPr>
        <w:tab/>
        <w:t>Delivery of poisons included in Schedule 8 on order</w:t>
      </w:r>
      <w:bookmarkEnd w:id="142"/>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Commissioner of Health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w:t>
      </w:r>
    </w:p>
    <w:p>
      <w:pPr>
        <w:pStyle w:val="Heading5"/>
        <w:rPr>
          <w:snapToGrid w:val="0"/>
        </w:rPr>
      </w:pPr>
      <w:bookmarkStart w:id="143" w:name="_Toc393706852"/>
      <w:r>
        <w:rPr>
          <w:rStyle w:val="CharSectno"/>
        </w:rPr>
        <w:t>54A</w:t>
      </w:r>
      <w:r>
        <w:rPr>
          <w:snapToGrid w:val="0"/>
        </w:rPr>
        <w:t>.</w:t>
      </w:r>
      <w:r>
        <w:rPr>
          <w:snapToGrid w:val="0"/>
        </w:rPr>
        <w:tab/>
        <w:t>Packaging of drugs of addiction</w:t>
      </w:r>
      <w:bookmarkEnd w:id="143"/>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pPr>
      <w:r>
        <w:t>[Heading deleted in Gazette 12 Aug 2003 p. 3663.]</w:t>
      </w:r>
    </w:p>
    <w:p>
      <w:pPr>
        <w:pStyle w:val="Heading5"/>
        <w:rPr>
          <w:snapToGrid w:val="0"/>
        </w:rPr>
      </w:pPr>
      <w:bookmarkStart w:id="144" w:name="_Toc393706853"/>
      <w:r>
        <w:rPr>
          <w:rStyle w:val="CharSectno"/>
        </w:rPr>
        <w:t>55</w:t>
      </w:r>
      <w:r>
        <w:rPr>
          <w:snapToGrid w:val="0"/>
        </w:rPr>
        <w:t>.</w:t>
      </w:r>
      <w:r>
        <w:rPr>
          <w:snapToGrid w:val="0"/>
        </w:rPr>
        <w:tab/>
        <w:t>Common carrier protected</w:t>
      </w:r>
      <w:bookmarkEnd w:id="144"/>
      <w:r>
        <w:rPr>
          <w:snapToGrid w:val="0"/>
        </w:rPr>
        <w:t xml:space="preserve"> </w:t>
      </w:r>
    </w:p>
    <w:p>
      <w:pPr>
        <w:pStyle w:val="Subsection"/>
        <w:rPr>
          <w:snapToGrid w:val="0"/>
        </w:rPr>
      </w:pPr>
      <w:r>
        <w:rPr>
          <w:snapToGrid w:val="0"/>
        </w:rPr>
        <w:tab/>
      </w:r>
      <w:r>
        <w:rPr>
          <w:snapToGrid w:val="0"/>
        </w:rPr>
        <w:tab/>
        <w:t>A common carrier or his employee is hereby authorised to be in possession of any drug of addiction so far only as the possession is necessary for the transport of the drug of addiction in the ordinary course of business.</w:t>
      </w:r>
    </w:p>
    <w:p>
      <w:pPr>
        <w:pStyle w:val="Ednotedivision"/>
      </w:pPr>
      <w:r>
        <w:t>[Heading deleted in Gazette 12 Aug 2003 p. 3663.]</w:t>
      </w:r>
    </w:p>
    <w:p>
      <w:pPr>
        <w:pStyle w:val="Heading3"/>
      </w:pPr>
      <w:bookmarkStart w:id="145" w:name="_Toc393706854"/>
      <w:r>
        <w:rPr>
          <w:rStyle w:val="CharDivNo"/>
        </w:rPr>
        <w:t>Division 4</w:t>
      </w:r>
      <w:r>
        <w:t xml:space="preserve"> — </w:t>
      </w:r>
      <w:r>
        <w:rPr>
          <w:rStyle w:val="CharDivText"/>
        </w:rPr>
        <w:t>Safe custody</w:t>
      </w:r>
      <w:bookmarkEnd w:id="145"/>
    </w:p>
    <w:p>
      <w:pPr>
        <w:pStyle w:val="Footnoteheading"/>
        <w:tabs>
          <w:tab w:val="left" w:pos="851"/>
        </w:tabs>
        <w:rPr>
          <w:i w:val="0"/>
        </w:rPr>
      </w:pPr>
      <w:r>
        <w:tab/>
        <w:t>[Heading inserted in Gazette 12 Aug 2003 p. 3665.]</w:t>
      </w:r>
    </w:p>
    <w:p>
      <w:pPr>
        <w:pStyle w:val="Heading5"/>
        <w:rPr>
          <w:snapToGrid w:val="0"/>
        </w:rPr>
      </w:pPr>
      <w:bookmarkStart w:id="146" w:name="_Toc393706855"/>
      <w:r>
        <w:rPr>
          <w:rStyle w:val="CharSectno"/>
        </w:rPr>
        <w:t>56</w:t>
      </w:r>
      <w:r>
        <w:rPr>
          <w:snapToGrid w:val="0"/>
        </w:rPr>
        <w:t>.</w:t>
      </w:r>
      <w:r>
        <w:rPr>
          <w:snapToGrid w:val="0"/>
        </w:rPr>
        <w:tab/>
        <w:t>Storing and securing drugs of addiction</w:t>
      </w:r>
      <w:bookmarkEnd w:id="14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keepNext/>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to a person who has the written permission of the Commissioner of Health to store a drug of addiction in a manner and with such security arrangements as are specified by the Commissioner of Health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w:t>
      </w:r>
    </w:p>
    <w:p>
      <w:pPr>
        <w:pStyle w:val="Heading5"/>
        <w:rPr>
          <w:snapToGrid w:val="0"/>
        </w:rPr>
      </w:pPr>
      <w:bookmarkStart w:id="147" w:name="_Toc393706856"/>
      <w:r>
        <w:rPr>
          <w:rStyle w:val="CharSectno"/>
        </w:rPr>
        <w:t>56A</w:t>
      </w:r>
      <w:r>
        <w:rPr>
          <w:snapToGrid w:val="0"/>
        </w:rPr>
        <w:t>.</w:t>
      </w:r>
      <w:r>
        <w:rPr>
          <w:snapToGrid w:val="0"/>
        </w:rPr>
        <w:tab/>
        <w:t>Prescribed amount of poisons included in Schedule 8</w:t>
      </w:r>
      <w:bookmarkEnd w:id="147"/>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Repealed in Gazette 25 Jun 1993 p. 3081.] </w:t>
      </w:r>
    </w:p>
    <w:p>
      <w:pPr>
        <w:pStyle w:val="Heading5"/>
        <w:rPr>
          <w:snapToGrid w:val="0"/>
        </w:rPr>
      </w:pPr>
      <w:bookmarkStart w:id="148" w:name="_Toc393706857"/>
      <w:r>
        <w:rPr>
          <w:rStyle w:val="CharSectno"/>
        </w:rPr>
        <w:t>56B</w:t>
      </w:r>
      <w:r>
        <w:rPr>
          <w:snapToGrid w:val="0"/>
        </w:rPr>
        <w:t>.</w:t>
      </w:r>
      <w:r>
        <w:rPr>
          <w:snapToGrid w:val="0"/>
        </w:rPr>
        <w:tab/>
        <w:t>Location of safe in premises</w:t>
      </w:r>
      <w:bookmarkEnd w:id="14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49" w:name="_Toc393706858"/>
      <w:r>
        <w:rPr>
          <w:rStyle w:val="CharSectno"/>
        </w:rPr>
        <w:t>56C</w:t>
      </w:r>
      <w:r>
        <w:rPr>
          <w:snapToGrid w:val="0"/>
        </w:rPr>
        <w:t>.</w:t>
      </w:r>
      <w:r>
        <w:rPr>
          <w:snapToGrid w:val="0"/>
        </w:rPr>
        <w:tab/>
        <w:t>Authorised persons to keep keys to safes</w:t>
      </w:r>
      <w:bookmarkEnd w:id="14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ensure that the key to the safe is in the immediate and personal possession of a person who has been authorised by the Commissioner of Health to have possession of the key.</w:t>
      </w:r>
    </w:p>
    <w:p>
      <w:pPr>
        <w:pStyle w:val="Footnotesection"/>
      </w:pPr>
      <w:r>
        <w:tab/>
        <w:t xml:space="preserve">[Regulation 56C inserted in Gazette 25 Jun 1993 p. 3082; amended in Gazette 26 May 1994 p. 2201.] </w:t>
      </w:r>
    </w:p>
    <w:p>
      <w:pPr>
        <w:pStyle w:val="Heading5"/>
        <w:rPr>
          <w:snapToGrid w:val="0"/>
        </w:rPr>
      </w:pPr>
      <w:bookmarkStart w:id="150" w:name="_Toc393706859"/>
      <w:r>
        <w:rPr>
          <w:rStyle w:val="CharSectno"/>
        </w:rPr>
        <w:t>56D</w:t>
      </w:r>
      <w:r>
        <w:rPr>
          <w:snapToGrid w:val="0"/>
        </w:rPr>
        <w:t>.</w:t>
      </w:r>
      <w:r>
        <w:rPr>
          <w:snapToGrid w:val="0"/>
        </w:rPr>
        <w:tab/>
        <w:t>Safes to be kept locked</w:t>
      </w:r>
      <w:bookmarkEnd w:id="150"/>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151" w:name="_Toc393706860"/>
      <w:r>
        <w:rPr>
          <w:rStyle w:val="CharSectno"/>
        </w:rPr>
        <w:t>56E</w:t>
      </w:r>
      <w:r>
        <w:rPr>
          <w:snapToGrid w:val="0"/>
        </w:rPr>
        <w:t>.</w:t>
      </w:r>
      <w:r>
        <w:rPr>
          <w:snapToGrid w:val="0"/>
        </w:rPr>
        <w:tab/>
        <w:t>Pharmacist present on premises</w:t>
      </w:r>
      <w:bookmarkEnd w:id="151"/>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152" w:name="_Toc393706861"/>
      <w:r>
        <w:rPr>
          <w:rStyle w:val="CharSectno"/>
        </w:rPr>
        <w:t>56F</w:t>
      </w:r>
      <w:r>
        <w:rPr>
          <w:snapToGrid w:val="0"/>
        </w:rPr>
        <w:t>.</w:t>
      </w:r>
      <w:r>
        <w:rPr>
          <w:snapToGrid w:val="0"/>
        </w:rPr>
        <w:tab/>
        <w:t>Keys to, and locking of, poisons cupboards and lockable drawers</w:t>
      </w:r>
      <w:bookmarkEnd w:id="152"/>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53" w:name="_Toc393706862"/>
      <w:r>
        <w:rPr>
          <w:rStyle w:val="CharSectno"/>
        </w:rPr>
        <w:t>56G</w:t>
      </w:r>
      <w:r>
        <w:rPr>
          <w:snapToGrid w:val="0"/>
        </w:rPr>
        <w:t>.</w:t>
      </w:r>
      <w:r>
        <w:rPr>
          <w:snapToGrid w:val="0"/>
        </w:rPr>
        <w:tab/>
        <w:t>Poisons included in Schedule 8 in hospital ward</w:t>
      </w:r>
      <w:bookmarkEnd w:id="153"/>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54" w:name="_Toc393706863"/>
      <w:r>
        <w:rPr>
          <w:rStyle w:val="CharSectno"/>
        </w:rPr>
        <w:t>56H</w:t>
      </w:r>
      <w:r>
        <w:rPr>
          <w:snapToGrid w:val="0"/>
        </w:rPr>
        <w:t>.</w:t>
      </w:r>
      <w:r>
        <w:rPr>
          <w:snapToGrid w:val="0"/>
        </w:rPr>
        <w:tab/>
        <w:t>Keys to, and locking of, cupboards in hospital wards</w:t>
      </w:r>
      <w:bookmarkEnd w:id="154"/>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rPr>
          <w:spacing w:val="-4"/>
        </w:rPr>
      </w:pPr>
      <w:r>
        <w:tab/>
      </w:r>
      <w:r>
        <w:rPr>
          <w:spacing w:val="-4"/>
        </w:rPr>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155" w:name="_Toc393706864"/>
      <w:r>
        <w:rPr>
          <w:rStyle w:val="CharDivNo"/>
        </w:rPr>
        <w:t>Division 5</w:t>
      </w:r>
      <w:r>
        <w:t xml:space="preserve"> — </w:t>
      </w:r>
      <w:r>
        <w:rPr>
          <w:rStyle w:val="CharDivText"/>
        </w:rPr>
        <w:t>Restrictions on supply</w:t>
      </w:r>
      <w:bookmarkEnd w:id="155"/>
    </w:p>
    <w:p>
      <w:pPr>
        <w:pStyle w:val="Footnoteheading"/>
        <w:tabs>
          <w:tab w:val="left" w:pos="851"/>
        </w:tabs>
        <w:rPr>
          <w:i w:val="0"/>
        </w:rPr>
      </w:pPr>
      <w:r>
        <w:tab/>
        <w:t>[Heading inserted in Gazette 12 Aug 2003 p. 3665.]</w:t>
      </w:r>
    </w:p>
    <w:p>
      <w:pPr>
        <w:pStyle w:val="Heading5"/>
        <w:rPr>
          <w:snapToGrid w:val="0"/>
        </w:rPr>
      </w:pPr>
      <w:bookmarkStart w:id="156" w:name="_Toc393706865"/>
      <w:r>
        <w:rPr>
          <w:rStyle w:val="CharSectno"/>
        </w:rPr>
        <w:t>57</w:t>
      </w:r>
      <w:r>
        <w:rPr>
          <w:snapToGrid w:val="0"/>
        </w:rPr>
        <w:t>.</w:t>
      </w:r>
      <w:r>
        <w:rPr>
          <w:snapToGrid w:val="0"/>
        </w:rPr>
        <w:tab/>
        <w:t>Labelling</w:t>
      </w:r>
      <w:bookmarkEnd w:id="156"/>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57" w:name="_Toc393706866"/>
      <w:r>
        <w:rPr>
          <w:rStyle w:val="CharSectno"/>
        </w:rPr>
        <w:t>58</w:t>
      </w:r>
      <w:r>
        <w:rPr>
          <w:snapToGrid w:val="0"/>
        </w:rPr>
        <w:t>.</w:t>
      </w:r>
      <w:r>
        <w:rPr>
          <w:snapToGrid w:val="0"/>
        </w:rPr>
        <w:tab/>
        <w:t>Improper prescribing or use of drugs of addiction</w:t>
      </w:r>
      <w:bookmarkEnd w:id="157"/>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Heading2"/>
        <w:rPr>
          <w:rStyle w:val="CharPartText"/>
        </w:rPr>
      </w:pPr>
      <w:bookmarkStart w:id="158" w:name="_Toc393706867"/>
      <w:r>
        <w:rPr>
          <w:rStyle w:val="CharPartNo"/>
        </w:rPr>
        <w:t>Part 7</w:t>
      </w:r>
      <w:r>
        <w:t xml:space="preserve"> — </w:t>
      </w:r>
      <w:r>
        <w:rPr>
          <w:rStyle w:val="CharPartText"/>
        </w:rPr>
        <w:t>Miscellaneous provisions</w:t>
      </w:r>
      <w:bookmarkEnd w:id="158"/>
    </w:p>
    <w:p>
      <w:pPr>
        <w:pStyle w:val="Footnoteheading"/>
        <w:tabs>
          <w:tab w:val="left" w:pos="851"/>
        </w:tabs>
        <w:rPr>
          <w:i w:val="0"/>
        </w:rPr>
      </w:pPr>
      <w:r>
        <w:tab/>
        <w:t>[Heading inserted in Gazette 12 Aug 2003 p. 3665.]</w:t>
      </w:r>
    </w:p>
    <w:p>
      <w:pPr>
        <w:pStyle w:val="Ednotedivision"/>
      </w:pPr>
      <w:r>
        <w:t>[Heading deleted in Gazette 12 Aug 2003 p. 3663.]</w:t>
      </w:r>
    </w:p>
    <w:p>
      <w:pPr>
        <w:pStyle w:val="Heading5"/>
        <w:rPr>
          <w:snapToGrid w:val="0"/>
        </w:rPr>
      </w:pPr>
      <w:bookmarkStart w:id="159" w:name="_Toc393706868"/>
      <w:r>
        <w:rPr>
          <w:rStyle w:val="CharSectno"/>
        </w:rPr>
        <w:t>59</w:t>
      </w:r>
      <w:r>
        <w:rPr>
          <w:snapToGrid w:val="0"/>
        </w:rPr>
        <w:t>.</w:t>
      </w:r>
      <w:r>
        <w:rPr>
          <w:snapToGrid w:val="0"/>
        </w:rPr>
        <w:tab/>
        <w:t>Names of persons from whom licence or authority withdrawn to be published</w:t>
      </w:r>
      <w:bookmarkEnd w:id="159"/>
      <w:r>
        <w:rPr>
          <w:snapToGrid w:val="0"/>
        </w:rPr>
        <w:t xml:space="preserve"> </w:t>
      </w:r>
    </w:p>
    <w:p>
      <w:pPr>
        <w:pStyle w:val="Subsection"/>
        <w:rPr>
          <w:snapToGrid w:val="0"/>
        </w:rPr>
      </w:pPr>
      <w:r>
        <w:rPr>
          <w:snapToGrid w:val="0"/>
        </w:rPr>
        <w:tab/>
      </w:r>
      <w:r>
        <w:rPr>
          <w:snapToGrid w:val="0"/>
        </w:rPr>
        <w:tab/>
        <w:t xml:space="preserve">A decision of the Commissioner of Health cancelling, suspending or revoking an authorisation, licence or permit conferred or issued under the Act or these regulations or any other decision of the Commissioner of Health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w:t>
      </w:r>
    </w:p>
    <w:p>
      <w:pPr>
        <w:pStyle w:val="Ednotedivision"/>
      </w:pPr>
      <w:r>
        <w:t>[Heading deleted in Gazette 12 Aug 2003 p. 3663.]</w:t>
      </w:r>
    </w:p>
    <w:p>
      <w:pPr>
        <w:pStyle w:val="Ednotesection"/>
      </w:pPr>
      <w:r>
        <w:t>[</w:t>
      </w:r>
      <w:r>
        <w:rPr>
          <w:b/>
          <w:bCs/>
        </w:rPr>
        <w:t>60-63.</w:t>
      </w:r>
      <w:r>
        <w:tab/>
        <w:t>Repealed in Gazette 30 Dec 2004 p. 6943.]</w:t>
      </w:r>
    </w:p>
    <w:p>
      <w:pPr>
        <w:pStyle w:val="Heading5"/>
        <w:rPr>
          <w:snapToGrid w:val="0"/>
        </w:rPr>
      </w:pPr>
      <w:bookmarkStart w:id="160" w:name="_Toc393706869"/>
      <w:r>
        <w:rPr>
          <w:rStyle w:val="CharSectno"/>
        </w:rPr>
        <w:t>64</w:t>
      </w:r>
      <w:r>
        <w:rPr>
          <w:snapToGrid w:val="0"/>
        </w:rPr>
        <w:t>.</w:t>
      </w:r>
      <w:r>
        <w:rPr>
          <w:snapToGrid w:val="0"/>
        </w:rPr>
        <w:tab/>
        <w:t>Substitution of one brand of a drug for another</w:t>
      </w:r>
      <w:bookmarkEnd w:id="1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pPr>
      <w:r>
        <w:rPr>
          <w:b/>
        </w:rPr>
        <w:tab/>
        <w:t>“</w:t>
      </w:r>
      <w:r>
        <w:rPr>
          <w:rStyle w:val="CharDefText"/>
        </w:rPr>
        <w:t>brand</w:t>
      </w:r>
      <w:r>
        <w:rPr>
          <w:b/>
        </w:rPr>
        <w:t>”</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by No. 9 of 2003 s. 49; 12 Aug 2003 p. 3663.]</w:t>
      </w:r>
    </w:p>
    <w:p>
      <w:pPr>
        <w:pStyle w:val="Heading5"/>
        <w:rPr>
          <w:snapToGrid w:val="0"/>
        </w:rPr>
      </w:pPr>
      <w:bookmarkStart w:id="161" w:name="_Toc393706870"/>
      <w:r>
        <w:rPr>
          <w:rStyle w:val="CharSectno"/>
        </w:rPr>
        <w:t>65</w:t>
      </w:r>
      <w:r>
        <w:rPr>
          <w:snapToGrid w:val="0"/>
        </w:rPr>
        <w:t>.</w:t>
      </w:r>
      <w:r>
        <w:rPr>
          <w:snapToGrid w:val="0"/>
        </w:rPr>
        <w:tab/>
        <w:t>Form of warrant (section 55A)</w:t>
      </w:r>
      <w:bookmarkEnd w:id="161"/>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62" w:name="_Toc393706871"/>
      <w:r>
        <w:rPr>
          <w:rStyle w:val="CharSchNo"/>
        </w:rPr>
        <w:t>Appendix A</w:t>
      </w:r>
      <w:bookmarkEnd w:id="162"/>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ind w:hanging="606"/>
      </w:pPr>
      <w:r>
        <w:t>[Form 1 inserted in Gazette 14 Sep 2001 p. 5077.]</w:t>
      </w:r>
    </w:p>
    <w:p>
      <w:pPr>
        <w:pStyle w:val="yFootnotesection"/>
        <w:ind w:hanging="606"/>
      </w:pPr>
      <w:r>
        <w:tab/>
        <w:t>[Forms 1A, 2 and 2A deleted]</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598496823" r:id="rId27"/>
        </w:object>
      </w:r>
    </w:p>
    <w:p>
      <w:pPr>
        <w:pStyle w:val="yEdnotesection"/>
      </w:pPr>
      <w:r>
        <w:tab/>
        <w:t>[Forms 3A, 4 and 4A deleted]</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object w:dxaOrig="2025" w:dyaOrig="375">
          <v:shape id="_x0000_i1026" type="#_x0000_t75" style="width:101.25pt;height:18.75pt" o:ole="" fillcolor="window">
            <v:imagedata r:id="rId26" o:title=""/>
          </v:shape>
          <o:OLEObject Type="Embed" ProgID="PBrush" ShapeID="_x0000_i1026" DrawAspect="Content" ObjectID="_1598496824" r:id="rId28"/>
        </w:object>
      </w:r>
    </w:p>
    <w:p>
      <w:pPr>
        <w:pStyle w:val="yEdnotesection"/>
      </w:pPr>
      <w:r>
        <w:tab/>
        <w:t>[Form 5A deleted]</w:t>
      </w:r>
    </w:p>
    <w:p>
      <w:pPr>
        <w:pStyle w:val="yMiscellaneousHeading"/>
        <w:pageBreakBefore/>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object w:dxaOrig="2025" w:dyaOrig="375">
          <v:shape id="_x0000_i1027" type="#_x0000_t75" style="width:101.25pt;height:18.75pt" o:ole="" fillcolor="window">
            <v:imagedata r:id="rId26" o:title=""/>
          </v:shape>
          <o:OLEObject Type="Embed" ProgID="PBrush" ShapeID="_x0000_i1027" DrawAspect="Content" ObjectID="_1598496825" r:id="rId29"/>
        </w:object>
      </w:r>
    </w:p>
    <w:p>
      <w:pPr>
        <w:pStyle w:val="yEdnotesection"/>
      </w:pPr>
      <w:r>
        <w:tab/>
        <w:t>[Form 6A deleted]</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CentredBaseLine"/>
        <w:jc w:val="center"/>
      </w:pPr>
      <w:r>
        <w:object w:dxaOrig="2025" w:dyaOrig="375">
          <v:shape id="_x0000_i1028" type="#_x0000_t75" style="width:101.25pt;height:18.75pt" o:ole="" fillcolor="window">
            <v:imagedata r:id="rId26" o:title=""/>
          </v:shape>
          <o:OLEObject Type="Embed" ProgID="PBrush" ShapeID="_x0000_i1028" DrawAspect="Content" ObjectID="_1598496826" r:id="rId30"/>
        </w:object>
      </w:r>
    </w:p>
    <w:p>
      <w:pPr>
        <w:pStyle w:val="yEdnotesection"/>
      </w:pPr>
      <w:r>
        <w:tab/>
        <w:t>[Form 6C deleted]</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object w:dxaOrig="2025" w:dyaOrig="375">
          <v:shape id="_x0000_i1029" type="#_x0000_t75" style="width:101.25pt;height:18.75pt" o:ole="" fillcolor="window">
            <v:imagedata r:id="rId26" o:title=""/>
          </v:shape>
          <o:OLEObject Type="Embed" ProgID="PBrush" ShapeID="_x0000_i1029" DrawAspect="Content" ObjectID="_1598496827" r:id="rId31"/>
        </w:object>
      </w:r>
    </w:p>
    <w:p>
      <w:pPr>
        <w:pStyle w:val="yEdnotesection"/>
      </w:pPr>
      <w:r>
        <w:tab/>
        <w:t>[Form 7A deleted]</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w:t>
      </w:r>
      <w:r>
        <w:rPr>
          <w:b/>
          <w:bCs/>
        </w:rPr>
        <w:t xml:space="preserve"> ADVISORY OR RESEARCH</w:t>
      </w:r>
      <w:r>
        <w:rPr>
          <w:b/>
          <w:snapToGrid w:val="0"/>
        </w:rPr>
        <w:t>)</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rPr>
          <w:snapToGrid w:val="0"/>
        </w:rPr>
        <w:t>Commissioner of Health</w:t>
      </w:r>
    </w:p>
    <w:p>
      <w:pPr>
        <w:pStyle w:val="yFootnotesection"/>
      </w:pPr>
      <w:r>
        <w:tab/>
        <w:t>[Form 8 amended in Gazette 4 Apr 2006 p. 1406.]</w:t>
      </w:r>
    </w:p>
    <w:p>
      <w:pPr>
        <w:pStyle w:val="CentredBaseLine"/>
        <w:jc w:val="center"/>
      </w:pPr>
      <w:r>
        <w:object w:dxaOrig="2025" w:dyaOrig="375">
          <v:shape id="_x0000_i1030" type="#_x0000_t75" style="width:101.25pt;height:18.75pt" o:ole="" fillcolor="window">
            <v:imagedata r:id="rId26" o:title=""/>
          </v:shape>
          <o:OLEObject Type="Embed" ProgID="PBrush" ShapeID="_x0000_i1030" DrawAspect="Content" ObjectID="_1598496828" r:id="rId32"/>
        </w:object>
      </w:r>
    </w:p>
    <w:p>
      <w:pPr>
        <w:pStyle w:val="yTable"/>
        <w:jc w:val="center"/>
        <w:rPr>
          <w:snapToGrid w:val="0"/>
        </w:rPr>
      </w:pPr>
      <w:r>
        <w:rPr>
          <w:b/>
          <w:bCs/>
          <w:snapToGrid w:val="0"/>
        </w:rPr>
        <w:t>Form 8AA</w:t>
      </w:r>
    </w:p>
    <w:p>
      <w:pPr>
        <w:pStyle w:val="zyMiscellaneousHeading"/>
        <w:rPr>
          <w:i/>
          <w:iCs/>
          <w:snapToGrid w:val="0"/>
        </w:rPr>
      </w:pPr>
      <w:r>
        <w:rPr>
          <w:i/>
          <w:iCs/>
          <w:snapToGrid w:val="0"/>
        </w:rPr>
        <w:t>Poisons Act 1964</w:t>
      </w:r>
    </w:p>
    <w:p>
      <w:pPr>
        <w:pStyle w:val="zyMiscellaneousHeading"/>
        <w:rPr>
          <w:b/>
          <w:bCs/>
          <w:snapToGrid w:val="0"/>
        </w:rPr>
      </w:pPr>
      <w:r>
        <w:rPr>
          <w:b/>
          <w:bCs/>
          <w:snapToGrid w:val="0"/>
        </w:rPr>
        <w:t>POISONS PERMIT (HEALTH SERVICES)</w:t>
      </w:r>
    </w:p>
    <w:p>
      <w:pPr>
        <w:pStyle w:val="yTable"/>
        <w:rPr>
          <w:snapToGrid w:val="0"/>
        </w:rPr>
      </w:pPr>
      <w:r>
        <w:rPr>
          <w:snapToGrid w:val="0"/>
        </w:rPr>
        <w:t>This permit is granted to .................................................................. and authorises that person to purchase on behalf of ................................ —</w:t>
      </w:r>
    </w:p>
    <w:p>
      <w:pPr>
        <w:pStyle w:val="yTable"/>
        <w:ind w:right="1284"/>
        <w:rPr>
          <w:snapToGrid w:val="0"/>
        </w:rPr>
      </w:pPr>
      <w:r>
        <w:rPr>
          <w:snapToGrid w:val="0"/>
        </w:rPr>
        <w:t>(a)</w:t>
      </w:r>
      <w:r>
        <w:rPr>
          <w:snapToGrid w:val="0"/>
        </w:rPr>
        <w:tab/>
        <w:t xml:space="preserve">the poisons included in Schedules ........................... to the </w:t>
      </w:r>
      <w:r>
        <w:rPr>
          <w:snapToGrid w:val="0"/>
        </w:rPr>
        <w:tab/>
      </w:r>
      <w:r>
        <w:rPr>
          <w:i/>
          <w:snapToGrid w:val="0"/>
        </w:rPr>
        <w:t>Poisons Act 1964</w:t>
      </w:r>
      <w:r>
        <w:rPr>
          <w:snapToGrid w:val="0"/>
        </w:rPr>
        <w:t>;</w:t>
      </w:r>
    </w:p>
    <w:p>
      <w:pPr>
        <w:pStyle w:val="yTable"/>
        <w:rPr>
          <w:snapToGrid w:val="0"/>
        </w:rPr>
      </w:pPr>
      <w:r>
        <w:rPr>
          <w:snapToGrid w:val="0"/>
        </w:rPr>
        <w:t>(b)</w:t>
      </w:r>
      <w:r>
        <w:rPr>
          <w:snapToGrid w:val="0"/>
        </w:rPr>
        <w:tab/>
        <w:t>the following poisons — </w:t>
      </w:r>
    </w:p>
    <w:p>
      <w:pPr>
        <w:pStyle w:val="yTable"/>
        <w:rPr>
          <w:snapToGrid w:val="0"/>
        </w:rPr>
      </w:pPr>
      <w:r>
        <w:rPr>
          <w:snapToGrid w:val="0"/>
        </w:rPr>
        <w:tab/>
        <w:t>..................................................................................</w:t>
      </w:r>
    </w:p>
    <w:p>
      <w:pPr>
        <w:pStyle w:val="yTable"/>
        <w:rPr>
          <w:snapToGrid w:val="0"/>
        </w:rPr>
      </w:pPr>
      <w:r>
        <w:rPr>
          <w:snapToGrid w:val="0"/>
        </w:rPr>
        <w:tab/>
        <w:t>..................................................................................</w:t>
      </w:r>
    </w:p>
    <w:p>
      <w:pPr>
        <w:pStyle w:val="yTable"/>
        <w:rPr>
          <w:snapToGrid w:val="0"/>
        </w:rPr>
      </w:pPr>
      <w:r>
        <w:rPr>
          <w:snapToGrid w:val="0"/>
        </w:rPr>
        <w:tab/>
        <w:t>..................................................................................</w:t>
      </w:r>
    </w:p>
    <w:p>
      <w:pPr>
        <w:pStyle w:val="yTable"/>
        <w:rPr>
          <w:snapToGrid w:val="0"/>
        </w:rPr>
      </w:pPr>
      <w:r>
        <w:rPr>
          <w:snapToGrid w:val="0"/>
        </w:rPr>
        <w:t>This permit is issued subject to the following conditions — </w:t>
      </w:r>
    </w:p>
    <w:p>
      <w:pPr>
        <w:pStyle w:val="yTable"/>
        <w:rPr>
          <w:snapToGrid w:val="0"/>
        </w:rPr>
      </w:pPr>
      <w:r>
        <w:rPr>
          <w:snapToGrid w:val="0"/>
        </w:rPr>
        <w:t>(1)</w:t>
      </w:r>
      <w:r>
        <w:rPr>
          <w:snapToGrid w:val="0"/>
        </w:rPr>
        <w:tab/>
        <w:t xml:space="preserve">the poisons will be stored only at premises situated at </w:t>
      </w:r>
      <w:r>
        <w:rPr>
          <w:snapToGrid w:val="0"/>
        </w:rPr>
        <w:tab/>
        <w:t>..................................................................................</w:t>
      </w:r>
    </w:p>
    <w:p>
      <w:pPr>
        <w:pStyle w:val="yTable"/>
        <w:rPr>
          <w:snapToGrid w:val="0"/>
        </w:rPr>
      </w:pPr>
      <w:r>
        <w:rPr>
          <w:snapToGrid w:val="0"/>
        </w:rPr>
        <w:tab/>
        <w:t>..................................................................................</w:t>
      </w:r>
    </w:p>
    <w:p>
      <w:pPr>
        <w:pStyle w:val="yTable"/>
        <w:rPr>
          <w:snapToGrid w:val="0"/>
        </w:rPr>
      </w:pPr>
      <w:r>
        <w:rPr>
          <w:snapToGrid w:val="0"/>
        </w:rPr>
        <w:t>(2)</w:t>
      </w:r>
      <w:r>
        <w:rPr>
          <w:snapToGrid w:val="0"/>
        </w:rPr>
        <w:tab/>
        <w:t>the poisons will not be resold;</w:t>
      </w:r>
    </w:p>
    <w:p>
      <w:pPr>
        <w:pStyle w:val="yTable"/>
        <w:ind w:right="1426"/>
        <w:rPr>
          <w:snapToGrid w:val="0"/>
        </w:rPr>
      </w:pPr>
      <w:r>
        <w:rPr>
          <w:snapToGrid w:val="0"/>
        </w:rPr>
        <w:t>(3)</w:t>
      </w:r>
      <w:r>
        <w:rPr>
          <w:snapToGrid w:val="0"/>
        </w:rPr>
        <w:tab/>
        <w:t xml:space="preserve">the poisons will be used only for the following </w:t>
      </w:r>
      <w:r>
        <w:rPr>
          <w:snapToGrid w:val="0"/>
        </w:rPr>
        <w:tab/>
        <w:t>purposes — </w:t>
      </w:r>
    </w:p>
    <w:p>
      <w:pPr>
        <w:pStyle w:val="yTable"/>
        <w:rPr>
          <w:snapToGrid w:val="0"/>
        </w:rPr>
      </w:pPr>
      <w:r>
        <w:rPr>
          <w:snapToGrid w:val="0"/>
        </w:rPr>
        <w:tab/>
        <w:t>..................................................................................</w:t>
      </w:r>
    </w:p>
    <w:p>
      <w:pPr>
        <w:pStyle w:val="yTable"/>
        <w:rPr>
          <w:snapToGrid w:val="0"/>
        </w:rPr>
      </w:pPr>
      <w:r>
        <w:rPr>
          <w:snapToGrid w:val="0"/>
        </w:rPr>
        <w:tab/>
        <w:t>..................................................................................</w:t>
      </w:r>
    </w:p>
    <w:p>
      <w:pPr>
        <w:pStyle w:val="yTable"/>
        <w:rPr>
          <w:snapToGrid w:val="0"/>
        </w:rPr>
      </w:pPr>
      <w:r>
        <w:rPr>
          <w:snapToGrid w:val="0"/>
        </w:rPr>
        <w:tab/>
        <w:t>..................................................................................</w:t>
      </w:r>
    </w:p>
    <w:p>
      <w:pPr>
        <w:pStyle w:val="yTable"/>
        <w:rPr>
          <w:snapToGrid w:val="0"/>
        </w:rPr>
      </w:pPr>
      <w:r>
        <w:rPr>
          <w:snapToGrid w:val="0"/>
        </w:rPr>
        <w:t>(4)</w:t>
      </w:r>
      <w:r>
        <w:rPr>
          <w:snapToGrid w:val="0"/>
        </w:rPr>
        <w:tab/>
        <w:t>..................................................................................</w:t>
      </w:r>
    </w:p>
    <w:p>
      <w:pPr>
        <w:pStyle w:val="yTable"/>
        <w:rPr>
          <w:snapToGrid w:val="0"/>
        </w:rPr>
      </w:pPr>
      <w:r>
        <w:rPr>
          <w:snapToGrid w:val="0"/>
        </w:rPr>
        <w:tab/>
        <w:t>..................................................................................</w:t>
      </w:r>
    </w:p>
    <w:p>
      <w:pPr>
        <w:pStyle w:val="yTable"/>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rPr>
          <w:snapToGrid w:val="0"/>
        </w:rPr>
      </w:pPr>
      <w:r>
        <w:rPr>
          <w:snapToGrid w:val="0"/>
        </w:rPr>
        <w:tab/>
        <w:t>.........................................</w:t>
      </w:r>
    </w:p>
    <w:p>
      <w:pPr>
        <w:pStyle w:val="yTable"/>
        <w:ind w:right="1142"/>
        <w:jc w:val="right"/>
        <w:rPr>
          <w:snapToGrid w:val="0"/>
        </w:rPr>
      </w:pPr>
      <w:r>
        <w:rPr>
          <w:snapToGrid w:val="0"/>
        </w:rPr>
        <w:t>Commissioner of Health</w:t>
      </w:r>
    </w:p>
    <w:p>
      <w:pPr>
        <w:pStyle w:val="yFootnotesection"/>
      </w:pPr>
      <w:r>
        <w:tab/>
        <w:t>{Form 8AA inserted in Gazette 4 Apr 2006 p. 1407.]</w:t>
      </w:r>
    </w:p>
    <w:p>
      <w:pPr>
        <w:pStyle w:val="yEdnotesection"/>
      </w:pPr>
      <w:r>
        <w:tab/>
        <w:t>[Forms 8A, 9, 9A, 10, 11, 11A deleted]</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CentredBaseLine"/>
        <w:jc w:val="center"/>
      </w:pPr>
      <w:r>
        <w:object w:dxaOrig="2025" w:dyaOrig="375">
          <v:shape id="_x0000_i1031" type="#_x0000_t75" style="width:101.25pt;height:18.75pt" o:ole="" fillcolor="window">
            <v:imagedata r:id="rId26" o:title=""/>
          </v:shape>
          <o:OLEObject Type="Embed" ProgID="PBrush" ShapeID="_x0000_i1031" DrawAspect="Content" ObjectID="_1598496829" r:id="rId33"/>
        </w:object>
      </w:r>
    </w:p>
    <w:p>
      <w:pPr>
        <w:pStyle w:val="yEdnotesection"/>
      </w:pPr>
      <w:r>
        <w:tab/>
        <w:t>[Form 11AB deleted]</w:t>
      </w:r>
    </w:p>
    <w:p>
      <w:pPr>
        <w:pStyle w:val="yEdnotesection"/>
      </w:pPr>
      <w:r>
        <w:tab/>
        <w:t>[Form 12 deleted]</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rPr>
          <w:snapToGrid w:val="0"/>
        </w:rPr>
        <w:t>Commissioner of Health</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rPr>
          <w:snapToGrid w:val="0"/>
        </w:rPr>
        <w:t>Commissioner of Health</w:t>
      </w:r>
    </w:p>
    <w:p>
      <w:pPr>
        <w:pStyle w:val="yTable"/>
        <w:rPr>
          <w:snapToGrid w:val="0"/>
        </w:rPr>
      </w:pPr>
      <w:r>
        <w:rPr>
          <w:snapToGrid w:val="0"/>
        </w:rPr>
        <w:t>[* delete if not applicable]</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pPr>
      <w:r>
        <w:tab/>
        <w:t>[Appendix A amended in Gazette 14 Jun 1967 p. 1582</w:t>
      </w:r>
      <w:r>
        <w:noBreakHyphen/>
        <w:t>3; 22 Sep 1969 p. 2876; 3 May 1974 p. 1435; 5 Oct 1979 p. 3085</w:t>
      </w:r>
      <w:r>
        <w:noBreakHyphen/>
        <w:t>6; 7 Jun 1985 p. 1941; 23 May 1986 p. 1716; 15 May 1987 p. 2121; 2 Oct 1987 p. 3776; 27 May 1988 p. 1771; 2 Jun 1989 p. 1605; 17 Aug 1990 p. 4081; 12 Apr 1991 p. 1609; 14 Jun 1991 p. 2879; 16 Apr 1992 p. 1635; 25 Jun 1993 p. 3085; 26 May 1994 p. 2200 and 2201; 24 Jun 1994 p. 2869; 16 Sep 1994 p. 4748</w:t>
      </w:r>
      <w:r>
        <w:noBreakHyphen/>
        <w:t>9; 27 Jun 1995 p. 2550; 19 Mar 1996 p. 1234</w:t>
      </w:r>
      <w:r>
        <w:noBreakHyphen/>
        <w:t>8; 23 Aug 1996 p. 4089; 14 Sep 2001 p. 5077; 30 Dec 2004 p. 6943; 4 Apr 2006 p. 1406</w:t>
      </w:r>
      <w:r>
        <w:noBreakHyphen/>
        <w:t xml:space="preserve">7.] </w:t>
      </w:r>
    </w:p>
    <w:p>
      <w:pPr>
        <w:pStyle w:val="yEdnoteschedule"/>
      </w:pPr>
      <w:r>
        <w:t>[Appendix B  repealed in Gazette 1 Oct 1993 p. 5361.]</w:t>
      </w:r>
    </w:p>
    <w:p>
      <w:pPr>
        <w:pStyle w:val="yEdnoteschedule"/>
      </w:pPr>
      <w:r>
        <w:t xml:space="preserve">[Appendices C, D, E  repealed in Gazette 11 Nov 1988 p. 4444.] </w:t>
      </w:r>
    </w:p>
    <w:p>
      <w:pPr>
        <w:pStyle w:val="yEdnoteschedule"/>
      </w:pPr>
      <w:r>
        <w:t>[Appendix F  repealed in Gazette 1 Aug 1986 p. 2739.]</w:t>
      </w:r>
    </w:p>
    <w:p>
      <w:pPr>
        <w:pStyle w:val="yScheduleHeading"/>
      </w:pPr>
      <w:bookmarkStart w:id="163" w:name="_Toc393706872"/>
      <w:r>
        <w:rPr>
          <w:rStyle w:val="CharSchNo"/>
        </w:rPr>
        <w:t>Appendix G</w:t>
      </w:r>
      <w:bookmarkEnd w:id="163"/>
    </w:p>
    <w:p>
      <w:pPr>
        <w:pStyle w:val="yShoulderClause"/>
        <w:spacing w:before="0" w:after="240"/>
        <w:rPr>
          <w:snapToGrid w:val="0"/>
        </w:rPr>
      </w:pPr>
      <w:r>
        <w:rPr>
          <w:snapToGrid w:val="0"/>
        </w:rPr>
        <w:t>(reg 12)</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i/>
                <w:sz w:val="18"/>
              </w:rPr>
            </w:pPr>
            <w:r>
              <w:rPr>
                <w:b/>
                <w:i/>
                <w:sz w:val="18"/>
              </w:rPr>
              <w:t>Form</w:t>
            </w:r>
            <w:r>
              <w:rPr>
                <w:b/>
                <w:i/>
                <w:sz w:val="18"/>
              </w:rPr>
              <w:tab/>
              <w:t>Description of</w:t>
            </w:r>
          </w:p>
          <w:p>
            <w:pPr>
              <w:pStyle w:val="yTable"/>
              <w:tabs>
                <w:tab w:val="left" w:pos="1049"/>
              </w:tabs>
              <w:spacing w:before="0"/>
              <w:rPr>
                <w:b/>
                <w:i/>
                <w:sz w:val="18"/>
              </w:rPr>
            </w:pPr>
            <w:r>
              <w:rPr>
                <w:b/>
                <w:i/>
                <w:sz w:val="18"/>
              </w:rPr>
              <w:t>No.</w:t>
            </w:r>
            <w:r>
              <w:rPr>
                <w:b/>
                <w:i/>
                <w:sz w:val="18"/>
              </w:rPr>
              <w:tab/>
              <w:t>Licence or Permit</w:t>
            </w:r>
          </w:p>
        </w:tc>
        <w:tc>
          <w:tcPr>
            <w:tcW w:w="992" w:type="dxa"/>
          </w:tcPr>
          <w:p>
            <w:pPr>
              <w:pStyle w:val="yTable"/>
              <w:spacing w:before="0"/>
              <w:jc w:val="center"/>
              <w:rPr>
                <w:b/>
                <w:i/>
                <w:sz w:val="18"/>
              </w:rPr>
            </w:pPr>
            <w:r>
              <w:rPr>
                <w:b/>
                <w:i/>
                <w:sz w:val="18"/>
              </w:rPr>
              <w:t>Initial Fee</w:t>
            </w:r>
          </w:p>
          <w:p>
            <w:pPr>
              <w:pStyle w:val="yTable"/>
              <w:spacing w:before="0"/>
              <w:jc w:val="center"/>
              <w:rPr>
                <w:b/>
                <w:i/>
                <w:sz w:val="18"/>
              </w:rPr>
            </w:pPr>
            <w:r>
              <w:rPr>
                <w:b/>
                <w:i/>
                <w:sz w:val="18"/>
              </w:rPr>
              <w:t>(1 year)</w:t>
            </w:r>
          </w:p>
          <w:p>
            <w:pPr>
              <w:pStyle w:val="yTable"/>
              <w:spacing w:before="0"/>
              <w:jc w:val="center"/>
              <w:rPr>
                <w:b/>
                <w:i/>
                <w:sz w:val="18"/>
              </w:rPr>
            </w:pPr>
            <w:r>
              <w:rPr>
                <w:b/>
                <w:i/>
                <w:sz w:val="18"/>
              </w:rPr>
              <w:t>$</w:t>
            </w:r>
          </w:p>
        </w:tc>
        <w:tc>
          <w:tcPr>
            <w:tcW w:w="992" w:type="dxa"/>
          </w:tcPr>
          <w:p>
            <w:pPr>
              <w:pStyle w:val="yTable"/>
              <w:spacing w:before="0"/>
              <w:jc w:val="center"/>
              <w:rPr>
                <w:b/>
                <w:i/>
                <w:sz w:val="18"/>
              </w:rPr>
            </w:pPr>
            <w:r>
              <w:rPr>
                <w:b/>
                <w:i/>
                <w:sz w:val="18"/>
              </w:rPr>
              <w:t>Initial Fee</w:t>
            </w:r>
          </w:p>
          <w:p>
            <w:pPr>
              <w:pStyle w:val="yTable"/>
              <w:spacing w:before="0"/>
              <w:jc w:val="center"/>
              <w:rPr>
                <w:b/>
                <w:i/>
                <w:sz w:val="18"/>
              </w:rPr>
            </w:pPr>
            <w:r>
              <w:rPr>
                <w:b/>
                <w:i/>
                <w:sz w:val="18"/>
              </w:rPr>
              <w:t>(3 years)</w:t>
            </w:r>
          </w:p>
          <w:p>
            <w:pPr>
              <w:pStyle w:val="yTable"/>
              <w:spacing w:before="0"/>
              <w:jc w:val="center"/>
              <w:rPr>
                <w:b/>
                <w:i/>
                <w:sz w:val="18"/>
              </w:rPr>
            </w:pPr>
            <w:r>
              <w:rPr>
                <w:b/>
                <w:i/>
                <w:sz w:val="18"/>
              </w:rPr>
              <w:t>$</w:t>
            </w:r>
          </w:p>
        </w:tc>
        <w:tc>
          <w:tcPr>
            <w:tcW w:w="993" w:type="dxa"/>
          </w:tcPr>
          <w:p>
            <w:pPr>
              <w:pStyle w:val="yTable"/>
              <w:spacing w:before="0"/>
              <w:jc w:val="center"/>
              <w:rPr>
                <w:b/>
                <w:i/>
                <w:sz w:val="18"/>
              </w:rPr>
            </w:pPr>
            <w:r>
              <w:rPr>
                <w:b/>
                <w:i/>
                <w:sz w:val="18"/>
              </w:rPr>
              <w:t>Renewal</w:t>
            </w:r>
          </w:p>
          <w:p>
            <w:pPr>
              <w:pStyle w:val="yTable"/>
              <w:spacing w:before="0"/>
              <w:jc w:val="center"/>
              <w:rPr>
                <w:b/>
                <w:i/>
                <w:sz w:val="18"/>
              </w:rPr>
            </w:pPr>
            <w:r>
              <w:rPr>
                <w:b/>
                <w:i/>
                <w:sz w:val="18"/>
              </w:rPr>
              <w:t>(1 year)</w:t>
            </w:r>
          </w:p>
          <w:p>
            <w:pPr>
              <w:pStyle w:val="yTable"/>
              <w:spacing w:before="0"/>
              <w:jc w:val="center"/>
              <w:rPr>
                <w:b/>
                <w:i/>
                <w:sz w:val="18"/>
              </w:rPr>
            </w:pPr>
            <w:r>
              <w:rPr>
                <w:b/>
                <w:i/>
                <w:sz w:val="18"/>
              </w:rPr>
              <w:t>$</w:t>
            </w:r>
          </w:p>
        </w:tc>
        <w:tc>
          <w:tcPr>
            <w:tcW w:w="992" w:type="dxa"/>
          </w:tcPr>
          <w:p>
            <w:pPr>
              <w:pStyle w:val="yTable"/>
              <w:spacing w:before="0"/>
              <w:jc w:val="center"/>
              <w:rPr>
                <w:b/>
                <w:i/>
                <w:sz w:val="18"/>
              </w:rPr>
            </w:pPr>
            <w:r>
              <w:rPr>
                <w:b/>
                <w:i/>
                <w:sz w:val="18"/>
              </w:rPr>
              <w:t>Renewal</w:t>
            </w:r>
          </w:p>
          <w:p>
            <w:pPr>
              <w:pStyle w:val="yTable"/>
              <w:spacing w:before="0"/>
              <w:jc w:val="center"/>
              <w:rPr>
                <w:b/>
                <w:i/>
                <w:sz w:val="18"/>
              </w:rPr>
            </w:pPr>
            <w:r>
              <w:rPr>
                <w:b/>
                <w:i/>
                <w:sz w:val="18"/>
              </w:rPr>
              <w:t>(3 years)</w:t>
            </w:r>
          </w:p>
          <w:p>
            <w:pPr>
              <w:pStyle w:val="yTable"/>
              <w:spacing w:before="0"/>
              <w:jc w:val="center"/>
              <w:rPr>
                <w:b/>
                <w:sz w:val="18"/>
              </w:rPr>
            </w:pPr>
            <w:r>
              <w:rPr>
                <w:b/>
                <w:i/>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vAlign w:val="bottom"/>
          </w:tcPr>
          <w:p>
            <w:pPr>
              <w:pStyle w:val="yTable"/>
              <w:jc w:val="center"/>
              <w:rPr>
                <w:sz w:val="18"/>
              </w:rPr>
            </w:pPr>
            <w:r>
              <w:rPr>
                <w:sz w:val="18"/>
              </w:rPr>
              <w:t>200</w:t>
            </w:r>
          </w:p>
        </w:tc>
        <w:tc>
          <w:tcPr>
            <w:tcW w:w="992" w:type="dxa"/>
            <w:vAlign w:val="bottom"/>
          </w:tcPr>
          <w:p>
            <w:pPr>
              <w:pStyle w:val="yTable"/>
              <w:jc w:val="center"/>
              <w:rPr>
                <w:sz w:val="18"/>
              </w:rPr>
            </w:pPr>
            <w:r>
              <w:rPr>
                <w:sz w:val="18"/>
              </w:rPr>
              <w:t>300</w:t>
            </w:r>
          </w:p>
        </w:tc>
        <w:tc>
          <w:tcPr>
            <w:tcW w:w="993" w:type="dxa"/>
            <w:vAlign w:val="bottom"/>
          </w:tcPr>
          <w:p>
            <w:pPr>
              <w:pStyle w:val="yTable"/>
              <w:jc w:val="center"/>
              <w:rPr>
                <w:sz w:val="18"/>
              </w:rPr>
            </w:pPr>
            <w:r>
              <w:rPr>
                <w:sz w:val="18"/>
              </w:rPr>
              <w:t>75</w:t>
            </w:r>
          </w:p>
        </w:tc>
        <w:tc>
          <w:tcPr>
            <w:tcW w:w="992" w:type="dxa"/>
            <w:vAlign w:val="bottom"/>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pPr>
      <w:r>
        <w:tab/>
        <w:t>[Appendix G inserted in Gazette 19 Mar 1996 p. 1238</w:t>
      </w:r>
      <w:r>
        <w:noBreakHyphen/>
        <w:t>9; amended in Gazette 11 Apr 1997 p. 1833</w:t>
      </w:r>
      <w:r>
        <w:noBreakHyphen/>
        <w:t>4; 14 Sep 2001 p. 5077; 4 Apr 2006 p. 1407.]</w:t>
      </w:r>
    </w:p>
    <w:p>
      <w:pPr>
        <w:pStyle w:val="yScheduleHeading"/>
      </w:pPr>
      <w:bookmarkStart w:id="164" w:name="_Toc393706873"/>
      <w:r>
        <w:rPr>
          <w:rStyle w:val="CharSchNo"/>
        </w:rPr>
        <w:t>Appendix H</w:t>
      </w:r>
      <w:bookmarkEnd w:id="164"/>
    </w:p>
    <w:p>
      <w:pPr>
        <w:pStyle w:val="yScheduleHeading2"/>
        <w:outlineLvl w:val="9"/>
        <w:rPr>
          <w:sz w:val="22"/>
        </w:rPr>
      </w:pPr>
      <w:r>
        <w:rPr>
          <w:sz w:val="22"/>
        </w:rPr>
        <w:t>Schedule 4 substances referred to in regulation 39(1)</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pPr>
      <w:r>
        <w:tab/>
        <w:t>[Appendix H inserted in Gazette 8 Feb 1985 p. 520 (erratum in Gazette 19 Apr 1985 p. 1409); amended in Gazette 19 Mar 1996 p. 1239.]</w:t>
      </w:r>
    </w:p>
    <w:p>
      <w:pPr>
        <w:pStyle w:val="yEdnoteschedule"/>
      </w:pPr>
      <w:r>
        <w:t>[Appendix I repealed in Gazette 23 May 1986 p. 1720.]</w:t>
      </w:r>
    </w:p>
    <w:p>
      <w:pPr>
        <w:pStyle w:val="yScheduleHeading"/>
      </w:pPr>
      <w:bookmarkStart w:id="165" w:name="_Toc393706874"/>
      <w:r>
        <w:rPr>
          <w:rStyle w:val="CharSchNo"/>
        </w:rPr>
        <w:t>Appendix J</w:t>
      </w:r>
      <w:bookmarkEnd w:id="165"/>
    </w:p>
    <w:p>
      <w:pPr>
        <w:pStyle w:val="yShoulderClause"/>
        <w:rPr>
          <w:snapToGrid w:val="0"/>
        </w:rPr>
      </w:pPr>
      <w:r>
        <w:rPr>
          <w:snapToGrid w:val="0"/>
        </w:rPr>
        <w:t>(reg. 35A)</w:t>
      </w:r>
    </w:p>
    <w:p>
      <w:pPr>
        <w:pStyle w:val="yScheduleHeading2"/>
        <w:outlineLvl w:val="9"/>
        <w:rPr>
          <w:sz w:val="22"/>
        </w:rPr>
      </w:pPr>
      <w:r>
        <w:rPr>
          <w:sz w:val="22"/>
        </w:rPr>
        <w:t>Schedule 3 poison sales to be recorded</w:t>
      </w: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yNumberedItem"/>
        <w:rPr>
          <w:snapToGrid w:val="0"/>
        </w:rPr>
      </w:pPr>
      <w:r>
        <w:rPr>
          <w:snapToGrid w:val="0"/>
        </w:rPr>
        <w:tab/>
        <w:t>NICOTINE,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w:t>
      </w:r>
    </w:p>
    <w:p>
      <w:pPr>
        <w:pStyle w:val="yEdnoteschedule"/>
      </w:pPr>
      <w:r>
        <w:t>[Appendix K deleted in Gazette 19 Mar 1996 p. 1239.]</w:t>
      </w:r>
    </w:p>
    <w:p>
      <w:pPr>
        <w:pStyle w:val="yScheduleHeading"/>
      </w:pPr>
      <w:bookmarkStart w:id="166" w:name="_Toc393706875"/>
      <w:r>
        <w:rPr>
          <w:rStyle w:val="CharSchNo"/>
        </w:rPr>
        <w:t>Appendix L</w:t>
      </w:r>
      <w:bookmarkEnd w:id="166"/>
    </w:p>
    <w:p>
      <w:pPr>
        <w:pStyle w:val="yShoulderClause"/>
        <w:spacing w:before="0"/>
        <w:rPr>
          <w:snapToGrid w:val="0"/>
        </w:rPr>
      </w:pPr>
      <w:r>
        <w:rPr>
          <w:snapToGrid w:val="0"/>
        </w:rPr>
        <w:t>(Regulations 37 and 51)</w:t>
      </w:r>
    </w:p>
    <w:p>
      <w:pPr>
        <w:pStyle w:val="yScheduleHeading2"/>
        <w:outlineLvl w:val="9"/>
        <w:rPr>
          <w:sz w:val="22"/>
        </w:rPr>
      </w:pPr>
      <w:r>
        <w:rPr>
          <w:sz w:val="22"/>
        </w:rPr>
        <w:t>Specified criteria for the generation of prescriptions by computer</w:t>
      </w:r>
    </w:p>
    <w:p>
      <w:pPr>
        <w:pStyle w:val="yHeading5"/>
        <w:outlineLvl w:val="9"/>
        <w:rPr>
          <w:snapToGrid w:val="0"/>
        </w:rPr>
      </w:pPr>
      <w:bookmarkStart w:id="167" w:name="_Toc393706876"/>
      <w:r>
        <w:rPr>
          <w:snapToGrid w:val="0"/>
        </w:rPr>
        <w:t>1.</w:t>
      </w:r>
      <w:bookmarkEnd w:id="167"/>
    </w:p>
    <w:p>
      <w:pPr>
        <w:pStyle w:val="ySubsection"/>
        <w:rPr>
          <w:snapToGrid w:val="0"/>
        </w:rPr>
      </w:pPr>
      <w:r>
        <w:rPr>
          <w:snapToGrid w:val="0"/>
        </w:rPr>
        <w:tab/>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Heading5"/>
        <w:outlineLvl w:val="9"/>
        <w:rPr>
          <w:snapToGrid w:val="0"/>
        </w:rPr>
      </w:pPr>
      <w:bookmarkStart w:id="168" w:name="_Toc393706877"/>
      <w:r>
        <w:rPr>
          <w:snapToGrid w:val="0"/>
        </w:rPr>
        <w:t>2.</w:t>
      </w:r>
      <w:bookmarkEnd w:id="168"/>
    </w:p>
    <w:p>
      <w:pPr>
        <w:pStyle w:val="ySubsection"/>
        <w:rPr>
          <w:snapToGrid w:val="0"/>
        </w:rPr>
      </w:pPr>
      <w:r>
        <w:rPr>
          <w:snapToGrid w:val="0"/>
        </w:rPr>
        <w:tab/>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[Appendix L inserted in Gazette 26 Jul 1991 p. 3855; amended in Gazette 19 Mar 1996 p. 1239.]</w:t>
      </w:r>
    </w:p>
    <w:p>
      <w:pPr>
        <w:pStyle w:val="yScheduleHeading"/>
      </w:pPr>
      <w:bookmarkStart w:id="169" w:name="_Toc393706878"/>
      <w:r>
        <w:rPr>
          <w:rStyle w:val="CharSchNo"/>
        </w:rPr>
        <w:t>Appendix M</w:t>
      </w:r>
      <w:bookmarkEnd w:id="169"/>
    </w:p>
    <w:p>
      <w:pPr>
        <w:pStyle w:val="yShoulderClause"/>
        <w:rPr>
          <w:snapToGrid w:val="0"/>
        </w:rPr>
      </w:pPr>
      <w:r>
        <w:rPr>
          <w:snapToGrid w:val="0"/>
        </w:rPr>
        <w:t>[Regulations 56(1) and (2)]</w:t>
      </w:r>
    </w:p>
    <w:p>
      <w:pPr>
        <w:pStyle w:val="yScheduleHeading2"/>
        <w:outlineLvl w:val="9"/>
        <w:rPr>
          <w:sz w:val="22"/>
        </w:rPr>
      </w:pPr>
      <w:r>
        <w:rPr>
          <w:sz w:val="22"/>
        </w:rPr>
        <w:t>Safes and additional security for storing drugs of addiction</w:t>
      </w:r>
    </w:p>
    <w:p>
      <w:pPr>
        <w:pStyle w:val="yHeading5"/>
        <w:outlineLvl w:val="9"/>
        <w:rPr>
          <w:snapToGrid w:val="0"/>
        </w:rPr>
      </w:pPr>
      <w:bookmarkStart w:id="170" w:name="_Toc393706879"/>
      <w:r>
        <w:rPr>
          <w:snapToGrid w:val="0"/>
        </w:rPr>
        <w:t>1.</w:t>
      </w:r>
      <w:r>
        <w:rPr>
          <w:snapToGrid w:val="0"/>
        </w:rPr>
        <w:tab/>
        <w:t>Safes</w:t>
      </w:r>
      <w:bookmarkEnd w:id="170"/>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Heading5"/>
        <w:outlineLvl w:val="9"/>
        <w:rPr>
          <w:snapToGrid w:val="0"/>
        </w:rPr>
      </w:pPr>
      <w:bookmarkStart w:id="171" w:name="_Toc393706880"/>
      <w:r>
        <w:rPr>
          <w:snapToGrid w:val="0"/>
        </w:rPr>
        <w:t>2.</w:t>
      </w:r>
      <w:r>
        <w:rPr>
          <w:snapToGrid w:val="0"/>
        </w:rPr>
        <w:tab/>
        <w:t>Additional security requirements</w:t>
      </w:r>
      <w:bookmarkEnd w:id="171"/>
    </w:p>
    <w:p>
      <w:pPr>
        <w:pStyle w:val="ySubsection"/>
        <w:rPr>
          <w:snapToGrid w:val="0"/>
          <w:spacing w:val="-2"/>
        </w:rPr>
      </w:pPr>
      <w:r>
        <w:rPr>
          <w:snapToGrid w:val="0"/>
          <w:spacing w:val="-2"/>
        </w:rPr>
        <w:tab/>
        <w:t>(1)</w:t>
      </w:r>
      <w:r>
        <w:rPr>
          <w:snapToGrid w:val="0"/>
          <w:spacing w:val="-2"/>
        </w:rPr>
        <w:tab/>
        <w:t xml:space="preserve">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[Appendix M inserted in Gazette 25 Jun 1993 p. 3084</w:t>
      </w:r>
      <w:r>
        <w:noBreakHyphen/>
        <w:t xml:space="preserve">5; amended in Gazette 24 Jun 1994 p. 2870; 19 Mar 1996 p. 1239.] </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172" w:name="_Toc393706881"/>
      <w:r>
        <w:t>Notes</w:t>
      </w:r>
      <w:bookmarkEnd w:id="172"/>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3" w:name="_Toc393706882"/>
      <w:r>
        <w:rPr>
          <w:snapToGrid w:val="0"/>
        </w:rPr>
        <w:t>Compilation table</w:t>
      </w:r>
      <w:bookmarkEnd w:id="1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Pr>
          <w:p>
            <w:pPr>
              <w:pStyle w:val="nTable"/>
              <w:spacing w:before="120"/>
              <w:ind w:right="113"/>
              <w:rPr>
                <w:sz w:val="19"/>
                <w:vertAlign w:val="superscript"/>
              </w:rPr>
            </w:pPr>
            <w:r>
              <w:rPr>
                <w:i/>
                <w:sz w:val="19"/>
              </w:rPr>
              <w:t>Poisons Act Regulations 1965 </w:t>
            </w:r>
            <w:r>
              <w:rPr>
                <w:sz w:val="19"/>
                <w:vertAlign w:val="superscript"/>
              </w:rPr>
              <w:t>6</w:t>
            </w:r>
          </w:p>
        </w:tc>
        <w:tc>
          <w:tcPr>
            <w:tcW w:w="1276" w:type="dxa"/>
          </w:tcPr>
          <w:p>
            <w:pPr>
              <w:pStyle w:val="nTable"/>
              <w:spacing w:before="120"/>
              <w:rPr>
                <w:sz w:val="19"/>
              </w:rPr>
            </w:pPr>
            <w:r>
              <w:rPr>
                <w:sz w:val="19"/>
              </w:rPr>
              <w:t>29 Jun 1965 p. 1883</w:t>
            </w:r>
            <w:r>
              <w:rPr>
                <w:sz w:val="19"/>
              </w:rPr>
              <w:noBreakHyphen/>
              <w:t>914</w:t>
            </w:r>
          </w:p>
        </w:tc>
        <w:tc>
          <w:tcPr>
            <w:tcW w:w="2693" w:type="dxa"/>
          </w:tcPr>
          <w:p>
            <w:pPr>
              <w:pStyle w:val="nTable"/>
              <w:spacing w:before="120"/>
              <w:rPr>
                <w:sz w:val="19"/>
              </w:rPr>
            </w:pPr>
            <w:r>
              <w:rPr>
                <w:sz w:val="19"/>
              </w:rPr>
              <w:t>1 Jul 1965</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10 Feb 1966 p. 410</w:t>
            </w:r>
          </w:p>
        </w:tc>
        <w:tc>
          <w:tcPr>
            <w:tcW w:w="2693" w:type="dxa"/>
          </w:tcPr>
          <w:p>
            <w:pPr>
              <w:pStyle w:val="nTable"/>
              <w:spacing w:before="120"/>
              <w:rPr>
                <w:sz w:val="19"/>
              </w:rPr>
            </w:pPr>
            <w:r>
              <w:rPr>
                <w:sz w:val="19"/>
              </w:rPr>
              <w:t>10 Feb 1966</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16 Nov 1966 p. 2935</w:t>
            </w:r>
          </w:p>
        </w:tc>
        <w:tc>
          <w:tcPr>
            <w:tcW w:w="2693" w:type="dxa"/>
          </w:tcPr>
          <w:p>
            <w:pPr>
              <w:pStyle w:val="nTable"/>
              <w:spacing w:before="120"/>
              <w:rPr>
                <w:sz w:val="19"/>
              </w:rPr>
            </w:pPr>
            <w:r>
              <w:rPr>
                <w:sz w:val="19"/>
              </w:rPr>
              <w:t>16 Nov 1966</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14 Jun 1967 p. 1582-3</w:t>
            </w:r>
          </w:p>
        </w:tc>
        <w:tc>
          <w:tcPr>
            <w:tcW w:w="2693" w:type="dxa"/>
          </w:tcPr>
          <w:p>
            <w:pPr>
              <w:pStyle w:val="nTable"/>
              <w:spacing w:before="120"/>
              <w:rPr>
                <w:sz w:val="19"/>
              </w:rPr>
            </w:pPr>
            <w:r>
              <w:rPr>
                <w:sz w:val="19"/>
              </w:rPr>
              <w:t>14 Jun 1967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25 Oct 1967 p. 2962</w:t>
            </w:r>
          </w:p>
        </w:tc>
        <w:tc>
          <w:tcPr>
            <w:tcW w:w="2693" w:type="dxa"/>
          </w:tcPr>
          <w:p>
            <w:pPr>
              <w:pStyle w:val="nTable"/>
              <w:spacing w:before="120"/>
              <w:rPr>
                <w:sz w:val="19"/>
              </w:rPr>
            </w:pPr>
            <w:r>
              <w:rPr>
                <w:sz w:val="19"/>
              </w:rPr>
              <w:t>25 Oct 1967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4 Jun 1968 p. 1694-5</w:t>
            </w:r>
          </w:p>
        </w:tc>
        <w:tc>
          <w:tcPr>
            <w:tcW w:w="2693" w:type="dxa"/>
          </w:tcPr>
          <w:p>
            <w:pPr>
              <w:pStyle w:val="nTable"/>
              <w:spacing w:before="120"/>
              <w:rPr>
                <w:sz w:val="19"/>
              </w:rPr>
            </w:pPr>
            <w:r>
              <w:rPr>
                <w:sz w:val="19"/>
              </w:rPr>
              <w:t>4 Jun 1968</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28 Nov 1968 p. 3457-8</w:t>
            </w:r>
          </w:p>
        </w:tc>
        <w:tc>
          <w:tcPr>
            <w:tcW w:w="2693" w:type="dxa"/>
          </w:tcPr>
          <w:p>
            <w:pPr>
              <w:pStyle w:val="nTable"/>
              <w:spacing w:before="120"/>
              <w:rPr>
                <w:sz w:val="19"/>
              </w:rPr>
            </w:pPr>
            <w:r>
              <w:rPr>
                <w:sz w:val="19"/>
              </w:rPr>
              <w:t>28 Nov 1968</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22 Sep 1969 p. 2874-6</w:t>
            </w:r>
          </w:p>
        </w:tc>
        <w:tc>
          <w:tcPr>
            <w:tcW w:w="2693" w:type="dxa"/>
          </w:tcPr>
          <w:p>
            <w:pPr>
              <w:pStyle w:val="nTable"/>
              <w:spacing w:before="120"/>
              <w:rPr>
                <w:sz w:val="19"/>
              </w:rPr>
            </w:pPr>
            <w:r>
              <w:rPr>
                <w:sz w:val="19"/>
              </w:rPr>
              <w:t>22 Sep 1969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22 Sep 1969 p. 2877</w:t>
            </w:r>
          </w:p>
        </w:tc>
        <w:tc>
          <w:tcPr>
            <w:tcW w:w="2693" w:type="dxa"/>
          </w:tcPr>
          <w:p>
            <w:pPr>
              <w:pStyle w:val="nTable"/>
              <w:spacing w:before="120"/>
              <w:rPr>
                <w:sz w:val="19"/>
              </w:rPr>
            </w:pPr>
            <w:r>
              <w:rPr>
                <w:sz w:val="19"/>
              </w:rPr>
              <w:t>22 Sep 1969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9 Feb 1970 p. 370</w:t>
            </w:r>
          </w:p>
        </w:tc>
        <w:tc>
          <w:tcPr>
            <w:tcW w:w="2693" w:type="dxa"/>
          </w:tcPr>
          <w:p>
            <w:pPr>
              <w:pStyle w:val="nTable"/>
              <w:spacing w:before="120"/>
              <w:rPr>
                <w:sz w:val="19"/>
              </w:rPr>
            </w:pPr>
            <w:r>
              <w:rPr>
                <w:sz w:val="19"/>
              </w:rPr>
              <w:t>9 Feb 1970</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12 Aug 1970 p. 2542-3</w:t>
            </w:r>
          </w:p>
        </w:tc>
        <w:tc>
          <w:tcPr>
            <w:tcW w:w="2693" w:type="dxa"/>
          </w:tcPr>
          <w:p>
            <w:pPr>
              <w:pStyle w:val="nTable"/>
              <w:spacing w:before="120"/>
              <w:rPr>
                <w:sz w:val="19"/>
              </w:rPr>
            </w:pPr>
            <w:r>
              <w:rPr>
                <w:sz w:val="19"/>
              </w:rPr>
              <w:t>12 Aug 1970</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11 Dec 1970 p. 3752</w:t>
            </w:r>
          </w:p>
        </w:tc>
        <w:tc>
          <w:tcPr>
            <w:tcW w:w="2693" w:type="dxa"/>
          </w:tcPr>
          <w:p>
            <w:pPr>
              <w:pStyle w:val="nTable"/>
              <w:spacing w:before="120"/>
              <w:rPr>
                <w:sz w:val="19"/>
              </w:rPr>
            </w:pPr>
            <w:r>
              <w:rPr>
                <w:sz w:val="19"/>
              </w:rPr>
              <w:t>11 Dec 1970</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12 Feb 1971 p. 425</w:t>
            </w:r>
          </w:p>
        </w:tc>
        <w:tc>
          <w:tcPr>
            <w:tcW w:w="2693" w:type="dxa"/>
          </w:tcPr>
          <w:p>
            <w:pPr>
              <w:pStyle w:val="nTable"/>
              <w:spacing w:before="120"/>
              <w:rPr>
                <w:sz w:val="19"/>
              </w:rPr>
            </w:pPr>
            <w:r>
              <w:rPr>
                <w:sz w:val="19"/>
              </w:rPr>
              <w:t>12 Feb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19 Feb 1971 p. 518-21</w:t>
            </w:r>
          </w:p>
        </w:tc>
        <w:tc>
          <w:tcPr>
            <w:tcW w:w="2693" w:type="dxa"/>
          </w:tcPr>
          <w:p>
            <w:pPr>
              <w:pStyle w:val="nTable"/>
              <w:spacing w:before="120"/>
              <w:rPr>
                <w:sz w:val="19"/>
              </w:rPr>
            </w:pPr>
            <w:r>
              <w:rPr>
                <w:sz w:val="19"/>
              </w:rPr>
              <w:t>19 Feb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26 May 1971 p. 1771-3</w:t>
            </w:r>
          </w:p>
        </w:tc>
        <w:tc>
          <w:tcPr>
            <w:tcW w:w="2693" w:type="dxa"/>
          </w:tcPr>
          <w:p>
            <w:pPr>
              <w:pStyle w:val="nTable"/>
              <w:spacing w:before="120"/>
              <w:rPr>
                <w:sz w:val="19"/>
              </w:rPr>
            </w:pPr>
            <w:r>
              <w:rPr>
                <w:sz w:val="19"/>
              </w:rPr>
              <w:t>26 May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7 Sep 1971 p. 3277-9</w:t>
            </w:r>
          </w:p>
        </w:tc>
        <w:tc>
          <w:tcPr>
            <w:tcW w:w="2693" w:type="dxa"/>
          </w:tcPr>
          <w:p>
            <w:pPr>
              <w:pStyle w:val="nTable"/>
              <w:spacing w:before="120"/>
              <w:rPr>
                <w:sz w:val="19"/>
              </w:rPr>
            </w:pPr>
            <w:r>
              <w:rPr>
                <w:sz w:val="19"/>
              </w:rPr>
              <w:t>7 Sep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23 Dec 1971 p. 5318</w:t>
            </w:r>
          </w:p>
        </w:tc>
        <w:tc>
          <w:tcPr>
            <w:tcW w:w="2693" w:type="dxa"/>
          </w:tcPr>
          <w:p>
            <w:pPr>
              <w:pStyle w:val="nTable"/>
              <w:spacing w:before="120"/>
              <w:rPr>
                <w:sz w:val="19"/>
              </w:rPr>
            </w:pPr>
            <w:r>
              <w:rPr>
                <w:sz w:val="19"/>
              </w:rPr>
              <w:t>23 Dec 1971</w:t>
            </w:r>
          </w:p>
        </w:tc>
      </w:tr>
      <w:tr>
        <w:trPr>
          <w:cantSplit/>
        </w:trPr>
        <w:tc>
          <w:tcPr>
            <w:tcW w:w="7087" w:type="dxa"/>
            <w:gridSpan w:val="3"/>
          </w:tcPr>
          <w:p>
            <w:pPr>
              <w:pStyle w:val="nTable"/>
              <w:spacing w:before="120"/>
              <w:rPr>
                <w:sz w:val="19"/>
              </w:rPr>
            </w:pPr>
            <w:r>
              <w:rPr>
                <w:b/>
                <w:sz w:val="19"/>
              </w:rPr>
              <w:t xml:space="preserve">Reprint of the </w:t>
            </w:r>
            <w:r>
              <w:rPr>
                <w:b/>
                <w:i/>
                <w:sz w:val="19"/>
              </w:rPr>
              <w:t>Poisons Act Regulations 1965</w:t>
            </w:r>
            <w:r>
              <w:rPr>
                <w:b/>
                <w:sz w:val="19"/>
              </w:rPr>
              <w:t xml:space="preserve"> authorised 12 Jul 1972 published in </w:t>
            </w:r>
            <w:r>
              <w:rPr>
                <w:b/>
                <w:i/>
                <w:sz w:val="19"/>
              </w:rPr>
              <w:t>Gazette</w:t>
            </w:r>
            <w:r>
              <w:rPr>
                <w:b/>
                <w:sz w:val="19"/>
              </w:rPr>
              <w:t xml:space="preserve"> 25 Jul 1972 p. 2755-801</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22 Feb 1974 p. 553</w:t>
            </w:r>
          </w:p>
        </w:tc>
        <w:tc>
          <w:tcPr>
            <w:tcW w:w="2693" w:type="dxa"/>
          </w:tcPr>
          <w:p>
            <w:pPr>
              <w:pStyle w:val="nTable"/>
              <w:spacing w:before="120"/>
              <w:rPr>
                <w:sz w:val="19"/>
              </w:rPr>
            </w:pPr>
            <w:r>
              <w:rPr>
                <w:sz w:val="19"/>
              </w:rPr>
              <w:t>22 Feb 1974</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3 May 1974 p. 1434-5</w:t>
            </w:r>
          </w:p>
        </w:tc>
        <w:tc>
          <w:tcPr>
            <w:tcW w:w="2693" w:type="dxa"/>
          </w:tcPr>
          <w:p>
            <w:pPr>
              <w:pStyle w:val="nTable"/>
              <w:spacing w:before="120"/>
              <w:rPr>
                <w:sz w:val="19"/>
              </w:rPr>
            </w:pPr>
            <w:r>
              <w:rPr>
                <w:sz w:val="19"/>
              </w:rPr>
              <w:t>3 May 1974</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15 Apr 1976 p. 1183</w:t>
            </w:r>
          </w:p>
        </w:tc>
        <w:tc>
          <w:tcPr>
            <w:tcW w:w="2693" w:type="dxa"/>
          </w:tcPr>
          <w:p>
            <w:pPr>
              <w:pStyle w:val="nTable"/>
              <w:spacing w:before="120"/>
              <w:rPr>
                <w:sz w:val="19"/>
              </w:rPr>
            </w:pPr>
            <w:r>
              <w:rPr>
                <w:sz w:val="19"/>
              </w:rPr>
              <w:t>15 Apr 1976</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26 Aug 1977 p. 2966-73</w:t>
            </w:r>
          </w:p>
        </w:tc>
        <w:tc>
          <w:tcPr>
            <w:tcW w:w="2693" w:type="dxa"/>
          </w:tcPr>
          <w:p>
            <w:pPr>
              <w:pStyle w:val="nTable"/>
              <w:spacing w:before="120"/>
              <w:rPr>
                <w:sz w:val="19"/>
              </w:rPr>
            </w:pPr>
            <w:r>
              <w:rPr>
                <w:sz w:val="19"/>
              </w:rPr>
              <w:t>26 Aug 1977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4 Nov 1977 p. 4087</w:t>
            </w:r>
          </w:p>
        </w:tc>
        <w:tc>
          <w:tcPr>
            <w:tcW w:w="2693" w:type="dxa"/>
          </w:tcPr>
          <w:p>
            <w:pPr>
              <w:pStyle w:val="nTable"/>
              <w:spacing w:before="120"/>
              <w:rPr>
                <w:sz w:val="19"/>
              </w:rPr>
            </w:pPr>
            <w:r>
              <w:rPr>
                <w:sz w:val="19"/>
              </w:rPr>
              <w:t>4 Nov 1977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20 Oct 1978 p. 3760</w:t>
            </w:r>
          </w:p>
        </w:tc>
        <w:tc>
          <w:tcPr>
            <w:tcW w:w="2693" w:type="dxa"/>
          </w:tcPr>
          <w:p>
            <w:pPr>
              <w:pStyle w:val="nTable"/>
              <w:spacing w:before="120"/>
              <w:rPr>
                <w:sz w:val="19"/>
              </w:rPr>
            </w:pPr>
            <w:r>
              <w:rPr>
                <w:sz w:val="19"/>
              </w:rPr>
              <w:t>20 Oct 1978</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 Jun 1979 p. 1437</w:t>
            </w:r>
          </w:p>
        </w:tc>
        <w:tc>
          <w:tcPr>
            <w:tcW w:w="2693" w:type="dxa"/>
          </w:tcPr>
          <w:p>
            <w:pPr>
              <w:pStyle w:val="nTable"/>
              <w:spacing w:before="120"/>
              <w:rPr>
                <w:sz w:val="19"/>
              </w:rPr>
            </w:pPr>
            <w:r>
              <w:rPr>
                <w:sz w:val="19"/>
              </w:rPr>
              <w:t>1 Jul 1979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5 Oct 1979 p. 3085-6</w:t>
            </w:r>
          </w:p>
        </w:tc>
        <w:tc>
          <w:tcPr>
            <w:tcW w:w="2693" w:type="dxa"/>
          </w:tcPr>
          <w:p>
            <w:pPr>
              <w:pStyle w:val="nTable"/>
              <w:spacing w:before="120"/>
              <w:rPr>
                <w:sz w:val="19"/>
              </w:rPr>
            </w:pPr>
            <w:r>
              <w:rPr>
                <w:sz w:val="19"/>
              </w:rPr>
              <w:t>5 Oct 1979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7 Dec 1979 p. 3799-805</w:t>
            </w:r>
          </w:p>
        </w:tc>
        <w:tc>
          <w:tcPr>
            <w:tcW w:w="2693" w:type="dxa"/>
          </w:tcPr>
          <w:p>
            <w:pPr>
              <w:pStyle w:val="nTable"/>
              <w:spacing w:before="120"/>
              <w:rPr>
                <w:sz w:val="19"/>
              </w:rPr>
            </w:pPr>
            <w:r>
              <w:rPr>
                <w:sz w:val="19"/>
              </w:rPr>
              <w:t>7 Dec 1979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29 Aug 1980 p. 3027-31</w:t>
            </w:r>
          </w:p>
        </w:tc>
        <w:tc>
          <w:tcPr>
            <w:tcW w:w="2693" w:type="dxa"/>
          </w:tcPr>
          <w:p>
            <w:pPr>
              <w:pStyle w:val="nTable"/>
              <w:spacing w:before="120"/>
              <w:rPr>
                <w:sz w:val="19"/>
              </w:rPr>
            </w:pPr>
            <w:r>
              <w:t>1 Oct 1980 (see </w:t>
            </w:r>
            <w:r>
              <w:rPr>
                <w:i/>
              </w:rPr>
              <w:t>Gazette</w:t>
            </w:r>
            <w:r>
              <w:t xml:space="preserve"> 29 Aug 1980 p. 3015)</w:t>
            </w:r>
          </w:p>
        </w:tc>
      </w:tr>
      <w:tr>
        <w:trPr>
          <w:cantSplit/>
        </w:trPr>
        <w:tc>
          <w:tcPr>
            <w:tcW w:w="3118" w:type="dxa"/>
          </w:tcPr>
          <w:p>
            <w:pPr>
              <w:pStyle w:val="nTable"/>
              <w:spacing w:before="120"/>
              <w:ind w:right="113"/>
              <w:rPr>
                <w:sz w:val="19"/>
              </w:rPr>
            </w:pPr>
            <w:r>
              <w:rPr>
                <w:i/>
                <w:sz w:val="19"/>
              </w:rPr>
              <w:t>Poisons Act Amendment Regulations 1980</w:t>
            </w:r>
          </w:p>
        </w:tc>
        <w:tc>
          <w:tcPr>
            <w:tcW w:w="1276" w:type="dxa"/>
          </w:tcPr>
          <w:p>
            <w:pPr>
              <w:pStyle w:val="nTable"/>
              <w:spacing w:before="120"/>
              <w:rPr>
                <w:sz w:val="19"/>
              </w:rPr>
            </w:pPr>
            <w:r>
              <w:rPr>
                <w:sz w:val="19"/>
              </w:rPr>
              <w:t>7 Nov 1980 p. 3746</w:t>
            </w:r>
          </w:p>
        </w:tc>
        <w:tc>
          <w:tcPr>
            <w:tcW w:w="2693" w:type="dxa"/>
          </w:tcPr>
          <w:p>
            <w:pPr>
              <w:pStyle w:val="nTable"/>
              <w:spacing w:before="120"/>
              <w:rPr>
                <w:sz w:val="19"/>
              </w:rPr>
            </w:pPr>
            <w:r>
              <w:rPr>
                <w:sz w:val="19"/>
              </w:rPr>
              <w:t>7 Nov 1980</w:t>
            </w:r>
          </w:p>
        </w:tc>
      </w:tr>
      <w:tr>
        <w:trPr>
          <w:cantSplit/>
        </w:trPr>
        <w:tc>
          <w:tcPr>
            <w:tcW w:w="7087" w:type="dxa"/>
            <w:gridSpan w:val="3"/>
          </w:tcPr>
          <w:p>
            <w:pPr>
              <w:pStyle w:val="nTable"/>
              <w:spacing w:before="120"/>
              <w:rPr>
                <w:sz w:val="19"/>
              </w:rPr>
            </w:pPr>
            <w:r>
              <w:rPr>
                <w:b/>
                <w:sz w:val="19"/>
              </w:rPr>
              <w:t xml:space="preserve">Reprint of the </w:t>
            </w:r>
            <w:r>
              <w:rPr>
                <w:b/>
                <w:i/>
                <w:sz w:val="19"/>
              </w:rPr>
              <w:t>Poisons Act Regulations 1965</w:t>
            </w:r>
            <w:r>
              <w:rPr>
                <w:b/>
                <w:sz w:val="19"/>
              </w:rPr>
              <w:t xml:space="preserve"> authorised 7 Sep 1981 published in </w:t>
            </w:r>
            <w:r>
              <w:rPr>
                <w:b/>
                <w:i/>
                <w:sz w:val="19"/>
              </w:rPr>
              <w:t>Gazette</w:t>
            </w:r>
            <w:r>
              <w:rPr>
                <w:b/>
                <w:sz w:val="19"/>
              </w:rPr>
              <w:t xml:space="preserve"> 15 Sep 1981 p. 3975-4029</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Poisons Act Amendment Regulations 1981</w:t>
            </w:r>
          </w:p>
        </w:tc>
        <w:tc>
          <w:tcPr>
            <w:tcW w:w="1276" w:type="dxa"/>
          </w:tcPr>
          <w:p>
            <w:pPr>
              <w:pStyle w:val="nTable"/>
              <w:spacing w:before="120"/>
              <w:rPr>
                <w:sz w:val="19"/>
              </w:rPr>
            </w:pPr>
            <w:r>
              <w:rPr>
                <w:sz w:val="19"/>
              </w:rPr>
              <w:t>6 Nov 1981 p. 4527</w:t>
            </w:r>
          </w:p>
        </w:tc>
        <w:tc>
          <w:tcPr>
            <w:tcW w:w="2693" w:type="dxa"/>
          </w:tcPr>
          <w:p>
            <w:pPr>
              <w:pStyle w:val="nTable"/>
              <w:spacing w:before="120"/>
              <w:rPr>
                <w:sz w:val="19"/>
              </w:rPr>
            </w:pPr>
            <w:r>
              <w:rPr>
                <w:sz w:val="19"/>
              </w:rPr>
              <w:t>6 Nov 1981</w:t>
            </w:r>
          </w:p>
        </w:tc>
      </w:tr>
      <w:tr>
        <w:trPr>
          <w:cantSplit/>
        </w:trPr>
        <w:tc>
          <w:tcPr>
            <w:tcW w:w="3118" w:type="dxa"/>
          </w:tcPr>
          <w:p>
            <w:pPr>
              <w:pStyle w:val="nTable"/>
              <w:spacing w:before="120"/>
              <w:ind w:right="113"/>
              <w:rPr>
                <w:sz w:val="19"/>
              </w:rPr>
            </w:pPr>
            <w:r>
              <w:rPr>
                <w:i/>
                <w:sz w:val="19"/>
              </w:rPr>
              <w:t>Poisons Amendment Regulations 1982</w:t>
            </w:r>
          </w:p>
        </w:tc>
        <w:tc>
          <w:tcPr>
            <w:tcW w:w="1276" w:type="dxa"/>
          </w:tcPr>
          <w:p>
            <w:pPr>
              <w:pStyle w:val="nTable"/>
              <w:spacing w:before="120"/>
              <w:rPr>
                <w:sz w:val="19"/>
              </w:rPr>
            </w:pPr>
            <w:r>
              <w:rPr>
                <w:sz w:val="19"/>
              </w:rPr>
              <w:t>16 Jul 1982 p. 2727-8</w:t>
            </w:r>
          </w:p>
        </w:tc>
        <w:tc>
          <w:tcPr>
            <w:tcW w:w="2693" w:type="dxa"/>
          </w:tcPr>
          <w:p>
            <w:pPr>
              <w:pStyle w:val="nTable"/>
              <w:spacing w:before="120"/>
              <w:rPr>
                <w:sz w:val="19"/>
              </w:rPr>
            </w:pPr>
            <w:r>
              <w:rPr>
                <w:sz w:val="19"/>
              </w:rPr>
              <w:t>16 Jul 1982</w:t>
            </w:r>
          </w:p>
        </w:tc>
      </w:tr>
      <w:tr>
        <w:trPr>
          <w:cantSplit/>
        </w:trPr>
        <w:tc>
          <w:tcPr>
            <w:tcW w:w="3118" w:type="dxa"/>
          </w:tcPr>
          <w:p>
            <w:pPr>
              <w:pStyle w:val="nTable"/>
              <w:spacing w:before="120"/>
              <w:ind w:right="113"/>
              <w:rPr>
                <w:sz w:val="19"/>
              </w:rPr>
            </w:pPr>
            <w:r>
              <w:rPr>
                <w:i/>
                <w:sz w:val="19"/>
              </w:rPr>
              <w:t>Poisons Amendment Regulations (No. 2) 1982</w:t>
            </w:r>
          </w:p>
        </w:tc>
        <w:tc>
          <w:tcPr>
            <w:tcW w:w="1276" w:type="dxa"/>
          </w:tcPr>
          <w:p>
            <w:pPr>
              <w:pStyle w:val="nTable"/>
              <w:spacing w:before="120"/>
              <w:rPr>
                <w:sz w:val="19"/>
              </w:rPr>
            </w:pPr>
            <w:r>
              <w:rPr>
                <w:sz w:val="19"/>
              </w:rPr>
              <w:t>24 Dec 1982 p. 4904</w:t>
            </w:r>
          </w:p>
        </w:tc>
        <w:tc>
          <w:tcPr>
            <w:tcW w:w="2693" w:type="dxa"/>
          </w:tcPr>
          <w:p>
            <w:pPr>
              <w:pStyle w:val="nTable"/>
              <w:spacing w:before="120"/>
              <w:rPr>
                <w:sz w:val="19"/>
              </w:rPr>
            </w:pPr>
            <w:r>
              <w:rPr>
                <w:sz w:val="19"/>
              </w:rPr>
              <w:t>24 Dec 1982</w:t>
            </w:r>
          </w:p>
        </w:tc>
      </w:tr>
      <w:tr>
        <w:trPr>
          <w:cantSplit/>
        </w:trPr>
        <w:tc>
          <w:tcPr>
            <w:tcW w:w="3118" w:type="dxa"/>
          </w:tcPr>
          <w:p>
            <w:pPr>
              <w:pStyle w:val="nTable"/>
              <w:spacing w:before="120"/>
              <w:ind w:right="113"/>
              <w:rPr>
                <w:sz w:val="19"/>
              </w:rPr>
            </w:pPr>
            <w:r>
              <w:rPr>
                <w:i/>
                <w:sz w:val="19"/>
              </w:rPr>
              <w:t>Poisons Amendment Regulations 1983</w:t>
            </w:r>
          </w:p>
        </w:tc>
        <w:tc>
          <w:tcPr>
            <w:tcW w:w="1276" w:type="dxa"/>
          </w:tcPr>
          <w:p>
            <w:pPr>
              <w:pStyle w:val="nTable"/>
              <w:spacing w:before="120"/>
              <w:rPr>
                <w:sz w:val="19"/>
              </w:rPr>
            </w:pPr>
            <w:r>
              <w:rPr>
                <w:sz w:val="19"/>
              </w:rPr>
              <w:t>28 Jan 1983 p. 341</w:t>
            </w:r>
          </w:p>
        </w:tc>
        <w:tc>
          <w:tcPr>
            <w:tcW w:w="2693" w:type="dxa"/>
          </w:tcPr>
          <w:p>
            <w:pPr>
              <w:pStyle w:val="nTable"/>
              <w:spacing w:before="120"/>
              <w:rPr>
                <w:sz w:val="19"/>
              </w:rPr>
            </w:pPr>
            <w:r>
              <w:rPr>
                <w:sz w:val="19"/>
              </w:rPr>
              <w:t>28 Jan 1983</w:t>
            </w:r>
          </w:p>
        </w:tc>
      </w:tr>
      <w:tr>
        <w:trPr>
          <w:cantSplit/>
        </w:trPr>
        <w:tc>
          <w:tcPr>
            <w:tcW w:w="3118" w:type="dxa"/>
          </w:tcPr>
          <w:p>
            <w:pPr>
              <w:pStyle w:val="nTable"/>
              <w:spacing w:before="120"/>
              <w:ind w:right="113"/>
              <w:rPr>
                <w:sz w:val="19"/>
              </w:rPr>
            </w:pPr>
            <w:r>
              <w:rPr>
                <w:i/>
                <w:sz w:val="19"/>
              </w:rPr>
              <w:t>Poisons Amendment Regulations (No. 2) 1983</w:t>
            </w:r>
          </w:p>
        </w:tc>
        <w:tc>
          <w:tcPr>
            <w:tcW w:w="1276" w:type="dxa"/>
          </w:tcPr>
          <w:p>
            <w:pPr>
              <w:pStyle w:val="nTable"/>
              <w:spacing w:before="120"/>
              <w:rPr>
                <w:sz w:val="19"/>
              </w:rPr>
            </w:pPr>
            <w:r>
              <w:rPr>
                <w:sz w:val="19"/>
              </w:rPr>
              <w:t>23 Sep 1983 p. 3803-7</w:t>
            </w:r>
          </w:p>
        </w:tc>
        <w:tc>
          <w:tcPr>
            <w:tcW w:w="2693" w:type="dxa"/>
          </w:tcPr>
          <w:p>
            <w:pPr>
              <w:pStyle w:val="nTable"/>
              <w:spacing w:before="120"/>
              <w:rPr>
                <w:sz w:val="19"/>
              </w:rPr>
            </w:pPr>
            <w:r>
              <w:rPr>
                <w:sz w:val="19"/>
              </w:rPr>
              <w:t>23 Sep 1983</w:t>
            </w:r>
          </w:p>
        </w:tc>
      </w:tr>
      <w:tr>
        <w:trPr>
          <w:cantSplit/>
        </w:trPr>
        <w:tc>
          <w:tcPr>
            <w:tcW w:w="3118" w:type="dxa"/>
          </w:tcPr>
          <w:p>
            <w:pPr>
              <w:pStyle w:val="nTable"/>
              <w:spacing w:before="120"/>
              <w:ind w:right="113"/>
              <w:rPr>
                <w:sz w:val="19"/>
              </w:rPr>
            </w:pPr>
            <w:r>
              <w:rPr>
                <w:i/>
                <w:sz w:val="19"/>
              </w:rPr>
              <w:t>Poisons Amendment Regulations 1984</w:t>
            </w:r>
          </w:p>
        </w:tc>
        <w:tc>
          <w:tcPr>
            <w:tcW w:w="1276" w:type="dxa"/>
          </w:tcPr>
          <w:p>
            <w:pPr>
              <w:pStyle w:val="nTable"/>
              <w:spacing w:before="120"/>
              <w:rPr>
                <w:sz w:val="19"/>
              </w:rPr>
            </w:pPr>
            <w:r>
              <w:rPr>
                <w:sz w:val="19"/>
              </w:rPr>
              <w:t>6 Apr 1984 p. 928 (erratum 13 Apr 1984 p. 1020)</w:t>
            </w:r>
          </w:p>
        </w:tc>
        <w:tc>
          <w:tcPr>
            <w:tcW w:w="2693" w:type="dxa"/>
          </w:tcPr>
          <w:p>
            <w:pPr>
              <w:pStyle w:val="nTable"/>
              <w:spacing w:before="120"/>
              <w:rPr>
                <w:sz w:val="19"/>
              </w:rPr>
            </w:pPr>
            <w:r>
              <w:rPr>
                <w:sz w:val="19"/>
              </w:rPr>
              <w:t>6 Apr 1984</w:t>
            </w:r>
          </w:p>
        </w:tc>
      </w:tr>
      <w:tr>
        <w:trPr>
          <w:cantSplit/>
        </w:trPr>
        <w:tc>
          <w:tcPr>
            <w:tcW w:w="3118" w:type="dxa"/>
          </w:tcPr>
          <w:p>
            <w:pPr>
              <w:pStyle w:val="nTable"/>
              <w:spacing w:before="120"/>
              <w:ind w:right="113"/>
              <w:rPr>
                <w:sz w:val="19"/>
              </w:rPr>
            </w:pPr>
            <w:r>
              <w:rPr>
                <w:i/>
                <w:sz w:val="19"/>
              </w:rPr>
              <w:t>Health Legislation Amendment Regulations 1984</w:t>
            </w:r>
          </w:p>
        </w:tc>
        <w:tc>
          <w:tcPr>
            <w:tcW w:w="1276" w:type="dxa"/>
          </w:tcPr>
          <w:p>
            <w:pPr>
              <w:pStyle w:val="nTable"/>
              <w:spacing w:before="120"/>
              <w:rPr>
                <w:sz w:val="19"/>
              </w:rPr>
            </w:pPr>
            <w:r>
              <w:rPr>
                <w:sz w:val="19"/>
              </w:rPr>
              <w:t>29 Jun 1984 p. 1780-4</w:t>
            </w:r>
          </w:p>
        </w:tc>
        <w:tc>
          <w:tcPr>
            <w:tcW w:w="2693" w:type="dxa"/>
          </w:tcPr>
          <w:p>
            <w:pPr>
              <w:pStyle w:val="nTable"/>
              <w:spacing w:before="120"/>
              <w:rPr>
                <w:sz w:val="19"/>
              </w:rPr>
            </w:pPr>
            <w:r>
              <w:rPr>
                <w:sz w:val="19"/>
              </w:rPr>
              <w:t>1 Jul 1984 (see r. 2)</w:t>
            </w:r>
          </w:p>
        </w:tc>
      </w:tr>
      <w:tr>
        <w:trPr>
          <w:cantSplit/>
        </w:trPr>
        <w:tc>
          <w:tcPr>
            <w:tcW w:w="3118" w:type="dxa"/>
          </w:tcPr>
          <w:p>
            <w:pPr>
              <w:pStyle w:val="nTable"/>
              <w:spacing w:before="120"/>
              <w:ind w:right="113"/>
              <w:rPr>
                <w:sz w:val="19"/>
              </w:rPr>
            </w:pPr>
            <w:r>
              <w:rPr>
                <w:i/>
                <w:sz w:val="19"/>
              </w:rPr>
              <w:t>Poisons Amendment Regulations (No. 2) 1984</w:t>
            </w:r>
          </w:p>
        </w:tc>
        <w:tc>
          <w:tcPr>
            <w:tcW w:w="1276" w:type="dxa"/>
          </w:tcPr>
          <w:p>
            <w:pPr>
              <w:pStyle w:val="nTable"/>
              <w:spacing w:before="120"/>
              <w:rPr>
                <w:sz w:val="19"/>
              </w:rPr>
            </w:pPr>
            <w:r>
              <w:rPr>
                <w:sz w:val="19"/>
              </w:rPr>
              <w:t>12 Oct 1984 p. 3267</w:t>
            </w:r>
          </w:p>
        </w:tc>
        <w:tc>
          <w:tcPr>
            <w:tcW w:w="2693" w:type="dxa"/>
          </w:tcPr>
          <w:p>
            <w:pPr>
              <w:pStyle w:val="nTable"/>
              <w:spacing w:before="120"/>
              <w:rPr>
                <w:sz w:val="19"/>
              </w:rPr>
            </w:pPr>
            <w:r>
              <w:rPr>
                <w:sz w:val="19"/>
              </w:rPr>
              <w:t>12 Oct 1984</w:t>
            </w:r>
          </w:p>
        </w:tc>
      </w:tr>
      <w:tr>
        <w:trPr>
          <w:cantSplit/>
        </w:trPr>
        <w:tc>
          <w:tcPr>
            <w:tcW w:w="3118" w:type="dxa"/>
          </w:tcPr>
          <w:p>
            <w:pPr>
              <w:pStyle w:val="nTable"/>
              <w:spacing w:before="120"/>
              <w:ind w:right="113"/>
              <w:rPr>
                <w:sz w:val="19"/>
              </w:rPr>
            </w:pPr>
            <w:r>
              <w:rPr>
                <w:i/>
                <w:sz w:val="19"/>
              </w:rPr>
              <w:t>Poisons Amendment Regulations 1985</w:t>
            </w:r>
          </w:p>
        </w:tc>
        <w:tc>
          <w:tcPr>
            <w:tcW w:w="1276" w:type="dxa"/>
          </w:tcPr>
          <w:p>
            <w:pPr>
              <w:pStyle w:val="nTable"/>
              <w:spacing w:before="120"/>
              <w:rPr>
                <w:sz w:val="19"/>
              </w:rPr>
            </w:pPr>
            <w:r>
              <w:rPr>
                <w:sz w:val="19"/>
              </w:rPr>
              <w:t>8 Feb 1985 p. 519-20 (erratum 19 Apr 1985 p. 1409)</w:t>
            </w:r>
          </w:p>
        </w:tc>
        <w:tc>
          <w:tcPr>
            <w:tcW w:w="2693" w:type="dxa"/>
          </w:tcPr>
          <w:p>
            <w:pPr>
              <w:pStyle w:val="nTable"/>
              <w:spacing w:before="120"/>
              <w:rPr>
                <w:sz w:val="19"/>
              </w:rPr>
            </w:pPr>
            <w:r>
              <w:rPr>
                <w:sz w:val="19"/>
              </w:rPr>
              <w:t>8 Feb 1985</w:t>
            </w:r>
          </w:p>
        </w:tc>
      </w:tr>
      <w:tr>
        <w:trPr>
          <w:cantSplit/>
        </w:trPr>
        <w:tc>
          <w:tcPr>
            <w:tcW w:w="3118" w:type="dxa"/>
          </w:tcPr>
          <w:p>
            <w:pPr>
              <w:pStyle w:val="nTable"/>
              <w:spacing w:before="120"/>
              <w:ind w:right="113"/>
              <w:rPr>
                <w:sz w:val="19"/>
              </w:rPr>
            </w:pPr>
            <w:r>
              <w:rPr>
                <w:i/>
                <w:sz w:val="19"/>
              </w:rPr>
              <w:t>Poisons Amendment Regulations (No. 2) 1985</w:t>
            </w:r>
          </w:p>
        </w:tc>
        <w:tc>
          <w:tcPr>
            <w:tcW w:w="1276" w:type="dxa"/>
          </w:tcPr>
          <w:p>
            <w:pPr>
              <w:pStyle w:val="nTable"/>
              <w:spacing w:before="120"/>
              <w:rPr>
                <w:sz w:val="19"/>
              </w:rPr>
            </w:pPr>
            <w:r>
              <w:rPr>
                <w:sz w:val="19"/>
              </w:rPr>
              <w:t>8 Feb 1985 p. 520-1</w:t>
            </w:r>
          </w:p>
        </w:tc>
        <w:tc>
          <w:tcPr>
            <w:tcW w:w="2693" w:type="dxa"/>
          </w:tcPr>
          <w:p>
            <w:pPr>
              <w:pStyle w:val="nTable"/>
              <w:spacing w:before="120"/>
              <w:rPr>
                <w:sz w:val="19"/>
              </w:rPr>
            </w:pPr>
            <w:r>
              <w:rPr>
                <w:sz w:val="19"/>
              </w:rPr>
              <w:t>8 Feb 1985</w:t>
            </w:r>
          </w:p>
        </w:tc>
      </w:tr>
      <w:tr>
        <w:trPr>
          <w:cantSplit/>
        </w:trPr>
        <w:tc>
          <w:tcPr>
            <w:tcW w:w="3118" w:type="dxa"/>
          </w:tcPr>
          <w:p>
            <w:pPr>
              <w:pStyle w:val="nTable"/>
              <w:spacing w:before="120"/>
              <w:ind w:right="113"/>
              <w:rPr>
                <w:sz w:val="19"/>
              </w:rPr>
            </w:pPr>
            <w:r>
              <w:rPr>
                <w:i/>
                <w:sz w:val="19"/>
              </w:rPr>
              <w:t>Poisons Amendment Regulations (No. 3) 1985</w:t>
            </w:r>
          </w:p>
        </w:tc>
        <w:tc>
          <w:tcPr>
            <w:tcW w:w="1276" w:type="dxa"/>
          </w:tcPr>
          <w:p>
            <w:pPr>
              <w:pStyle w:val="nTable"/>
              <w:spacing w:before="120"/>
              <w:rPr>
                <w:sz w:val="19"/>
              </w:rPr>
            </w:pPr>
            <w:r>
              <w:rPr>
                <w:sz w:val="19"/>
              </w:rPr>
              <w:t>15 Mar 1985 p. 941-54 (erratum 29 Mar 1985 p. 1110)</w:t>
            </w:r>
          </w:p>
        </w:tc>
        <w:tc>
          <w:tcPr>
            <w:tcW w:w="2693" w:type="dxa"/>
          </w:tcPr>
          <w:p>
            <w:pPr>
              <w:pStyle w:val="nTable"/>
              <w:spacing w:before="120"/>
              <w:rPr>
                <w:sz w:val="19"/>
              </w:rPr>
            </w:pPr>
            <w:r>
              <w:rPr>
                <w:sz w:val="19"/>
              </w:rPr>
              <w:t>15 Mar 1985</w:t>
            </w:r>
          </w:p>
        </w:tc>
      </w:tr>
      <w:tr>
        <w:trPr>
          <w:cantSplit/>
        </w:trPr>
        <w:tc>
          <w:tcPr>
            <w:tcW w:w="3118" w:type="dxa"/>
          </w:tcPr>
          <w:p>
            <w:pPr>
              <w:pStyle w:val="nTable"/>
              <w:spacing w:before="120"/>
              <w:ind w:right="113"/>
              <w:rPr>
                <w:sz w:val="19"/>
              </w:rPr>
            </w:pPr>
            <w:r>
              <w:rPr>
                <w:i/>
                <w:sz w:val="19"/>
              </w:rPr>
              <w:t>Poisons Amendment Regulations (No. 5) 1985</w:t>
            </w:r>
          </w:p>
        </w:tc>
        <w:tc>
          <w:tcPr>
            <w:tcW w:w="1276" w:type="dxa"/>
          </w:tcPr>
          <w:p>
            <w:pPr>
              <w:pStyle w:val="nTable"/>
              <w:spacing w:before="120"/>
              <w:rPr>
                <w:sz w:val="19"/>
              </w:rPr>
            </w:pPr>
            <w:r>
              <w:rPr>
                <w:sz w:val="19"/>
              </w:rPr>
              <w:t>12 Apr 1985 p. 1285-6</w:t>
            </w:r>
          </w:p>
        </w:tc>
        <w:tc>
          <w:tcPr>
            <w:tcW w:w="2693" w:type="dxa"/>
          </w:tcPr>
          <w:p>
            <w:pPr>
              <w:pStyle w:val="nTable"/>
              <w:spacing w:before="120"/>
              <w:rPr>
                <w:sz w:val="19"/>
              </w:rPr>
            </w:pPr>
            <w:r>
              <w:rPr>
                <w:sz w:val="19"/>
              </w:rPr>
              <w:t>1 Jul 1985 (see r. 2)</w:t>
            </w:r>
          </w:p>
        </w:tc>
      </w:tr>
      <w:tr>
        <w:trPr>
          <w:cantSplit/>
        </w:trPr>
        <w:tc>
          <w:tcPr>
            <w:tcW w:w="3118" w:type="dxa"/>
          </w:tcPr>
          <w:p>
            <w:pPr>
              <w:pStyle w:val="nTable"/>
              <w:spacing w:before="120"/>
              <w:ind w:right="113"/>
              <w:rPr>
                <w:sz w:val="19"/>
              </w:rPr>
            </w:pPr>
            <w:r>
              <w:rPr>
                <w:i/>
                <w:sz w:val="19"/>
              </w:rPr>
              <w:t>Poisons Amendment Regulations (No. 6) 1985</w:t>
            </w:r>
          </w:p>
        </w:tc>
        <w:tc>
          <w:tcPr>
            <w:tcW w:w="1276" w:type="dxa"/>
          </w:tcPr>
          <w:p>
            <w:pPr>
              <w:pStyle w:val="nTable"/>
              <w:spacing w:before="120"/>
              <w:rPr>
                <w:sz w:val="19"/>
              </w:rPr>
            </w:pPr>
            <w:r>
              <w:rPr>
                <w:sz w:val="19"/>
              </w:rPr>
              <w:t>31 May 1985 p. 1882</w:t>
            </w:r>
          </w:p>
        </w:tc>
        <w:tc>
          <w:tcPr>
            <w:tcW w:w="2693" w:type="dxa"/>
          </w:tcPr>
          <w:p>
            <w:pPr>
              <w:pStyle w:val="nTable"/>
              <w:spacing w:before="120"/>
              <w:rPr>
                <w:sz w:val="19"/>
              </w:rPr>
            </w:pPr>
            <w:r>
              <w:rPr>
                <w:sz w:val="19"/>
              </w:rPr>
              <w:t>31 May 1985</w:t>
            </w:r>
          </w:p>
        </w:tc>
      </w:tr>
      <w:tr>
        <w:trPr>
          <w:cantSplit/>
        </w:trPr>
        <w:tc>
          <w:tcPr>
            <w:tcW w:w="3118" w:type="dxa"/>
          </w:tcPr>
          <w:p>
            <w:pPr>
              <w:pStyle w:val="nTable"/>
              <w:spacing w:before="120"/>
              <w:ind w:right="113"/>
              <w:rPr>
                <w:sz w:val="19"/>
              </w:rPr>
            </w:pPr>
            <w:r>
              <w:rPr>
                <w:i/>
                <w:sz w:val="19"/>
              </w:rPr>
              <w:t>Poisons Amendment Regulations (No. 4) 1985</w:t>
            </w:r>
          </w:p>
        </w:tc>
        <w:tc>
          <w:tcPr>
            <w:tcW w:w="1276" w:type="dxa"/>
          </w:tcPr>
          <w:p>
            <w:pPr>
              <w:pStyle w:val="nTable"/>
              <w:spacing w:before="120"/>
              <w:rPr>
                <w:sz w:val="19"/>
              </w:rPr>
            </w:pPr>
            <w:r>
              <w:rPr>
                <w:sz w:val="19"/>
              </w:rPr>
              <w:t>7 Jun 1985 p. 1941</w:t>
            </w:r>
          </w:p>
        </w:tc>
        <w:tc>
          <w:tcPr>
            <w:tcW w:w="2693" w:type="dxa"/>
          </w:tcPr>
          <w:p>
            <w:pPr>
              <w:pStyle w:val="nTable"/>
              <w:spacing w:before="120"/>
              <w:rPr>
                <w:sz w:val="19"/>
              </w:rPr>
            </w:pPr>
            <w:r>
              <w:rPr>
                <w:sz w:val="19"/>
              </w:rPr>
              <w:t>7 Jun 1985</w:t>
            </w:r>
          </w:p>
        </w:tc>
      </w:tr>
      <w:tr>
        <w:trPr>
          <w:cantSplit/>
        </w:trPr>
        <w:tc>
          <w:tcPr>
            <w:tcW w:w="3118" w:type="dxa"/>
          </w:tcPr>
          <w:p>
            <w:pPr>
              <w:pStyle w:val="nTable"/>
              <w:spacing w:before="120"/>
              <w:ind w:right="113"/>
              <w:rPr>
                <w:sz w:val="19"/>
              </w:rPr>
            </w:pPr>
            <w:r>
              <w:rPr>
                <w:i/>
                <w:sz w:val="19"/>
              </w:rPr>
              <w:t>Poisons Amendment Regulations (No. 6) 1985</w:t>
            </w:r>
          </w:p>
        </w:tc>
        <w:tc>
          <w:tcPr>
            <w:tcW w:w="1276" w:type="dxa"/>
          </w:tcPr>
          <w:p>
            <w:pPr>
              <w:pStyle w:val="nTable"/>
              <w:spacing w:before="120"/>
              <w:rPr>
                <w:sz w:val="19"/>
              </w:rPr>
            </w:pPr>
            <w:r>
              <w:rPr>
                <w:sz w:val="19"/>
              </w:rPr>
              <w:t>5 Jul 1985 p. 2392</w:t>
            </w:r>
          </w:p>
        </w:tc>
        <w:tc>
          <w:tcPr>
            <w:tcW w:w="2693" w:type="dxa"/>
          </w:tcPr>
          <w:p>
            <w:pPr>
              <w:pStyle w:val="nTable"/>
              <w:spacing w:before="120"/>
              <w:rPr>
                <w:sz w:val="19"/>
              </w:rPr>
            </w:pPr>
            <w:r>
              <w:rPr>
                <w:sz w:val="19"/>
              </w:rPr>
              <w:t>5 Jul 1985</w:t>
            </w:r>
          </w:p>
        </w:tc>
      </w:tr>
      <w:tr>
        <w:trPr>
          <w:cantSplit/>
        </w:trPr>
        <w:tc>
          <w:tcPr>
            <w:tcW w:w="3118" w:type="dxa"/>
          </w:tcPr>
          <w:p>
            <w:pPr>
              <w:pStyle w:val="nTable"/>
              <w:spacing w:before="120"/>
              <w:ind w:right="113"/>
              <w:rPr>
                <w:sz w:val="19"/>
              </w:rPr>
            </w:pPr>
            <w:r>
              <w:rPr>
                <w:i/>
                <w:sz w:val="19"/>
              </w:rPr>
              <w:t>Poisons Amendment Regulations (No. 8) 1985</w:t>
            </w:r>
          </w:p>
        </w:tc>
        <w:tc>
          <w:tcPr>
            <w:tcW w:w="1276" w:type="dxa"/>
          </w:tcPr>
          <w:p>
            <w:pPr>
              <w:pStyle w:val="nTable"/>
              <w:spacing w:before="120"/>
              <w:rPr>
                <w:sz w:val="19"/>
              </w:rPr>
            </w:pPr>
            <w:r>
              <w:rPr>
                <w:sz w:val="19"/>
              </w:rPr>
              <w:t>20 Sep 1985 p. 3743</w:t>
            </w:r>
          </w:p>
        </w:tc>
        <w:tc>
          <w:tcPr>
            <w:tcW w:w="2693" w:type="dxa"/>
          </w:tcPr>
          <w:p>
            <w:pPr>
              <w:pStyle w:val="nTable"/>
              <w:spacing w:before="120"/>
              <w:rPr>
                <w:sz w:val="19"/>
              </w:rPr>
            </w:pPr>
            <w:r>
              <w:rPr>
                <w:sz w:val="19"/>
              </w:rPr>
              <w:t>20 Sep 1985</w:t>
            </w:r>
          </w:p>
        </w:tc>
      </w:tr>
      <w:tr>
        <w:trPr>
          <w:cantSplit/>
        </w:trPr>
        <w:tc>
          <w:tcPr>
            <w:tcW w:w="3118" w:type="dxa"/>
          </w:tcPr>
          <w:p>
            <w:pPr>
              <w:pStyle w:val="nTable"/>
              <w:spacing w:before="120"/>
              <w:ind w:right="113"/>
              <w:rPr>
                <w:sz w:val="19"/>
              </w:rPr>
            </w:pPr>
            <w:r>
              <w:rPr>
                <w:i/>
                <w:sz w:val="19"/>
              </w:rPr>
              <w:t>Poisons Amendment Regulations 1986</w:t>
            </w:r>
          </w:p>
        </w:tc>
        <w:tc>
          <w:tcPr>
            <w:tcW w:w="1276" w:type="dxa"/>
          </w:tcPr>
          <w:p>
            <w:pPr>
              <w:pStyle w:val="nTable"/>
              <w:spacing w:before="120"/>
              <w:rPr>
                <w:sz w:val="19"/>
              </w:rPr>
            </w:pPr>
            <w:r>
              <w:rPr>
                <w:sz w:val="19"/>
              </w:rPr>
              <w:t>31 Jan 1986 p. 332-3</w:t>
            </w:r>
          </w:p>
        </w:tc>
        <w:tc>
          <w:tcPr>
            <w:tcW w:w="2693" w:type="dxa"/>
          </w:tcPr>
          <w:p>
            <w:pPr>
              <w:pStyle w:val="nTable"/>
              <w:spacing w:before="120"/>
              <w:rPr>
                <w:sz w:val="19"/>
              </w:rPr>
            </w:pPr>
            <w:r>
              <w:rPr>
                <w:sz w:val="19"/>
              </w:rPr>
              <w:t>31 Jan 1986</w:t>
            </w:r>
          </w:p>
        </w:tc>
      </w:tr>
      <w:tr>
        <w:trPr>
          <w:cantSplit/>
        </w:trPr>
        <w:tc>
          <w:tcPr>
            <w:tcW w:w="3118" w:type="dxa"/>
          </w:tcPr>
          <w:p>
            <w:pPr>
              <w:pStyle w:val="nTable"/>
              <w:spacing w:before="120"/>
              <w:ind w:right="113"/>
              <w:rPr>
                <w:sz w:val="19"/>
              </w:rPr>
            </w:pPr>
            <w:r>
              <w:rPr>
                <w:i/>
                <w:sz w:val="19"/>
              </w:rPr>
              <w:t>Poisons Amendment Regulations (No. 2) 1986</w:t>
            </w:r>
          </w:p>
        </w:tc>
        <w:tc>
          <w:tcPr>
            <w:tcW w:w="1276" w:type="dxa"/>
          </w:tcPr>
          <w:p>
            <w:pPr>
              <w:pStyle w:val="nTable"/>
              <w:spacing w:before="120"/>
              <w:rPr>
                <w:sz w:val="19"/>
              </w:rPr>
            </w:pPr>
            <w:r>
              <w:rPr>
                <w:sz w:val="19"/>
              </w:rPr>
              <w:t>28 Feb 1986 p. 616-17</w:t>
            </w:r>
          </w:p>
        </w:tc>
        <w:tc>
          <w:tcPr>
            <w:tcW w:w="2693" w:type="dxa"/>
          </w:tcPr>
          <w:p>
            <w:pPr>
              <w:pStyle w:val="nTable"/>
              <w:spacing w:before="120"/>
              <w:rPr>
                <w:sz w:val="19"/>
              </w:rPr>
            </w:pPr>
            <w:r>
              <w:rPr>
                <w:sz w:val="19"/>
              </w:rPr>
              <w:t>28 Feb 1986</w:t>
            </w:r>
          </w:p>
        </w:tc>
      </w:tr>
      <w:tr>
        <w:trPr>
          <w:cantSplit/>
        </w:trPr>
        <w:tc>
          <w:tcPr>
            <w:tcW w:w="3118" w:type="dxa"/>
          </w:tcPr>
          <w:p>
            <w:pPr>
              <w:pStyle w:val="nTable"/>
              <w:spacing w:before="120"/>
              <w:ind w:right="113"/>
              <w:rPr>
                <w:sz w:val="19"/>
              </w:rPr>
            </w:pPr>
            <w:r>
              <w:rPr>
                <w:i/>
                <w:sz w:val="19"/>
              </w:rPr>
              <w:t>Poisons Amendment Regulations (No. 3) 1986</w:t>
            </w:r>
          </w:p>
        </w:tc>
        <w:tc>
          <w:tcPr>
            <w:tcW w:w="1276" w:type="dxa"/>
          </w:tcPr>
          <w:p>
            <w:pPr>
              <w:pStyle w:val="nTable"/>
              <w:spacing w:before="120"/>
              <w:rPr>
                <w:sz w:val="19"/>
              </w:rPr>
            </w:pPr>
            <w:r>
              <w:rPr>
                <w:sz w:val="19"/>
              </w:rPr>
              <w:t>28 Feb 1986 p. 618</w:t>
            </w:r>
          </w:p>
        </w:tc>
        <w:tc>
          <w:tcPr>
            <w:tcW w:w="2693" w:type="dxa"/>
          </w:tcPr>
          <w:p>
            <w:pPr>
              <w:pStyle w:val="nTable"/>
              <w:spacing w:before="120"/>
              <w:rPr>
                <w:sz w:val="19"/>
              </w:rPr>
            </w:pPr>
            <w:r>
              <w:rPr>
                <w:sz w:val="19"/>
              </w:rPr>
              <w:t>28 Feb 1986</w:t>
            </w:r>
          </w:p>
        </w:tc>
      </w:tr>
      <w:tr>
        <w:trPr>
          <w:cantSplit/>
        </w:trPr>
        <w:tc>
          <w:tcPr>
            <w:tcW w:w="3118" w:type="dxa"/>
          </w:tcPr>
          <w:p>
            <w:pPr>
              <w:pStyle w:val="nTable"/>
              <w:spacing w:before="120"/>
              <w:ind w:right="113"/>
              <w:rPr>
                <w:sz w:val="19"/>
              </w:rPr>
            </w:pPr>
            <w:r>
              <w:rPr>
                <w:i/>
                <w:sz w:val="19"/>
              </w:rPr>
              <w:t>Poisons Amendment Regulations (No. 4) 1986</w:t>
            </w:r>
          </w:p>
        </w:tc>
        <w:tc>
          <w:tcPr>
            <w:tcW w:w="1276" w:type="dxa"/>
          </w:tcPr>
          <w:p>
            <w:pPr>
              <w:pStyle w:val="nTable"/>
              <w:spacing w:before="120"/>
              <w:rPr>
                <w:sz w:val="19"/>
              </w:rPr>
            </w:pPr>
            <w:r>
              <w:rPr>
                <w:sz w:val="19"/>
              </w:rPr>
              <w:t>23 May 1986 p. 1716-20 (erratum 20 Jun 1986 p. 2049-54)</w:t>
            </w:r>
          </w:p>
        </w:tc>
        <w:tc>
          <w:tcPr>
            <w:tcW w:w="2693" w:type="dxa"/>
          </w:tcPr>
          <w:p>
            <w:pPr>
              <w:pStyle w:val="nTable"/>
              <w:spacing w:before="120"/>
              <w:rPr>
                <w:sz w:val="19"/>
              </w:rPr>
            </w:pPr>
            <w:r>
              <w:rPr>
                <w:sz w:val="19"/>
              </w:rPr>
              <w:t>23 May 1986</w:t>
            </w:r>
          </w:p>
        </w:tc>
      </w:tr>
      <w:tr>
        <w:trPr>
          <w:cantSplit/>
        </w:trPr>
        <w:tc>
          <w:tcPr>
            <w:tcW w:w="3118" w:type="dxa"/>
          </w:tcPr>
          <w:p>
            <w:pPr>
              <w:pStyle w:val="nTable"/>
              <w:spacing w:before="120"/>
              <w:ind w:right="113"/>
              <w:rPr>
                <w:sz w:val="19"/>
              </w:rPr>
            </w:pPr>
            <w:r>
              <w:rPr>
                <w:i/>
                <w:sz w:val="19"/>
              </w:rPr>
              <w:t>Poisons Amendment Regulations (No. 5) 1986</w:t>
            </w:r>
          </w:p>
        </w:tc>
        <w:tc>
          <w:tcPr>
            <w:tcW w:w="1276" w:type="dxa"/>
          </w:tcPr>
          <w:p>
            <w:pPr>
              <w:pStyle w:val="nTable"/>
              <w:spacing w:before="120"/>
              <w:rPr>
                <w:sz w:val="19"/>
              </w:rPr>
            </w:pPr>
            <w:r>
              <w:rPr>
                <w:sz w:val="19"/>
              </w:rPr>
              <w:t>23 May 1986 p. 1721 (erratum 30 May 1986 p. 1769)</w:t>
            </w:r>
          </w:p>
        </w:tc>
        <w:tc>
          <w:tcPr>
            <w:tcW w:w="2693" w:type="dxa"/>
          </w:tcPr>
          <w:p>
            <w:pPr>
              <w:pStyle w:val="nTable"/>
              <w:spacing w:before="120"/>
              <w:rPr>
                <w:sz w:val="19"/>
              </w:rPr>
            </w:pPr>
            <w:r>
              <w:rPr>
                <w:sz w:val="19"/>
              </w:rPr>
              <w:t>23 May 1986</w:t>
            </w:r>
          </w:p>
        </w:tc>
      </w:tr>
      <w:tr>
        <w:trPr>
          <w:cantSplit/>
        </w:trPr>
        <w:tc>
          <w:tcPr>
            <w:tcW w:w="3118" w:type="dxa"/>
          </w:tcPr>
          <w:p>
            <w:pPr>
              <w:pStyle w:val="nTable"/>
              <w:spacing w:before="120"/>
              <w:ind w:right="113"/>
              <w:rPr>
                <w:sz w:val="19"/>
              </w:rPr>
            </w:pPr>
            <w:r>
              <w:rPr>
                <w:i/>
                <w:sz w:val="19"/>
              </w:rPr>
              <w:t>Poisons Amendment Regulations (No. 7) 1986</w:t>
            </w:r>
          </w:p>
        </w:tc>
        <w:tc>
          <w:tcPr>
            <w:tcW w:w="1276" w:type="dxa"/>
          </w:tcPr>
          <w:p>
            <w:pPr>
              <w:pStyle w:val="nTable"/>
              <w:spacing w:before="120"/>
              <w:rPr>
                <w:sz w:val="19"/>
              </w:rPr>
            </w:pPr>
            <w:r>
              <w:rPr>
                <w:sz w:val="19"/>
              </w:rPr>
              <w:t>11 Jul 1986 p. 2339-40</w:t>
            </w:r>
          </w:p>
        </w:tc>
        <w:tc>
          <w:tcPr>
            <w:tcW w:w="2693" w:type="dxa"/>
          </w:tcPr>
          <w:p>
            <w:pPr>
              <w:pStyle w:val="nTable"/>
              <w:spacing w:before="120"/>
              <w:rPr>
                <w:sz w:val="19"/>
              </w:rPr>
            </w:pPr>
            <w:r>
              <w:rPr>
                <w:sz w:val="19"/>
              </w:rPr>
              <w:t>15 Jul 1986</w:t>
            </w:r>
          </w:p>
        </w:tc>
      </w:tr>
      <w:tr>
        <w:trPr>
          <w:cantSplit/>
        </w:trPr>
        <w:tc>
          <w:tcPr>
            <w:tcW w:w="3118" w:type="dxa"/>
          </w:tcPr>
          <w:p>
            <w:pPr>
              <w:pStyle w:val="nTable"/>
              <w:spacing w:before="120"/>
              <w:ind w:right="113"/>
              <w:rPr>
                <w:sz w:val="19"/>
              </w:rPr>
            </w:pPr>
            <w:r>
              <w:rPr>
                <w:i/>
                <w:sz w:val="19"/>
              </w:rPr>
              <w:t>Poisons Amendment Regulations (No. 6) 1986</w:t>
            </w:r>
          </w:p>
        </w:tc>
        <w:tc>
          <w:tcPr>
            <w:tcW w:w="1276" w:type="dxa"/>
          </w:tcPr>
          <w:p>
            <w:pPr>
              <w:pStyle w:val="nTable"/>
              <w:spacing w:before="120"/>
              <w:rPr>
                <w:sz w:val="19"/>
              </w:rPr>
            </w:pPr>
            <w:r>
              <w:rPr>
                <w:sz w:val="19"/>
              </w:rPr>
              <w:t>1 Aug 1986 p. 2739</w:t>
            </w:r>
          </w:p>
        </w:tc>
        <w:tc>
          <w:tcPr>
            <w:tcW w:w="2693" w:type="dxa"/>
          </w:tcPr>
          <w:p>
            <w:pPr>
              <w:pStyle w:val="nTable"/>
              <w:spacing w:before="120"/>
              <w:rPr>
                <w:sz w:val="19"/>
              </w:rPr>
            </w:pPr>
            <w:r>
              <w:rPr>
                <w:sz w:val="19"/>
              </w:rPr>
              <w:t>1 Aug 1986</w:t>
            </w:r>
          </w:p>
        </w:tc>
      </w:tr>
      <w:tr>
        <w:trPr>
          <w:cantSplit/>
        </w:trPr>
        <w:tc>
          <w:tcPr>
            <w:tcW w:w="3118" w:type="dxa"/>
          </w:tcPr>
          <w:p>
            <w:pPr>
              <w:pStyle w:val="nTable"/>
              <w:spacing w:before="120"/>
              <w:ind w:right="113"/>
              <w:rPr>
                <w:sz w:val="19"/>
              </w:rPr>
            </w:pPr>
            <w:r>
              <w:rPr>
                <w:i/>
                <w:sz w:val="19"/>
              </w:rPr>
              <w:t>Poisons Amendment Regulations (No. 8) 1986</w:t>
            </w:r>
          </w:p>
        </w:tc>
        <w:tc>
          <w:tcPr>
            <w:tcW w:w="1276" w:type="dxa"/>
          </w:tcPr>
          <w:p>
            <w:pPr>
              <w:pStyle w:val="nTable"/>
              <w:spacing w:before="120"/>
              <w:rPr>
                <w:sz w:val="19"/>
              </w:rPr>
            </w:pPr>
            <w:r>
              <w:rPr>
                <w:sz w:val="19"/>
              </w:rPr>
              <w:t>21 Nov 1986 p. 4269</w:t>
            </w:r>
          </w:p>
        </w:tc>
        <w:tc>
          <w:tcPr>
            <w:tcW w:w="2693" w:type="dxa"/>
          </w:tcPr>
          <w:p>
            <w:pPr>
              <w:pStyle w:val="nTable"/>
              <w:spacing w:before="120"/>
              <w:rPr>
                <w:sz w:val="19"/>
              </w:rPr>
            </w:pPr>
            <w:r>
              <w:rPr>
                <w:sz w:val="19"/>
              </w:rPr>
              <w:t>21 Nov 1986</w:t>
            </w:r>
          </w:p>
        </w:tc>
      </w:tr>
      <w:tr>
        <w:trPr>
          <w:cantSplit/>
        </w:trPr>
        <w:tc>
          <w:tcPr>
            <w:tcW w:w="3118" w:type="dxa"/>
          </w:tcPr>
          <w:p>
            <w:pPr>
              <w:pStyle w:val="nTable"/>
              <w:spacing w:before="120"/>
              <w:ind w:right="113"/>
              <w:rPr>
                <w:sz w:val="19"/>
              </w:rPr>
            </w:pPr>
            <w:r>
              <w:rPr>
                <w:i/>
                <w:sz w:val="19"/>
              </w:rPr>
              <w:t>Poisons Amendment Regulations (No. 9) 1986</w:t>
            </w:r>
          </w:p>
        </w:tc>
        <w:tc>
          <w:tcPr>
            <w:tcW w:w="1276" w:type="dxa"/>
          </w:tcPr>
          <w:p>
            <w:pPr>
              <w:pStyle w:val="nTable"/>
              <w:spacing w:before="120"/>
              <w:rPr>
                <w:sz w:val="19"/>
              </w:rPr>
            </w:pPr>
            <w:r>
              <w:rPr>
                <w:sz w:val="19"/>
              </w:rPr>
              <w:t>21 Nov 1986 p. 4270</w:t>
            </w:r>
          </w:p>
        </w:tc>
        <w:tc>
          <w:tcPr>
            <w:tcW w:w="2693" w:type="dxa"/>
          </w:tcPr>
          <w:p>
            <w:pPr>
              <w:pStyle w:val="nTable"/>
              <w:spacing w:before="120"/>
              <w:rPr>
                <w:sz w:val="19"/>
              </w:rPr>
            </w:pPr>
            <w:r>
              <w:rPr>
                <w:sz w:val="19"/>
              </w:rPr>
              <w:t>21 Nov 1986</w:t>
            </w:r>
          </w:p>
        </w:tc>
      </w:tr>
      <w:tr>
        <w:trPr>
          <w:cantSplit/>
        </w:trPr>
        <w:tc>
          <w:tcPr>
            <w:tcW w:w="3118" w:type="dxa"/>
          </w:tcPr>
          <w:p>
            <w:pPr>
              <w:pStyle w:val="nTable"/>
              <w:spacing w:before="120"/>
              <w:ind w:right="113"/>
              <w:rPr>
                <w:sz w:val="19"/>
              </w:rPr>
            </w:pPr>
            <w:r>
              <w:rPr>
                <w:i/>
                <w:sz w:val="19"/>
              </w:rPr>
              <w:t>Poisons Amendment Regulations (No. 10) 1986</w:t>
            </w:r>
          </w:p>
        </w:tc>
        <w:tc>
          <w:tcPr>
            <w:tcW w:w="1276" w:type="dxa"/>
          </w:tcPr>
          <w:p>
            <w:pPr>
              <w:pStyle w:val="nTable"/>
              <w:spacing w:before="120"/>
              <w:rPr>
                <w:sz w:val="19"/>
              </w:rPr>
            </w:pPr>
            <w:r>
              <w:rPr>
                <w:sz w:val="19"/>
              </w:rPr>
              <w:t>5 Dec 1986 p. 4466-7</w:t>
            </w:r>
          </w:p>
        </w:tc>
        <w:tc>
          <w:tcPr>
            <w:tcW w:w="2693" w:type="dxa"/>
          </w:tcPr>
          <w:p>
            <w:pPr>
              <w:pStyle w:val="nTable"/>
              <w:spacing w:before="120"/>
              <w:rPr>
                <w:sz w:val="19"/>
              </w:rPr>
            </w:pPr>
            <w:r>
              <w:rPr>
                <w:sz w:val="19"/>
              </w:rPr>
              <w:t>5 Dec 1986</w:t>
            </w:r>
          </w:p>
        </w:tc>
      </w:tr>
      <w:tr>
        <w:trPr>
          <w:cantSplit/>
        </w:trPr>
        <w:tc>
          <w:tcPr>
            <w:tcW w:w="3118" w:type="dxa"/>
          </w:tcPr>
          <w:p>
            <w:pPr>
              <w:pStyle w:val="nTable"/>
              <w:spacing w:before="120"/>
              <w:ind w:right="113"/>
              <w:rPr>
                <w:sz w:val="19"/>
              </w:rPr>
            </w:pPr>
            <w:r>
              <w:rPr>
                <w:i/>
                <w:sz w:val="19"/>
              </w:rPr>
              <w:t>Poisons Amendment Regulations (No. 12) 1986</w:t>
            </w:r>
          </w:p>
        </w:tc>
        <w:tc>
          <w:tcPr>
            <w:tcW w:w="1276" w:type="dxa"/>
          </w:tcPr>
          <w:p>
            <w:pPr>
              <w:pStyle w:val="nTable"/>
              <w:spacing w:before="120"/>
              <w:rPr>
                <w:sz w:val="19"/>
              </w:rPr>
            </w:pPr>
            <w:r>
              <w:rPr>
                <w:sz w:val="19"/>
              </w:rPr>
              <w:t>19 Dec 1986 p. 4874-5</w:t>
            </w:r>
          </w:p>
        </w:tc>
        <w:tc>
          <w:tcPr>
            <w:tcW w:w="2693" w:type="dxa"/>
          </w:tcPr>
          <w:p>
            <w:pPr>
              <w:pStyle w:val="nTable"/>
              <w:spacing w:before="120"/>
              <w:rPr>
                <w:sz w:val="19"/>
              </w:rPr>
            </w:pPr>
            <w:r>
              <w:rPr>
                <w:sz w:val="19"/>
              </w:rPr>
              <w:t>19 Dec 1986</w:t>
            </w:r>
          </w:p>
        </w:tc>
      </w:tr>
      <w:tr>
        <w:trPr>
          <w:cantSplit/>
        </w:trPr>
        <w:tc>
          <w:tcPr>
            <w:tcW w:w="3118" w:type="dxa"/>
          </w:tcPr>
          <w:p>
            <w:pPr>
              <w:pStyle w:val="nTable"/>
              <w:spacing w:before="120"/>
              <w:ind w:right="113"/>
              <w:rPr>
                <w:sz w:val="19"/>
              </w:rPr>
            </w:pPr>
            <w:r>
              <w:rPr>
                <w:i/>
                <w:sz w:val="19"/>
              </w:rPr>
              <w:t>Poisons Amendment Regulations 1987</w:t>
            </w:r>
          </w:p>
        </w:tc>
        <w:tc>
          <w:tcPr>
            <w:tcW w:w="1276" w:type="dxa"/>
          </w:tcPr>
          <w:p>
            <w:pPr>
              <w:pStyle w:val="nTable"/>
              <w:spacing w:before="120"/>
              <w:rPr>
                <w:sz w:val="19"/>
              </w:rPr>
            </w:pPr>
            <w:r>
              <w:rPr>
                <w:sz w:val="19"/>
              </w:rPr>
              <w:t>23 Jan 1987 p. 187</w:t>
            </w:r>
          </w:p>
        </w:tc>
        <w:tc>
          <w:tcPr>
            <w:tcW w:w="2693" w:type="dxa"/>
          </w:tcPr>
          <w:p>
            <w:pPr>
              <w:pStyle w:val="nTable"/>
              <w:spacing w:before="120"/>
              <w:rPr>
                <w:sz w:val="19"/>
              </w:rPr>
            </w:pPr>
            <w:r>
              <w:rPr>
                <w:sz w:val="19"/>
              </w:rPr>
              <w:t>23 Jan 1987</w:t>
            </w:r>
          </w:p>
        </w:tc>
      </w:tr>
      <w:tr>
        <w:trPr>
          <w:cantSplit/>
        </w:trPr>
        <w:tc>
          <w:tcPr>
            <w:tcW w:w="3118" w:type="dxa"/>
          </w:tcPr>
          <w:p>
            <w:pPr>
              <w:pStyle w:val="nTable"/>
              <w:spacing w:before="120"/>
              <w:ind w:right="113"/>
              <w:rPr>
                <w:sz w:val="19"/>
              </w:rPr>
            </w:pPr>
            <w:r>
              <w:rPr>
                <w:i/>
                <w:sz w:val="19"/>
              </w:rPr>
              <w:t>Poisons Amendment Regulations (No. 2) 1987</w:t>
            </w:r>
          </w:p>
        </w:tc>
        <w:tc>
          <w:tcPr>
            <w:tcW w:w="1276" w:type="dxa"/>
          </w:tcPr>
          <w:p>
            <w:pPr>
              <w:pStyle w:val="nTable"/>
              <w:spacing w:before="120"/>
              <w:rPr>
                <w:sz w:val="19"/>
              </w:rPr>
            </w:pPr>
            <w:r>
              <w:rPr>
                <w:sz w:val="19"/>
              </w:rPr>
              <w:t>20 Mar 1987 p. 954</w:t>
            </w:r>
          </w:p>
        </w:tc>
        <w:tc>
          <w:tcPr>
            <w:tcW w:w="2693" w:type="dxa"/>
          </w:tcPr>
          <w:p>
            <w:pPr>
              <w:pStyle w:val="nTable"/>
              <w:spacing w:before="120"/>
              <w:rPr>
                <w:sz w:val="19"/>
              </w:rPr>
            </w:pPr>
            <w:r>
              <w:rPr>
                <w:sz w:val="19"/>
              </w:rPr>
              <w:t>20 Mar 1987</w:t>
            </w:r>
          </w:p>
        </w:tc>
      </w:tr>
      <w:tr>
        <w:trPr>
          <w:cantSplit/>
        </w:trPr>
        <w:tc>
          <w:tcPr>
            <w:tcW w:w="3118" w:type="dxa"/>
          </w:tcPr>
          <w:p>
            <w:pPr>
              <w:pStyle w:val="nTable"/>
              <w:spacing w:before="120"/>
              <w:ind w:right="113"/>
              <w:rPr>
                <w:sz w:val="19"/>
              </w:rPr>
            </w:pPr>
            <w:r>
              <w:rPr>
                <w:i/>
                <w:sz w:val="19"/>
              </w:rPr>
              <w:t>Poisons Amendment Regulations (No. 3) 1987</w:t>
            </w:r>
          </w:p>
        </w:tc>
        <w:tc>
          <w:tcPr>
            <w:tcW w:w="1276" w:type="dxa"/>
          </w:tcPr>
          <w:p>
            <w:pPr>
              <w:pStyle w:val="nTable"/>
              <w:spacing w:before="120"/>
              <w:rPr>
                <w:sz w:val="19"/>
              </w:rPr>
            </w:pPr>
            <w:r>
              <w:rPr>
                <w:sz w:val="19"/>
              </w:rPr>
              <w:t>15 May 1987 p. 2121</w:t>
            </w:r>
          </w:p>
        </w:tc>
        <w:tc>
          <w:tcPr>
            <w:tcW w:w="2693" w:type="dxa"/>
          </w:tcPr>
          <w:p>
            <w:pPr>
              <w:pStyle w:val="nTable"/>
              <w:spacing w:before="120"/>
              <w:rPr>
                <w:sz w:val="19"/>
              </w:rPr>
            </w:pPr>
            <w:r>
              <w:rPr>
                <w:sz w:val="19"/>
              </w:rPr>
              <w:t>15 May 1987</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22 Jul 1987 published in </w:t>
            </w:r>
            <w:r>
              <w:rPr>
                <w:b/>
                <w:i/>
                <w:sz w:val="19"/>
              </w:rPr>
              <w:t>Gazette</w:t>
            </w:r>
            <w:r>
              <w:rPr>
                <w:b/>
                <w:sz w:val="19"/>
              </w:rPr>
              <w:t xml:space="preserve"> 5 Aug 1987 p. 2987-3078</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Poisons Amendment Regulations (No. 4) 1987</w:t>
            </w:r>
          </w:p>
        </w:tc>
        <w:tc>
          <w:tcPr>
            <w:tcW w:w="1276" w:type="dxa"/>
          </w:tcPr>
          <w:p>
            <w:pPr>
              <w:pStyle w:val="nTable"/>
              <w:spacing w:before="120"/>
              <w:rPr>
                <w:sz w:val="19"/>
              </w:rPr>
            </w:pPr>
            <w:r>
              <w:rPr>
                <w:sz w:val="19"/>
              </w:rPr>
              <w:t>7 Aug 1987 p. 3083-4</w:t>
            </w:r>
          </w:p>
        </w:tc>
        <w:tc>
          <w:tcPr>
            <w:tcW w:w="2693" w:type="dxa"/>
          </w:tcPr>
          <w:p>
            <w:pPr>
              <w:pStyle w:val="nTable"/>
              <w:spacing w:before="120"/>
              <w:rPr>
                <w:sz w:val="19"/>
              </w:rPr>
            </w:pPr>
            <w:r>
              <w:rPr>
                <w:sz w:val="19"/>
              </w:rPr>
              <w:t>7 Aug 1987</w:t>
            </w:r>
          </w:p>
        </w:tc>
      </w:tr>
      <w:tr>
        <w:trPr>
          <w:cantSplit/>
        </w:trPr>
        <w:tc>
          <w:tcPr>
            <w:tcW w:w="3118" w:type="dxa"/>
          </w:tcPr>
          <w:p>
            <w:pPr>
              <w:pStyle w:val="nTable"/>
              <w:spacing w:before="120"/>
              <w:ind w:right="113"/>
              <w:rPr>
                <w:sz w:val="19"/>
              </w:rPr>
            </w:pPr>
            <w:r>
              <w:rPr>
                <w:i/>
                <w:sz w:val="19"/>
              </w:rPr>
              <w:t>Poisons Amendment Regulations (No. 5) 1987</w:t>
            </w:r>
          </w:p>
        </w:tc>
        <w:tc>
          <w:tcPr>
            <w:tcW w:w="1276" w:type="dxa"/>
          </w:tcPr>
          <w:p>
            <w:pPr>
              <w:pStyle w:val="nTable"/>
              <w:spacing w:before="120"/>
              <w:rPr>
                <w:sz w:val="19"/>
              </w:rPr>
            </w:pPr>
            <w:r>
              <w:rPr>
                <w:sz w:val="19"/>
              </w:rPr>
              <w:t>18 Sep 1987 p. 3596</w:t>
            </w:r>
          </w:p>
        </w:tc>
        <w:tc>
          <w:tcPr>
            <w:tcW w:w="2693" w:type="dxa"/>
          </w:tcPr>
          <w:p>
            <w:pPr>
              <w:pStyle w:val="nTable"/>
              <w:spacing w:before="120"/>
              <w:rPr>
                <w:sz w:val="19"/>
              </w:rPr>
            </w:pPr>
            <w:r>
              <w:rPr>
                <w:sz w:val="19"/>
              </w:rPr>
              <w:t>18 Sep 1987</w:t>
            </w:r>
          </w:p>
        </w:tc>
      </w:tr>
      <w:tr>
        <w:trPr>
          <w:cantSplit/>
        </w:trPr>
        <w:tc>
          <w:tcPr>
            <w:tcW w:w="3118" w:type="dxa"/>
          </w:tcPr>
          <w:p>
            <w:pPr>
              <w:pStyle w:val="nTable"/>
              <w:spacing w:before="120"/>
              <w:ind w:right="113"/>
              <w:rPr>
                <w:sz w:val="19"/>
              </w:rPr>
            </w:pPr>
            <w:r>
              <w:rPr>
                <w:i/>
                <w:sz w:val="19"/>
              </w:rPr>
              <w:t>Poisons Amendment Regulations (No. 6) 1987</w:t>
            </w:r>
          </w:p>
        </w:tc>
        <w:tc>
          <w:tcPr>
            <w:tcW w:w="1276" w:type="dxa"/>
          </w:tcPr>
          <w:p>
            <w:pPr>
              <w:pStyle w:val="nTable"/>
              <w:spacing w:before="120"/>
              <w:rPr>
                <w:sz w:val="19"/>
              </w:rPr>
            </w:pPr>
            <w:r>
              <w:rPr>
                <w:sz w:val="19"/>
              </w:rPr>
              <w:t>2 Oct 1987 p. 3776</w:t>
            </w:r>
          </w:p>
        </w:tc>
        <w:tc>
          <w:tcPr>
            <w:tcW w:w="2693" w:type="dxa"/>
          </w:tcPr>
          <w:p>
            <w:pPr>
              <w:pStyle w:val="nTable"/>
              <w:spacing w:before="120"/>
              <w:rPr>
                <w:sz w:val="19"/>
              </w:rPr>
            </w:pPr>
            <w:r>
              <w:rPr>
                <w:sz w:val="19"/>
              </w:rPr>
              <w:t>2 Nov 1987 (see  r. 2)</w:t>
            </w:r>
          </w:p>
        </w:tc>
      </w:tr>
      <w:tr>
        <w:trPr>
          <w:cantSplit/>
        </w:trPr>
        <w:tc>
          <w:tcPr>
            <w:tcW w:w="3118" w:type="dxa"/>
          </w:tcPr>
          <w:p>
            <w:pPr>
              <w:pStyle w:val="nTable"/>
              <w:spacing w:before="120"/>
              <w:ind w:right="113"/>
              <w:rPr>
                <w:sz w:val="19"/>
              </w:rPr>
            </w:pPr>
            <w:r>
              <w:rPr>
                <w:i/>
                <w:sz w:val="19"/>
              </w:rPr>
              <w:t>Poisons Amendment Regulations 1988</w:t>
            </w:r>
          </w:p>
        </w:tc>
        <w:tc>
          <w:tcPr>
            <w:tcW w:w="1276" w:type="dxa"/>
          </w:tcPr>
          <w:p>
            <w:pPr>
              <w:pStyle w:val="nTable"/>
              <w:spacing w:before="120"/>
              <w:rPr>
                <w:sz w:val="19"/>
              </w:rPr>
            </w:pPr>
            <w:r>
              <w:rPr>
                <w:sz w:val="19"/>
              </w:rPr>
              <w:t>18 Mar 1988 p. 838-52</w:t>
            </w:r>
          </w:p>
        </w:tc>
        <w:tc>
          <w:tcPr>
            <w:tcW w:w="2693" w:type="dxa"/>
          </w:tcPr>
          <w:p>
            <w:pPr>
              <w:pStyle w:val="nTable"/>
              <w:spacing w:before="120"/>
              <w:rPr>
                <w:sz w:val="19"/>
              </w:rPr>
            </w:pPr>
            <w:r>
              <w:rPr>
                <w:sz w:val="19"/>
              </w:rPr>
              <w:t>18 Mar 1988</w:t>
            </w:r>
          </w:p>
        </w:tc>
      </w:tr>
      <w:tr>
        <w:trPr>
          <w:cantSplit/>
        </w:trPr>
        <w:tc>
          <w:tcPr>
            <w:tcW w:w="3118" w:type="dxa"/>
          </w:tcPr>
          <w:p>
            <w:pPr>
              <w:pStyle w:val="nTable"/>
              <w:spacing w:before="120"/>
              <w:ind w:right="113"/>
              <w:rPr>
                <w:sz w:val="19"/>
              </w:rPr>
            </w:pPr>
            <w:r>
              <w:rPr>
                <w:i/>
                <w:sz w:val="19"/>
              </w:rPr>
              <w:t>Poisons Amendment Regulations (No. 2) 1988</w:t>
            </w:r>
          </w:p>
        </w:tc>
        <w:tc>
          <w:tcPr>
            <w:tcW w:w="1276" w:type="dxa"/>
          </w:tcPr>
          <w:p>
            <w:pPr>
              <w:pStyle w:val="nTable"/>
              <w:spacing w:before="120"/>
              <w:rPr>
                <w:sz w:val="19"/>
              </w:rPr>
            </w:pPr>
            <w:r>
              <w:rPr>
                <w:sz w:val="19"/>
              </w:rPr>
              <w:t>18 Mar 1988 p. 837</w:t>
            </w:r>
          </w:p>
        </w:tc>
        <w:tc>
          <w:tcPr>
            <w:tcW w:w="2693" w:type="dxa"/>
          </w:tcPr>
          <w:p>
            <w:pPr>
              <w:pStyle w:val="nTable"/>
              <w:spacing w:before="120"/>
              <w:rPr>
                <w:sz w:val="19"/>
              </w:rPr>
            </w:pPr>
            <w:r>
              <w:rPr>
                <w:sz w:val="19"/>
              </w:rPr>
              <w:t>18 Mar 1988</w:t>
            </w:r>
          </w:p>
        </w:tc>
      </w:tr>
      <w:tr>
        <w:trPr>
          <w:cantSplit/>
        </w:trPr>
        <w:tc>
          <w:tcPr>
            <w:tcW w:w="3118" w:type="dxa"/>
          </w:tcPr>
          <w:p>
            <w:pPr>
              <w:pStyle w:val="nTable"/>
              <w:spacing w:before="120"/>
              <w:ind w:right="113"/>
              <w:rPr>
                <w:sz w:val="19"/>
              </w:rPr>
            </w:pPr>
            <w:r>
              <w:rPr>
                <w:i/>
                <w:sz w:val="19"/>
              </w:rPr>
              <w:t>Poisons Amendment Regulations (No. 3) 1988</w:t>
            </w:r>
          </w:p>
        </w:tc>
        <w:tc>
          <w:tcPr>
            <w:tcW w:w="1276" w:type="dxa"/>
          </w:tcPr>
          <w:p>
            <w:pPr>
              <w:pStyle w:val="nTable"/>
              <w:spacing w:before="120"/>
              <w:rPr>
                <w:sz w:val="19"/>
              </w:rPr>
            </w:pPr>
            <w:r>
              <w:rPr>
                <w:sz w:val="19"/>
              </w:rPr>
              <w:t>27 May 1988 p. 1769-71</w:t>
            </w:r>
          </w:p>
        </w:tc>
        <w:tc>
          <w:tcPr>
            <w:tcW w:w="2693" w:type="dxa"/>
          </w:tcPr>
          <w:p>
            <w:pPr>
              <w:pStyle w:val="nTable"/>
              <w:spacing w:before="120"/>
              <w:rPr>
                <w:sz w:val="19"/>
              </w:rPr>
            </w:pPr>
            <w:r>
              <w:rPr>
                <w:sz w:val="19"/>
              </w:rPr>
              <w:t>27 May 1988</w:t>
            </w:r>
          </w:p>
        </w:tc>
      </w:tr>
      <w:tr>
        <w:trPr>
          <w:cantSplit/>
        </w:trPr>
        <w:tc>
          <w:tcPr>
            <w:tcW w:w="3118" w:type="dxa"/>
          </w:tcPr>
          <w:p>
            <w:pPr>
              <w:pStyle w:val="nTable"/>
              <w:spacing w:before="120"/>
              <w:ind w:right="113"/>
              <w:rPr>
                <w:sz w:val="19"/>
              </w:rPr>
            </w:pPr>
            <w:r>
              <w:rPr>
                <w:i/>
                <w:sz w:val="19"/>
              </w:rPr>
              <w:t>Poisons Amendment Regulations (No. 4) 1988</w:t>
            </w:r>
          </w:p>
        </w:tc>
        <w:tc>
          <w:tcPr>
            <w:tcW w:w="1276" w:type="dxa"/>
          </w:tcPr>
          <w:p>
            <w:pPr>
              <w:pStyle w:val="nTable"/>
              <w:spacing w:before="120"/>
              <w:rPr>
                <w:sz w:val="19"/>
              </w:rPr>
            </w:pPr>
            <w:r>
              <w:rPr>
                <w:sz w:val="19"/>
              </w:rPr>
              <w:t>11 Nov 1988 p. 4443-4</w:t>
            </w:r>
          </w:p>
        </w:tc>
        <w:tc>
          <w:tcPr>
            <w:tcW w:w="2693" w:type="dxa"/>
          </w:tcPr>
          <w:p>
            <w:pPr>
              <w:pStyle w:val="nTable"/>
              <w:spacing w:before="120"/>
              <w:rPr>
                <w:sz w:val="19"/>
              </w:rPr>
            </w:pPr>
            <w:r>
              <w:rPr>
                <w:sz w:val="19"/>
              </w:rPr>
              <w:t>11 Nov 1988</w:t>
            </w:r>
          </w:p>
        </w:tc>
      </w:tr>
      <w:tr>
        <w:trPr>
          <w:cantSplit/>
        </w:trPr>
        <w:tc>
          <w:tcPr>
            <w:tcW w:w="3118" w:type="dxa"/>
          </w:tcPr>
          <w:p>
            <w:pPr>
              <w:pStyle w:val="nTable"/>
              <w:spacing w:before="120"/>
              <w:ind w:right="113"/>
              <w:rPr>
                <w:sz w:val="19"/>
              </w:rPr>
            </w:pPr>
            <w:r>
              <w:rPr>
                <w:i/>
                <w:sz w:val="19"/>
              </w:rPr>
              <w:t>Poisons Amendment Regulations (No. 5) 1988</w:t>
            </w:r>
          </w:p>
        </w:tc>
        <w:tc>
          <w:tcPr>
            <w:tcW w:w="1276" w:type="dxa"/>
          </w:tcPr>
          <w:p>
            <w:pPr>
              <w:pStyle w:val="nTable"/>
              <w:spacing w:before="120"/>
              <w:rPr>
                <w:sz w:val="19"/>
              </w:rPr>
            </w:pPr>
            <w:r>
              <w:rPr>
                <w:sz w:val="19"/>
              </w:rPr>
              <w:t>9 Dec 1988 p. 4825</w:t>
            </w:r>
          </w:p>
        </w:tc>
        <w:tc>
          <w:tcPr>
            <w:tcW w:w="2693" w:type="dxa"/>
          </w:tcPr>
          <w:p>
            <w:pPr>
              <w:pStyle w:val="nTable"/>
              <w:spacing w:before="120"/>
              <w:rPr>
                <w:sz w:val="19"/>
              </w:rPr>
            </w:pPr>
            <w:r>
              <w:rPr>
                <w:sz w:val="19"/>
              </w:rPr>
              <w:t>9 Dec 1988</w:t>
            </w:r>
          </w:p>
        </w:tc>
      </w:tr>
      <w:tr>
        <w:trPr>
          <w:cantSplit/>
        </w:trPr>
        <w:tc>
          <w:tcPr>
            <w:tcW w:w="3118" w:type="dxa"/>
          </w:tcPr>
          <w:p>
            <w:pPr>
              <w:pStyle w:val="nTable"/>
              <w:spacing w:before="120"/>
              <w:ind w:right="113"/>
              <w:rPr>
                <w:sz w:val="19"/>
              </w:rPr>
            </w:pPr>
            <w:r>
              <w:rPr>
                <w:i/>
                <w:sz w:val="19"/>
              </w:rPr>
              <w:t>Poisons Amendment Regulations 1989</w:t>
            </w:r>
          </w:p>
        </w:tc>
        <w:tc>
          <w:tcPr>
            <w:tcW w:w="1276" w:type="dxa"/>
          </w:tcPr>
          <w:p>
            <w:pPr>
              <w:pStyle w:val="nTable"/>
              <w:spacing w:before="120"/>
              <w:rPr>
                <w:sz w:val="19"/>
              </w:rPr>
            </w:pPr>
            <w:r>
              <w:rPr>
                <w:sz w:val="19"/>
              </w:rPr>
              <w:t>2 Jun 1989 p. 1603-5</w:t>
            </w:r>
          </w:p>
        </w:tc>
        <w:tc>
          <w:tcPr>
            <w:tcW w:w="2693" w:type="dxa"/>
          </w:tcPr>
          <w:p>
            <w:pPr>
              <w:pStyle w:val="nTable"/>
              <w:spacing w:before="120"/>
              <w:rPr>
                <w:sz w:val="19"/>
              </w:rPr>
            </w:pPr>
            <w:r>
              <w:rPr>
                <w:sz w:val="19"/>
              </w:rPr>
              <w:t>2 Jun 1989</w:t>
            </w:r>
          </w:p>
        </w:tc>
      </w:tr>
      <w:tr>
        <w:trPr>
          <w:cantSplit/>
        </w:trPr>
        <w:tc>
          <w:tcPr>
            <w:tcW w:w="3118" w:type="dxa"/>
          </w:tcPr>
          <w:p>
            <w:pPr>
              <w:pStyle w:val="nTable"/>
              <w:spacing w:before="120"/>
              <w:ind w:right="113"/>
              <w:rPr>
                <w:sz w:val="19"/>
              </w:rPr>
            </w:pPr>
            <w:r>
              <w:rPr>
                <w:i/>
                <w:sz w:val="19"/>
              </w:rPr>
              <w:t>Poisons Amendment Regulations (No. 2) 1989</w:t>
            </w:r>
          </w:p>
        </w:tc>
        <w:tc>
          <w:tcPr>
            <w:tcW w:w="1276" w:type="dxa"/>
          </w:tcPr>
          <w:p>
            <w:pPr>
              <w:pStyle w:val="nTable"/>
              <w:spacing w:before="120"/>
              <w:rPr>
                <w:sz w:val="19"/>
              </w:rPr>
            </w:pPr>
            <w:r>
              <w:rPr>
                <w:sz w:val="19"/>
              </w:rPr>
              <w:t>16 Jun 1989 p. 1742</w:t>
            </w:r>
          </w:p>
        </w:tc>
        <w:tc>
          <w:tcPr>
            <w:tcW w:w="2693" w:type="dxa"/>
          </w:tcPr>
          <w:p>
            <w:pPr>
              <w:pStyle w:val="nTable"/>
              <w:spacing w:before="120"/>
              <w:rPr>
                <w:sz w:val="19"/>
              </w:rPr>
            </w:pPr>
            <w:r>
              <w:rPr>
                <w:sz w:val="19"/>
              </w:rPr>
              <w:t>1 Jul 1989 (see r. 3)</w:t>
            </w:r>
          </w:p>
        </w:tc>
      </w:tr>
      <w:tr>
        <w:trPr>
          <w:cantSplit/>
        </w:trPr>
        <w:tc>
          <w:tcPr>
            <w:tcW w:w="3118" w:type="dxa"/>
          </w:tcPr>
          <w:p>
            <w:pPr>
              <w:pStyle w:val="nTable"/>
              <w:spacing w:before="120"/>
              <w:ind w:right="113"/>
              <w:rPr>
                <w:sz w:val="19"/>
              </w:rPr>
            </w:pPr>
            <w:r>
              <w:rPr>
                <w:i/>
                <w:sz w:val="19"/>
              </w:rPr>
              <w:t>Poisons Amendment Regulations (No. 3) 1989</w:t>
            </w:r>
          </w:p>
        </w:tc>
        <w:tc>
          <w:tcPr>
            <w:tcW w:w="1276" w:type="dxa"/>
          </w:tcPr>
          <w:p>
            <w:pPr>
              <w:pStyle w:val="nTable"/>
              <w:spacing w:before="120"/>
              <w:rPr>
                <w:sz w:val="19"/>
              </w:rPr>
            </w:pPr>
            <w:r>
              <w:rPr>
                <w:sz w:val="19"/>
              </w:rPr>
              <w:t>25 Aug 1989 p. 2842</w:t>
            </w:r>
          </w:p>
        </w:tc>
        <w:tc>
          <w:tcPr>
            <w:tcW w:w="2693" w:type="dxa"/>
          </w:tcPr>
          <w:p>
            <w:pPr>
              <w:pStyle w:val="nTable"/>
              <w:spacing w:before="120"/>
              <w:rPr>
                <w:sz w:val="19"/>
              </w:rPr>
            </w:pPr>
            <w:r>
              <w:rPr>
                <w:sz w:val="19"/>
              </w:rPr>
              <w:t>25 Aug 1989</w:t>
            </w:r>
          </w:p>
        </w:tc>
      </w:tr>
      <w:tr>
        <w:trPr>
          <w:cantSplit/>
        </w:trPr>
        <w:tc>
          <w:tcPr>
            <w:tcW w:w="3118" w:type="dxa"/>
          </w:tcPr>
          <w:p>
            <w:pPr>
              <w:pStyle w:val="nTable"/>
              <w:spacing w:before="120"/>
              <w:ind w:right="113"/>
              <w:rPr>
                <w:sz w:val="19"/>
              </w:rPr>
            </w:pPr>
            <w:r>
              <w:rPr>
                <w:i/>
                <w:sz w:val="19"/>
              </w:rPr>
              <w:t>Poisons Amendment Regulations (No. 4) 1989</w:t>
            </w:r>
          </w:p>
        </w:tc>
        <w:tc>
          <w:tcPr>
            <w:tcW w:w="1276" w:type="dxa"/>
          </w:tcPr>
          <w:p>
            <w:pPr>
              <w:pStyle w:val="nTable"/>
              <w:spacing w:before="120"/>
              <w:rPr>
                <w:sz w:val="19"/>
              </w:rPr>
            </w:pPr>
            <w:r>
              <w:rPr>
                <w:sz w:val="19"/>
              </w:rPr>
              <w:t>25 Aug 1989 p. 2842</w:t>
            </w:r>
          </w:p>
        </w:tc>
        <w:tc>
          <w:tcPr>
            <w:tcW w:w="2693" w:type="dxa"/>
          </w:tcPr>
          <w:p>
            <w:pPr>
              <w:pStyle w:val="nTable"/>
              <w:spacing w:before="120"/>
              <w:rPr>
                <w:sz w:val="19"/>
              </w:rPr>
            </w:pPr>
            <w:r>
              <w:rPr>
                <w:sz w:val="19"/>
              </w:rPr>
              <w:t>25 Aug 1989</w:t>
            </w:r>
          </w:p>
        </w:tc>
      </w:tr>
      <w:tr>
        <w:trPr>
          <w:cantSplit/>
        </w:trPr>
        <w:tc>
          <w:tcPr>
            <w:tcW w:w="3118" w:type="dxa"/>
          </w:tcPr>
          <w:p>
            <w:pPr>
              <w:pStyle w:val="nTable"/>
              <w:spacing w:before="120"/>
              <w:ind w:right="113"/>
              <w:rPr>
                <w:sz w:val="19"/>
              </w:rPr>
            </w:pPr>
            <w:r>
              <w:rPr>
                <w:i/>
                <w:sz w:val="19"/>
              </w:rPr>
              <w:t>Poisons Amendment Regulations (No. 3) Amendment Regulations 1989</w:t>
            </w:r>
          </w:p>
        </w:tc>
        <w:tc>
          <w:tcPr>
            <w:tcW w:w="1276" w:type="dxa"/>
          </w:tcPr>
          <w:p>
            <w:pPr>
              <w:pStyle w:val="nTable"/>
              <w:spacing w:before="120"/>
              <w:rPr>
                <w:sz w:val="19"/>
              </w:rPr>
            </w:pPr>
            <w:r>
              <w:rPr>
                <w:sz w:val="19"/>
              </w:rPr>
              <w:t>6 Oct 1989 p. 3738</w:t>
            </w:r>
          </w:p>
        </w:tc>
        <w:tc>
          <w:tcPr>
            <w:tcW w:w="2693" w:type="dxa"/>
          </w:tcPr>
          <w:p>
            <w:pPr>
              <w:pStyle w:val="nTable"/>
              <w:spacing w:before="120"/>
              <w:rPr>
                <w:sz w:val="19"/>
              </w:rPr>
            </w:pPr>
            <w:r>
              <w:rPr>
                <w:sz w:val="19"/>
              </w:rPr>
              <w:t>6 Oct 1989</w:t>
            </w:r>
          </w:p>
        </w:tc>
      </w:tr>
      <w:tr>
        <w:trPr>
          <w:cantSplit/>
        </w:trPr>
        <w:tc>
          <w:tcPr>
            <w:tcW w:w="3118" w:type="dxa"/>
          </w:tcPr>
          <w:p>
            <w:pPr>
              <w:pStyle w:val="nTable"/>
              <w:spacing w:before="120"/>
              <w:ind w:right="113"/>
              <w:rPr>
                <w:sz w:val="19"/>
              </w:rPr>
            </w:pPr>
            <w:r>
              <w:rPr>
                <w:i/>
                <w:sz w:val="19"/>
              </w:rPr>
              <w:t>Poisons Amendment Regulations 1990</w:t>
            </w:r>
          </w:p>
        </w:tc>
        <w:tc>
          <w:tcPr>
            <w:tcW w:w="1276" w:type="dxa"/>
          </w:tcPr>
          <w:p>
            <w:pPr>
              <w:pStyle w:val="nTable"/>
              <w:spacing w:before="120"/>
              <w:rPr>
                <w:sz w:val="19"/>
              </w:rPr>
            </w:pPr>
            <w:r>
              <w:rPr>
                <w:sz w:val="19"/>
              </w:rPr>
              <w:t>8 Jun 1990 p. 2626-7</w:t>
            </w:r>
          </w:p>
        </w:tc>
        <w:tc>
          <w:tcPr>
            <w:tcW w:w="2693" w:type="dxa"/>
          </w:tcPr>
          <w:p>
            <w:pPr>
              <w:pStyle w:val="nTable"/>
              <w:spacing w:before="120"/>
              <w:rPr>
                <w:sz w:val="19"/>
              </w:rPr>
            </w:pPr>
            <w:r>
              <w:rPr>
                <w:sz w:val="19"/>
              </w:rPr>
              <w:t>8 Jun 1990</w:t>
            </w:r>
          </w:p>
        </w:tc>
      </w:tr>
      <w:tr>
        <w:trPr>
          <w:cantSplit/>
        </w:trPr>
        <w:tc>
          <w:tcPr>
            <w:tcW w:w="3118" w:type="dxa"/>
          </w:tcPr>
          <w:p>
            <w:pPr>
              <w:pStyle w:val="nTable"/>
              <w:spacing w:before="120"/>
              <w:ind w:right="113"/>
              <w:rPr>
                <w:sz w:val="19"/>
              </w:rPr>
            </w:pPr>
            <w:r>
              <w:rPr>
                <w:i/>
                <w:sz w:val="19"/>
              </w:rPr>
              <w:t>Poisons Amendment Regulations (No. 2) 1990</w:t>
            </w:r>
          </w:p>
        </w:tc>
        <w:tc>
          <w:tcPr>
            <w:tcW w:w="1276" w:type="dxa"/>
          </w:tcPr>
          <w:p>
            <w:pPr>
              <w:pStyle w:val="nTable"/>
              <w:spacing w:before="120"/>
              <w:rPr>
                <w:sz w:val="19"/>
              </w:rPr>
            </w:pPr>
            <w:r>
              <w:rPr>
                <w:sz w:val="19"/>
              </w:rPr>
              <w:t>22 Jun 1990 p. 3035</w:t>
            </w:r>
          </w:p>
        </w:tc>
        <w:tc>
          <w:tcPr>
            <w:tcW w:w="2693" w:type="dxa"/>
          </w:tcPr>
          <w:p>
            <w:pPr>
              <w:pStyle w:val="nTable"/>
              <w:spacing w:before="120"/>
              <w:rPr>
                <w:sz w:val="19"/>
              </w:rPr>
            </w:pPr>
            <w:r>
              <w:rPr>
                <w:sz w:val="19"/>
              </w:rPr>
              <w:t>22 Jun 1990</w:t>
            </w:r>
          </w:p>
        </w:tc>
      </w:tr>
      <w:tr>
        <w:trPr>
          <w:cantSplit/>
        </w:trPr>
        <w:tc>
          <w:tcPr>
            <w:tcW w:w="3118" w:type="dxa"/>
          </w:tcPr>
          <w:p>
            <w:pPr>
              <w:pStyle w:val="nTable"/>
              <w:spacing w:before="120"/>
              <w:ind w:right="113"/>
              <w:rPr>
                <w:sz w:val="19"/>
              </w:rPr>
            </w:pPr>
            <w:r>
              <w:rPr>
                <w:i/>
                <w:sz w:val="19"/>
              </w:rPr>
              <w:t>Poisons Amendment Regulations (No. 3) 1990</w:t>
            </w:r>
          </w:p>
        </w:tc>
        <w:tc>
          <w:tcPr>
            <w:tcW w:w="1276" w:type="dxa"/>
          </w:tcPr>
          <w:p>
            <w:pPr>
              <w:pStyle w:val="nTable"/>
              <w:spacing w:before="120"/>
              <w:rPr>
                <w:sz w:val="19"/>
              </w:rPr>
            </w:pPr>
            <w:r>
              <w:rPr>
                <w:sz w:val="19"/>
              </w:rPr>
              <w:t>17 Aug 1990 p. 4080-1</w:t>
            </w:r>
          </w:p>
        </w:tc>
        <w:tc>
          <w:tcPr>
            <w:tcW w:w="2693" w:type="dxa"/>
          </w:tcPr>
          <w:p>
            <w:pPr>
              <w:pStyle w:val="nTable"/>
              <w:spacing w:before="120"/>
              <w:rPr>
                <w:sz w:val="19"/>
              </w:rPr>
            </w:pPr>
            <w:r>
              <w:rPr>
                <w:sz w:val="19"/>
              </w:rPr>
              <w:t>17 Aug 1990</w:t>
            </w:r>
          </w:p>
        </w:tc>
      </w:tr>
      <w:tr>
        <w:trPr>
          <w:cantSplit/>
        </w:trPr>
        <w:tc>
          <w:tcPr>
            <w:tcW w:w="3118" w:type="dxa"/>
          </w:tcPr>
          <w:p>
            <w:pPr>
              <w:pStyle w:val="nTable"/>
              <w:spacing w:before="120"/>
              <w:ind w:right="113"/>
              <w:rPr>
                <w:sz w:val="19"/>
              </w:rPr>
            </w:pPr>
            <w:r>
              <w:rPr>
                <w:i/>
                <w:sz w:val="19"/>
              </w:rPr>
              <w:t>Poisons Amendment Regulations (No. 4) 1990</w:t>
            </w:r>
          </w:p>
        </w:tc>
        <w:tc>
          <w:tcPr>
            <w:tcW w:w="1276" w:type="dxa"/>
          </w:tcPr>
          <w:p>
            <w:pPr>
              <w:pStyle w:val="nTable"/>
              <w:spacing w:before="120"/>
              <w:rPr>
                <w:sz w:val="19"/>
              </w:rPr>
            </w:pPr>
            <w:r>
              <w:rPr>
                <w:sz w:val="19"/>
              </w:rPr>
              <w:t>23 Nov 1990 p. 5790-2</w:t>
            </w:r>
          </w:p>
        </w:tc>
        <w:tc>
          <w:tcPr>
            <w:tcW w:w="2693" w:type="dxa"/>
          </w:tcPr>
          <w:p>
            <w:pPr>
              <w:pStyle w:val="nTable"/>
              <w:spacing w:before="120"/>
              <w:rPr>
                <w:sz w:val="19"/>
              </w:rPr>
            </w:pPr>
            <w:r>
              <w:rPr>
                <w:sz w:val="19"/>
              </w:rPr>
              <w:t>1 Jan 1991 (see r. 2)</w:t>
            </w:r>
          </w:p>
        </w:tc>
      </w:tr>
      <w:tr>
        <w:trPr>
          <w:cantSplit/>
        </w:trPr>
        <w:tc>
          <w:tcPr>
            <w:tcW w:w="3118" w:type="dxa"/>
          </w:tcPr>
          <w:p>
            <w:pPr>
              <w:pStyle w:val="nTable"/>
              <w:spacing w:before="120"/>
              <w:ind w:right="113"/>
              <w:rPr>
                <w:sz w:val="19"/>
              </w:rPr>
            </w:pPr>
            <w:r>
              <w:rPr>
                <w:i/>
                <w:sz w:val="19"/>
              </w:rPr>
              <w:t>Poisons Amendment Regulations (No. 5) 1990</w:t>
            </w:r>
          </w:p>
        </w:tc>
        <w:tc>
          <w:tcPr>
            <w:tcW w:w="1276" w:type="dxa"/>
          </w:tcPr>
          <w:p>
            <w:pPr>
              <w:pStyle w:val="nTable"/>
              <w:spacing w:before="120"/>
              <w:rPr>
                <w:sz w:val="19"/>
              </w:rPr>
            </w:pPr>
            <w:r>
              <w:rPr>
                <w:sz w:val="19"/>
              </w:rPr>
              <w:t>30 Nov 1990 p. 5908</w:t>
            </w:r>
          </w:p>
        </w:tc>
        <w:tc>
          <w:tcPr>
            <w:tcW w:w="2693" w:type="dxa"/>
          </w:tcPr>
          <w:p>
            <w:pPr>
              <w:pStyle w:val="nTable"/>
              <w:spacing w:before="120"/>
              <w:rPr>
                <w:sz w:val="19"/>
              </w:rPr>
            </w:pPr>
            <w:r>
              <w:rPr>
                <w:sz w:val="19"/>
              </w:rPr>
              <w:t>30 Nov 1990</w:t>
            </w:r>
          </w:p>
        </w:tc>
      </w:tr>
      <w:tr>
        <w:trPr>
          <w:cantSplit/>
        </w:trPr>
        <w:tc>
          <w:tcPr>
            <w:tcW w:w="3118" w:type="dxa"/>
          </w:tcPr>
          <w:p>
            <w:pPr>
              <w:pStyle w:val="nTable"/>
              <w:spacing w:before="120"/>
              <w:ind w:right="113"/>
              <w:rPr>
                <w:sz w:val="19"/>
              </w:rPr>
            </w:pPr>
            <w:r>
              <w:rPr>
                <w:i/>
                <w:sz w:val="19"/>
              </w:rPr>
              <w:t>Poisons Amendment Regulations 1991</w:t>
            </w:r>
          </w:p>
        </w:tc>
        <w:tc>
          <w:tcPr>
            <w:tcW w:w="1276" w:type="dxa"/>
          </w:tcPr>
          <w:p>
            <w:pPr>
              <w:pStyle w:val="nTable"/>
              <w:spacing w:before="120"/>
              <w:rPr>
                <w:sz w:val="19"/>
              </w:rPr>
            </w:pPr>
            <w:r>
              <w:rPr>
                <w:sz w:val="19"/>
              </w:rPr>
              <w:t>12 Apr 1991 p. 1608-9</w:t>
            </w:r>
          </w:p>
        </w:tc>
        <w:tc>
          <w:tcPr>
            <w:tcW w:w="2693" w:type="dxa"/>
          </w:tcPr>
          <w:p>
            <w:pPr>
              <w:pStyle w:val="nTable"/>
              <w:spacing w:before="120"/>
              <w:rPr>
                <w:sz w:val="19"/>
              </w:rPr>
            </w:pPr>
            <w:r>
              <w:rPr>
                <w:sz w:val="19"/>
              </w:rPr>
              <w:t>12 Apr 1991</w:t>
            </w:r>
          </w:p>
        </w:tc>
      </w:tr>
      <w:tr>
        <w:trPr>
          <w:cantSplit/>
        </w:trPr>
        <w:tc>
          <w:tcPr>
            <w:tcW w:w="3118" w:type="dxa"/>
          </w:tcPr>
          <w:p>
            <w:pPr>
              <w:pStyle w:val="nTable"/>
              <w:spacing w:before="120"/>
              <w:ind w:right="113"/>
              <w:rPr>
                <w:sz w:val="19"/>
              </w:rPr>
            </w:pPr>
            <w:r>
              <w:rPr>
                <w:i/>
                <w:sz w:val="19"/>
              </w:rPr>
              <w:t>Poisons Amendment Regulations (No. 2) 1991</w:t>
            </w:r>
          </w:p>
        </w:tc>
        <w:tc>
          <w:tcPr>
            <w:tcW w:w="1276" w:type="dxa"/>
          </w:tcPr>
          <w:p>
            <w:pPr>
              <w:pStyle w:val="nTable"/>
              <w:spacing w:before="120"/>
              <w:rPr>
                <w:sz w:val="19"/>
              </w:rPr>
            </w:pPr>
            <w:r>
              <w:rPr>
                <w:sz w:val="19"/>
              </w:rPr>
              <w:t>14 Jun 1991 p. 2879</w:t>
            </w:r>
          </w:p>
        </w:tc>
        <w:tc>
          <w:tcPr>
            <w:tcW w:w="2693" w:type="dxa"/>
          </w:tcPr>
          <w:p>
            <w:pPr>
              <w:pStyle w:val="nTable"/>
              <w:spacing w:before="120"/>
              <w:rPr>
                <w:sz w:val="19"/>
              </w:rPr>
            </w:pPr>
            <w:r>
              <w:rPr>
                <w:sz w:val="19"/>
              </w:rPr>
              <w:t>14 Jun 1991</w:t>
            </w:r>
          </w:p>
        </w:tc>
      </w:tr>
      <w:tr>
        <w:trPr>
          <w:cantSplit/>
        </w:trPr>
        <w:tc>
          <w:tcPr>
            <w:tcW w:w="3118" w:type="dxa"/>
          </w:tcPr>
          <w:p>
            <w:pPr>
              <w:pStyle w:val="nTable"/>
              <w:spacing w:before="120"/>
              <w:ind w:right="113"/>
              <w:rPr>
                <w:sz w:val="19"/>
              </w:rPr>
            </w:pPr>
            <w:r>
              <w:rPr>
                <w:i/>
                <w:sz w:val="19"/>
              </w:rPr>
              <w:t>Poisons Amendment Regulations (No. 4) 1991</w:t>
            </w:r>
          </w:p>
        </w:tc>
        <w:tc>
          <w:tcPr>
            <w:tcW w:w="1276" w:type="dxa"/>
          </w:tcPr>
          <w:p>
            <w:pPr>
              <w:pStyle w:val="nTable"/>
              <w:spacing w:before="120"/>
              <w:rPr>
                <w:sz w:val="19"/>
              </w:rPr>
            </w:pPr>
            <w:r>
              <w:rPr>
                <w:sz w:val="19"/>
              </w:rPr>
              <w:t>28 Jun 1991 p. 3149</w:t>
            </w:r>
          </w:p>
        </w:tc>
        <w:tc>
          <w:tcPr>
            <w:tcW w:w="2693" w:type="dxa"/>
          </w:tcPr>
          <w:p>
            <w:pPr>
              <w:pStyle w:val="nTable"/>
              <w:spacing w:before="120"/>
              <w:rPr>
                <w:sz w:val="19"/>
              </w:rPr>
            </w:pPr>
            <w:r>
              <w:rPr>
                <w:sz w:val="19"/>
              </w:rPr>
              <w:t>1 Jul 1991 (see r. 2)</w:t>
            </w:r>
          </w:p>
        </w:tc>
      </w:tr>
      <w:tr>
        <w:trPr>
          <w:cantSplit/>
        </w:trPr>
        <w:tc>
          <w:tcPr>
            <w:tcW w:w="3118" w:type="dxa"/>
          </w:tcPr>
          <w:p>
            <w:pPr>
              <w:pStyle w:val="nTable"/>
              <w:spacing w:before="120"/>
              <w:ind w:right="113"/>
              <w:rPr>
                <w:sz w:val="19"/>
              </w:rPr>
            </w:pPr>
            <w:r>
              <w:rPr>
                <w:i/>
                <w:sz w:val="19"/>
              </w:rPr>
              <w:t>Poisons Amendment Regulations (No. 3) 1991</w:t>
            </w:r>
          </w:p>
        </w:tc>
        <w:tc>
          <w:tcPr>
            <w:tcW w:w="1276" w:type="dxa"/>
          </w:tcPr>
          <w:p>
            <w:pPr>
              <w:pStyle w:val="nTable"/>
              <w:spacing w:before="120"/>
              <w:rPr>
                <w:sz w:val="19"/>
              </w:rPr>
            </w:pPr>
            <w:r>
              <w:rPr>
                <w:sz w:val="19"/>
              </w:rPr>
              <w:t>26 Jul 1991 p. 3854-5</w:t>
            </w:r>
          </w:p>
        </w:tc>
        <w:tc>
          <w:tcPr>
            <w:tcW w:w="2693" w:type="dxa"/>
          </w:tcPr>
          <w:p>
            <w:pPr>
              <w:pStyle w:val="nTable"/>
              <w:spacing w:before="120"/>
              <w:rPr>
                <w:sz w:val="19"/>
              </w:rPr>
            </w:pPr>
            <w:r>
              <w:rPr>
                <w:sz w:val="19"/>
              </w:rPr>
              <w:t>26 Jul 1991</w:t>
            </w:r>
          </w:p>
        </w:tc>
      </w:tr>
      <w:tr>
        <w:trPr>
          <w:cantSplit/>
        </w:trPr>
        <w:tc>
          <w:tcPr>
            <w:tcW w:w="3118" w:type="dxa"/>
          </w:tcPr>
          <w:p>
            <w:pPr>
              <w:pStyle w:val="nTable"/>
              <w:spacing w:before="120"/>
              <w:ind w:right="113"/>
              <w:rPr>
                <w:sz w:val="19"/>
              </w:rPr>
            </w:pPr>
            <w:r>
              <w:rPr>
                <w:i/>
                <w:sz w:val="19"/>
              </w:rPr>
              <w:t>Poisons Amendment Regulations (No. 5) 1991</w:t>
            </w:r>
          </w:p>
        </w:tc>
        <w:tc>
          <w:tcPr>
            <w:tcW w:w="1276" w:type="dxa"/>
          </w:tcPr>
          <w:p>
            <w:pPr>
              <w:pStyle w:val="nTable"/>
              <w:spacing w:before="120"/>
              <w:rPr>
                <w:sz w:val="19"/>
              </w:rPr>
            </w:pPr>
            <w:r>
              <w:rPr>
                <w:sz w:val="19"/>
              </w:rPr>
              <w:t>13 Dec 1991 p. 6090-1</w:t>
            </w:r>
          </w:p>
        </w:tc>
        <w:tc>
          <w:tcPr>
            <w:tcW w:w="2693" w:type="dxa"/>
          </w:tcPr>
          <w:p>
            <w:pPr>
              <w:pStyle w:val="nTable"/>
              <w:spacing w:before="120"/>
              <w:rPr>
                <w:sz w:val="19"/>
              </w:rPr>
            </w:pPr>
            <w:r>
              <w:rPr>
                <w:sz w:val="19"/>
              </w:rPr>
              <w:t>13 Dec 1991</w:t>
            </w:r>
          </w:p>
        </w:tc>
      </w:tr>
      <w:tr>
        <w:trPr>
          <w:cantSplit/>
        </w:trPr>
        <w:tc>
          <w:tcPr>
            <w:tcW w:w="3118" w:type="dxa"/>
          </w:tcPr>
          <w:p>
            <w:pPr>
              <w:pStyle w:val="nTable"/>
              <w:spacing w:before="120"/>
              <w:ind w:right="113"/>
              <w:rPr>
                <w:sz w:val="19"/>
              </w:rPr>
            </w:pPr>
            <w:r>
              <w:rPr>
                <w:i/>
                <w:sz w:val="19"/>
              </w:rPr>
              <w:t>Poisons Amendment Regulations 1992</w:t>
            </w:r>
          </w:p>
        </w:tc>
        <w:tc>
          <w:tcPr>
            <w:tcW w:w="1276" w:type="dxa"/>
          </w:tcPr>
          <w:p>
            <w:pPr>
              <w:pStyle w:val="nTable"/>
              <w:spacing w:before="120"/>
              <w:rPr>
                <w:sz w:val="19"/>
              </w:rPr>
            </w:pPr>
            <w:r>
              <w:rPr>
                <w:sz w:val="19"/>
              </w:rPr>
              <w:t>16 Apr 1992 p. 1634-5</w:t>
            </w:r>
          </w:p>
        </w:tc>
        <w:tc>
          <w:tcPr>
            <w:tcW w:w="2693" w:type="dxa"/>
          </w:tcPr>
          <w:p>
            <w:pPr>
              <w:pStyle w:val="nTable"/>
              <w:spacing w:before="120"/>
              <w:rPr>
                <w:sz w:val="19"/>
              </w:rPr>
            </w:pPr>
            <w:r>
              <w:rPr>
                <w:sz w:val="19"/>
              </w:rPr>
              <w:t>16 Apr 1992</w:t>
            </w:r>
          </w:p>
        </w:tc>
      </w:tr>
      <w:tr>
        <w:trPr>
          <w:cantSplit/>
        </w:trPr>
        <w:tc>
          <w:tcPr>
            <w:tcW w:w="3118" w:type="dxa"/>
          </w:tcPr>
          <w:p>
            <w:pPr>
              <w:pStyle w:val="nTable"/>
              <w:spacing w:before="120"/>
              <w:ind w:right="113"/>
              <w:rPr>
                <w:sz w:val="19"/>
              </w:rPr>
            </w:pPr>
            <w:r>
              <w:rPr>
                <w:i/>
                <w:sz w:val="19"/>
              </w:rPr>
              <w:t>Poisons Amendment Regulations (No. 2) 1992</w:t>
            </w:r>
          </w:p>
        </w:tc>
        <w:tc>
          <w:tcPr>
            <w:tcW w:w="1276" w:type="dxa"/>
          </w:tcPr>
          <w:p>
            <w:pPr>
              <w:pStyle w:val="nTable"/>
              <w:spacing w:before="120"/>
              <w:rPr>
                <w:sz w:val="19"/>
              </w:rPr>
            </w:pPr>
            <w:r>
              <w:rPr>
                <w:sz w:val="19"/>
              </w:rPr>
              <w:t>26 Jun 1992 p. 2700</w:t>
            </w:r>
          </w:p>
        </w:tc>
        <w:tc>
          <w:tcPr>
            <w:tcW w:w="2693" w:type="dxa"/>
          </w:tcPr>
          <w:p>
            <w:pPr>
              <w:pStyle w:val="nTable"/>
              <w:spacing w:before="120"/>
              <w:rPr>
                <w:sz w:val="19"/>
              </w:rPr>
            </w:pPr>
            <w:r>
              <w:rPr>
                <w:sz w:val="19"/>
              </w:rPr>
              <w:t>1 Aug 1992 (see r. 2)</w:t>
            </w:r>
          </w:p>
        </w:tc>
      </w:tr>
      <w:tr>
        <w:trPr>
          <w:cantSplit/>
        </w:trPr>
        <w:tc>
          <w:tcPr>
            <w:tcW w:w="3118" w:type="dxa"/>
          </w:tcPr>
          <w:p>
            <w:pPr>
              <w:pStyle w:val="nTable"/>
              <w:spacing w:before="120"/>
              <w:ind w:right="113"/>
              <w:rPr>
                <w:sz w:val="19"/>
              </w:rPr>
            </w:pPr>
            <w:r>
              <w:rPr>
                <w:i/>
                <w:sz w:val="19"/>
              </w:rPr>
              <w:t>Poisons Amendment Regulations (No. 3) 1992</w:t>
            </w:r>
          </w:p>
        </w:tc>
        <w:tc>
          <w:tcPr>
            <w:tcW w:w="1276" w:type="dxa"/>
          </w:tcPr>
          <w:p>
            <w:pPr>
              <w:pStyle w:val="nTable"/>
              <w:spacing w:before="120"/>
              <w:rPr>
                <w:sz w:val="19"/>
              </w:rPr>
            </w:pPr>
            <w:r>
              <w:rPr>
                <w:sz w:val="19"/>
              </w:rPr>
              <w:t>7 Aug 1992 p. 3868-9</w:t>
            </w:r>
          </w:p>
        </w:tc>
        <w:tc>
          <w:tcPr>
            <w:tcW w:w="2693" w:type="dxa"/>
          </w:tcPr>
          <w:p>
            <w:pPr>
              <w:pStyle w:val="nTable"/>
              <w:spacing w:before="120"/>
              <w:rPr>
                <w:sz w:val="19"/>
              </w:rPr>
            </w:pPr>
            <w:r>
              <w:rPr>
                <w:sz w:val="19"/>
              </w:rPr>
              <w:t>7 Aug 1992</w:t>
            </w:r>
          </w:p>
        </w:tc>
      </w:tr>
      <w:tr>
        <w:trPr>
          <w:cantSplit/>
        </w:trPr>
        <w:tc>
          <w:tcPr>
            <w:tcW w:w="3118" w:type="dxa"/>
          </w:tcPr>
          <w:p>
            <w:pPr>
              <w:pStyle w:val="nTable"/>
              <w:spacing w:before="120"/>
              <w:ind w:right="113"/>
              <w:rPr>
                <w:sz w:val="19"/>
              </w:rPr>
            </w:pPr>
            <w:r>
              <w:rPr>
                <w:i/>
                <w:sz w:val="19"/>
              </w:rPr>
              <w:t>Poisons Amendment Regulations (No. 4) 1992</w:t>
            </w:r>
          </w:p>
        </w:tc>
        <w:tc>
          <w:tcPr>
            <w:tcW w:w="1276" w:type="dxa"/>
          </w:tcPr>
          <w:p>
            <w:pPr>
              <w:pStyle w:val="nTable"/>
              <w:spacing w:before="120"/>
              <w:rPr>
                <w:sz w:val="19"/>
              </w:rPr>
            </w:pPr>
            <w:r>
              <w:rPr>
                <w:sz w:val="19"/>
              </w:rPr>
              <w:t>7 Aug 1992 p. 3864-6</w:t>
            </w:r>
          </w:p>
        </w:tc>
        <w:tc>
          <w:tcPr>
            <w:tcW w:w="2693" w:type="dxa"/>
          </w:tcPr>
          <w:p>
            <w:pPr>
              <w:pStyle w:val="nTable"/>
              <w:spacing w:before="120"/>
              <w:rPr>
                <w:sz w:val="19"/>
              </w:rPr>
            </w:pPr>
            <w:r>
              <w:rPr>
                <w:sz w:val="19"/>
              </w:rPr>
              <w:t>7 Aug 1992</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before="120"/>
              <w:ind w:right="113"/>
              <w:rPr>
                <w:i/>
                <w:sz w:val="19"/>
              </w:rPr>
            </w:pPr>
            <w:r>
              <w:rPr>
                <w:i/>
                <w:sz w:val="19"/>
              </w:rPr>
              <w:t>Poisons Amendment Regulations 1993</w:t>
            </w:r>
          </w:p>
        </w:tc>
        <w:tc>
          <w:tcPr>
            <w:tcW w:w="1276" w:type="dxa"/>
          </w:tcPr>
          <w:p>
            <w:pPr>
              <w:pStyle w:val="nTable"/>
              <w:spacing w:before="120"/>
              <w:rPr>
                <w:sz w:val="19"/>
              </w:rPr>
            </w:pPr>
            <w:r>
              <w:rPr>
                <w:sz w:val="19"/>
              </w:rPr>
              <w:t>28 May 1993 p. 2595-7</w:t>
            </w:r>
          </w:p>
        </w:tc>
        <w:tc>
          <w:tcPr>
            <w:tcW w:w="2693" w:type="dxa"/>
          </w:tcPr>
          <w:p>
            <w:pPr>
              <w:pStyle w:val="nTable"/>
              <w:spacing w:before="120"/>
              <w:rPr>
                <w:sz w:val="19"/>
              </w:rPr>
            </w:pPr>
            <w:r>
              <w:rPr>
                <w:sz w:val="19"/>
              </w:rPr>
              <w:t>28 May 1993</w:t>
            </w:r>
          </w:p>
        </w:tc>
      </w:tr>
      <w:tr>
        <w:trPr>
          <w:cantSplit/>
        </w:trPr>
        <w:tc>
          <w:tcPr>
            <w:tcW w:w="3118" w:type="dxa"/>
          </w:tcPr>
          <w:p>
            <w:pPr>
              <w:pStyle w:val="nTable"/>
              <w:spacing w:before="120"/>
              <w:ind w:right="113"/>
              <w:rPr>
                <w:i/>
                <w:sz w:val="19"/>
              </w:rPr>
            </w:pPr>
            <w:r>
              <w:rPr>
                <w:i/>
                <w:sz w:val="19"/>
              </w:rPr>
              <w:t>Poisons Amendment Regulations (No. 2) 1993</w:t>
            </w:r>
          </w:p>
        </w:tc>
        <w:tc>
          <w:tcPr>
            <w:tcW w:w="1276" w:type="dxa"/>
          </w:tcPr>
          <w:p>
            <w:pPr>
              <w:pStyle w:val="nTable"/>
              <w:spacing w:before="120"/>
              <w:rPr>
                <w:sz w:val="19"/>
              </w:rPr>
            </w:pPr>
            <w:r>
              <w:rPr>
                <w:sz w:val="19"/>
              </w:rPr>
              <w:t>25 Jun 1993 p. 3078-85</w:t>
            </w:r>
          </w:p>
        </w:tc>
        <w:tc>
          <w:tcPr>
            <w:tcW w:w="2693" w:type="dxa"/>
          </w:tcPr>
          <w:p>
            <w:pPr>
              <w:pStyle w:val="nTable"/>
              <w:spacing w:before="120"/>
              <w:rPr>
                <w:sz w:val="19"/>
              </w:rPr>
            </w:pPr>
            <w:r>
              <w:rPr>
                <w:sz w:val="19"/>
              </w:rPr>
              <w:t>25 Jun 1993</w:t>
            </w:r>
          </w:p>
        </w:tc>
      </w:tr>
      <w:tr>
        <w:trPr>
          <w:cantSplit/>
        </w:trPr>
        <w:tc>
          <w:tcPr>
            <w:tcW w:w="3118" w:type="dxa"/>
          </w:tcPr>
          <w:p>
            <w:pPr>
              <w:pStyle w:val="nTable"/>
              <w:spacing w:before="120"/>
              <w:ind w:right="113"/>
              <w:rPr>
                <w:i/>
                <w:sz w:val="19"/>
              </w:rPr>
            </w:pPr>
            <w:r>
              <w:rPr>
                <w:i/>
                <w:sz w:val="19"/>
              </w:rPr>
              <w:t>Poisons Amendment Regulations (No. 3) 1993</w:t>
            </w:r>
          </w:p>
        </w:tc>
        <w:tc>
          <w:tcPr>
            <w:tcW w:w="1276" w:type="dxa"/>
          </w:tcPr>
          <w:p>
            <w:pPr>
              <w:pStyle w:val="nTable"/>
              <w:spacing w:before="120"/>
              <w:rPr>
                <w:sz w:val="19"/>
              </w:rPr>
            </w:pPr>
            <w:r>
              <w:rPr>
                <w:sz w:val="19"/>
              </w:rPr>
              <w:t>9 Jul 1993 p. 3329</w:t>
            </w:r>
          </w:p>
        </w:tc>
        <w:tc>
          <w:tcPr>
            <w:tcW w:w="2693" w:type="dxa"/>
          </w:tcPr>
          <w:p>
            <w:pPr>
              <w:pStyle w:val="nTable"/>
              <w:spacing w:before="120"/>
              <w:rPr>
                <w:sz w:val="19"/>
              </w:rPr>
            </w:pPr>
            <w:r>
              <w:rPr>
                <w:sz w:val="19"/>
              </w:rPr>
              <w:t>1 Aug 1993 (see r. 2)</w:t>
            </w:r>
          </w:p>
        </w:tc>
      </w:tr>
      <w:tr>
        <w:trPr>
          <w:cantSplit/>
        </w:trPr>
        <w:tc>
          <w:tcPr>
            <w:tcW w:w="3118" w:type="dxa"/>
          </w:tcPr>
          <w:p>
            <w:pPr>
              <w:pStyle w:val="nTable"/>
              <w:spacing w:before="120"/>
              <w:ind w:right="113"/>
              <w:rPr>
                <w:i/>
                <w:sz w:val="19"/>
              </w:rPr>
            </w:pPr>
            <w:r>
              <w:rPr>
                <w:i/>
                <w:sz w:val="19"/>
              </w:rPr>
              <w:t>Poisons Amendment Regulations (No. 4) 1993</w:t>
            </w:r>
          </w:p>
        </w:tc>
        <w:tc>
          <w:tcPr>
            <w:tcW w:w="1276" w:type="dxa"/>
          </w:tcPr>
          <w:p>
            <w:pPr>
              <w:pStyle w:val="nTable"/>
              <w:spacing w:before="120"/>
              <w:rPr>
                <w:sz w:val="19"/>
              </w:rPr>
            </w:pPr>
            <w:r>
              <w:rPr>
                <w:sz w:val="19"/>
              </w:rPr>
              <w:t>1 Oct 1993 p. 5360-1</w:t>
            </w:r>
          </w:p>
        </w:tc>
        <w:tc>
          <w:tcPr>
            <w:tcW w:w="2693" w:type="dxa"/>
          </w:tcPr>
          <w:p>
            <w:pPr>
              <w:pStyle w:val="nTable"/>
              <w:spacing w:before="120"/>
              <w:rPr>
                <w:sz w:val="19"/>
              </w:rPr>
            </w:pPr>
            <w:r>
              <w:rPr>
                <w:sz w:val="19"/>
              </w:rPr>
              <w:t>1 Nov 1993 (see r. 2)</w:t>
            </w:r>
          </w:p>
        </w:tc>
      </w:tr>
      <w:tr>
        <w:trPr>
          <w:cantSplit/>
        </w:trPr>
        <w:tc>
          <w:tcPr>
            <w:tcW w:w="3118" w:type="dxa"/>
          </w:tcPr>
          <w:p>
            <w:pPr>
              <w:pStyle w:val="nTable"/>
              <w:spacing w:before="120"/>
              <w:ind w:right="113"/>
              <w:rPr>
                <w:i/>
                <w:sz w:val="19"/>
              </w:rPr>
            </w:pPr>
            <w:r>
              <w:rPr>
                <w:i/>
                <w:sz w:val="19"/>
              </w:rPr>
              <w:t>Poisons Amendment Regulations (No. 5) 1993</w:t>
            </w:r>
          </w:p>
        </w:tc>
        <w:tc>
          <w:tcPr>
            <w:tcW w:w="1276" w:type="dxa"/>
          </w:tcPr>
          <w:p>
            <w:pPr>
              <w:pStyle w:val="nTable"/>
              <w:spacing w:before="120"/>
              <w:rPr>
                <w:sz w:val="19"/>
              </w:rPr>
            </w:pPr>
            <w:r>
              <w:rPr>
                <w:sz w:val="19"/>
              </w:rPr>
              <w:t>12 Nov 1993 p. 6146-7</w:t>
            </w:r>
          </w:p>
        </w:tc>
        <w:tc>
          <w:tcPr>
            <w:tcW w:w="2693" w:type="dxa"/>
          </w:tcPr>
          <w:p>
            <w:pPr>
              <w:pStyle w:val="nTable"/>
              <w:spacing w:before="120"/>
              <w:rPr>
                <w:sz w:val="19"/>
              </w:rPr>
            </w:pPr>
            <w:r>
              <w:rPr>
                <w:sz w:val="19"/>
              </w:rPr>
              <w:t>12 Nov 1993</w:t>
            </w:r>
          </w:p>
        </w:tc>
      </w:tr>
      <w:tr>
        <w:trPr>
          <w:cantSplit/>
        </w:trPr>
        <w:tc>
          <w:tcPr>
            <w:tcW w:w="3118" w:type="dxa"/>
          </w:tcPr>
          <w:p>
            <w:pPr>
              <w:pStyle w:val="nTable"/>
              <w:spacing w:before="120"/>
              <w:ind w:right="113"/>
              <w:rPr>
                <w:i/>
                <w:sz w:val="19"/>
              </w:rPr>
            </w:pPr>
            <w:r>
              <w:rPr>
                <w:i/>
                <w:sz w:val="19"/>
              </w:rPr>
              <w:t>Poisons Amendment Regulations (No. 7) 1993</w:t>
            </w:r>
          </w:p>
        </w:tc>
        <w:tc>
          <w:tcPr>
            <w:tcW w:w="1276" w:type="dxa"/>
          </w:tcPr>
          <w:p>
            <w:pPr>
              <w:pStyle w:val="nTable"/>
              <w:spacing w:before="120"/>
              <w:rPr>
                <w:sz w:val="19"/>
              </w:rPr>
            </w:pPr>
            <w:r>
              <w:rPr>
                <w:sz w:val="19"/>
              </w:rPr>
              <w:t>31 Dec 1993 p. 6883-5</w:t>
            </w:r>
          </w:p>
        </w:tc>
        <w:tc>
          <w:tcPr>
            <w:tcW w:w="2693" w:type="dxa"/>
          </w:tcPr>
          <w:p>
            <w:pPr>
              <w:pStyle w:val="nTable"/>
              <w:spacing w:before="120"/>
              <w:rPr>
                <w:sz w:val="19"/>
              </w:rPr>
            </w:pPr>
            <w:r>
              <w:rPr>
                <w:sz w:val="19"/>
              </w:rPr>
              <w:t>31 Dec 1993</w:t>
            </w:r>
          </w:p>
        </w:tc>
      </w:tr>
      <w:tr>
        <w:trPr>
          <w:cantSplit/>
        </w:trPr>
        <w:tc>
          <w:tcPr>
            <w:tcW w:w="3118" w:type="dxa"/>
          </w:tcPr>
          <w:p>
            <w:pPr>
              <w:pStyle w:val="nTable"/>
              <w:spacing w:before="120"/>
              <w:ind w:right="113"/>
              <w:rPr>
                <w:i/>
                <w:sz w:val="19"/>
              </w:rPr>
            </w:pPr>
            <w:r>
              <w:rPr>
                <w:i/>
                <w:sz w:val="19"/>
              </w:rPr>
              <w:t>Poisons Amendment Regulations 1994</w:t>
            </w:r>
          </w:p>
        </w:tc>
        <w:tc>
          <w:tcPr>
            <w:tcW w:w="1276" w:type="dxa"/>
          </w:tcPr>
          <w:p>
            <w:pPr>
              <w:pStyle w:val="nTable"/>
              <w:spacing w:before="120"/>
              <w:rPr>
                <w:sz w:val="19"/>
              </w:rPr>
            </w:pPr>
            <w:r>
              <w:rPr>
                <w:sz w:val="19"/>
              </w:rPr>
              <w:t>26 May 1994 p. 2195-201</w:t>
            </w:r>
          </w:p>
        </w:tc>
        <w:tc>
          <w:tcPr>
            <w:tcW w:w="2693" w:type="dxa"/>
          </w:tcPr>
          <w:p>
            <w:pPr>
              <w:pStyle w:val="nTable"/>
              <w:spacing w:before="120"/>
              <w:rPr>
                <w:sz w:val="19"/>
              </w:rPr>
            </w:pPr>
            <w:r>
              <w:rPr>
                <w:sz w:val="19"/>
              </w:rPr>
              <w:t>26 May 1994</w:t>
            </w:r>
          </w:p>
        </w:tc>
      </w:tr>
      <w:tr>
        <w:trPr>
          <w:cantSplit/>
        </w:trPr>
        <w:tc>
          <w:tcPr>
            <w:tcW w:w="3118" w:type="dxa"/>
          </w:tcPr>
          <w:p>
            <w:pPr>
              <w:pStyle w:val="nTable"/>
              <w:spacing w:before="120"/>
              <w:ind w:right="113"/>
              <w:rPr>
                <w:i/>
                <w:sz w:val="19"/>
              </w:rPr>
            </w:pPr>
            <w:r>
              <w:rPr>
                <w:i/>
                <w:sz w:val="19"/>
              </w:rPr>
              <w:t>Poisons Amendment Regulations (No. 2) 1994</w:t>
            </w:r>
          </w:p>
        </w:tc>
        <w:tc>
          <w:tcPr>
            <w:tcW w:w="1276" w:type="dxa"/>
          </w:tcPr>
          <w:p>
            <w:pPr>
              <w:pStyle w:val="nTable"/>
              <w:spacing w:before="120"/>
              <w:rPr>
                <w:sz w:val="19"/>
              </w:rPr>
            </w:pPr>
            <w:r>
              <w:rPr>
                <w:sz w:val="19"/>
              </w:rPr>
              <w:t>24 Jun 1994 p. 2864-70</w:t>
            </w:r>
          </w:p>
        </w:tc>
        <w:tc>
          <w:tcPr>
            <w:tcW w:w="2693" w:type="dxa"/>
          </w:tcPr>
          <w:p>
            <w:pPr>
              <w:pStyle w:val="nTable"/>
              <w:spacing w:before="120"/>
              <w:rPr>
                <w:sz w:val="19"/>
              </w:rPr>
            </w:pPr>
            <w:r>
              <w:rPr>
                <w:sz w:val="19"/>
              </w:rPr>
              <w:t>24 Jun 1994</w:t>
            </w:r>
          </w:p>
        </w:tc>
      </w:tr>
      <w:tr>
        <w:trPr>
          <w:cantSplit/>
        </w:trPr>
        <w:tc>
          <w:tcPr>
            <w:tcW w:w="3118" w:type="dxa"/>
          </w:tcPr>
          <w:p>
            <w:pPr>
              <w:pStyle w:val="nTable"/>
              <w:spacing w:before="120"/>
              <w:ind w:right="113"/>
              <w:rPr>
                <w:i/>
                <w:sz w:val="19"/>
              </w:rPr>
            </w:pPr>
            <w:r>
              <w:rPr>
                <w:i/>
                <w:sz w:val="19"/>
              </w:rPr>
              <w:t>Poisons Amendment Regulations (No. 3) 1994</w:t>
            </w:r>
          </w:p>
        </w:tc>
        <w:tc>
          <w:tcPr>
            <w:tcW w:w="1276" w:type="dxa"/>
          </w:tcPr>
          <w:p>
            <w:pPr>
              <w:pStyle w:val="nTable"/>
              <w:spacing w:before="120"/>
              <w:rPr>
                <w:sz w:val="19"/>
              </w:rPr>
            </w:pPr>
            <w:r>
              <w:rPr>
                <w:sz w:val="19"/>
              </w:rPr>
              <w:t>24 Jun 1994 p. 2854-5</w:t>
            </w:r>
          </w:p>
        </w:tc>
        <w:tc>
          <w:tcPr>
            <w:tcW w:w="2693" w:type="dxa"/>
          </w:tcPr>
          <w:p>
            <w:pPr>
              <w:pStyle w:val="nTable"/>
              <w:spacing w:before="120"/>
              <w:rPr>
                <w:sz w:val="19"/>
              </w:rPr>
            </w:pPr>
            <w:r>
              <w:rPr>
                <w:sz w:val="19"/>
              </w:rPr>
              <w:t>1 Aug 1994 (see r. 2)</w:t>
            </w:r>
          </w:p>
        </w:tc>
      </w:tr>
      <w:tr>
        <w:trPr>
          <w:cantSplit/>
        </w:trPr>
        <w:tc>
          <w:tcPr>
            <w:tcW w:w="3118" w:type="dxa"/>
          </w:tcPr>
          <w:p>
            <w:pPr>
              <w:pStyle w:val="nTable"/>
              <w:spacing w:before="120"/>
              <w:ind w:right="113"/>
              <w:rPr>
                <w:i/>
                <w:sz w:val="19"/>
              </w:rPr>
            </w:pPr>
            <w:r>
              <w:rPr>
                <w:i/>
                <w:sz w:val="19"/>
              </w:rPr>
              <w:t>Poisons Amendment Regulations (No. 5) 1994</w:t>
            </w:r>
          </w:p>
        </w:tc>
        <w:tc>
          <w:tcPr>
            <w:tcW w:w="1276" w:type="dxa"/>
          </w:tcPr>
          <w:p>
            <w:pPr>
              <w:pStyle w:val="nTable"/>
              <w:spacing w:before="120"/>
              <w:rPr>
                <w:sz w:val="19"/>
              </w:rPr>
            </w:pPr>
            <w:r>
              <w:rPr>
                <w:sz w:val="19"/>
              </w:rPr>
              <w:t>2 Sep 1994 p. 4532-3</w:t>
            </w:r>
          </w:p>
        </w:tc>
        <w:tc>
          <w:tcPr>
            <w:tcW w:w="2693" w:type="dxa"/>
          </w:tcPr>
          <w:p>
            <w:pPr>
              <w:pStyle w:val="nTable"/>
              <w:spacing w:before="120"/>
              <w:rPr>
                <w:sz w:val="19"/>
              </w:rPr>
            </w:pPr>
            <w:r>
              <w:rPr>
                <w:sz w:val="19"/>
              </w:rPr>
              <w:t>2 Sep 1994</w:t>
            </w:r>
          </w:p>
        </w:tc>
      </w:tr>
      <w:tr>
        <w:trPr>
          <w:cantSplit/>
        </w:trPr>
        <w:tc>
          <w:tcPr>
            <w:tcW w:w="3118" w:type="dxa"/>
          </w:tcPr>
          <w:p>
            <w:pPr>
              <w:pStyle w:val="nTable"/>
              <w:spacing w:before="120"/>
              <w:ind w:right="113"/>
              <w:rPr>
                <w:i/>
                <w:sz w:val="19"/>
              </w:rPr>
            </w:pPr>
            <w:r>
              <w:rPr>
                <w:i/>
                <w:sz w:val="19"/>
              </w:rPr>
              <w:t>Poisons Amendment Regulations (No. 6) 1994</w:t>
            </w:r>
          </w:p>
        </w:tc>
        <w:tc>
          <w:tcPr>
            <w:tcW w:w="1276" w:type="dxa"/>
          </w:tcPr>
          <w:p>
            <w:pPr>
              <w:pStyle w:val="nTable"/>
              <w:spacing w:before="120"/>
              <w:rPr>
                <w:sz w:val="19"/>
              </w:rPr>
            </w:pPr>
            <w:r>
              <w:rPr>
                <w:sz w:val="19"/>
              </w:rPr>
              <w:t>16 Sep 1994 p. 4748-9</w:t>
            </w:r>
          </w:p>
        </w:tc>
        <w:tc>
          <w:tcPr>
            <w:tcW w:w="2693" w:type="dxa"/>
          </w:tcPr>
          <w:p>
            <w:pPr>
              <w:pStyle w:val="nTable"/>
              <w:spacing w:before="120"/>
              <w:rPr>
                <w:sz w:val="19"/>
              </w:rPr>
            </w:pPr>
            <w:r>
              <w:rPr>
                <w:sz w:val="19"/>
              </w:rPr>
              <w:t>16 Sep 1994</w:t>
            </w:r>
          </w:p>
        </w:tc>
      </w:tr>
      <w:tr>
        <w:trPr>
          <w:cantSplit/>
        </w:trPr>
        <w:tc>
          <w:tcPr>
            <w:tcW w:w="3118" w:type="dxa"/>
          </w:tcPr>
          <w:p>
            <w:pPr>
              <w:pStyle w:val="nTable"/>
              <w:spacing w:before="120"/>
              <w:ind w:right="113"/>
              <w:rPr>
                <w:i/>
                <w:sz w:val="19"/>
              </w:rPr>
            </w:pPr>
            <w:r>
              <w:rPr>
                <w:i/>
                <w:sz w:val="19"/>
              </w:rPr>
              <w:t>Poisons Amendment Regulations (No. 7) 1994</w:t>
            </w:r>
          </w:p>
        </w:tc>
        <w:tc>
          <w:tcPr>
            <w:tcW w:w="1276" w:type="dxa"/>
          </w:tcPr>
          <w:p>
            <w:pPr>
              <w:pStyle w:val="nTable"/>
              <w:spacing w:before="120"/>
              <w:rPr>
                <w:sz w:val="19"/>
              </w:rPr>
            </w:pPr>
            <w:r>
              <w:rPr>
                <w:sz w:val="19"/>
              </w:rPr>
              <w:t>23 Dec 1994 p. 7076</w:t>
            </w:r>
          </w:p>
        </w:tc>
        <w:tc>
          <w:tcPr>
            <w:tcW w:w="2693" w:type="dxa"/>
          </w:tcPr>
          <w:p>
            <w:pPr>
              <w:pStyle w:val="nTable"/>
              <w:spacing w:before="120"/>
              <w:rPr>
                <w:sz w:val="19"/>
              </w:rPr>
            </w:pPr>
            <w:r>
              <w:rPr>
                <w:sz w:val="19"/>
              </w:rPr>
              <w:t>23 Dec 1994</w:t>
            </w:r>
          </w:p>
        </w:tc>
      </w:tr>
      <w:tr>
        <w:trPr>
          <w:cantSplit/>
        </w:trPr>
        <w:tc>
          <w:tcPr>
            <w:tcW w:w="3118" w:type="dxa"/>
          </w:tcPr>
          <w:p>
            <w:pPr>
              <w:pStyle w:val="nTable"/>
              <w:spacing w:before="120"/>
              <w:ind w:right="113"/>
              <w:rPr>
                <w:i/>
                <w:sz w:val="19"/>
              </w:rPr>
            </w:pPr>
            <w:r>
              <w:rPr>
                <w:i/>
                <w:sz w:val="19"/>
              </w:rPr>
              <w:t>Poisons Amendment Regulations (No. 9) 1994</w:t>
            </w:r>
          </w:p>
        </w:tc>
        <w:tc>
          <w:tcPr>
            <w:tcW w:w="1276" w:type="dxa"/>
          </w:tcPr>
          <w:p>
            <w:pPr>
              <w:pStyle w:val="nTable"/>
              <w:spacing w:before="120"/>
              <w:rPr>
                <w:sz w:val="19"/>
              </w:rPr>
            </w:pPr>
            <w:r>
              <w:rPr>
                <w:sz w:val="19"/>
              </w:rPr>
              <w:t>3 Feb 1995 p. 341-3</w:t>
            </w:r>
          </w:p>
        </w:tc>
        <w:tc>
          <w:tcPr>
            <w:tcW w:w="2693" w:type="dxa"/>
          </w:tcPr>
          <w:p>
            <w:pPr>
              <w:pStyle w:val="nTable"/>
              <w:spacing w:before="120"/>
              <w:rPr>
                <w:sz w:val="19"/>
              </w:rPr>
            </w:pPr>
            <w:r>
              <w:rPr>
                <w:sz w:val="19"/>
              </w:rPr>
              <w:t>3 Feb 1995</w:t>
            </w:r>
          </w:p>
        </w:tc>
      </w:tr>
      <w:tr>
        <w:trPr>
          <w:cantSplit/>
        </w:trPr>
        <w:tc>
          <w:tcPr>
            <w:tcW w:w="3118" w:type="dxa"/>
          </w:tcPr>
          <w:p>
            <w:pPr>
              <w:pStyle w:val="nTable"/>
              <w:spacing w:before="120"/>
              <w:ind w:right="113"/>
              <w:rPr>
                <w:i/>
                <w:sz w:val="19"/>
              </w:rPr>
            </w:pPr>
            <w:r>
              <w:rPr>
                <w:i/>
                <w:sz w:val="19"/>
              </w:rPr>
              <w:t>Poisons Amendment Regulations 1995</w:t>
            </w:r>
          </w:p>
        </w:tc>
        <w:tc>
          <w:tcPr>
            <w:tcW w:w="1276" w:type="dxa"/>
          </w:tcPr>
          <w:p>
            <w:pPr>
              <w:pStyle w:val="nTable"/>
              <w:spacing w:before="120"/>
              <w:rPr>
                <w:sz w:val="19"/>
              </w:rPr>
            </w:pPr>
            <w:r>
              <w:rPr>
                <w:sz w:val="19"/>
              </w:rPr>
              <w:t>17 Mar 1995 p. 1026-7</w:t>
            </w:r>
          </w:p>
        </w:tc>
        <w:tc>
          <w:tcPr>
            <w:tcW w:w="2693" w:type="dxa"/>
          </w:tcPr>
          <w:p>
            <w:pPr>
              <w:pStyle w:val="nTable"/>
              <w:spacing w:before="120"/>
              <w:rPr>
                <w:sz w:val="19"/>
              </w:rPr>
            </w:pPr>
            <w:r>
              <w:rPr>
                <w:sz w:val="19"/>
              </w:rPr>
              <w:t>17 Mar 1995</w:t>
            </w:r>
          </w:p>
        </w:tc>
      </w:tr>
      <w:tr>
        <w:trPr>
          <w:cantSplit/>
        </w:trPr>
        <w:tc>
          <w:tcPr>
            <w:tcW w:w="3118" w:type="dxa"/>
          </w:tcPr>
          <w:p>
            <w:pPr>
              <w:pStyle w:val="nTable"/>
              <w:spacing w:before="120"/>
              <w:ind w:right="113"/>
              <w:rPr>
                <w:i/>
                <w:sz w:val="19"/>
              </w:rPr>
            </w:pPr>
            <w:r>
              <w:rPr>
                <w:i/>
                <w:sz w:val="19"/>
              </w:rPr>
              <w:t>Poisons Amendment Regulations (No. 2) 1995</w:t>
            </w:r>
          </w:p>
        </w:tc>
        <w:tc>
          <w:tcPr>
            <w:tcW w:w="1276" w:type="dxa"/>
          </w:tcPr>
          <w:p>
            <w:pPr>
              <w:pStyle w:val="nTable"/>
              <w:spacing w:before="120"/>
              <w:rPr>
                <w:sz w:val="19"/>
              </w:rPr>
            </w:pPr>
            <w:r>
              <w:rPr>
                <w:sz w:val="19"/>
              </w:rPr>
              <w:t>28 Apr 1995 p. 1466</w:t>
            </w:r>
          </w:p>
        </w:tc>
        <w:tc>
          <w:tcPr>
            <w:tcW w:w="2693" w:type="dxa"/>
          </w:tcPr>
          <w:p>
            <w:pPr>
              <w:pStyle w:val="nTable"/>
              <w:spacing w:before="120"/>
              <w:rPr>
                <w:sz w:val="19"/>
              </w:rPr>
            </w:pPr>
            <w:r>
              <w:rPr>
                <w:sz w:val="19"/>
              </w:rPr>
              <w:t>28 Apr 1995</w:t>
            </w:r>
          </w:p>
        </w:tc>
      </w:tr>
      <w:tr>
        <w:trPr>
          <w:cantSplit/>
        </w:trPr>
        <w:tc>
          <w:tcPr>
            <w:tcW w:w="3118" w:type="dxa"/>
          </w:tcPr>
          <w:p>
            <w:pPr>
              <w:pStyle w:val="nTable"/>
              <w:spacing w:before="120"/>
              <w:ind w:right="113"/>
              <w:rPr>
                <w:i/>
                <w:sz w:val="19"/>
              </w:rPr>
            </w:pPr>
            <w:r>
              <w:rPr>
                <w:i/>
                <w:sz w:val="19"/>
              </w:rPr>
              <w:t>Poisons Amendment Regulations (No. 3) 1995</w:t>
            </w:r>
          </w:p>
        </w:tc>
        <w:tc>
          <w:tcPr>
            <w:tcW w:w="1276" w:type="dxa"/>
          </w:tcPr>
          <w:p>
            <w:pPr>
              <w:pStyle w:val="nTable"/>
              <w:spacing w:before="120"/>
              <w:rPr>
                <w:sz w:val="19"/>
              </w:rPr>
            </w:pPr>
            <w:r>
              <w:rPr>
                <w:sz w:val="19"/>
              </w:rPr>
              <w:t>28 Apr 1995 p. 1466-7</w:t>
            </w:r>
          </w:p>
        </w:tc>
        <w:tc>
          <w:tcPr>
            <w:tcW w:w="2693" w:type="dxa"/>
          </w:tcPr>
          <w:p>
            <w:pPr>
              <w:pStyle w:val="nTable"/>
              <w:spacing w:before="120"/>
              <w:rPr>
                <w:sz w:val="19"/>
              </w:rPr>
            </w:pPr>
            <w:r>
              <w:rPr>
                <w:sz w:val="19"/>
              </w:rPr>
              <w:t>1 Jun 1995 (see r. 2)</w:t>
            </w:r>
          </w:p>
        </w:tc>
      </w:tr>
      <w:tr>
        <w:trPr>
          <w:cantSplit/>
        </w:trPr>
        <w:tc>
          <w:tcPr>
            <w:tcW w:w="3118" w:type="dxa"/>
          </w:tcPr>
          <w:p>
            <w:pPr>
              <w:pStyle w:val="nTable"/>
              <w:spacing w:before="120"/>
              <w:ind w:right="113"/>
              <w:rPr>
                <w:i/>
                <w:sz w:val="19"/>
              </w:rPr>
            </w:pPr>
            <w:r>
              <w:rPr>
                <w:i/>
                <w:sz w:val="19"/>
              </w:rPr>
              <w:t>Poisons Amendment Regulations (No. 4) 1995</w:t>
            </w:r>
          </w:p>
        </w:tc>
        <w:tc>
          <w:tcPr>
            <w:tcW w:w="1276" w:type="dxa"/>
          </w:tcPr>
          <w:p>
            <w:pPr>
              <w:pStyle w:val="nTable"/>
              <w:spacing w:before="120"/>
              <w:rPr>
                <w:sz w:val="19"/>
              </w:rPr>
            </w:pPr>
            <w:r>
              <w:rPr>
                <w:sz w:val="19"/>
              </w:rPr>
              <w:t>27 Jun 1995 p. 2550-1</w:t>
            </w:r>
          </w:p>
        </w:tc>
        <w:tc>
          <w:tcPr>
            <w:tcW w:w="2693" w:type="dxa"/>
          </w:tcPr>
          <w:p>
            <w:pPr>
              <w:pStyle w:val="nTable"/>
              <w:spacing w:before="120"/>
              <w:rPr>
                <w:sz w:val="19"/>
              </w:rPr>
            </w:pPr>
            <w:r>
              <w:rPr>
                <w:sz w:val="19"/>
              </w:rPr>
              <w:t>1 Jul 1995 (see r. 2)</w:t>
            </w:r>
          </w:p>
        </w:tc>
      </w:tr>
      <w:tr>
        <w:trPr>
          <w:cantSplit/>
        </w:trPr>
        <w:tc>
          <w:tcPr>
            <w:tcW w:w="3118" w:type="dxa"/>
          </w:tcPr>
          <w:p>
            <w:pPr>
              <w:pStyle w:val="nTable"/>
              <w:spacing w:before="120"/>
              <w:ind w:right="113"/>
              <w:rPr>
                <w:i/>
                <w:sz w:val="19"/>
              </w:rPr>
            </w:pPr>
            <w:r>
              <w:rPr>
                <w:i/>
                <w:sz w:val="19"/>
              </w:rPr>
              <w:t>Poisons Amendment Regulations (No. 6) 1996</w:t>
            </w:r>
          </w:p>
        </w:tc>
        <w:tc>
          <w:tcPr>
            <w:tcW w:w="1276" w:type="dxa"/>
          </w:tcPr>
          <w:p>
            <w:pPr>
              <w:pStyle w:val="nTable"/>
              <w:spacing w:before="120"/>
              <w:rPr>
                <w:sz w:val="19"/>
              </w:rPr>
            </w:pPr>
            <w:r>
              <w:rPr>
                <w:sz w:val="19"/>
              </w:rPr>
              <w:t>5 Sep 1995 p. 4162</w:t>
            </w:r>
          </w:p>
        </w:tc>
        <w:tc>
          <w:tcPr>
            <w:tcW w:w="2693" w:type="dxa"/>
          </w:tcPr>
          <w:p>
            <w:pPr>
              <w:pStyle w:val="nTable"/>
              <w:spacing w:before="120"/>
              <w:rPr>
                <w:sz w:val="19"/>
              </w:rPr>
            </w:pPr>
            <w:r>
              <w:rPr>
                <w:sz w:val="19"/>
              </w:rPr>
              <w:t>5 Sep 1995</w:t>
            </w:r>
          </w:p>
        </w:tc>
      </w:tr>
      <w:tr>
        <w:trPr>
          <w:cantSplit/>
        </w:trPr>
        <w:tc>
          <w:tcPr>
            <w:tcW w:w="3118" w:type="dxa"/>
          </w:tcPr>
          <w:p>
            <w:pPr>
              <w:pStyle w:val="nTable"/>
              <w:spacing w:before="120"/>
              <w:ind w:right="113"/>
              <w:rPr>
                <w:i/>
                <w:sz w:val="19"/>
              </w:rPr>
            </w:pPr>
            <w:r>
              <w:rPr>
                <w:i/>
                <w:sz w:val="19"/>
              </w:rPr>
              <w:t>Poisons Amendment Regulations (No. 5) 1995</w:t>
            </w:r>
          </w:p>
        </w:tc>
        <w:tc>
          <w:tcPr>
            <w:tcW w:w="1276" w:type="dxa"/>
          </w:tcPr>
          <w:p>
            <w:pPr>
              <w:pStyle w:val="nTable"/>
              <w:spacing w:before="120"/>
              <w:rPr>
                <w:sz w:val="19"/>
              </w:rPr>
            </w:pPr>
            <w:r>
              <w:rPr>
                <w:sz w:val="19"/>
              </w:rPr>
              <w:t>19 Sep 1995 p. 4382-4</w:t>
            </w:r>
          </w:p>
        </w:tc>
        <w:tc>
          <w:tcPr>
            <w:tcW w:w="2693" w:type="dxa"/>
          </w:tcPr>
          <w:p>
            <w:pPr>
              <w:pStyle w:val="nTable"/>
              <w:spacing w:before="120"/>
              <w:rPr>
                <w:sz w:val="19"/>
              </w:rPr>
            </w:pPr>
            <w:r>
              <w:rPr>
                <w:sz w:val="19"/>
              </w:rPr>
              <w:t>19 Sep 1995</w:t>
            </w:r>
          </w:p>
        </w:tc>
      </w:tr>
      <w:tr>
        <w:trPr>
          <w:cantSplit/>
        </w:trPr>
        <w:tc>
          <w:tcPr>
            <w:tcW w:w="3118" w:type="dxa"/>
          </w:tcPr>
          <w:p>
            <w:pPr>
              <w:pStyle w:val="nTable"/>
              <w:spacing w:before="120"/>
              <w:ind w:right="113"/>
              <w:rPr>
                <w:i/>
                <w:sz w:val="19"/>
              </w:rPr>
            </w:pPr>
            <w:r>
              <w:rPr>
                <w:i/>
                <w:sz w:val="19"/>
              </w:rPr>
              <w:t>Poisons Amendment Regulations 1996</w:t>
            </w:r>
          </w:p>
        </w:tc>
        <w:tc>
          <w:tcPr>
            <w:tcW w:w="1276" w:type="dxa"/>
          </w:tcPr>
          <w:p>
            <w:pPr>
              <w:pStyle w:val="nTable"/>
              <w:spacing w:before="120"/>
              <w:rPr>
                <w:sz w:val="19"/>
              </w:rPr>
            </w:pPr>
            <w:r>
              <w:rPr>
                <w:sz w:val="19"/>
              </w:rPr>
              <w:t>17 Jan 1996 p. 267</w:t>
            </w:r>
          </w:p>
        </w:tc>
        <w:tc>
          <w:tcPr>
            <w:tcW w:w="2693" w:type="dxa"/>
          </w:tcPr>
          <w:p>
            <w:pPr>
              <w:pStyle w:val="nTable"/>
              <w:spacing w:before="120"/>
              <w:rPr>
                <w:sz w:val="19"/>
              </w:rPr>
            </w:pPr>
            <w:r>
              <w:rPr>
                <w:sz w:val="19"/>
              </w:rPr>
              <w:t>17 Jan 1996</w:t>
            </w:r>
          </w:p>
        </w:tc>
      </w:tr>
      <w:tr>
        <w:trPr>
          <w:cantSplit/>
        </w:trPr>
        <w:tc>
          <w:tcPr>
            <w:tcW w:w="3118" w:type="dxa"/>
          </w:tcPr>
          <w:p>
            <w:pPr>
              <w:pStyle w:val="nTable"/>
              <w:spacing w:before="120"/>
              <w:ind w:right="113"/>
              <w:rPr>
                <w:i/>
                <w:sz w:val="19"/>
              </w:rPr>
            </w:pPr>
            <w:r>
              <w:rPr>
                <w:i/>
                <w:sz w:val="19"/>
              </w:rPr>
              <w:t>Poisons Amendment Regulations (No. 2) 1996</w:t>
            </w:r>
          </w:p>
        </w:tc>
        <w:tc>
          <w:tcPr>
            <w:tcW w:w="1276" w:type="dxa"/>
          </w:tcPr>
          <w:p>
            <w:pPr>
              <w:pStyle w:val="nTable"/>
              <w:spacing w:before="120"/>
              <w:rPr>
                <w:sz w:val="19"/>
              </w:rPr>
            </w:pPr>
            <w:r>
              <w:rPr>
                <w:sz w:val="19"/>
              </w:rPr>
              <w:t>19 Mar 1996 p. 1216-39</w:t>
            </w:r>
          </w:p>
        </w:tc>
        <w:tc>
          <w:tcPr>
            <w:tcW w:w="2693" w:type="dxa"/>
          </w:tcPr>
          <w:p>
            <w:pPr>
              <w:pStyle w:val="nTable"/>
              <w:spacing w:before="12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before="120"/>
              <w:ind w:right="113"/>
              <w:rPr>
                <w:i/>
                <w:sz w:val="19"/>
              </w:rPr>
            </w:pPr>
            <w:r>
              <w:rPr>
                <w:i/>
                <w:sz w:val="19"/>
              </w:rPr>
              <w:t>Poisons Amendment Regulations (No. 4) 1996</w:t>
            </w:r>
          </w:p>
        </w:tc>
        <w:tc>
          <w:tcPr>
            <w:tcW w:w="1276" w:type="dxa"/>
          </w:tcPr>
          <w:p>
            <w:pPr>
              <w:pStyle w:val="nTable"/>
              <w:spacing w:before="120"/>
              <w:rPr>
                <w:sz w:val="19"/>
              </w:rPr>
            </w:pPr>
            <w:r>
              <w:rPr>
                <w:sz w:val="19"/>
              </w:rPr>
              <w:t>23 Aug 1996 p. 4088-9</w:t>
            </w:r>
          </w:p>
        </w:tc>
        <w:tc>
          <w:tcPr>
            <w:tcW w:w="2693" w:type="dxa"/>
          </w:tcPr>
          <w:p>
            <w:pPr>
              <w:pStyle w:val="nTable"/>
              <w:spacing w:before="120"/>
              <w:rPr>
                <w:sz w:val="19"/>
              </w:rPr>
            </w:pPr>
            <w:r>
              <w:rPr>
                <w:sz w:val="19"/>
              </w:rPr>
              <w:t>23 Aug 1996</w:t>
            </w:r>
          </w:p>
        </w:tc>
      </w:tr>
      <w:tr>
        <w:trPr>
          <w:cantSplit/>
        </w:trPr>
        <w:tc>
          <w:tcPr>
            <w:tcW w:w="3118" w:type="dxa"/>
          </w:tcPr>
          <w:p>
            <w:pPr>
              <w:pStyle w:val="nTable"/>
              <w:spacing w:before="120"/>
              <w:ind w:right="113"/>
              <w:rPr>
                <w:i/>
                <w:sz w:val="19"/>
              </w:rPr>
            </w:pPr>
            <w:r>
              <w:rPr>
                <w:i/>
                <w:sz w:val="19"/>
              </w:rPr>
              <w:t>Poisons Amendment Regulations (No. 5) 1996</w:t>
            </w:r>
          </w:p>
        </w:tc>
        <w:tc>
          <w:tcPr>
            <w:tcW w:w="1276" w:type="dxa"/>
          </w:tcPr>
          <w:p>
            <w:pPr>
              <w:pStyle w:val="nTable"/>
              <w:spacing w:before="120"/>
              <w:rPr>
                <w:sz w:val="19"/>
              </w:rPr>
            </w:pPr>
            <w:r>
              <w:rPr>
                <w:sz w:val="19"/>
              </w:rPr>
              <w:t>1 Oct 1996 p. 5088</w:t>
            </w:r>
          </w:p>
        </w:tc>
        <w:tc>
          <w:tcPr>
            <w:tcW w:w="2693" w:type="dxa"/>
          </w:tcPr>
          <w:p>
            <w:pPr>
              <w:pStyle w:val="nTable"/>
              <w:spacing w:before="120"/>
              <w:rPr>
                <w:sz w:val="19"/>
              </w:rPr>
            </w:pPr>
            <w:r>
              <w:rPr>
                <w:sz w:val="19"/>
              </w:rPr>
              <w:t>1 Oct 1996</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before="120"/>
              <w:ind w:right="113"/>
              <w:rPr>
                <w:sz w:val="19"/>
              </w:rPr>
            </w:pPr>
            <w:r>
              <w:rPr>
                <w:i/>
                <w:sz w:val="19"/>
              </w:rPr>
              <w:t>Poisons Amendment Regulations 1997</w:t>
            </w:r>
          </w:p>
        </w:tc>
        <w:tc>
          <w:tcPr>
            <w:tcW w:w="1276" w:type="dxa"/>
          </w:tcPr>
          <w:p>
            <w:pPr>
              <w:pStyle w:val="nTable"/>
              <w:spacing w:before="120"/>
              <w:rPr>
                <w:sz w:val="19"/>
              </w:rPr>
            </w:pPr>
            <w:r>
              <w:rPr>
                <w:sz w:val="19"/>
              </w:rPr>
              <w:t>11 Apr 1997 p. 1828</w:t>
            </w:r>
            <w:r>
              <w:rPr>
                <w:sz w:val="19"/>
              </w:rPr>
              <w:noBreakHyphen/>
              <w:t>34</w:t>
            </w:r>
          </w:p>
        </w:tc>
        <w:tc>
          <w:tcPr>
            <w:tcW w:w="2693" w:type="dxa"/>
          </w:tcPr>
          <w:p>
            <w:pPr>
              <w:pStyle w:val="nTable"/>
              <w:spacing w:before="120"/>
              <w:rPr>
                <w:sz w:val="19"/>
              </w:rPr>
            </w:pPr>
            <w:r>
              <w:rPr>
                <w:sz w:val="19"/>
              </w:rPr>
              <w:t>11 Apr 1997</w:t>
            </w:r>
          </w:p>
        </w:tc>
      </w:tr>
      <w:tr>
        <w:trPr>
          <w:cantSplit/>
        </w:trPr>
        <w:tc>
          <w:tcPr>
            <w:tcW w:w="3118" w:type="dxa"/>
          </w:tcPr>
          <w:p>
            <w:pPr>
              <w:pStyle w:val="nTable"/>
              <w:spacing w:before="120"/>
              <w:ind w:right="113"/>
              <w:rPr>
                <w:sz w:val="19"/>
              </w:rPr>
            </w:pPr>
            <w:r>
              <w:rPr>
                <w:i/>
                <w:sz w:val="19"/>
              </w:rPr>
              <w:t>Poisons Amendment Regulations 1998</w:t>
            </w:r>
          </w:p>
        </w:tc>
        <w:tc>
          <w:tcPr>
            <w:tcW w:w="1276" w:type="dxa"/>
          </w:tcPr>
          <w:p>
            <w:pPr>
              <w:pStyle w:val="nTable"/>
              <w:spacing w:before="120"/>
              <w:rPr>
                <w:sz w:val="19"/>
              </w:rPr>
            </w:pPr>
            <w:r>
              <w:rPr>
                <w:sz w:val="19"/>
              </w:rPr>
              <w:t>17 Mar 1998 p. 1417</w:t>
            </w:r>
          </w:p>
        </w:tc>
        <w:tc>
          <w:tcPr>
            <w:tcW w:w="2693" w:type="dxa"/>
          </w:tcPr>
          <w:p>
            <w:pPr>
              <w:pStyle w:val="nTable"/>
              <w:spacing w:before="120"/>
              <w:rPr>
                <w:sz w:val="19"/>
              </w:rPr>
            </w:pPr>
            <w:r>
              <w:rPr>
                <w:sz w:val="19"/>
              </w:rPr>
              <w:t>17 Mar 1998</w:t>
            </w:r>
          </w:p>
        </w:tc>
      </w:tr>
      <w:tr>
        <w:trPr>
          <w:cantSplit/>
        </w:trPr>
        <w:tc>
          <w:tcPr>
            <w:tcW w:w="3118" w:type="dxa"/>
          </w:tcPr>
          <w:p>
            <w:pPr>
              <w:pStyle w:val="nTable"/>
              <w:spacing w:before="120"/>
              <w:ind w:right="113"/>
              <w:rPr>
                <w:sz w:val="19"/>
              </w:rPr>
            </w:pPr>
            <w:r>
              <w:rPr>
                <w:i/>
                <w:sz w:val="19"/>
              </w:rPr>
              <w:t>Poisons Amendment Regulations (No. 2) 1998</w:t>
            </w:r>
          </w:p>
        </w:tc>
        <w:tc>
          <w:tcPr>
            <w:tcW w:w="1276" w:type="dxa"/>
          </w:tcPr>
          <w:p>
            <w:pPr>
              <w:pStyle w:val="nTable"/>
              <w:spacing w:before="120"/>
              <w:rPr>
                <w:sz w:val="19"/>
              </w:rPr>
            </w:pPr>
            <w:r>
              <w:rPr>
                <w:sz w:val="19"/>
              </w:rPr>
              <w:t>26 May 1998 p. 2966</w:t>
            </w:r>
            <w:r>
              <w:rPr>
                <w:sz w:val="19"/>
              </w:rPr>
              <w:noBreakHyphen/>
              <w:t>7</w:t>
            </w:r>
          </w:p>
        </w:tc>
        <w:tc>
          <w:tcPr>
            <w:tcW w:w="2693" w:type="dxa"/>
          </w:tcPr>
          <w:p>
            <w:pPr>
              <w:pStyle w:val="nTable"/>
              <w:spacing w:before="120"/>
              <w:rPr>
                <w:sz w:val="19"/>
              </w:rPr>
            </w:pPr>
            <w:r>
              <w:rPr>
                <w:sz w:val="19"/>
              </w:rPr>
              <w:t>19 Jun 1998 (see r. 2)</w:t>
            </w:r>
          </w:p>
        </w:tc>
      </w:tr>
      <w:tr>
        <w:trPr>
          <w:cantSplit/>
        </w:trPr>
        <w:tc>
          <w:tcPr>
            <w:tcW w:w="3118" w:type="dxa"/>
          </w:tcPr>
          <w:p>
            <w:pPr>
              <w:pStyle w:val="nTable"/>
              <w:spacing w:before="120"/>
              <w:ind w:right="113"/>
              <w:rPr>
                <w:sz w:val="19"/>
              </w:rPr>
            </w:pPr>
            <w:r>
              <w:rPr>
                <w:i/>
                <w:sz w:val="19"/>
              </w:rPr>
              <w:t>Poisons Amendment Regulations (No. 3) 1998</w:t>
            </w:r>
          </w:p>
        </w:tc>
        <w:tc>
          <w:tcPr>
            <w:tcW w:w="1276" w:type="dxa"/>
          </w:tcPr>
          <w:p>
            <w:pPr>
              <w:pStyle w:val="nTable"/>
              <w:spacing w:before="120"/>
              <w:rPr>
                <w:sz w:val="19"/>
              </w:rPr>
            </w:pPr>
            <w:r>
              <w:rPr>
                <w:sz w:val="19"/>
              </w:rPr>
              <w:t>27 Nov 1998 p. 6343</w:t>
            </w:r>
            <w:r>
              <w:rPr>
                <w:sz w:val="19"/>
              </w:rPr>
              <w:noBreakHyphen/>
              <w:t>4</w:t>
            </w:r>
          </w:p>
        </w:tc>
        <w:tc>
          <w:tcPr>
            <w:tcW w:w="2693" w:type="dxa"/>
          </w:tcPr>
          <w:p>
            <w:pPr>
              <w:pStyle w:val="nTable"/>
              <w:spacing w:before="120"/>
              <w:rPr>
                <w:sz w:val="19"/>
              </w:rPr>
            </w:pPr>
            <w:r>
              <w:rPr>
                <w:sz w:val="19"/>
              </w:rPr>
              <w:t>27 Nov 1998</w:t>
            </w:r>
          </w:p>
        </w:tc>
      </w:tr>
      <w:tr>
        <w:trPr>
          <w:cantSplit/>
        </w:trPr>
        <w:tc>
          <w:tcPr>
            <w:tcW w:w="3118" w:type="dxa"/>
          </w:tcPr>
          <w:p>
            <w:pPr>
              <w:pStyle w:val="nTable"/>
              <w:spacing w:before="120"/>
              <w:ind w:right="113"/>
              <w:rPr>
                <w:i/>
                <w:sz w:val="19"/>
              </w:rPr>
            </w:pPr>
            <w:r>
              <w:rPr>
                <w:i/>
                <w:sz w:val="19"/>
              </w:rPr>
              <w:t>Poisons Amendment Regulations 1999</w:t>
            </w:r>
          </w:p>
        </w:tc>
        <w:tc>
          <w:tcPr>
            <w:tcW w:w="1276" w:type="dxa"/>
          </w:tcPr>
          <w:p>
            <w:pPr>
              <w:pStyle w:val="nTable"/>
              <w:spacing w:before="120"/>
              <w:rPr>
                <w:sz w:val="19"/>
              </w:rPr>
            </w:pPr>
            <w:r>
              <w:rPr>
                <w:sz w:val="19"/>
              </w:rPr>
              <w:t>19 Feb 1999 p. 554</w:t>
            </w:r>
            <w:r>
              <w:rPr>
                <w:sz w:val="19"/>
              </w:rPr>
              <w:noBreakHyphen/>
              <w:t>6</w:t>
            </w:r>
          </w:p>
        </w:tc>
        <w:tc>
          <w:tcPr>
            <w:tcW w:w="2693" w:type="dxa"/>
          </w:tcPr>
          <w:p>
            <w:pPr>
              <w:pStyle w:val="nTable"/>
              <w:spacing w:before="120"/>
              <w:rPr>
                <w:sz w:val="19"/>
              </w:rPr>
            </w:pPr>
            <w:r>
              <w:rPr>
                <w:sz w:val="19"/>
              </w:rPr>
              <w:t>19 Feb 1999</w:t>
            </w:r>
          </w:p>
        </w:tc>
      </w:tr>
      <w:tr>
        <w:trPr>
          <w:cantSplit/>
        </w:trPr>
        <w:tc>
          <w:tcPr>
            <w:tcW w:w="3118" w:type="dxa"/>
          </w:tcPr>
          <w:p>
            <w:pPr>
              <w:pStyle w:val="nTable"/>
              <w:spacing w:before="120"/>
              <w:ind w:right="113"/>
              <w:rPr>
                <w:i/>
                <w:sz w:val="19"/>
              </w:rPr>
            </w:pPr>
            <w:r>
              <w:rPr>
                <w:i/>
                <w:sz w:val="19"/>
              </w:rPr>
              <w:t>Poisons Amendment Regulations 2000</w:t>
            </w:r>
          </w:p>
        </w:tc>
        <w:tc>
          <w:tcPr>
            <w:tcW w:w="1276" w:type="dxa"/>
          </w:tcPr>
          <w:p>
            <w:pPr>
              <w:pStyle w:val="nTable"/>
              <w:spacing w:before="120"/>
              <w:rPr>
                <w:sz w:val="19"/>
              </w:rPr>
            </w:pPr>
            <w:r>
              <w:rPr>
                <w:sz w:val="19"/>
              </w:rPr>
              <w:t>29 Feb 2000 p. 992</w:t>
            </w:r>
            <w:r>
              <w:rPr>
                <w:sz w:val="19"/>
              </w:rPr>
              <w:noBreakHyphen/>
              <w:t>5</w:t>
            </w:r>
          </w:p>
        </w:tc>
        <w:tc>
          <w:tcPr>
            <w:tcW w:w="2693" w:type="dxa"/>
          </w:tcPr>
          <w:p>
            <w:pPr>
              <w:pStyle w:val="nTable"/>
              <w:spacing w:before="120"/>
              <w:rPr>
                <w:sz w:val="19"/>
              </w:rPr>
            </w:pPr>
            <w:r>
              <w:rPr>
                <w:sz w:val="19"/>
              </w:rPr>
              <w:t>29 Feb 2000</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before="120"/>
              <w:ind w:right="113"/>
              <w:rPr>
                <w:i/>
                <w:sz w:val="19"/>
              </w:rPr>
            </w:pPr>
            <w:r>
              <w:rPr>
                <w:i/>
                <w:sz w:val="19"/>
              </w:rPr>
              <w:t>Poisons Amendment Regulations 2001</w:t>
            </w:r>
          </w:p>
        </w:tc>
        <w:tc>
          <w:tcPr>
            <w:tcW w:w="1276" w:type="dxa"/>
          </w:tcPr>
          <w:p>
            <w:pPr>
              <w:pStyle w:val="nTable"/>
              <w:spacing w:before="120"/>
              <w:rPr>
                <w:sz w:val="19"/>
              </w:rPr>
            </w:pPr>
            <w:r>
              <w:rPr>
                <w:sz w:val="19"/>
              </w:rPr>
              <w:t>29 Jun 2001</w:t>
            </w:r>
            <w:r>
              <w:rPr>
                <w:sz w:val="19"/>
              </w:rPr>
              <w:br/>
              <w:t>p. 3115</w:t>
            </w:r>
            <w:r>
              <w:rPr>
                <w:sz w:val="19"/>
              </w:rPr>
              <w:noBreakHyphen/>
              <w:t>18</w:t>
            </w:r>
          </w:p>
        </w:tc>
        <w:tc>
          <w:tcPr>
            <w:tcW w:w="2693" w:type="dxa"/>
          </w:tcPr>
          <w:p>
            <w:pPr>
              <w:pStyle w:val="nTable"/>
              <w:spacing w:before="120"/>
              <w:rPr>
                <w:sz w:val="19"/>
              </w:rPr>
            </w:pPr>
            <w:r>
              <w:rPr>
                <w:sz w:val="19"/>
              </w:rPr>
              <w:t>29 Jun 2001</w:t>
            </w:r>
          </w:p>
        </w:tc>
      </w:tr>
      <w:tr>
        <w:trPr>
          <w:cantSplit/>
        </w:trPr>
        <w:tc>
          <w:tcPr>
            <w:tcW w:w="3118" w:type="dxa"/>
          </w:tcPr>
          <w:p>
            <w:pPr>
              <w:pStyle w:val="nTable"/>
              <w:spacing w:before="120"/>
              <w:ind w:right="113"/>
              <w:rPr>
                <w:i/>
                <w:sz w:val="19"/>
              </w:rPr>
            </w:pPr>
            <w:r>
              <w:rPr>
                <w:i/>
                <w:sz w:val="19"/>
              </w:rPr>
              <w:t>Poisons Amendment Regulations (No. 2) 2001</w:t>
            </w:r>
          </w:p>
        </w:tc>
        <w:tc>
          <w:tcPr>
            <w:tcW w:w="1276" w:type="dxa"/>
          </w:tcPr>
          <w:p>
            <w:pPr>
              <w:pStyle w:val="nTable"/>
              <w:spacing w:before="120"/>
              <w:rPr>
                <w:sz w:val="19"/>
              </w:rPr>
            </w:pPr>
            <w:r>
              <w:rPr>
                <w:sz w:val="19"/>
              </w:rPr>
              <w:t>14 Aug 2001 p. 4253</w:t>
            </w:r>
          </w:p>
        </w:tc>
        <w:tc>
          <w:tcPr>
            <w:tcW w:w="2693" w:type="dxa"/>
          </w:tcPr>
          <w:p>
            <w:pPr>
              <w:pStyle w:val="nTable"/>
              <w:spacing w:before="120"/>
              <w:rPr>
                <w:sz w:val="19"/>
              </w:rPr>
            </w:pPr>
            <w:r>
              <w:rPr>
                <w:sz w:val="19"/>
              </w:rPr>
              <w:t>14 Aug 2001</w:t>
            </w:r>
          </w:p>
        </w:tc>
      </w:tr>
      <w:tr>
        <w:trPr>
          <w:cantSplit/>
        </w:trPr>
        <w:tc>
          <w:tcPr>
            <w:tcW w:w="3118" w:type="dxa"/>
          </w:tcPr>
          <w:p>
            <w:pPr>
              <w:pStyle w:val="nTable"/>
              <w:spacing w:before="12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before="120"/>
              <w:rPr>
                <w:sz w:val="19"/>
              </w:rPr>
            </w:pPr>
            <w:r>
              <w:rPr>
                <w:sz w:val="19"/>
              </w:rPr>
              <w:t>14 Sep 2001 p. 5073</w:t>
            </w:r>
            <w:r>
              <w:rPr>
                <w:sz w:val="19"/>
              </w:rPr>
              <w:noBreakHyphen/>
              <w:t>7</w:t>
            </w:r>
          </w:p>
        </w:tc>
        <w:tc>
          <w:tcPr>
            <w:tcW w:w="2693" w:type="dxa"/>
          </w:tcPr>
          <w:p>
            <w:pPr>
              <w:pStyle w:val="nTable"/>
              <w:spacing w:before="120"/>
              <w:rPr>
                <w:sz w:val="19"/>
              </w:rPr>
            </w:pPr>
            <w:r>
              <w:rPr>
                <w:sz w:val="19"/>
              </w:rPr>
              <w:t>14 Sep 2001</w:t>
            </w:r>
          </w:p>
        </w:tc>
      </w:tr>
      <w:tr>
        <w:trPr>
          <w:cantSplit/>
        </w:trPr>
        <w:tc>
          <w:tcPr>
            <w:tcW w:w="3118" w:type="dxa"/>
          </w:tcPr>
          <w:p>
            <w:pPr>
              <w:pStyle w:val="nTable"/>
              <w:spacing w:before="120"/>
              <w:ind w:right="113"/>
              <w:rPr>
                <w:i/>
                <w:sz w:val="19"/>
              </w:rPr>
            </w:pPr>
            <w:r>
              <w:rPr>
                <w:i/>
                <w:sz w:val="19"/>
              </w:rPr>
              <w:t>Poisons Amendment Regulations (No. 4) 2001</w:t>
            </w:r>
          </w:p>
        </w:tc>
        <w:tc>
          <w:tcPr>
            <w:tcW w:w="1276" w:type="dxa"/>
          </w:tcPr>
          <w:p>
            <w:pPr>
              <w:pStyle w:val="nTable"/>
              <w:spacing w:before="120"/>
              <w:rPr>
                <w:sz w:val="19"/>
              </w:rPr>
            </w:pPr>
            <w:r>
              <w:rPr>
                <w:sz w:val="19"/>
              </w:rPr>
              <w:t>16 Nov 2001 p. 5985</w:t>
            </w:r>
          </w:p>
        </w:tc>
        <w:tc>
          <w:tcPr>
            <w:tcW w:w="2693" w:type="dxa"/>
          </w:tcPr>
          <w:p>
            <w:pPr>
              <w:pStyle w:val="nTable"/>
              <w:spacing w:before="120"/>
              <w:rPr>
                <w:sz w:val="19"/>
              </w:rPr>
            </w:pPr>
            <w:r>
              <w:rPr>
                <w:sz w:val="19"/>
              </w:rPr>
              <w:t>16 Nov 2001</w:t>
            </w:r>
          </w:p>
        </w:tc>
      </w:tr>
      <w:tr>
        <w:trPr>
          <w:cantSplit/>
        </w:trPr>
        <w:tc>
          <w:tcPr>
            <w:tcW w:w="3118" w:type="dxa"/>
          </w:tcPr>
          <w:p>
            <w:pPr>
              <w:pStyle w:val="nTable"/>
              <w:spacing w:before="120"/>
              <w:ind w:right="113"/>
              <w:rPr>
                <w:i/>
                <w:sz w:val="19"/>
              </w:rPr>
            </w:pPr>
            <w:r>
              <w:rPr>
                <w:i/>
                <w:sz w:val="19"/>
              </w:rPr>
              <w:t>Poisons Amendment Regulations 2002</w:t>
            </w:r>
          </w:p>
        </w:tc>
        <w:tc>
          <w:tcPr>
            <w:tcW w:w="1276" w:type="dxa"/>
          </w:tcPr>
          <w:p>
            <w:pPr>
              <w:pStyle w:val="nTable"/>
              <w:spacing w:before="120"/>
              <w:rPr>
                <w:sz w:val="19"/>
              </w:rPr>
            </w:pPr>
            <w:r>
              <w:rPr>
                <w:sz w:val="19"/>
              </w:rPr>
              <w:t>13 Aug 2002 p. 4181</w:t>
            </w:r>
          </w:p>
        </w:tc>
        <w:tc>
          <w:tcPr>
            <w:tcW w:w="2693" w:type="dxa"/>
          </w:tcPr>
          <w:p>
            <w:pPr>
              <w:pStyle w:val="nTable"/>
              <w:spacing w:before="120"/>
              <w:rPr>
                <w:sz w:val="19"/>
              </w:rPr>
            </w:pPr>
            <w:r>
              <w:rPr>
                <w:sz w:val="19"/>
              </w:rPr>
              <w:t>13 Aug 2002</w:t>
            </w:r>
          </w:p>
        </w:tc>
      </w:tr>
      <w:tr>
        <w:trPr>
          <w:cantSplit/>
        </w:trPr>
        <w:tc>
          <w:tcPr>
            <w:tcW w:w="7087" w:type="dxa"/>
            <w:gridSpan w:val="3"/>
          </w:tcPr>
          <w:p>
            <w:pPr>
              <w:pStyle w:val="nTable"/>
              <w:spacing w:before="12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before="120"/>
              <w:rPr>
                <w:sz w:val="19"/>
                <w:vertAlign w:val="superscript"/>
              </w:rPr>
            </w:pPr>
            <w:r>
              <w:rPr>
                <w:i/>
                <w:sz w:val="19"/>
              </w:rPr>
              <w:t>Nurses Amendment Act 2003</w:t>
            </w:r>
            <w:r>
              <w:rPr>
                <w:sz w:val="19"/>
              </w:rPr>
              <w:t xml:space="preserve"> Pt. 3 Div. 5 assented to 9 Apr 2003 </w:t>
            </w:r>
            <w:r>
              <w:rPr>
                <w:sz w:val="19"/>
                <w:vertAlign w:val="superscript"/>
              </w:rPr>
              <w:t>7</w:t>
            </w:r>
          </w:p>
        </w:tc>
        <w:tc>
          <w:tcPr>
            <w:tcW w:w="2693" w:type="dxa"/>
          </w:tcPr>
          <w:p>
            <w:pPr>
              <w:pStyle w:val="nTable"/>
              <w:spacing w:before="120"/>
              <w:rPr>
                <w:sz w:val="19"/>
              </w:rPr>
            </w:pPr>
            <w:r>
              <w:rPr>
                <w:sz w:val="19"/>
              </w:rPr>
              <w:t>9 Apr 2003 (see s. 2)</w:t>
            </w:r>
          </w:p>
        </w:tc>
      </w:tr>
      <w:tr>
        <w:trPr>
          <w:cantSplit/>
        </w:trPr>
        <w:tc>
          <w:tcPr>
            <w:tcW w:w="3118" w:type="dxa"/>
          </w:tcPr>
          <w:p>
            <w:pPr>
              <w:pStyle w:val="nTable"/>
              <w:spacing w:before="120"/>
              <w:ind w:right="113"/>
              <w:rPr>
                <w:i/>
                <w:sz w:val="19"/>
              </w:rPr>
            </w:pPr>
            <w:r>
              <w:rPr>
                <w:i/>
                <w:sz w:val="19"/>
              </w:rPr>
              <w:t>Poisons Amendment Regulations 2003</w:t>
            </w:r>
          </w:p>
        </w:tc>
        <w:tc>
          <w:tcPr>
            <w:tcW w:w="1276" w:type="dxa"/>
          </w:tcPr>
          <w:p>
            <w:pPr>
              <w:pStyle w:val="nTable"/>
              <w:spacing w:before="120"/>
              <w:rPr>
                <w:sz w:val="19"/>
              </w:rPr>
            </w:pPr>
            <w:r>
              <w:rPr>
                <w:sz w:val="19"/>
              </w:rPr>
              <w:t>12 Aug 2003 p. 3658-65</w:t>
            </w:r>
          </w:p>
        </w:tc>
        <w:tc>
          <w:tcPr>
            <w:tcW w:w="2693" w:type="dxa"/>
          </w:tcPr>
          <w:p>
            <w:pPr>
              <w:pStyle w:val="nTable"/>
              <w:spacing w:before="120"/>
              <w:rPr>
                <w:sz w:val="19"/>
              </w:rPr>
            </w:pPr>
            <w:r>
              <w:rPr>
                <w:sz w:val="19"/>
              </w:rPr>
              <w:t>12 Aug 2003</w:t>
            </w:r>
          </w:p>
        </w:tc>
      </w:tr>
      <w:tr>
        <w:trPr>
          <w:cantSplit/>
        </w:trPr>
        <w:tc>
          <w:tcPr>
            <w:tcW w:w="3118" w:type="dxa"/>
          </w:tcPr>
          <w:p>
            <w:pPr>
              <w:pStyle w:val="nTable"/>
              <w:spacing w:before="120"/>
              <w:ind w:right="113"/>
              <w:rPr>
                <w:i/>
                <w:sz w:val="19"/>
              </w:rPr>
            </w:pPr>
            <w:r>
              <w:rPr>
                <w:i/>
                <w:sz w:val="19"/>
              </w:rPr>
              <w:t>Poisons Amendment Regulations 2004</w:t>
            </w:r>
          </w:p>
        </w:tc>
        <w:tc>
          <w:tcPr>
            <w:tcW w:w="1276" w:type="dxa"/>
          </w:tcPr>
          <w:p>
            <w:pPr>
              <w:pStyle w:val="nTable"/>
              <w:spacing w:before="120"/>
              <w:rPr>
                <w:sz w:val="19"/>
              </w:rPr>
            </w:pPr>
            <w:r>
              <w:rPr>
                <w:sz w:val="19"/>
              </w:rPr>
              <w:t>5 Oct 2004 p. 4309-11</w:t>
            </w:r>
          </w:p>
        </w:tc>
        <w:tc>
          <w:tcPr>
            <w:tcW w:w="2693" w:type="dxa"/>
          </w:tcPr>
          <w:p>
            <w:pPr>
              <w:pStyle w:val="nTable"/>
              <w:spacing w:before="120"/>
              <w:rPr>
                <w:sz w:val="19"/>
              </w:rPr>
            </w:pPr>
            <w:r>
              <w:rPr>
                <w:sz w:val="19"/>
              </w:rPr>
              <w:t>5 Oct 2004</w:t>
            </w:r>
          </w:p>
        </w:tc>
      </w:tr>
      <w:tr>
        <w:trPr>
          <w:cantSplit/>
        </w:trPr>
        <w:tc>
          <w:tcPr>
            <w:tcW w:w="3118" w:type="dxa"/>
          </w:tcPr>
          <w:p>
            <w:pPr>
              <w:pStyle w:val="nTable"/>
              <w:spacing w:before="120"/>
              <w:ind w:right="113"/>
              <w:rPr>
                <w:i/>
                <w:sz w:val="19"/>
              </w:rPr>
            </w:pPr>
            <w:r>
              <w:rPr>
                <w:i/>
                <w:sz w:val="19"/>
              </w:rPr>
              <w:t>Poisons Amendment Regulations (No. 3) 2004</w:t>
            </w:r>
          </w:p>
        </w:tc>
        <w:tc>
          <w:tcPr>
            <w:tcW w:w="1276" w:type="dxa"/>
          </w:tcPr>
          <w:p>
            <w:pPr>
              <w:pStyle w:val="nTable"/>
              <w:spacing w:before="120"/>
              <w:rPr>
                <w:sz w:val="19"/>
              </w:rPr>
            </w:pPr>
            <w:r>
              <w:rPr>
                <w:sz w:val="19"/>
              </w:rPr>
              <w:t>30 Dec 2004 p. 6943</w:t>
            </w:r>
          </w:p>
        </w:tc>
        <w:tc>
          <w:tcPr>
            <w:tcW w:w="2693" w:type="dxa"/>
          </w:tcPr>
          <w:p>
            <w:pPr>
              <w:pStyle w:val="nTable"/>
              <w:spacing w:before="120"/>
              <w:rPr>
                <w:sz w:val="19"/>
              </w:rPr>
            </w:pPr>
            <w:r>
              <w:rPr>
                <w:sz w:val="19"/>
              </w:rPr>
              <w:t xml:space="preserve">1 Jan 2005 (see r. 2 and </w:t>
            </w:r>
            <w:r>
              <w:rPr>
                <w:i/>
                <w:iCs/>
                <w:sz w:val="19"/>
              </w:rPr>
              <w:t>Gazette</w:t>
            </w:r>
            <w:r>
              <w:t xml:space="preserve"> 31 Dec 2004 p. 7130</w:t>
            </w:r>
            <w:r>
              <w:rPr>
                <w:sz w:val="19"/>
              </w:rPr>
              <w:t>)</w:t>
            </w:r>
          </w:p>
        </w:tc>
      </w:tr>
      <w:tr>
        <w:trPr>
          <w:cantSplit/>
        </w:trPr>
        <w:tc>
          <w:tcPr>
            <w:tcW w:w="3118" w:type="dxa"/>
          </w:tcPr>
          <w:p>
            <w:pPr>
              <w:pStyle w:val="nTable"/>
              <w:spacing w:before="120"/>
              <w:ind w:right="113"/>
              <w:rPr>
                <w:i/>
                <w:sz w:val="19"/>
              </w:rPr>
            </w:pPr>
            <w:r>
              <w:rPr>
                <w:i/>
                <w:sz w:val="19"/>
              </w:rPr>
              <w:t>Poisons Amendment Regulations (No. 2) 2004</w:t>
            </w:r>
          </w:p>
        </w:tc>
        <w:tc>
          <w:tcPr>
            <w:tcW w:w="1276" w:type="dxa"/>
          </w:tcPr>
          <w:p>
            <w:pPr>
              <w:pStyle w:val="nTable"/>
              <w:spacing w:before="120"/>
              <w:rPr>
                <w:sz w:val="19"/>
              </w:rPr>
            </w:pPr>
            <w:r>
              <w:rPr>
                <w:sz w:val="19"/>
              </w:rPr>
              <w:t>4 Jan 2005 p. 3-4</w:t>
            </w:r>
          </w:p>
        </w:tc>
        <w:tc>
          <w:tcPr>
            <w:tcW w:w="2693" w:type="dxa"/>
          </w:tcPr>
          <w:p>
            <w:pPr>
              <w:pStyle w:val="nTable"/>
              <w:spacing w:before="120"/>
              <w:rPr>
                <w:sz w:val="19"/>
              </w:rPr>
            </w:pPr>
            <w:r>
              <w:rPr>
                <w:sz w:val="19"/>
              </w:rPr>
              <w:t>4 Jan 2005</w:t>
            </w:r>
          </w:p>
        </w:tc>
      </w:tr>
      <w:tr>
        <w:trPr>
          <w:cantSplit/>
        </w:trPr>
        <w:tc>
          <w:tcPr>
            <w:tcW w:w="3118" w:type="dxa"/>
          </w:tcPr>
          <w:p>
            <w:pPr>
              <w:pStyle w:val="nTable"/>
              <w:spacing w:before="120"/>
              <w:ind w:right="113"/>
              <w:rPr>
                <w:i/>
                <w:sz w:val="19"/>
              </w:rPr>
            </w:pPr>
            <w:r>
              <w:rPr>
                <w:i/>
                <w:sz w:val="19"/>
              </w:rPr>
              <w:t>Poisons Amendment Regulations 2005</w:t>
            </w:r>
          </w:p>
        </w:tc>
        <w:tc>
          <w:tcPr>
            <w:tcW w:w="1276" w:type="dxa"/>
          </w:tcPr>
          <w:p>
            <w:pPr>
              <w:pStyle w:val="nTable"/>
              <w:spacing w:before="120"/>
              <w:rPr>
                <w:sz w:val="19"/>
              </w:rPr>
            </w:pPr>
            <w:r>
              <w:rPr>
                <w:sz w:val="19"/>
              </w:rPr>
              <w:t>15 Nov 2005 p. 5602</w:t>
            </w:r>
            <w:r>
              <w:rPr>
                <w:sz w:val="19"/>
              </w:rPr>
              <w:noBreakHyphen/>
              <w:t>8</w:t>
            </w:r>
          </w:p>
        </w:tc>
        <w:tc>
          <w:tcPr>
            <w:tcW w:w="2693" w:type="dxa"/>
          </w:tcPr>
          <w:p>
            <w:pPr>
              <w:pStyle w:val="nTable"/>
              <w:spacing w:before="120"/>
              <w:rPr>
                <w:sz w:val="19"/>
              </w:rPr>
            </w:pPr>
            <w:r>
              <w:rPr>
                <w:sz w:val="19"/>
              </w:rPr>
              <w:t>1 Jan 2006 (see r. 2)</w:t>
            </w:r>
          </w:p>
        </w:tc>
      </w:tr>
      <w:tr>
        <w:trPr>
          <w:cantSplit/>
        </w:trPr>
        <w:tc>
          <w:tcPr>
            <w:tcW w:w="3118" w:type="dxa"/>
            <w:tcBorders>
              <w:bottom w:val="single" w:sz="4" w:space="0" w:color="auto"/>
            </w:tcBorders>
          </w:tcPr>
          <w:p>
            <w:pPr>
              <w:pStyle w:val="nTable"/>
              <w:spacing w:before="120"/>
              <w:ind w:right="113"/>
              <w:rPr>
                <w:i/>
                <w:sz w:val="19"/>
              </w:rPr>
            </w:pPr>
            <w:r>
              <w:rPr>
                <w:i/>
                <w:sz w:val="19"/>
              </w:rPr>
              <w:t>Poisons Amendment Regulations 2006</w:t>
            </w:r>
          </w:p>
        </w:tc>
        <w:tc>
          <w:tcPr>
            <w:tcW w:w="1276" w:type="dxa"/>
            <w:tcBorders>
              <w:bottom w:val="single" w:sz="4" w:space="0" w:color="auto"/>
            </w:tcBorders>
          </w:tcPr>
          <w:p>
            <w:pPr>
              <w:pStyle w:val="nTable"/>
              <w:spacing w:before="120"/>
              <w:rPr>
                <w:sz w:val="19"/>
              </w:rPr>
            </w:pPr>
            <w:r>
              <w:rPr>
                <w:sz w:val="19"/>
              </w:rPr>
              <w:t>4 Apr 2006 p. 1406</w:t>
            </w:r>
            <w:r>
              <w:rPr>
                <w:sz w:val="19"/>
              </w:rPr>
              <w:noBreakHyphen/>
              <w:t>7</w:t>
            </w:r>
          </w:p>
        </w:tc>
        <w:tc>
          <w:tcPr>
            <w:tcW w:w="2693" w:type="dxa"/>
            <w:tcBorders>
              <w:bottom w:val="single" w:sz="4" w:space="0" w:color="auto"/>
            </w:tcBorders>
          </w:tcPr>
          <w:p>
            <w:pPr>
              <w:pStyle w:val="nTable"/>
              <w:spacing w:before="120"/>
              <w:rPr>
                <w:sz w:val="19"/>
              </w:rPr>
            </w:pPr>
            <w:r>
              <w:rPr>
                <w:sz w:val="19"/>
              </w:rPr>
              <w:t>4 Apr 2006</w:t>
            </w:r>
          </w:p>
        </w:tc>
      </w:tr>
    </w:tbl>
    <w:p>
      <w:pPr>
        <w:pStyle w:val="nSubsection"/>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spacing w:before="60"/>
        <w:rPr>
          <w:snapToGrid w:val="0"/>
        </w:rPr>
      </w:pPr>
      <w:r>
        <w:rPr>
          <w:snapToGrid w:val="0"/>
          <w:vertAlign w:val="superscript"/>
        </w:rPr>
        <w:t>4</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rPr>
          <w:snapToGrid w:val="0"/>
        </w:rPr>
      </w:pPr>
      <w:r>
        <w:rPr>
          <w:snapToGrid w:val="0"/>
          <w:vertAlign w:val="superscript"/>
        </w:rPr>
        <w:t>5</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pPr>
      <w:r>
        <w:rPr>
          <w:vertAlign w:val="superscript"/>
        </w:rPr>
        <w:t>6</w:t>
      </w:r>
      <w:r>
        <w:tab/>
      </w:r>
      <w:r>
        <w:rPr>
          <w:snapToGrid w:val="0"/>
          <w:spacing w:val="-4"/>
        </w:rPr>
        <w:t>Now</w:t>
      </w:r>
      <w:r>
        <w:t xml:space="preserve"> known as the </w:t>
      </w:r>
      <w:r>
        <w:rPr>
          <w:i/>
        </w:rPr>
        <w:t>Poisons Regulations 1965</w:t>
      </w:r>
      <w:r>
        <w:t xml:space="preserve">; citation amended (see note to r. 1). </w:t>
      </w:r>
    </w:p>
    <w:p>
      <w:pPr>
        <w:pStyle w:val="nSubsection"/>
      </w:pPr>
      <w:r>
        <w:rPr>
          <w:vertAlign w:val="superscript"/>
        </w:rPr>
        <w:t>7</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9C6D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FCEA7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E9E6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D223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905A56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BCFD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C246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54CE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54D262"/>
    <w:lvl w:ilvl="0">
      <w:start w:val="1"/>
      <w:numFmt w:val="decimal"/>
      <w:pStyle w:val="ListNumber"/>
      <w:lvlText w:val="%1."/>
      <w:lvlJc w:val="left"/>
      <w:pPr>
        <w:tabs>
          <w:tab w:val="num" w:pos="360"/>
        </w:tabs>
        <w:ind w:left="360" w:hanging="360"/>
      </w:pPr>
    </w:lvl>
  </w:abstractNum>
  <w:abstractNum w:abstractNumId="9">
    <w:nsid w:val="FFFFFF89"/>
    <w:multiLevelType w:val="singleLevel"/>
    <w:tmpl w:val="79621C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F386D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79457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400"/>
    <w:docVar w:name="WAFER_20140721113737" w:val="RemoveTocBookmarks,RemoveUnusedBookmarks,RemoveLanguageTags,UsedStyles,ResetPageSize,UpdateArrangement"/>
    <w:docVar w:name="WAFER_20140721113737_GUID" w:val="2241ec64-45d5-4d9e-b6c5-314abfcd953d"/>
    <w:docVar w:name="WAFER_20140721114740" w:val="RemoveTocBookmarks,RunningHeaders"/>
    <w:docVar w:name="WAFER_20140721114740_GUID" w:val="de52facc-2821-405b-ad53-44a954189677"/>
    <w:docVar w:name="WAFER_20140721114759" w:val="RemoveTocBookmarks,RunningHeaders"/>
    <w:docVar w:name="WAFER_20140721114759_GUID" w:val="3ba7d0b1-80b0-4c27-aca1-a7281b95f87b"/>
    <w:docVar w:name="WAFER_20151208162400" w:val="RemoveTrackChanges"/>
    <w:docVar w:name="WAFER_20151208162400_GUID" w:val="48abfaa3-5636-435b-83a2-5389402c21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154</Pages>
  <Words>35118</Words>
  <Characters>181212</Characters>
  <Application>Microsoft Office Word</Application>
  <DocSecurity>0</DocSecurity>
  <Lines>5177</Lines>
  <Paragraphs>2923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1965 - 07-h0-04</dc:title>
  <dc:subject/>
  <dc:creator/>
  <cp:keywords/>
  <dc:description/>
  <cp:lastModifiedBy>svcMRProcess</cp:lastModifiedBy>
  <cp:revision>4</cp:revision>
  <cp:lastPrinted>2003-04-10T06:48:00Z</cp:lastPrinted>
  <dcterms:created xsi:type="dcterms:W3CDTF">2018-09-14T22:07:00Z</dcterms:created>
  <dcterms:modified xsi:type="dcterms:W3CDTF">2018-09-14T22:07:00Z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20060404</vt:lpwstr>
  </property>
  <property fmtid="{D5CDD505-2E9C-101B-9397-08002B2CF9AE}" pid="4" name="DocumentType">
    <vt:lpwstr>Reg</vt:lpwstr>
  </property>
  <property fmtid="{D5CDD505-2E9C-101B-9397-08002B2CF9AE}" pid="5" name="OwlsUID">
    <vt:i4>4701</vt:i4>
  </property>
  <property fmtid="{D5CDD505-2E9C-101B-9397-08002B2CF9AE}" pid="6" name="AsAtDate">
    <vt:lpwstr>04 Apr 2006</vt:lpwstr>
  </property>
  <property fmtid="{D5CDD505-2E9C-101B-9397-08002B2CF9AE}" pid="7" name="Suffix">
    <vt:lpwstr>07-h0-04</vt:lpwstr>
  </property>
</Properties>
</file>