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Poisons Regulations 1965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_Toc389746280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_Toc389746281 \h </w:instrText>
      </w:r>
      <w:r>
        <w:fldChar w:fldCharType="separate"/>
      </w:r>
      <w:r>
        <w:t>1</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Prescribed office (section 64B)</w:t>
      </w:r>
      <w:r>
        <w:tab/>
      </w:r>
      <w:r>
        <w:fldChar w:fldCharType="begin"/>
      </w:r>
      <w:r>
        <w:instrText xml:space="preserve"> PAGEREF _Toc389746282 \h </w:instrText>
      </w:r>
      <w:r>
        <w:fldChar w:fldCharType="separate"/>
      </w:r>
      <w:r>
        <w:t>5</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Exemptions</w:t>
      </w:r>
      <w:r>
        <w:tab/>
      </w:r>
      <w:r>
        <w:fldChar w:fldCharType="begin"/>
      </w:r>
      <w:r>
        <w:instrText xml:space="preserve"> PAGEREF _Toc389746283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and permits</w:t>
      </w:r>
      <w:r>
        <w:tab/>
      </w:r>
      <w:r>
        <w:fldChar w:fldCharType="begin"/>
      </w:r>
      <w:r>
        <w:instrText xml:space="preserve"> PAGEREF _Toc389746286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Pharmaceutical chemist’s licence to sell poisons</w:t>
      </w:r>
      <w:r>
        <w:tab/>
      </w:r>
      <w:r>
        <w:fldChar w:fldCharType="begin"/>
      </w:r>
      <w:r>
        <w:instrText xml:space="preserve"> PAGEREF _Toc389746287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poisons specified in Schedule 2 to the Act</w:t>
      </w:r>
      <w:r>
        <w:tab/>
      </w:r>
      <w:r>
        <w:fldChar w:fldCharType="begin"/>
      </w:r>
      <w:r>
        <w:instrText xml:space="preserve"> PAGEREF _Toc389746288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poisons included in Schedule 7 to the Act</w:t>
      </w:r>
      <w:r>
        <w:tab/>
      </w:r>
      <w:r>
        <w:fldChar w:fldCharType="begin"/>
      </w:r>
      <w:r>
        <w:instrText xml:space="preserve"> PAGEREF _Toc389746289 \h </w:instrText>
      </w:r>
      <w:r>
        <w:fldChar w:fldCharType="separate"/>
      </w:r>
      <w:r>
        <w:t>9</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w:t>
      </w:r>
      <w:r>
        <w:tab/>
      </w:r>
      <w:r>
        <w:fldChar w:fldCharType="begin"/>
      </w:r>
      <w:r>
        <w:instrText xml:space="preserve"> PAGEREF _Toc389746290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w:t>
      </w:r>
      <w:r>
        <w:tab/>
      </w:r>
      <w:r>
        <w:fldChar w:fldCharType="begin"/>
      </w:r>
      <w:r>
        <w:instrText xml:space="preserve"> PAGEREF _Toc389746291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w:t>
      </w:r>
      <w:r>
        <w:tab/>
      </w:r>
      <w:r>
        <w:fldChar w:fldCharType="begin"/>
      </w:r>
      <w:r>
        <w:instrText xml:space="preserve"> PAGEREF _Toc389746292 \h </w:instrText>
      </w:r>
      <w:r>
        <w:fldChar w:fldCharType="separate"/>
      </w:r>
      <w:r>
        <w:t>13</w:t>
      </w:r>
      <w:r>
        <w:fldChar w:fldCharType="end"/>
      </w:r>
    </w:p>
    <w:p>
      <w:pPr>
        <w:pStyle w:val="TOC8"/>
        <w:rPr>
          <w:rFonts w:asciiTheme="minorHAnsi" w:eastAsiaTheme="minorEastAsia" w:hAnsiTheme="minorHAnsi" w:cstheme="minorBidi"/>
          <w:szCs w:val="22"/>
        </w:rPr>
      </w:pPr>
      <w:r>
        <w:t>10AA.</w:t>
      </w:r>
      <w:r>
        <w:tab/>
        <w:t>Poisons permit (Health services)</w:t>
      </w:r>
      <w:r>
        <w:tab/>
      </w:r>
      <w:r>
        <w:fldChar w:fldCharType="begin"/>
      </w:r>
      <w:r>
        <w:instrText xml:space="preserve"> PAGEREF _Toc389746293 \h </w:instrText>
      </w:r>
      <w:r>
        <w:fldChar w:fldCharType="separate"/>
      </w:r>
      <w:r>
        <w:t>13</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w:t>
      </w:r>
      <w:r>
        <w:tab/>
      </w:r>
      <w:r>
        <w:fldChar w:fldCharType="begin"/>
      </w:r>
      <w:r>
        <w:instrText xml:space="preserve"> PAGEREF _Toc389746294 \h </w:instrText>
      </w:r>
      <w:r>
        <w:fldChar w:fldCharType="separate"/>
      </w:r>
      <w:r>
        <w:t>13</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w:t>
      </w:r>
      <w:r>
        <w:tab/>
      </w:r>
      <w:r>
        <w:fldChar w:fldCharType="begin"/>
      </w:r>
      <w:r>
        <w:instrText xml:space="preserve"> PAGEREF _Toc389746295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CEO</w:t>
      </w:r>
      <w:r>
        <w:rPr>
          <w:snapToGrid w:val="0"/>
        </w:rPr>
        <w:t xml:space="preserve"> may designate remote area nursing posts</w:t>
      </w:r>
      <w:r>
        <w:tab/>
      </w:r>
      <w:r>
        <w:fldChar w:fldCharType="begin"/>
      </w:r>
      <w:r>
        <w:instrText xml:space="preserve"> PAGEREF _Toc389746296 \h </w:instrText>
      </w:r>
      <w:r>
        <w:fldChar w:fldCharType="separate"/>
      </w:r>
      <w:r>
        <w:t>14</w:t>
      </w:r>
      <w:r>
        <w:fldChar w:fldCharType="end"/>
      </w:r>
    </w:p>
    <w:p>
      <w:pPr>
        <w:pStyle w:val="TOC8"/>
        <w:rPr>
          <w:rFonts w:asciiTheme="minorHAnsi" w:eastAsiaTheme="minorEastAsia" w:hAnsiTheme="minorHAnsi" w:cstheme="minorBidi"/>
          <w:szCs w:val="22"/>
        </w:rPr>
      </w:pPr>
      <w:r>
        <w:t>11A.</w:t>
      </w:r>
      <w:r>
        <w:tab/>
        <w:t>CEO may designate areas for the purposes of section 23 of the Act</w:t>
      </w:r>
      <w:r>
        <w:tab/>
      </w:r>
      <w:r>
        <w:fldChar w:fldCharType="begin"/>
      </w:r>
      <w:r>
        <w:instrText xml:space="preserve"> PAGEREF _Toc389746297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for licence or permit (sections 24 and 25)</w:t>
      </w:r>
      <w:r>
        <w:tab/>
      </w:r>
      <w:r>
        <w:fldChar w:fldCharType="begin"/>
      </w:r>
      <w:r>
        <w:instrText xml:space="preserve"> PAGEREF _Toc389746298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needle and syringe programme</w:t>
      </w:r>
      <w:r>
        <w:tab/>
      </w:r>
      <w:r>
        <w:fldChar w:fldCharType="begin"/>
      </w:r>
      <w:r>
        <w:instrText xml:space="preserve"> PAGEREF _Toc389746300 \h </w:instrText>
      </w:r>
      <w:r>
        <w:fldChar w:fldCharType="separate"/>
      </w:r>
      <w:r>
        <w:t>16</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w:t>
      </w:r>
      <w:r>
        <w:tab/>
      </w:r>
      <w:r>
        <w:fldChar w:fldCharType="begin"/>
      </w:r>
      <w:r>
        <w:instrText xml:space="preserve"> PAGEREF _Toc389746301 \h </w:instrText>
      </w:r>
      <w:r>
        <w:fldChar w:fldCharType="separate"/>
      </w:r>
      <w:r>
        <w:t>17</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Duties of coordinator</w:t>
      </w:r>
      <w:r>
        <w:tab/>
      </w:r>
      <w:r>
        <w:fldChar w:fldCharType="begin"/>
      </w:r>
      <w:r>
        <w:instrText xml:space="preserve"> PAGEREF _Toc389746302 \h </w:instrText>
      </w:r>
      <w:r>
        <w:fldChar w:fldCharType="separate"/>
      </w:r>
      <w:r>
        <w:t>17</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_Toc389746303 \h </w:instrText>
      </w:r>
      <w:r>
        <w:fldChar w:fldCharType="separate"/>
      </w:r>
      <w:r>
        <w:t>18</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w:t>
      </w:r>
      <w:r>
        <w:tab/>
      </w:r>
      <w:r>
        <w:fldChar w:fldCharType="begin"/>
      </w:r>
      <w:r>
        <w:instrText xml:space="preserve"> PAGEREF _Toc389746304 \h </w:instrText>
      </w:r>
      <w:r>
        <w:fldChar w:fldCharType="separate"/>
      </w:r>
      <w:r>
        <w:t>18</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Requirements relating to used hypodermic needles and syringes</w:t>
      </w:r>
      <w:r>
        <w:tab/>
      </w:r>
      <w:r>
        <w:fldChar w:fldCharType="begin"/>
      </w:r>
      <w:r>
        <w:instrText xml:space="preserve"> PAGEREF _Toc389746305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Restriction to issue of licence or permit</w:t>
      </w:r>
      <w:r>
        <w:tab/>
      </w:r>
      <w:r>
        <w:fldChar w:fldCharType="begin"/>
      </w:r>
      <w:r>
        <w:instrText xml:space="preserve"> PAGEREF _Toc389746307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only by licensee</w:t>
      </w:r>
      <w:r>
        <w:tab/>
      </w:r>
      <w:r>
        <w:fldChar w:fldCharType="begin"/>
      </w:r>
      <w:r>
        <w:instrText xml:space="preserve"> PAGEREF _Toc389746308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_Toc389746309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_Toc389746310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Adoption of SUSDP for containers and labels</w:t>
      </w:r>
      <w:r>
        <w:tab/>
      </w:r>
      <w:r>
        <w:fldChar w:fldCharType="begin"/>
      </w:r>
      <w:r>
        <w:instrText xml:space="preserve"> PAGEREF _Toc389746313 \h </w:instrText>
      </w:r>
      <w:r>
        <w:fldChar w:fldCharType="separate"/>
      </w:r>
      <w:r>
        <w:t>22</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Certain containers prohibited</w:t>
      </w:r>
      <w:r>
        <w:tab/>
      </w:r>
      <w:r>
        <w:fldChar w:fldCharType="begin"/>
      </w:r>
      <w:r>
        <w:instrText xml:space="preserve"> PAGEREF _Toc389746314 \h </w:instrText>
      </w:r>
      <w:r>
        <w:fldChar w:fldCharType="separate"/>
      </w:r>
      <w:r>
        <w:t>22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_Toc389746315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w:t>
      </w:r>
      <w:r>
        <w:tab/>
      </w:r>
      <w:r>
        <w:fldChar w:fldCharType="begin"/>
      </w:r>
      <w:r>
        <w:instrText xml:space="preserve"> PAGEREF _Toc389746317 \h </w:instrText>
      </w:r>
      <w:r>
        <w:fldChar w:fldCharType="separate"/>
      </w:r>
      <w:r>
        <w:t>23</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container must have appropriate label</w:t>
      </w:r>
      <w:r>
        <w:tab/>
      </w:r>
      <w:r>
        <w:fldChar w:fldCharType="begin"/>
      </w:r>
      <w:r>
        <w:instrText xml:space="preserve"> PAGEREF _Toc389746318 \h </w:instrText>
      </w:r>
      <w:r>
        <w:fldChar w:fldCharType="separate"/>
      </w:r>
      <w:r>
        <w:t>26</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_Toc389746319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r>
      <w:r>
        <w:t>CEO</w:t>
      </w:r>
      <w:r>
        <w:rPr>
          <w:snapToGrid w:val="0"/>
        </w:rPr>
        <w:t xml:space="preserve"> may approve container or label</w:t>
      </w:r>
      <w:r>
        <w:tab/>
      </w:r>
      <w:r>
        <w:fldChar w:fldCharType="begin"/>
      </w:r>
      <w:r>
        <w:instrText xml:space="preserve"> PAGEREF _Toc389746321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t>CEO</w:t>
      </w:r>
      <w:r>
        <w:rPr>
          <w:snapToGrid w:val="0"/>
          <w:spacing w:val="-4"/>
        </w:rPr>
        <w:t xml:space="preserve"> may suspend use of container or label</w:t>
      </w:r>
      <w:r>
        <w:tab/>
      </w:r>
      <w:r>
        <w:fldChar w:fldCharType="begin"/>
      </w:r>
      <w:r>
        <w:instrText xml:space="preserve"> PAGEREF _Toc389746322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substances other than those specified in regulation 56</w:t>
      </w:r>
      <w:r>
        <w:tab/>
      </w:r>
      <w:r>
        <w:fldChar w:fldCharType="begin"/>
      </w:r>
      <w:r>
        <w:instrText xml:space="preserve"> PAGEREF _Toc389746324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_Toc389746325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loss or theft of poison</w:t>
      </w:r>
      <w:r>
        <w:tab/>
      </w:r>
      <w:r>
        <w:fldChar w:fldCharType="begin"/>
      </w:r>
      <w:r>
        <w:instrText xml:space="preserve"> PAGEREF _Toc389746326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w:t>
      </w:r>
      <w:r>
        <w:tab/>
      </w:r>
      <w:r>
        <w:fldChar w:fldCharType="begin"/>
      </w:r>
      <w:r>
        <w:instrText xml:space="preserve"> PAGEREF _Toc389746329 \h </w:instrText>
      </w:r>
      <w:r>
        <w:fldChar w:fldCharType="separate"/>
      </w:r>
      <w:r>
        <w:t>30</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Restrictions applying to veterinary preparations</w:t>
      </w:r>
      <w:r>
        <w:tab/>
      </w:r>
      <w:r>
        <w:fldChar w:fldCharType="begin"/>
      </w:r>
      <w:r>
        <w:instrText xml:space="preserve"> PAGEREF _Toc389746330 \h </w:instrText>
      </w:r>
      <w:r>
        <w:fldChar w:fldCharType="separate"/>
      </w:r>
      <w:r>
        <w:t>30</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Adoption of SUSDP for certain paints</w:t>
      </w:r>
      <w:r>
        <w:tab/>
      </w:r>
      <w:r>
        <w:fldChar w:fldCharType="begin"/>
      </w:r>
      <w:r>
        <w:instrText xml:space="preserve"> PAGEREF _Toc389746331 \h </w:instrText>
      </w:r>
      <w:r>
        <w:fldChar w:fldCharType="separate"/>
      </w:r>
      <w:r>
        <w:t>30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Restrictions on retail sale of substances included in Schedule 2</w:t>
      </w:r>
      <w:r>
        <w:tab/>
      </w:r>
      <w:r>
        <w:fldChar w:fldCharType="begin"/>
      </w:r>
      <w:r>
        <w:instrText xml:space="preserve"> PAGEREF _Toc389746332 \h </w:instrText>
      </w:r>
      <w:r>
        <w:fldChar w:fldCharType="separate"/>
      </w:r>
      <w:r>
        <w:t>31</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Restrictions on retail sale of substances included in Schedule 3</w:t>
      </w:r>
      <w:r>
        <w:tab/>
      </w:r>
      <w:r>
        <w:fldChar w:fldCharType="begin"/>
      </w:r>
      <w:r>
        <w:instrText xml:space="preserve"> PAGEREF _Toc389746333 \h </w:instrText>
      </w:r>
      <w:r>
        <w:fldChar w:fldCharType="separate"/>
      </w:r>
      <w:r>
        <w:t>31</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Storage of substances included in Schedule 3</w:t>
      </w:r>
      <w:r>
        <w:tab/>
      </w:r>
      <w:r>
        <w:fldChar w:fldCharType="begin"/>
      </w:r>
      <w:r>
        <w:instrText xml:space="preserve"> PAGEREF _Toc389746334 \h </w:instrText>
      </w:r>
      <w:r>
        <w:fldChar w:fldCharType="separate"/>
      </w:r>
      <w:r>
        <w:t>33</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Advertising of substances included in Schedule 3</w:t>
      </w:r>
      <w:r>
        <w:tab/>
      </w:r>
      <w:r>
        <w:fldChar w:fldCharType="begin"/>
      </w:r>
      <w:r>
        <w:instrText xml:space="preserve"> PAGEREF _Toc389746335 \h </w:instrText>
      </w:r>
      <w:r>
        <w:fldChar w:fldCharType="separate"/>
      </w:r>
      <w:r>
        <w:t>33</w:t>
      </w:r>
      <w:r>
        <w:fldChar w:fldCharType="end"/>
      </w:r>
    </w:p>
    <w:p>
      <w:pPr>
        <w:pStyle w:val="TOC8"/>
        <w:rPr>
          <w:rFonts w:asciiTheme="minorHAnsi" w:eastAsiaTheme="minorEastAsia" w:hAnsiTheme="minorHAnsi" w:cstheme="minorBidi"/>
          <w:szCs w:val="22"/>
        </w:rPr>
      </w:pPr>
      <w:r>
        <w:t>35D.</w:t>
      </w:r>
      <w:r>
        <w:tab/>
        <w:t>Advertising of substances included in Schedule 4</w:t>
      </w:r>
      <w:r>
        <w:tab/>
      </w:r>
      <w:r>
        <w:fldChar w:fldCharType="begin"/>
      </w:r>
      <w:r>
        <w:instrText xml:space="preserve"> PAGEREF _Toc389746336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Supply of poisons included in Schedule 4</w:t>
      </w:r>
      <w:r>
        <w:tab/>
      </w:r>
      <w:r>
        <w:fldChar w:fldCharType="begin"/>
      </w:r>
      <w:r>
        <w:instrText xml:space="preserve"> PAGEREF _Toc389746338 \h </w:instrText>
      </w:r>
      <w:r>
        <w:fldChar w:fldCharType="separate"/>
      </w:r>
      <w:r>
        <w:t>34</w:t>
      </w:r>
      <w:r>
        <w:fldChar w:fldCharType="end"/>
      </w:r>
    </w:p>
    <w:p>
      <w:pPr>
        <w:pStyle w:val="TOC8"/>
        <w:rPr>
          <w:rFonts w:asciiTheme="minorHAnsi" w:eastAsiaTheme="minorEastAsia" w:hAnsiTheme="minorHAnsi" w:cstheme="minorBidi"/>
          <w:szCs w:val="22"/>
        </w:rPr>
      </w:pPr>
      <w:r>
        <w:t>36AA.</w:t>
      </w:r>
      <w:r>
        <w:tab/>
        <w:t>Provision of “approved starter packs” by registered nurses</w:t>
      </w:r>
      <w:r>
        <w:tab/>
      </w:r>
      <w:r>
        <w:fldChar w:fldCharType="begin"/>
      </w:r>
      <w:r>
        <w:instrText xml:space="preserve"> PAGEREF _Toc389746339 \h </w:instrText>
      </w:r>
      <w:r>
        <w:fldChar w:fldCharType="separate"/>
      </w:r>
      <w:r>
        <w:t>38</w:t>
      </w:r>
      <w:r>
        <w:fldChar w:fldCharType="end"/>
      </w:r>
    </w:p>
    <w:p>
      <w:pPr>
        <w:pStyle w:val="TOC8"/>
        <w:rPr>
          <w:rFonts w:asciiTheme="minorHAnsi" w:eastAsiaTheme="minorEastAsia" w:hAnsiTheme="minorHAnsi" w:cstheme="minorBidi"/>
          <w:szCs w:val="22"/>
        </w:rPr>
      </w:pPr>
      <w:r>
        <w:t>36A.</w:t>
      </w:r>
      <w:r>
        <w:tab/>
        <w:t>Storage of substances included in Schedule 4</w:t>
      </w:r>
      <w:r>
        <w:tab/>
      </w:r>
      <w:r>
        <w:fldChar w:fldCharType="begin"/>
      </w:r>
      <w:r>
        <w:instrText xml:space="preserve"> PAGEREF _Toc389746340 \h </w:instrText>
      </w:r>
      <w:r>
        <w:fldChar w:fldCharType="separate"/>
      </w:r>
      <w:r>
        <w:t>42</w:t>
      </w:r>
      <w:r>
        <w:fldChar w:fldCharType="end"/>
      </w:r>
    </w:p>
    <w:p>
      <w:pPr>
        <w:pStyle w:val="TOC8"/>
        <w:rPr>
          <w:rFonts w:asciiTheme="minorHAnsi" w:eastAsiaTheme="minorEastAsia" w:hAnsiTheme="minorHAnsi" w:cstheme="minorBidi"/>
          <w:szCs w:val="22"/>
        </w:rPr>
      </w:pPr>
      <w:r>
        <w:t>36B.</w:t>
      </w:r>
      <w:r>
        <w:tab/>
        <w:t>Record of supply or administration of substances included in Schedule 4</w:t>
      </w:r>
      <w:r>
        <w:tab/>
      </w:r>
      <w:r>
        <w:fldChar w:fldCharType="begin"/>
      </w:r>
      <w:r>
        <w:instrText xml:space="preserve"> PAGEREF _Toc389746341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Conditions for prescription of a poison included in Schedule 4</w:t>
      </w:r>
      <w:r>
        <w:tab/>
      </w:r>
      <w:r>
        <w:fldChar w:fldCharType="begin"/>
      </w:r>
      <w:r>
        <w:instrText xml:space="preserve"> PAGEREF _Toc389746342 \h </w:instrText>
      </w:r>
      <w:r>
        <w:fldChar w:fldCharType="separate"/>
      </w:r>
      <w:r>
        <w:t>44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poisons included in Schedule 4 in emergency cases</w:t>
      </w:r>
      <w:r>
        <w:tab/>
      </w:r>
      <w:r>
        <w:fldChar w:fldCharType="begin"/>
      </w:r>
      <w:r>
        <w:instrText xml:space="preserve"> PAGEREF _Toc389746343 \h </w:instrText>
      </w:r>
      <w:r>
        <w:fldChar w:fldCharType="separate"/>
      </w:r>
      <w:r>
        <w:t>46</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Administration of poisons included in Schedule 4 in hospital</w:t>
      </w:r>
      <w:r>
        <w:tab/>
      </w:r>
      <w:r>
        <w:fldChar w:fldCharType="begin"/>
      </w:r>
      <w:r>
        <w:instrText xml:space="preserve"> PAGEREF _Toc389746344 \h </w:instrText>
      </w:r>
      <w:r>
        <w:fldChar w:fldCharType="separate"/>
      </w:r>
      <w:r>
        <w:t>46</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w:t>
      </w:r>
      <w:r>
        <w:tab/>
      </w:r>
      <w:r>
        <w:fldChar w:fldCharType="begin"/>
      </w:r>
      <w:r>
        <w:instrText xml:space="preserve"> PAGEREF _Toc389746345 \h </w:instrText>
      </w:r>
      <w:r>
        <w:fldChar w:fldCharType="separate"/>
      </w:r>
      <w:r>
        <w:t>47</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w:t>
      </w:r>
      <w:r>
        <w:tab/>
      </w:r>
      <w:r>
        <w:fldChar w:fldCharType="begin"/>
      </w:r>
      <w:r>
        <w:instrText xml:space="preserve"> PAGEREF _Toc389746346 \h </w:instrText>
      </w:r>
      <w:r>
        <w:fldChar w:fldCharType="separate"/>
      </w:r>
      <w:r>
        <w:t>47</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w:t>
      </w:r>
      <w:r>
        <w:tab/>
      </w:r>
      <w:r>
        <w:fldChar w:fldCharType="begin"/>
      </w:r>
      <w:r>
        <w:instrText xml:space="preserve"> PAGEREF _Toc389746347 \h </w:instrText>
      </w:r>
      <w:r>
        <w:fldChar w:fldCharType="separate"/>
      </w:r>
      <w:r>
        <w:t>48</w:t>
      </w:r>
      <w:r>
        <w:fldChar w:fldCharType="end"/>
      </w:r>
    </w:p>
    <w:p>
      <w:pPr>
        <w:pStyle w:val="TOC8"/>
        <w:rPr>
          <w:rFonts w:asciiTheme="minorHAnsi" w:eastAsiaTheme="minorEastAsia" w:hAnsiTheme="minorHAnsi" w:cstheme="minorBidi"/>
          <w:szCs w:val="22"/>
        </w:rPr>
      </w:pPr>
      <w:r>
        <w:t>38F.</w:t>
      </w:r>
      <w:r>
        <w:tab/>
        <w:t>Isotr</w:t>
      </w:r>
      <w:r>
        <w:rPr>
          <w:snapToGrid w:val="0"/>
        </w:rPr>
        <w:t>e</w:t>
      </w:r>
      <w:r>
        <w:t>tinoin</w:t>
      </w:r>
      <w:r>
        <w:tab/>
      </w:r>
      <w:r>
        <w:fldChar w:fldCharType="begin"/>
      </w:r>
      <w:r>
        <w:instrText xml:space="preserve"> PAGEREF _Toc389746348 \h </w:instrText>
      </w:r>
      <w:r>
        <w:fldChar w:fldCharType="separate"/>
      </w:r>
      <w:r>
        <w:t>49</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Thalidomide for human use</w:t>
      </w:r>
      <w:r>
        <w:tab/>
      </w:r>
      <w:r>
        <w:fldChar w:fldCharType="begin"/>
      </w:r>
      <w:r>
        <w:instrText xml:space="preserve"> PAGEREF _Toc389746349 \h </w:instrText>
      </w:r>
      <w:r>
        <w:fldChar w:fldCharType="separate"/>
      </w:r>
      <w:r>
        <w:t>49</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w:t>
      </w:r>
      <w:r>
        <w:tab/>
      </w:r>
      <w:r>
        <w:fldChar w:fldCharType="begin"/>
      </w:r>
      <w:r>
        <w:instrText xml:space="preserve"> PAGEREF _Toc389746350 \h </w:instrText>
      </w:r>
      <w:r>
        <w:fldChar w:fldCharType="separate"/>
      </w:r>
      <w:r>
        <w:t>50</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w:t>
      </w:r>
      <w:r>
        <w:tab/>
      </w:r>
      <w:r>
        <w:fldChar w:fldCharType="begin"/>
      </w:r>
      <w:r>
        <w:instrText xml:space="preserve"> PAGEREF _Toc389746351 \h </w:instrText>
      </w:r>
      <w:r>
        <w:fldChar w:fldCharType="separate"/>
      </w:r>
      <w:r>
        <w:t>50</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w:t>
      </w:r>
      <w:r>
        <w:tab/>
      </w:r>
      <w:r>
        <w:fldChar w:fldCharType="begin"/>
      </w:r>
      <w:r>
        <w:instrText xml:space="preserve"> PAGEREF _Toc389746352 \h </w:instrText>
      </w:r>
      <w:r>
        <w:fldChar w:fldCharType="separate"/>
      </w:r>
      <w:r>
        <w:t>51</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w:t>
      </w:r>
      <w:r>
        <w:tab/>
      </w:r>
      <w:r>
        <w:fldChar w:fldCharType="begin"/>
      </w:r>
      <w:r>
        <w:instrText xml:space="preserve"> PAGEREF _Toc389746353 \h </w:instrText>
      </w:r>
      <w:r>
        <w:fldChar w:fldCharType="separate"/>
      </w:r>
      <w:r>
        <w:t>51</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w:t>
      </w:r>
      <w:r>
        <w:tab/>
      </w:r>
      <w:r>
        <w:fldChar w:fldCharType="begin"/>
      </w:r>
      <w:r>
        <w:instrText xml:space="preserve"> PAGEREF _Toc389746354 \h </w:instrText>
      </w:r>
      <w:r>
        <w:fldChar w:fldCharType="separate"/>
      </w:r>
      <w:r>
        <w:t>51</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Nitrofuran derivatives</w:t>
      </w:r>
      <w:r>
        <w:tab/>
      </w:r>
      <w:r>
        <w:fldChar w:fldCharType="begin"/>
      </w:r>
      <w:r>
        <w:instrText xml:space="preserve"> PAGEREF _Toc389746355 \h </w:instrText>
      </w:r>
      <w:r>
        <w:fldChar w:fldCharType="separate"/>
      </w:r>
      <w:r>
        <w:t>52</w:t>
      </w:r>
      <w:r>
        <w:fldChar w:fldCharType="end"/>
      </w:r>
    </w:p>
    <w:p>
      <w:pPr>
        <w:pStyle w:val="TOC8"/>
        <w:rPr>
          <w:rFonts w:asciiTheme="minorHAnsi" w:eastAsiaTheme="minorEastAsia" w:hAnsiTheme="minorHAnsi" w:cstheme="minorBidi"/>
          <w:szCs w:val="22"/>
        </w:rPr>
      </w:pPr>
      <w:r>
        <w:t>38O.</w:t>
      </w:r>
      <w:r>
        <w:tab/>
        <w:t>Bosentan for human use</w:t>
      </w:r>
      <w:r>
        <w:tab/>
      </w:r>
      <w:r>
        <w:fldChar w:fldCharType="begin"/>
      </w:r>
      <w:r>
        <w:instrText xml:space="preserve"> PAGEREF _Toc389746356 \h </w:instrText>
      </w:r>
      <w:r>
        <w:fldChar w:fldCharType="separate"/>
      </w:r>
      <w:r>
        <w:t>52</w:t>
      </w:r>
      <w:r>
        <w:fldChar w:fldCharType="end"/>
      </w:r>
    </w:p>
    <w:p>
      <w:pPr>
        <w:pStyle w:val="TOC8"/>
        <w:rPr>
          <w:rFonts w:asciiTheme="minorHAnsi" w:eastAsiaTheme="minorEastAsia" w:hAnsiTheme="minorHAnsi" w:cstheme="minorBidi"/>
          <w:szCs w:val="22"/>
        </w:rPr>
      </w:pPr>
      <w:r>
        <w:t>38P.</w:t>
      </w:r>
      <w:r>
        <w:tab/>
        <w:t>Teriparatide for human use</w:t>
      </w:r>
      <w:r>
        <w:tab/>
      </w:r>
      <w:r>
        <w:fldChar w:fldCharType="begin"/>
      </w:r>
      <w:r>
        <w:instrText xml:space="preserve"> PAGEREF _Toc389746357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Veterinary use of poisons included in Schedule 4</w:t>
      </w:r>
      <w:r>
        <w:tab/>
      </w:r>
      <w:r>
        <w:fldChar w:fldCharType="begin"/>
      </w:r>
      <w:r>
        <w:instrText xml:space="preserve"> PAGEREF _Toc389746358 \h </w:instrText>
      </w:r>
      <w:r>
        <w:fldChar w:fldCharType="separate"/>
      </w:r>
      <w:r>
        <w:t>53</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Stockfeed manufacturers may sell poisons included in Schedule 4</w:t>
      </w:r>
      <w:r>
        <w:tab/>
      </w:r>
      <w:r>
        <w:fldChar w:fldCharType="begin"/>
      </w:r>
      <w:r>
        <w:instrText xml:space="preserve"> PAGEREF _Toc389746359 \h </w:instrText>
      </w:r>
      <w:r>
        <w:fldChar w:fldCharType="separate"/>
      </w:r>
      <w:r>
        <w:t>54</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Use of poisons included in Schedule 4 on ships and aircraft</w:t>
      </w:r>
      <w:r>
        <w:tab/>
      </w:r>
      <w:r>
        <w:fldChar w:fldCharType="begin"/>
      </w:r>
      <w:r>
        <w:instrText xml:space="preserve"> PAGEREF _Toc389746360 \h </w:instrText>
      </w:r>
      <w:r>
        <w:fldChar w:fldCharType="separate"/>
      </w:r>
      <w:r>
        <w:t>55</w:t>
      </w:r>
      <w:r>
        <w:fldChar w:fldCharType="end"/>
      </w:r>
    </w:p>
    <w:p>
      <w:pPr>
        <w:pStyle w:val="TOC8"/>
        <w:rPr>
          <w:rFonts w:asciiTheme="minorHAnsi" w:eastAsiaTheme="minorEastAsia" w:hAnsiTheme="minorHAnsi" w:cstheme="minorBidi"/>
          <w:szCs w:val="22"/>
        </w:rPr>
      </w:pPr>
      <w:r>
        <w:t>39C.</w:t>
      </w:r>
      <w:r>
        <w:tab/>
        <w:t>Use of poisons included in Schedule 4 on ships carrying livestock</w:t>
      </w:r>
      <w:r>
        <w:tab/>
      </w:r>
      <w:r>
        <w:fldChar w:fldCharType="begin"/>
      </w:r>
      <w:r>
        <w:instrText xml:space="preserve"> PAGEREF _Toc389746361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Special authority to purchase poisons included in Schedule 4</w:t>
      </w:r>
      <w:r>
        <w:tab/>
      </w:r>
      <w:r>
        <w:fldChar w:fldCharType="begin"/>
      </w:r>
      <w:r>
        <w:instrText xml:space="preserve"> PAGEREF _Toc389746362 \h </w:instrText>
      </w:r>
      <w:r>
        <w:fldChar w:fldCharType="separate"/>
      </w:r>
      <w:r>
        <w:t>57</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Delivery of a poison included in Schedule 4 on order</w:t>
      </w:r>
      <w:r>
        <w:tab/>
      </w:r>
      <w:r>
        <w:fldChar w:fldCharType="begin"/>
      </w:r>
      <w:r>
        <w:instrText xml:space="preserve"> PAGEREF _Toc389746363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Revocation notice in relation to poisons included in Schedule 6</w:t>
      </w:r>
      <w:r>
        <w:tab/>
      </w:r>
      <w:r>
        <w:fldChar w:fldCharType="begin"/>
      </w:r>
      <w:r>
        <w:instrText xml:space="preserve"> PAGEREF _Toc389746365 \h </w:instrText>
      </w:r>
      <w:r>
        <w:fldChar w:fldCharType="separate"/>
      </w:r>
      <w:r>
        <w:t>59</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Sale of poisons included in Schedule 7</w:t>
      </w:r>
      <w:r>
        <w:tab/>
      </w:r>
      <w:r>
        <w:fldChar w:fldCharType="begin"/>
      </w:r>
      <w:r>
        <w:instrText xml:space="preserve"> PAGEREF _Toc389746366 \h </w:instrText>
      </w:r>
      <w:r>
        <w:fldChar w:fldCharType="separate"/>
      </w:r>
      <w:r>
        <w:t>60</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Standard for intramammary antibiotic preparations</w:t>
      </w:r>
      <w:r>
        <w:tab/>
      </w:r>
      <w:r>
        <w:fldChar w:fldCharType="begin"/>
      </w:r>
      <w:r>
        <w:instrText xml:space="preserve"> PAGEREF _Toc389746367 \h </w:instrText>
      </w:r>
      <w:r>
        <w:fldChar w:fldCharType="separate"/>
      </w:r>
      <w:r>
        <w:t>61</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w:t>
      </w:r>
      <w:r>
        <w:tab/>
      </w:r>
      <w:r>
        <w:fldChar w:fldCharType="begin"/>
      </w:r>
      <w:r>
        <w:instrText xml:space="preserve"> PAGEREF _Toc389746368 \h </w:instrText>
      </w:r>
      <w:r>
        <w:fldChar w:fldCharType="separate"/>
      </w:r>
      <w:r>
        <w:t>61</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Record of poisons included in Schedule 3, 4 or 7</w:t>
      </w:r>
      <w:r>
        <w:tab/>
      </w:r>
      <w:r>
        <w:fldChar w:fldCharType="begin"/>
      </w:r>
      <w:r>
        <w:instrText xml:space="preserve"> PAGEREF _Toc389746369 \h </w:instrText>
      </w:r>
      <w:r>
        <w:fldChar w:fldCharType="separate"/>
      </w:r>
      <w:r>
        <w:t>61</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Access to poisons included in Schedule 7</w:t>
      </w:r>
      <w:r>
        <w:tab/>
      </w:r>
      <w:r>
        <w:fldChar w:fldCharType="begin"/>
      </w:r>
      <w:r>
        <w:instrText xml:space="preserve"> PAGEREF _Toc389746370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_Toc389746373 \h </w:instrText>
      </w:r>
      <w:r>
        <w:fldChar w:fldCharType="separate"/>
      </w:r>
      <w:r>
        <w:t>63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Authority for prescribed persons to procure and have poisons included in Schedule 8</w:t>
      </w:r>
      <w:r>
        <w:tab/>
      </w:r>
      <w:r>
        <w:fldChar w:fldCharType="begin"/>
      </w:r>
      <w:r>
        <w:instrText xml:space="preserve"> PAGEREF _Toc389746374 \h </w:instrText>
      </w:r>
      <w:r>
        <w:fldChar w:fldCharType="separate"/>
      </w:r>
      <w:r>
        <w:t>63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Authority for pharmacists to retail, compound and dispense poisons included in Schedule 8</w:t>
      </w:r>
      <w:r>
        <w:tab/>
      </w:r>
      <w:r>
        <w:fldChar w:fldCharType="begin"/>
      </w:r>
      <w:r>
        <w:instrText xml:space="preserve"> PAGEREF _Toc389746375 \h </w:instrText>
      </w:r>
      <w:r>
        <w:fldChar w:fldCharType="separate"/>
      </w:r>
      <w:r>
        <w:t>65</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Revocation notice in relation to poisons included in Schedule 8 and specified drugs</w:t>
      </w:r>
      <w:r>
        <w:tab/>
      </w:r>
      <w:r>
        <w:fldChar w:fldCharType="begin"/>
      </w:r>
      <w:r>
        <w:instrText xml:space="preserve"> PAGEREF _Toc389746376 \h </w:instrText>
      </w:r>
      <w:r>
        <w:fldChar w:fldCharType="separate"/>
      </w:r>
      <w:r>
        <w:t>65</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Prescribed purposes (section 41(1))</w:t>
      </w:r>
      <w:r>
        <w:tab/>
      </w:r>
      <w:r>
        <w:fldChar w:fldCharType="begin"/>
      </w:r>
      <w:r>
        <w:instrText xml:space="preserve"> PAGEREF _Toc389746377 \h </w:instrText>
      </w:r>
      <w:r>
        <w:fldChar w:fldCharType="separate"/>
      </w:r>
      <w:r>
        <w:t>66</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of substances included in Schedule 8</w:t>
      </w:r>
      <w:r>
        <w:tab/>
      </w:r>
      <w:r>
        <w:fldChar w:fldCharType="begin"/>
      </w:r>
      <w:r>
        <w:instrText xml:space="preserve"> PAGEREF _Toc389746378 \h </w:instrText>
      </w:r>
      <w:r>
        <w:fldChar w:fldCharType="separate"/>
      </w:r>
      <w:r>
        <w:t>66</w:t>
      </w:r>
      <w:r>
        <w:fldChar w:fldCharType="end"/>
      </w:r>
    </w:p>
    <w:p>
      <w:pPr>
        <w:pStyle w:val="TOC8"/>
        <w:rPr>
          <w:rFonts w:asciiTheme="minorHAnsi" w:eastAsiaTheme="minorEastAsia" w:hAnsiTheme="minorHAnsi" w:cstheme="minorBidi"/>
          <w:szCs w:val="22"/>
        </w:rPr>
      </w:pPr>
      <w:r>
        <w:t>44.</w:t>
      </w:r>
      <w:r>
        <w:tab/>
        <w:t>Register of drugs of addiction</w:t>
      </w:r>
      <w:r>
        <w:tab/>
      </w:r>
      <w:r>
        <w:fldChar w:fldCharType="begin"/>
      </w:r>
      <w:r>
        <w:instrText xml:space="preserve"> PAGEREF _Toc389746379 \h </w:instrText>
      </w:r>
      <w:r>
        <w:fldChar w:fldCharType="separate"/>
      </w:r>
      <w:r>
        <w:t>66</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Destruction of drugs of addiction and poisons included in Schedule 8</w:t>
      </w:r>
      <w:r>
        <w:tab/>
      </w:r>
      <w:r>
        <w:fldChar w:fldCharType="begin"/>
      </w:r>
      <w:r>
        <w:instrText xml:space="preserve"> PAGEREF _Toc389746380 \h </w:instrText>
      </w:r>
      <w:r>
        <w:fldChar w:fldCharType="separate"/>
      </w:r>
      <w:r>
        <w:t>68</w:t>
      </w:r>
      <w:r>
        <w:fldChar w:fldCharType="end"/>
      </w:r>
    </w:p>
    <w:p>
      <w:pPr>
        <w:pStyle w:val="TOC8"/>
        <w:rPr>
          <w:rFonts w:asciiTheme="minorHAnsi" w:eastAsiaTheme="minorEastAsia" w:hAnsiTheme="minorHAnsi" w:cstheme="minorBidi"/>
          <w:szCs w:val="22"/>
        </w:rPr>
      </w:pPr>
      <w:r>
        <w:t>44B.</w:t>
      </w:r>
      <w:r>
        <w:tab/>
        <w:t>Form of registers</w:t>
      </w:r>
      <w:r>
        <w:tab/>
      </w:r>
      <w:r>
        <w:fldChar w:fldCharType="begin"/>
      </w:r>
      <w:r>
        <w:instrText xml:space="preserve"> PAGEREF _Toc389746381 \h </w:instrText>
      </w:r>
      <w:r>
        <w:fldChar w:fldCharType="separate"/>
      </w:r>
      <w:r>
        <w:t>70</w:t>
      </w:r>
      <w:r>
        <w:fldChar w:fldCharType="end"/>
      </w:r>
    </w:p>
    <w:p>
      <w:pPr>
        <w:pStyle w:val="TOC8"/>
        <w:rPr>
          <w:rFonts w:asciiTheme="minorHAnsi" w:eastAsiaTheme="minorEastAsia" w:hAnsiTheme="minorHAnsi" w:cstheme="minorBidi"/>
          <w:szCs w:val="22"/>
        </w:rPr>
      </w:pPr>
      <w:r>
        <w:t>44C.</w:t>
      </w:r>
      <w:r>
        <w:tab/>
        <w:t>Control of access to electronic registers</w:t>
      </w:r>
      <w:r>
        <w:tab/>
      </w:r>
      <w:r>
        <w:fldChar w:fldCharType="begin"/>
      </w:r>
      <w:r>
        <w:instrText xml:space="preserve"> PAGEREF _Toc389746382 \h </w:instrText>
      </w:r>
      <w:r>
        <w:fldChar w:fldCharType="separate"/>
      </w:r>
      <w:r>
        <w:t>71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w:t>
      </w:r>
      <w:r>
        <w:tab/>
      </w:r>
      <w:r>
        <w:fldChar w:fldCharType="begin"/>
      </w:r>
      <w:r>
        <w:instrText xml:space="preserve"> PAGEREF _Toc389746383 \h </w:instrText>
      </w:r>
      <w:r>
        <w:fldChar w:fldCharType="separate"/>
      </w:r>
      <w:r>
        <w:t>72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retained for 7 years and available on demand</w:t>
      </w:r>
      <w:r>
        <w:tab/>
      </w:r>
      <w:r>
        <w:fldChar w:fldCharType="begin"/>
      </w:r>
      <w:r>
        <w:instrText xml:space="preserve"> PAGEREF _Toc389746384 \h </w:instrText>
      </w:r>
      <w:r>
        <w:fldChar w:fldCharType="separate"/>
      </w:r>
      <w:r>
        <w:t>72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Returns from manufacturers and wholesalers</w:t>
      </w:r>
      <w:r>
        <w:tab/>
      </w:r>
      <w:r>
        <w:fldChar w:fldCharType="begin"/>
      </w:r>
      <w:r>
        <w:instrText xml:space="preserve"> PAGEREF _Toc389746385 \h </w:instrText>
      </w:r>
      <w:r>
        <w:fldChar w:fldCharType="separate"/>
      </w:r>
      <w:r>
        <w:t>74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Use of poisons included in Schedule 8 on ships and aircraft</w:t>
      </w:r>
      <w:r>
        <w:tab/>
      </w:r>
      <w:r>
        <w:fldChar w:fldCharType="begin"/>
      </w:r>
      <w:r>
        <w:instrText xml:space="preserve"> PAGEREF _Toc389746386 \h </w:instrText>
      </w:r>
      <w:r>
        <w:fldChar w:fldCharType="separate"/>
      </w:r>
      <w:r>
        <w:t>75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Used poisons included in Schedule 8 at hospitals</w:t>
      </w:r>
      <w:r>
        <w:tab/>
      </w:r>
      <w:r>
        <w:fldChar w:fldCharType="begin"/>
      </w:r>
      <w:r>
        <w:instrText xml:space="preserve"> PAGEREF _Toc389746387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w:t>
      </w:r>
      <w:r>
        <w:tab/>
      </w:r>
      <w:r>
        <w:fldChar w:fldCharType="begin"/>
      </w:r>
      <w:r>
        <w:instrText xml:space="preserve"> PAGEREF _Toc389746390 \h </w:instrText>
      </w:r>
      <w:r>
        <w:fldChar w:fldCharType="separate"/>
      </w:r>
      <w:r>
        <w:t>77</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rPr>
          <w:snapToGrid w:val="0"/>
        </w:rPr>
        <w:t>.</w:t>
      </w:r>
      <w:r>
        <w:rPr>
          <w:snapToGrid w:val="0"/>
        </w:rPr>
        <w:tab/>
        <w:t>Definition of “drug addict”</w:t>
      </w:r>
      <w:r>
        <w:tab/>
      </w:r>
      <w:r>
        <w:fldChar w:fldCharType="begin"/>
      </w:r>
      <w:r>
        <w:instrText xml:space="preserve"> PAGEREF _Toc389746392 \h </w:instrText>
      </w:r>
      <w:r>
        <w:fldChar w:fldCharType="separate"/>
      </w:r>
      <w:r>
        <w:t>79</w:t>
      </w:r>
      <w:r>
        <w:fldChar w:fldCharType="end"/>
      </w:r>
    </w:p>
    <w:p>
      <w:pPr>
        <w:pStyle w:val="TOC8"/>
        <w:rPr>
          <w:rFonts w:asciiTheme="minorHAnsi" w:eastAsiaTheme="minorEastAsia" w:hAnsiTheme="minorHAnsi" w:cstheme="minorBidi"/>
          <w:szCs w:val="22"/>
        </w:rPr>
      </w:pPr>
      <w:r>
        <w:t>51AA.</w:t>
      </w:r>
      <w:r>
        <w:tab/>
        <w:t>Disclosure by drug addict to medical practitioner</w:t>
      </w:r>
      <w:r>
        <w:tab/>
      </w:r>
      <w:r>
        <w:fldChar w:fldCharType="begin"/>
      </w:r>
      <w:r>
        <w:instrText xml:space="preserve"> PAGEREF _Toc389746393 \h </w:instrText>
      </w:r>
      <w:r>
        <w:fldChar w:fldCharType="separate"/>
      </w:r>
      <w:r>
        <w:t>80</w:t>
      </w:r>
      <w:r>
        <w:fldChar w:fldCharType="end"/>
      </w:r>
    </w:p>
    <w:p>
      <w:pPr>
        <w:pStyle w:val="TOC8"/>
        <w:rPr>
          <w:rFonts w:asciiTheme="minorHAnsi" w:eastAsiaTheme="minorEastAsia" w:hAnsiTheme="minorHAnsi" w:cstheme="minorBidi"/>
          <w:szCs w:val="22"/>
        </w:rPr>
      </w:pPr>
      <w:r>
        <w:t>51B</w:t>
      </w:r>
      <w:r>
        <w:rPr>
          <w:snapToGrid w:val="0"/>
        </w:rPr>
        <w:t>.</w:t>
      </w:r>
      <w:r>
        <w:rPr>
          <w:snapToGrid w:val="0"/>
        </w:rPr>
        <w:tab/>
        <w:t>Drug addicts: medical practitioner or dentist not to prescribe or supply drugs of addiction without written authorisation</w:t>
      </w:r>
      <w:r>
        <w:tab/>
      </w:r>
      <w:r>
        <w:fldChar w:fldCharType="begin"/>
      </w:r>
      <w:r>
        <w:instrText xml:space="preserve"> PAGEREF _Toc389746394 \h </w:instrText>
      </w:r>
      <w:r>
        <w:fldChar w:fldCharType="separate"/>
      </w:r>
      <w:r>
        <w:t>80</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 xml:space="preserve">Authorisation of </w:t>
      </w:r>
      <w:r>
        <w:t>CEO</w:t>
      </w:r>
      <w:r>
        <w:rPr>
          <w:snapToGrid w:val="0"/>
        </w:rPr>
        <w:t xml:space="preserve"> required for medical practitioner to prescribe methadone </w:t>
      </w:r>
      <w:r>
        <w:t>or buprenorphine</w:t>
      </w:r>
      <w:r>
        <w:rPr>
          <w:snapToGrid w:val="0"/>
        </w:rPr>
        <w:t xml:space="preserve"> for drug addict</w:t>
      </w:r>
      <w:r>
        <w:tab/>
      </w:r>
      <w:r>
        <w:fldChar w:fldCharType="begin"/>
      </w:r>
      <w:r>
        <w:instrText xml:space="preserve"> PAGEREF _Toc389746395 \h </w:instrText>
      </w:r>
      <w:r>
        <w:fldChar w:fldCharType="separate"/>
      </w:r>
      <w:r>
        <w:t>81</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Assessment of drug addict for treatment purposes</w:t>
      </w:r>
      <w:r>
        <w:tab/>
      </w:r>
      <w:r>
        <w:fldChar w:fldCharType="begin"/>
      </w:r>
      <w:r>
        <w:instrText xml:space="preserve"> PAGEREF _Toc389746396 \h </w:instrText>
      </w:r>
      <w:r>
        <w:fldChar w:fldCharType="separate"/>
      </w:r>
      <w:r>
        <w:t>81</w:t>
      </w:r>
      <w:r>
        <w:fldChar w:fldCharType="end"/>
      </w:r>
    </w:p>
    <w:p>
      <w:pPr>
        <w:pStyle w:val="TOC8"/>
        <w:rPr>
          <w:rFonts w:asciiTheme="minorHAnsi" w:eastAsiaTheme="minorEastAsia" w:hAnsiTheme="minorHAnsi" w:cstheme="minorBidi"/>
          <w:szCs w:val="22"/>
        </w:rPr>
      </w:pPr>
      <w:r>
        <w:t>51E</w:t>
      </w:r>
      <w:r>
        <w:rPr>
          <w:snapToGrid w:val="0"/>
        </w:rPr>
        <w:t>.</w:t>
      </w:r>
      <w:r>
        <w:rPr>
          <w:snapToGrid w:val="0"/>
        </w:rPr>
        <w:tab/>
        <w:t>Conditions on treatment of drug addict</w:t>
      </w:r>
      <w:r>
        <w:tab/>
      </w:r>
      <w:r>
        <w:fldChar w:fldCharType="begin"/>
      </w:r>
      <w:r>
        <w:instrText xml:space="preserve"> PAGEREF _Toc389746397 \h </w:instrText>
      </w:r>
      <w:r>
        <w:fldChar w:fldCharType="separate"/>
      </w:r>
      <w:r>
        <w:t>82</w:t>
      </w:r>
      <w:r>
        <w:fldChar w:fldCharType="end"/>
      </w:r>
    </w:p>
    <w:p>
      <w:pPr>
        <w:pStyle w:val="TOC8"/>
        <w:rPr>
          <w:rFonts w:asciiTheme="minorHAnsi" w:eastAsiaTheme="minorEastAsia" w:hAnsiTheme="minorHAnsi" w:cstheme="minorBidi"/>
          <w:szCs w:val="22"/>
        </w:rPr>
      </w:pPr>
      <w:r>
        <w:t>51F</w:t>
      </w:r>
      <w:r>
        <w:rPr>
          <w:snapToGrid w:val="0"/>
        </w:rPr>
        <w:t>.</w:t>
      </w:r>
      <w:r>
        <w:rPr>
          <w:snapToGrid w:val="0"/>
        </w:rPr>
        <w:tab/>
        <w:t xml:space="preserve">Treatment not to exceed 60 days unless authorised by </w:t>
      </w:r>
      <w:r>
        <w:t>CEO</w:t>
      </w:r>
      <w:r>
        <w:tab/>
      </w:r>
      <w:r>
        <w:fldChar w:fldCharType="begin"/>
      </w:r>
      <w:r>
        <w:instrText xml:space="preserve"> PAGEREF _Toc389746398 \h </w:instrText>
      </w:r>
      <w:r>
        <w:fldChar w:fldCharType="separate"/>
      </w:r>
      <w:r>
        <w:t>84</w:t>
      </w:r>
      <w:r>
        <w:fldChar w:fldCharType="end"/>
      </w:r>
    </w:p>
    <w:p>
      <w:pPr>
        <w:pStyle w:val="TOC6"/>
        <w:tabs>
          <w:tab w:val="right" w:leader="dot" w:pos="7086"/>
        </w:tabs>
        <w:rPr>
          <w:rFonts w:asciiTheme="minorHAnsi" w:eastAsiaTheme="minorEastAsia" w:hAnsiTheme="minorHAnsi" w:cstheme="minorBidi"/>
          <w:b w:val="0"/>
          <w:sz w:val="22"/>
          <w:szCs w:val="22"/>
        </w:rPr>
      </w:pPr>
      <w:r>
        <w:t>Subdivision 3 — Supply and prescription of certain substances</w:t>
      </w:r>
    </w:p>
    <w:p>
      <w:pPr>
        <w:pStyle w:val="TOC8"/>
        <w:rPr>
          <w:rFonts w:asciiTheme="minorHAnsi" w:eastAsiaTheme="minorEastAsia" w:hAnsiTheme="minorHAnsi" w:cstheme="minorBidi"/>
          <w:szCs w:val="22"/>
        </w:rPr>
      </w:pPr>
      <w:r>
        <w:t>51G.</w:t>
      </w:r>
      <w:r>
        <w:tab/>
        <w:t>Interpretation</w:t>
      </w:r>
      <w:r>
        <w:tab/>
      </w:r>
      <w:r>
        <w:fldChar w:fldCharType="begin"/>
      </w:r>
      <w:r>
        <w:instrText xml:space="preserve"> PAGEREF _Toc389746400 \h </w:instrText>
      </w:r>
      <w:r>
        <w:fldChar w:fldCharType="separate"/>
      </w:r>
      <w:r>
        <w:t>86</w:t>
      </w:r>
      <w:r>
        <w:fldChar w:fldCharType="end"/>
      </w:r>
    </w:p>
    <w:p>
      <w:pPr>
        <w:pStyle w:val="TOC8"/>
        <w:rPr>
          <w:rFonts w:asciiTheme="minorHAnsi" w:eastAsiaTheme="minorEastAsia" w:hAnsiTheme="minorHAnsi" w:cstheme="minorBidi"/>
          <w:szCs w:val="22"/>
        </w:rPr>
      </w:pPr>
      <w:r>
        <w:t>51GAA.</w:t>
      </w:r>
      <w:r>
        <w:tab/>
        <w:t>When a medical practitioner may supply or prescribe a stimulant</w:t>
      </w:r>
      <w:r>
        <w:tab/>
      </w:r>
      <w:r>
        <w:fldChar w:fldCharType="begin"/>
      </w:r>
      <w:r>
        <w:instrText xml:space="preserve"> PAGEREF _Toc389746401 \h </w:instrText>
      </w:r>
      <w:r>
        <w:fldChar w:fldCharType="separate"/>
      </w:r>
      <w:r>
        <w:t>86</w:t>
      </w:r>
      <w:r>
        <w:fldChar w:fldCharType="end"/>
      </w:r>
    </w:p>
    <w:p>
      <w:pPr>
        <w:pStyle w:val="TOC8"/>
        <w:rPr>
          <w:rFonts w:asciiTheme="minorHAnsi" w:eastAsiaTheme="minorEastAsia" w:hAnsiTheme="minorHAnsi" w:cstheme="minorBidi"/>
          <w:szCs w:val="22"/>
        </w:rPr>
      </w:pPr>
      <w:r>
        <w:t>51GAB.</w:t>
      </w:r>
      <w:r>
        <w:tab/>
        <w:t>Authorisation to supply or prescribe a stimulant</w:t>
      </w:r>
      <w:r>
        <w:tab/>
      </w:r>
      <w:r>
        <w:fldChar w:fldCharType="begin"/>
      </w:r>
      <w:r>
        <w:instrText xml:space="preserve"> PAGEREF _Toc389746402 \h </w:instrText>
      </w:r>
      <w:r>
        <w:fldChar w:fldCharType="separate"/>
      </w:r>
      <w:r>
        <w:t>87</w:t>
      </w:r>
      <w:r>
        <w:fldChar w:fldCharType="end"/>
      </w:r>
    </w:p>
    <w:p>
      <w:pPr>
        <w:pStyle w:val="TOC8"/>
        <w:rPr>
          <w:rFonts w:asciiTheme="minorHAnsi" w:eastAsiaTheme="minorEastAsia" w:hAnsiTheme="minorHAnsi" w:cstheme="minorBidi"/>
          <w:szCs w:val="22"/>
        </w:rPr>
      </w:pPr>
      <w:r>
        <w:t>51GAC.</w:t>
      </w:r>
      <w:r>
        <w:tab/>
        <w:t>When an authorised practitioner may supply or prescribe a stimulant</w:t>
      </w:r>
      <w:r>
        <w:tab/>
      </w:r>
      <w:r>
        <w:fldChar w:fldCharType="begin"/>
      </w:r>
      <w:r>
        <w:instrText xml:space="preserve"> PAGEREF _Toc389746403 \h </w:instrText>
      </w:r>
      <w:r>
        <w:fldChar w:fldCharType="separate"/>
      </w:r>
      <w:r>
        <w:t>87</w:t>
      </w:r>
      <w:r>
        <w:fldChar w:fldCharType="end"/>
      </w:r>
    </w:p>
    <w:p>
      <w:pPr>
        <w:pStyle w:val="TOC8"/>
        <w:rPr>
          <w:rFonts w:asciiTheme="minorHAnsi" w:eastAsiaTheme="minorEastAsia" w:hAnsiTheme="minorHAnsi" w:cstheme="minorBidi"/>
          <w:szCs w:val="22"/>
        </w:rPr>
      </w:pPr>
      <w:r>
        <w:t>51GAD.</w:t>
      </w:r>
      <w:r>
        <w:tab/>
        <w:t>Treatment of attention deficit hyperactivity disorder with a stimulant</w:t>
      </w:r>
      <w:r>
        <w:tab/>
      </w:r>
      <w:r>
        <w:fldChar w:fldCharType="begin"/>
      </w:r>
      <w:r>
        <w:instrText xml:space="preserve"> PAGEREF _Toc389746404 \h </w:instrText>
      </w:r>
      <w:r>
        <w:fldChar w:fldCharType="separate"/>
      </w:r>
      <w:r>
        <w:t>88</w:t>
      </w:r>
      <w:r>
        <w:fldChar w:fldCharType="end"/>
      </w:r>
    </w:p>
    <w:p>
      <w:pPr>
        <w:pStyle w:val="TOC8"/>
        <w:rPr>
          <w:rFonts w:asciiTheme="minorHAnsi" w:eastAsiaTheme="minorEastAsia" w:hAnsiTheme="minorHAnsi" w:cstheme="minorBidi"/>
          <w:szCs w:val="22"/>
        </w:rPr>
      </w:pPr>
      <w:r>
        <w:t>51GAE.</w:t>
      </w:r>
      <w:r>
        <w:tab/>
        <w:t>Dose for supply or prescription of a stimulant</w:t>
      </w:r>
      <w:r>
        <w:tab/>
      </w:r>
      <w:r>
        <w:fldChar w:fldCharType="begin"/>
      </w:r>
      <w:r>
        <w:instrText xml:space="preserve"> PAGEREF _Toc389746405 \h </w:instrText>
      </w:r>
      <w:r>
        <w:fldChar w:fldCharType="separate"/>
      </w:r>
      <w:r>
        <w:t>89</w:t>
      </w:r>
      <w:r>
        <w:fldChar w:fldCharType="end"/>
      </w:r>
    </w:p>
    <w:p>
      <w:pPr>
        <w:pStyle w:val="TOC8"/>
        <w:rPr>
          <w:rFonts w:asciiTheme="minorHAnsi" w:eastAsiaTheme="minorEastAsia" w:hAnsiTheme="minorHAnsi" w:cstheme="minorBidi"/>
          <w:szCs w:val="22"/>
        </w:rPr>
      </w:pPr>
      <w:r>
        <w:t>51GAF.</w:t>
      </w:r>
      <w:r>
        <w:tab/>
        <w:t>Notification to CEO of supply or prescription of a stimulant</w:t>
      </w:r>
      <w:r>
        <w:tab/>
      </w:r>
      <w:r>
        <w:fldChar w:fldCharType="begin"/>
      </w:r>
      <w:r>
        <w:instrText xml:space="preserve"> PAGEREF _Toc389746406 \h </w:instrText>
      </w:r>
      <w:r>
        <w:fldChar w:fldCharType="separate"/>
      </w:r>
      <w:r>
        <w:t>89</w:t>
      </w:r>
      <w:r>
        <w:fldChar w:fldCharType="end"/>
      </w:r>
    </w:p>
    <w:p>
      <w:pPr>
        <w:pStyle w:val="TOC8"/>
        <w:rPr>
          <w:rFonts w:asciiTheme="minorHAnsi" w:eastAsiaTheme="minorEastAsia" w:hAnsiTheme="minorHAnsi" w:cstheme="minorBidi"/>
          <w:szCs w:val="22"/>
        </w:rPr>
      </w:pPr>
      <w:r>
        <w:t>51GAG.</w:t>
      </w:r>
      <w:r>
        <w:tab/>
        <w:t>Co</w:t>
      </w:r>
      <w:r>
        <w:noBreakHyphen/>
        <w:t>prescriber for supply or prescription of a stimulant</w:t>
      </w:r>
      <w:r>
        <w:tab/>
      </w:r>
      <w:r>
        <w:fldChar w:fldCharType="begin"/>
      </w:r>
      <w:r>
        <w:instrText xml:space="preserve"> PAGEREF _Toc389746407 \h </w:instrText>
      </w:r>
      <w:r>
        <w:fldChar w:fldCharType="separate"/>
      </w:r>
      <w:r>
        <w:t>90</w:t>
      </w:r>
      <w:r>
        <w:fldChar w:fldCharType="end"/>
      </w:r>
    </w:p>
    <w:p>
      <w:pPr>
        <w:pStyle w:val="TOC8"/>
        <w:rPr>
          <w:rFonts w:asciiTheme="minorHAnsi" w:eastAsiaTheme="minorEastAsia" w:hAnsiTheme="minorHAnsi" w:cstheme="minorBidi"/>
          <w:szCs w:val="22"/>
        </w:rPr>
      </w:pPr>
      <w:r>
        <w:t>51GAH.</w:t>
      </w:r>
      <w:r>
        <w:tab/>
        <w:t>Special authorisation to supply or prescription of a stimulant</w:t>
      </w:r>
      <w:r>
        <w:tab/>
      </w:r>
      <w:r>
        <w:fldChar w:fldCharType="begin"/>
      </w:r>
      <w:r>
        <w:instrText xml:space="preserve"> PAGEREF _Toc389746408 \h </w:instrText>
      </w:r>
      <w:r>
        <w:fldChar w:fldCharType="separate"/>
      </w:r>
      <w:r>
        <w:t>91</w:t>
      </w:r>
      <w:r>
        <w:fldChar w:fldCharType="end"/>
      </w:r>
    </w:p>
    <w:p>
      <w:pPr>
        <w:pStyle w:val="TOC8"/>
        <w:rPr>
          <w:rFonts w:asciiTheme="minorHAnsi" w:eastAsiaTheme="minorEastAsia" w:hAnsiTheme="minorHAnsi" w:cstheme="minorBidi"/>
          <w:szCs w:val="22"/>
        </w:rPr>
      </w:pPr>
      <w:r>
        <w:t>51GAI.</w:t>
      </w:r>
      <w:r>
        <w:tab/>
        <w:t>Supply or prescription of a stimulant in a public hospital or prison</w:t>
      </w:r>
      <w:r>
        <w:tab/>
      </w:r>
      <w:r>
        <w:fldChar w:fldCharType="begin"/>
      </w:r>
      <w:r>
        <w:instrText xml:space="preserve"> PAGEREF _Toc389746409 \h </w:instrText>
      </w:r>
      <w:r>
        <w:fldChar w:fldCharType="separate"/>
      </w:r>
      <w:r>
        <w:t>91</w:t>
      </w:r>
      <w:r>
        <w:fldChar w:fldCharType="end"/>
      </w:r>
    </w:p>
    <w:p>
      <w:pPr>
        <w:pStyle w:val="TOC8"/>
        <w:rPr>
          <w:rFonts w:asciiTheme="minorHAnsi" w:eastAsiaTheme="minorEastAsia" w:hAnsiTheme="minorHAnsi" w:cstheme="minorBidi"/>
          <w:szCs w:val="22"/>
        </w:rPr>
      </w:pPr>
      <w:r>
        <w:t>51GA</w:t>
      </w:r>
      <w:r>
        <w:rPr>
          <w:snapToGrid w:val="0"/>
        </w:rPr>
        <w:t>.</w:t>
      </w:r>
      <w:r>
        <w:rPr>
          <w:snapToGrid w:val="0"/>
        </w:rPr>
        <w:tab/>
        <w:t>Supply of dronabinol</w:t>
      </w:r>
      <w:r>
        <w:tab/>
      </w:r>
      <w:r>
        <w:fldChar w:fldCharType="begin"/>
      </w:r>
      <w:r>
        <w:instrText xml:space="preserve"> PAGEREF _Toc389746410 \h </w:instrText>
      </w:r>
      <w:r>
        <w:fldChar w:fldCharType="separate"/>
      </w:r>
      <w:r>
        <w:t>91</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Supply of flunitrazepam</w:t>
      </w:r>
      <w:r>
        <w:tab/>
      </w:r>
      <w:r>
        <w:fldChar w:fldCharType="begin"/>
      </w:r>
      <w:r>
        <w:instrText xml:space="preserve"> PAGEREF _Toc389746411 \h </w:instrText>
      </w:r>
      <w:r>
        <w:fldChar w:fldCharType="separate"/>
      </w:r>
      <w:r>
        <w:t>92</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Dentists not to prescribe or supply certain drugs of addiction</w:t>
      </w:r>
      <w:r>
        <w:tab/>
      </w:r>
      <w:r>
        <w:fldChar w:fldCharType="begin"/>
      </w:r>
      <w:r>
        <w:instrText xml:space="preserve"> PAGEREF _Toc389746412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drugs of addiction</w:t>
      </w:r>
      <w:r>
        <w:tab/>
      </w:r>
      <w:r>
        <w:fldChar w:fldCharType="begin"/>
      </w:r>
      <w:r>
        <w:instrText xml:space="preserve"> PAGEREF _Toc389746414 \h </w:instrText>
      </w:r>
      <w:r>
        <w:fldChar w:fldCharType="separate"/>
      </w:r>
      <w:r>
        <w:t>94</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Movement of drugs of addiction in other circumstances</w:t>
      </w:r>
      <w:r>
        <w:tab/>
      </w:r>
      <w:r>
        <w:fldChar w:fldCharType="begin"/>
      </w:r>
      <w:r>
        <w:instrText xml:space="preserve"> PAGEREF _Toc389746415 \h </w:instrText>
      </w:r>
      <w:r>
        <w:fldChar w:fldCharType="separate"/>
      </w:r>
      <w:r>
        <w:t>99</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Manner of recording details</w:t>
      </w:r>
      <w:r>
        <w:tab/>
      </w:r>
      <w:r>
        <w:fldChar w:fldCharType="begin"/>
      </w:r>
      <w:r>
        <w:instrText xml:space="preserve"> PAGEREF _Toc389746416 \h </w:instrText>
      </w:r>
      <w:r>
        <w:fldChar w:fldCharType="separate"/>
      </w:r>
      <w:r>
        <w:t>99</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Returns to department</w:t>
      </w:r>
      <w:r>
        <w:tab/>
      </w:r>
      <w:r>
        <w:fldChar w:fldCharType="begin"/>
      </w:r>
      <w:r>
        <w:instrText xml:space="preserve"> PAGEREF _Toc389746417 \h </w:instrText>
      </w:r>
      <w:r>
        <w:fldChar w:fldCharType="separate"/>
      </w:r>
      <w:r>
        <w:t>100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poisons included in Schedule 8 in case of emergency</w:t>
      </w:r>
      <w:r>
        <w:tab/>
      </w:r>
      <w:r>
        <w:fldChar w:fldCharType="begin"/>
      </w:r>
      <w:r>
        <w:instrText xml:space="preserve"> PAGEREF _Toc389746418 \h </w:instrText>
      </w:r>
      <w:r>
        <w:fldChar w:fldCharType="separate"/>
      </w:r>
      <w:r>
        <w:t>100</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certain poisons included in Schedule 8</w:t>
      </w:r>
      <w:r>
        <w:tab/>
      </w:r>
      <w:r>
        <w:fldChar w:fldCharType="begin"/>
      </w:r>
      <w:r>
        <w:instrText xml:space="preserve"> PAGEREF _Toc389746419 \h </w:instrText>
      </w:r>
      <w:r>
        <w:fldChar w:fldCharType="separate"/>
      </w:r>
      <w:r>
        <w:t>101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poisons included in Schedule 8 on order</w:t>
      </w:r>
      <w:r>
        <w:tab/>
      </w:r>
      <w:r>
        <w:fldChar w:fldCharType="begin"/>
      </w:r>
      <w:r>
        <w:instrText xml:space="preserve"> PAGEREF _Toc389746420 \h </w:instrText>
      </w:r>
      <w:r>
        <w:fldChar w:fldCharType="separate"/>
      </w:r>
      <w:r>
        <w:t>102</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_Toc389746421 \h </w:instrText>
      </w:r>
      <w:r>
        <w:fldChar w:fldCharType="separate"/>
      </w:r>
      <w:r>
        <w:t>103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 protected</w:t>
      </w:r>
      <w:r>
        <w:tab/>
      </w:r>
      <w:r>
        <w:fldChar w:fldCharType="begin"/>
      </w:r>
      <w:r>
        <w:instrText xml:space="preserve"> PAGEREF _Toc389746422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_Toc389746424 \h </w:instrText>
      </w:r>
      <w:r>
        <w:fldChar w:fldCharType="separate"/>
      </w:r>
      <w:r>
        <w:t>104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Prescribed amount of poisons included in Schedule 8</w:t>
      </w:r>
      <w:r>
        <w:tab/>
      </w:r>
      <w:r>
        <w:fldChar w:fldCharType="begin"/>
      </w:r>
      <w:r>
        <w:instrText xml:space="preserve"> PAGEREF _Toc389746425 \h </w:instrText>
      </w:r>
      <w:r>
        <w:fldChar w:fldCharType="separate"/>
      </w:r>
      <w:r>
        <w:t>106</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Location of safe in premises</w:t>
      </w:r>
      <w:r>
        <w:tab/>
      </w:r>
      <w:r>
        <w:fldChar w:fldCharType="begin"/>
      </w:r>
      <w:r>
        <w:instrText xml:space="preserve"> PAGEREF _Toc389746426 \h </w:instrText>
      </w:r>
      <w:r>
        <w:fldChar w:fldCharType="separate"/>
      </w:r>
      <w:r>
        <w:t>106</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Authorised persons to keep keys to safes</w:t>
      </w:r>
      <w:r>
        <w:tab/>
      </w:r>
      <w:r>
        <w:fldChar w:fldCharType="begin"/>
      </w:r>
      <w:r>
        <w:instrText xml:space="preserve"> PAGEREF _Toc389746427 \h </w:instrText>
      </w:r>
      <w:r>
        <w:fldChar w:fldCharType="separate"/>
      </w:r>
      <w:r>
        <w:t>107</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to be kept locked</w:t>
      </w:r>
      <w:r>
        <w:tab/>
      </w:r>
      <w:r>
        <w:fldChar w:fldCharType="begin"/>
      </w:r>
      <w:r>
        <w:instrText xml:space="preserve"> PAGEREF _Toc389746428 \h </w:instrText>
      </w:r>
      <w:r>
        <w:fldChar w:fldCharType="separate"/>
      </w:r>
      <w:r>
        <w:t>107</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present on premises</w:t>
      </w:r>
      <w:r>
        <w:tab/>
      </w:r>
      <w:r>
        <w:fldChar w:fldCharType="begin"/>
      </w:r>
      <w:r>
        <w:instrText xml:space="preserve"> PAGEREF _Toc389746429 \h </w:instrText>
      </w:r>
      <w:r>
        <w:fldChar w:fldCharType="separate"/>
      </w:r>
      <w:r>
        <w:t>107</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Keys to, and locking of, poisons cupboards and lockable drawers</w:t>
      </w:r>
      <w:r>
        <w:tab/>
      </w:r>
      <w:r>
        <w:fldChar w:fldCharType="begin"/>
      </w:r>
      <w:r>
        <w:instrText xml:space="preserve"> PAGEREF _Toc389746430 \h </w:instrText>
      </w:r>
      <w:r>
        <w:fldChar w:fldCharType="separate"/>
      </w:r>
      <w:r>
        <w:t>108</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Poisons included in Schedule 8 in hospital ward</w:t>
      </w:r>
      <w:r>
        <w:tab/>
      </w:r>
      <w:r>
        <w:fldChar w:fldCharType="begin"/>
      </w:r>
      <w:r>
        <w:instrText xml:space="preserve"> PAGEREF _Toc389746431 \h </w:instrText>
      </w:r>
      <w:r>
        <w:fldChar w:fldCharType="separate"/>
      </w:r>
      <w:r>
        <w:t>108</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Keys to, and locking of, cupboards in hospital wards</w:t>
      </w:r>
      <w:r>
        <w:tab/>
      </w:r>
      <w:r>
        <w:fldChar w:fldCharType="begin"/>
      </w:r>
      <w:r>
        <w:instrText xml:space="preserve"> PAGEREF _Toc389746432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w:t>
      </w:r>
      <w:r>
        <w:tab/>
      </w:r>
      <w:r>
        <w:fldChar w:fldCharType="begin"/>
      </w:r>
      <w:r>
        <w:instrText xml:space="preserve"> PAGEREF _Toc389746434 \h </w:instrText>
      </w:r>
      <w:r>
        <w:fldChar w:fldCharType="separate"/>
      </w:r>
      <w:r>
        <w:t>109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Improper prescribing or use of drugs of addiction</w:t>
      </w:r>
      <w:r>
        <w:tab/>
      </w:r>
      <w:r>
        <w:fldChar w:fldCharType="begin"/>
      </w:r>
      <w:r>
        <w:instrText xml:space="preserve"> PAGEREF _Toc389746435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Names of persons from whom licence or authority withdrawn to be published</w:t>
      </w:r>
      <w:r>
        <w:tab/>
      </w:r>
      <w:r>
        <w:fldChar w:fldCharType="begin"/>
      </w:r>
      <w:r>
        <w:instrText xml:space="preserve"> PAGEREF _Toc389746437 \h </w:instrText>
      </w:r>
      <w:r>
        <w:fldChar w:fldCharType="separate"/>
      </w:r>
      <w:r>
        <w:t>111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a drug for another</w:t>
      </w:r>
      <w:r>
        <w:tab/>
      </w:r>
      <w:r>
        <w:fldChar w:fldCharType="begin"/>
      </w:r>
      <w:r>
        <w:instrText xml:space="preserve"> PAGEREF _Toc389746438 \h </w:instrText>
      </w:r>
      <w:r>
        <w:fldChar w:fldCharType="separate"/>
      </w:r>
      <w:r>
        <w:t>111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Form of warrant (section 55A)</w:t>
      </w:r>
      <w:r>
        <w:tab/>
      </w:r>
      <w:r>
        <w:fldChar w:fldCharType="begin"/>
      </w:r>
      <w:r>
        <w:instrText xml:space="preserve"> PAGEREF _Toc389746439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w:t>
      </w:r>
      <w:r>
        <w:tab/>
      </w:r>
      <w:r>
        <w:fldChar w:fldCharType="begin"/>
      </w:r>
      <w:r>
        <w:instrText xml:space="preserve"> PAGEREF _Toc389746450 \h </w:instrText>
      </w:r>
      <w:r>
        <w:fldChar w:fldCharType="separate"/>
      </w:r>
      <w:r>
        <w:t>133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_Toc389746451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_Toc389746453 \h </w:instrText>
      </w:r>
      <w:r>
        <w:fldChar w:fldCharType="separate"/>
      </w:r>
      <w:r>
        <w:t>135</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leader="dot" w:pos="7086"/>
        </w:tabs>
        <w:rPr>
          <w:rFonts w:asciiTheme="minorHAnsi" w:eastAsiaTheme="minorEastAsia" w:hAnsiTheme="minorHAnsi" w:cstheme="minorBidi"/>
          <w:b w:val="0"/>
          <w:sz w:val="22"/>
          <w:szCs w:val="22"/>
        </w:rPr>
      </w:pPr>
      <w:r>
        <w:instrText>Part 1 — Preliminary</w:instrText>
      </w:r>
    </w:p>
    <w:p>
      <w:pPr>
        <w:pStyle w:val="TOC8"/>
        <w:rPr>
          <w:rFonts w:asciiTheme="minorHAnsi" w:eastAsiaTheme="minorEastAsia" w:hAnsiTheme="minorHAnsi" w:cstheme="minorBidi"/>
          <w:szCs w:val="22"/>
        </w:rPr>
      </w:pPr>
      <w:r>
        <w:instrText>1</w:instrText>
      </w:r>
      <w:r>
        <w:rPr>
          <w:snapToGrid w:val="0"/>
        </w:rPr>
        <w:instrText>.</w:instrText>
      </w:r>
      <w:r>
        <w:rPr>
          <w:snapToGrid w:val="0"/>
        </w:rPr>
        <w:tab/>
        <w:instrText>Citation</w:instrText>
      </w:r>
      <w:r>
        <w:tab/>
      </w:r>
      <w:r>
        <w:fldChar w:fldCharType="begin"/>
      </w:r>
      <w:r>
        <w:instrText xml:space="preserve"> PAGEREF _Toc389746455 \h </w:instrText>
      </w:r>
      <w:r>
        <w:fldChar w:fldCharType="separate"/>
      </w:r>
      <w:r>
        <w:instrText>1</w:instrText>
      </w:r>
      <w:r>
        <w:fldChar w:fldCharType="end"/>
      </w:r>
    </w:p>
    <w:p>
      <w:pPr>
        <w:pStyle w:val="TOC8"/>
        <w:rPr>
          <w:rFonts w:asciiTheme="minorHAnsi" w:eastAsiaTheme="minorEastAsia" w:hAnsiTheme="minorHAnsi" w:cstheme="minorBidi"/>
          <w:szCs w:val="22"/>
        </w:rPr>
      </w:pPr>
      <w:r>
        <w:instrText>2</w:instrText>
      </w:r>
      <w:r>
        <w:rPr>
          <w:snapToGrid w:val="0"/>
        </w:rPr>
        <w:instrText>.</w:instrText>
      </w:r>
      <w:r>
        <w:rPr>
          <w:snapToGrid w:val="0"/>
        </w:rPr>
        <w:tab/>
        <w:instrText>Interpretation</w:instrText>
      </w:r>
      <w:r>
        <w:tab/>
      </w:r>
      <w:r>
        <w:fldChar w:fldCharType="begin"/>
      </w:r>
      <w:r>
        <w:instrText xml:space="preserve"> PAGEREF _Toc389746456 \h </w:instrText>
      </w:r>
      <w:r>
        <w:fldChar w:fldCharType="separate"/>
      </w:r>
      <w:r>
        <w:instrText>1</w:instrText>
      </w:r>
      <w:r>
        <w:fldChar w:fldCharType="end"/>
      </w:r>
    </w:p>
    <w:p>
      <w:pPr>
        <w:pStyle w:val="TOC8"/>
        <w:rPr>
          <w:rFonts w:asciiTheme="minorHAnsi" w:eastAsiaTheme="minorEastAsia" w:hAnsiTheme="minorHAnsi" w:cstheme="minorBidi"/>
          <w:szCs w:val="22"/>
        </w:rPr>
      </w:pPr>
      <w:r>
        <w:instrText>2AA</w:instrText>
      </w:r>
      <w:r>
        <w:rPr>
          <w:snapToGrid w:val="0"/>
        </w:rPr>
        <w:instrText>.</w:instrText>
      </w:r>
      <w:r>
        <w:rPr>
          <w:snapToGrid w:val="0"/>
        </w:rPr>
        <w:tab/>
        <w:instrText>Prescribed office (section 64B)</w:instrText>
      </w:r>
      <w:r>
        <w:tab/>
      </w:r>
      <w:r>
        <w:fldChar w:fldCharType="begin"/>
      </w:r>
      <w:r>
        <w:instrText xml:space="preserve"> PAGEREF _Toc389746457 \h </w:instrText>
      </w:r>
      <w:r>
        <w:fldChar w:fldCharType="separate"/>
      </w:r>
      <w:r>
        <w:instrText>5</w:instrText>
      </w:r>
      <w:r>
        <w:fldChar w:fldCharType="end"/>
      </w:r>
    </w:p>
    <w:p>
      <w:pPr>
        <w:pStyle w:val="TOC8"/>
        <w:rPr>
          <w:rFonts w:asciiTheme="minorHAnsi" w:eastAsiaTheme="minorEastAsia" w:hAnsiTheme="minorHAnsi" w:cstheme="minorBidi"/>
          <w:szCs w:val="22"/>
        </w:rPr>
      </w:pPr>
      <w:r>
        <w:instrText>2A</w:instrText>
      </w:r>
      <w:r>
        <w:rPr>
          <w:snapToGrid w:val="0"/>
        </w:rPr>
        <w:instrText>.</w:instrText>
      </w:r>
      <w:r>
        <w:rPr>
          <w:snapToGrid w:val="0"/>
        </w:rPr>
        <w:tab/>
        <w:instrText>Exemptions</w:instrText>
      </w:r>
      <w:r>
        <w:tab/>
      </w:r>
      <w:r>
        <w:fldChar w:fldCharType="begin"/>
      </w:r>
      <w:r>
        <w:instrText xml:space="preserve"> PAGEREF _Toc389746458 \h </w:instrText>
      </w:r>
      <w:r>
        <w:fldChar w:fldCharType="separate"/>
      </w:r>
      <w:r>
        <w:instrText>5</w:instrText>
      </w:r>
      <w:r>
        <w:fldChar w:fldCharType="end"/>
      </w:r>
    </w:p>
    <w:p>
      <w:pPr>
        <w:pStyle w:val="TOC2"/>
        <w:tabs>
          <w:tab w:val="right" w:leader="dot" w:pos="7086"/>
        </w:tabs>
        <w:rPr>
          <w:rFonts w:asciiTheme="minorHAnsi" w:eastAsiaTheme="minorEastAsia" w:hAnsiTheme="minorHAnsi" w:cstheme="minorBidi"/>
          <w:b w:val="0"/>
          <w:sz w:val="22"/>
          <w:szCs w:val="22"/>
        </w:rPr>
      </w:pPr>
      <w:r>
        <w:instrText>Part 2 — Licences and permits</w:instrText>
      </w:r>
    </w:p>
    <w:p>
      <w:pPr>
        <w:pStyle w:val="TOC4"/>
        <w:tabs>
          <w:tab w:val="right" w:leader="dot" w:pos="7086"/>
        </w:tabs>
        <w:rPr>
          <w:rFonts w:asciiTheme="minorHAnsi" w:eastAsiaTheme="minorEastAsia" w:hAnsiTheme="minorHAnsi" w:cstheme="minorBidi"/>
          <w:b w:val="0"/>
          <w:szCs w:val="22"/>
        </w:rPr>
      </w:pPr>
      <w:r>
        <w:instrText>Division 1 — General</w:instrText>
      </w:r>
    </w:p>
    <w:p>
      <w:pPr>
        <w:pStyle w:val="TOC8"/>
        <w:rPr>
          <w:rFonts w:asciiTheme="minorHAnsi" w:eastAsiaTheme="minorEastAsia" w:hAnsiTheme="minorHAnsi" w:cstheme="minorBidi"/>
          <w:szCs w:val="22"/>
        </w:rPr>
      </w:pPr>
      <w:r>
        <w:instrText>3.</w:instrText>
      </w:r>
      <w:r>
        <w:tab/>
        <w:instrText>Wholesaler’s licences and permits</w:instrText>
      </w:r>
      <w:r>
        <w:tab/>
      </w:r>
      <w:r>
        <w:fldChar w:fldCharType="begin"/>
      </w:r>
      <w:r>
        <w:instrText xml:space="preserve"> PAGEREF _Toc389746461 \h </w:instrText>
      </w:r>
      <w:r>
        <w:fldChar w:fldCharType="separate"/>
      </w:r>
      <w:r>
        <w:instrText>7</w:instrText>
      </w:r>
      <w:r>
        <w:fldChar w:fldCharType="end"/>
      </w:r>
    </w:p>
    <w:p>
      <w:pPr>
        <w:pStyle w:val="TOC8"/>
        <w:rPr>
          <w:rFonts w:asciiTheme="minorHAnsi" w:eastAsiaTheme="minorEastAsia" w:hAnsiTheme="minorHAnsi" w:cstheme="minorBidi"/>
          <w:szCs w:val="22"/>
        </w:rPr>
      </w:pPr>
      <w:r>
        <w:instrText>5</w:instrText>
      </w:r>
      <w:r>
        <w:rPr>
          <w:snapToGrid w:val="0"/>
        </w:rPr>
        <w:instrText>.</w:instrText>
      </w:r>
      <w:r>
        <w:rPr>
          <w:snapToGrid w:val="0"/>
        </w:rPr>
        <w:tab/>
        <w:instrText>Pharmaceutical chemist’s licence to sell poisons</w:instrText>
      </w:r>
      <w:r>
        <w:tab/>
      </w:r>
      <w:r>
        <w:fldChar w:fldCharType="begin"/>
      </w:r>
      <w:r>
        <w:instrText xml:space="preserve"> PAGEREF _Toc389746462 \h </w:instrText>
      </w:r>
      <w:r>
        <w:fldChar w:fldCharType="separate"/>
      </w:r>
      <w:r>
        <w:instrText>8</w:instrText>
      </w:r>
      <w:r>
        <w:fldChar w:fldCharType="end"/>
      </w:r>
    </w:p>
    <w:p>
      <w:pPr>
        <w:pStyle w:val="TOC8"/>
        <w:rPr>
          <w:rFonts w:asciiTheme="minorHAnsi" w:eastAsiaTheme="minorEastAsia" w:hAnsiTheme="minorHAnsi" w:cstheme="minorBidi"/>
          <w:szCs w:val="22"/>
        </w:rPr>
      </w:pPr>
      <w:r>
        <w:instrText>7</w:instrText>
      </w:r>
      <w:r>
        <w:rPr>
          <w:snapToGrid w:val="0"/>
        </w:rPr>
        <w:instrText>.</w:instrText>
      </w:r>
      <w:r>
        <w:rPr>
          <w:snapToGrid w:val="0"/>
        </w:rPr>
        <w:tab/>
        <w:instrText>Retailer’s licence to sell poisons specified in Schedule 2 to the Act</w:instrText>
      </w:r>
      <w:r>
        <w:tab/>
      </w:r>
      <w:r>
        <w:fldChar w:fldCharType="begin"/>
      </w:r>
      <w:r>
        <w:instrText xml:space="preserve"> PAGEREF _Toc389746463 \h </w:instrText>
      </w:r>
      <w:r>
        <w:fldChar w:fldCharType="separate"/>
      </w:r>
      <w:r>
        <w:instrText>8</w:instrText>
      </w:r>
      <w:r>
        <w:fldChar w:fldCharType="end"/>
      </w:r>
    </w:p>
    <w:p>
      <w:pPr>
        <w:pStyle w:val="TOC8"/>
        <w:rPr>
          <w:rFonts w:asciiTheme="minorHAnsi" w:eastAsiaTheme="minorEastAsia" w:hAnsiTheme="minorHAnsi" w:cstheme="minorBidi"/>
          <w:szCs w:val="22"/>
        </w:rPr>
      </w:pPr>
      <w:r>
        <w:instrText>8</w:instrText>
      </w:r>
      <w:r>
        <w:rPr>
          <w:snapToGrid w:val="0"/>
        </w:rPr>
        <w:instrText>.</w:instrText>
      </w:r>
      <w:r>
        <w:rPr>
          <w:snapToGrid w:val="0"/>
        </w:rPr>
        <w:tab/>
        <w:instrText>Retailer’s licence to sell poisons included in Schedule 7 to the Act</w:instrText>
      </w:r>
      <w:r>
        <w:tab/>
      </w:r>
      <w:r>
        <w:fldChar w:fldCharType="begin"/>
      </w:r>
      <w:r>
        <w:instrText xml:space="preserve"> PAGEREF _Toc389746464 \h </w:instrText>
      </w:r>
      <w:r>
        <w:fldChar w:fldCharType="separate"/>
      </w:r>
      <w:r>
        <w:instrText>9</w:instrText>
      </w:r>
      <w:r>
        <w:fldChar w:fldCharType="end"/>
      </w:r>
    </w:p>
    <w:p>
      <w:pPr>
        <w:pStyle w:val="TOC8"/>
        <w:rPr>
          <w:rFonts w:asciiTheme="minorHAnsi" w:eastAsiaTheme="minorEastAsia" w:hAnsiTheme="minorHAnsi" w:cstheme="minorBidi"/>
          <w:szCs w:val="22"/>
        </w:rPr>
      </w:pPr>
      <w:r>
        <w:instrText>8A</w:instrText>
      </w:r>
      <w:r>
        <w:rPr>
          <w:snapToGrid w:val="0"/>
        </w:rPr>
        <w:instrText>.</w:instrText>
      </w:r>
      <w:r>
        <w:rPr>
          <w:snapToGrid w:val="0"/>
        </w:rPr>
        <w:tab/>
        <w:instrText>Poisons permit (distribution of samples)</w:instrText>
      </w:r>
      <w:r>
        <w:tab/>
      </w:r>
      <w:r>
        <w:fldChar w:fldCharType="begin"/>
      </w:r>
      <w:r>
        <w:instrText xml:space="preserve"> PAGEREF _Toc389746465 \h </w:instrText>
      </w:r>
      <w:r>
        <w:fldChar w:fldCharType="separate"/>
      </w:r>
      <w:r>
        <w:instrText>9</w:instrText>
      </w:r>
      <w:r>
        <w:fldChar w:fldCharType="end"/>
      </w:r>
    </w:p>
    <w:p>
      <w:pPr>
        <w:pStyle w:val="TOC8"/>
        <w:rPr>
          <w:rFonts w:asciiTheme="minorHAnsi" w:eastAsiaTheme="minorEastAsia" w:hAnsiTheme="minorHAnsi" w:cstheme="minorBidi"/>
          <w:szCs w:val="22"/>
        </w:rPr>
      </w:pPr>
      <w:r>
        <w:instrText>9</w:instrText>
      </w:r>
      <w:r>
        <w:rPr>
          <w:snapToGrid w:val="0"/>
        </w:rPr>
        <w:instrText>.</w:instrText>
      </w:r>
      <w:r>
        <w:rPr>
          <w:snapToGrid w:val="0"/>
        </w:rPr>
        <w:tab/>
        <w:instrText>Poisons permit (industrial)</w:instrText>
      </w:r>
      <w:r>
        <w:tab/>
      </w:r>
      <w:r>
        <w:fldChar w:fldCharType="begin"/>
      </w:r>
      <w:r>
        <w:instrText xml:space="preserve"> PAGEREF _Toc389746466 \h </w:instrText>
      </w:r>
      <w:r>
        <w:fldChar w:fldCharType="separate"/>
      </w:r>
      <w:r>
        <w:instrText>13</w:instrText>
      </w:r>
      <w:r>
        <w:fldChar w:fldCharType="end"/>
      </w:r>
    </w:p>
    <w:p>
      <w:pPr>
        <w:pStyle w:val="TOC8"/>
        <w:rPr>
          <w:rFonts w:asciiTheme="minorHAnsi" w:eastAsiaTheme="minorEastAsia" w:hAnsiTheme="minorHAnsi" w:cstheme="minorBidi"/>
          <w:szCs w:val="22"/>
        </w:rPr>
      </w:pPr>
      <w:r>
        <w:instrText>10</w:instrText>
      </w:r>
      <w:r>
        <w:rPr>
          <w:snapToGrid w:val="0"/>
        </w:rPr>
        <w:instrText>.</w:instrText>
      </w:r>
      <w:r>
        <w:rPr>
          <w:snapToGrid w:val="0"/>
        </w:rPr>
        <w:tab/>
        <w:instrText>Poisons permit (educational, advisory or research)</w:instrText>
      </w:r>
      <w:r>
        <w:tab/>
      </w:r>
      <w:r>
        <w:fldChar w:fldCharType="begin"/>
      </w:r>
      <w:r>
        <w:instrText xml:space="preserve"> PAGEREF _Toc389746467 \h </w:instrText>
      </w:r>
      <w:r>
        <w:fldChar w:fldCharType="separate"/>
      </w:r>
      <w:r>
        <w:instrText>13</w:instrText>
      </w:r>
      <w:r>
        <w:fldChar w:fldCharType="end"/>
      </w:r>
    </w:p>
    <w:p>
      <w:pPr>
        <w:pStyle w:val="TOC8"/>
        <w:rPr>
          <w:rFonts w:asciiTheme="minorHAnsi" w:eastAsiaTheme="minorEastAsia" w:hAnsiTheme="minorHAnsi" w:cstheme="minorBidi"/>
          <w:szCs w:val="22"/>
        </w:rPr>
      </w:pPr>
      <w:r>
        <w:instrText>10AA.</w:instrText>
      </w:r>
      <w:r>
        <w:tab/>
        <w:instrText>Poisons permit (Health services)</w:instrText>
      </w:r>
      <w:r>
        <w:tab/>
      </w:r>
      <w:r>
        <w:fldChar w:fldCharType="begin"/>
      </w:r>
      <w:r>
        <w:instrText xml:space="preserve"> PAGEREF _Toc389746468 \h </w:instrText>
      </w:r>
      <w:r>
        <w:fldChar w:fldCharType="separate"/>
      </w:r>
      <w:r>
        <w:instrText>13</w:instrText>
      </w:r>
      <w:r>
        <w:fldChar w:fldCharType="end"/>
      </w:r>
    </w:p>
    <w:p>
      <w:pPr>
        <w:pStyle w:val="TOC8"/>
        <w:rPr>
          <w:rFonts w:asciiTheme="minorHAnsi" w:eastAsiaTheme="minorEastAsia" w:hAnsiTheme="minorHAnsi" w:cstheme="minorBidi"/>
          <w:szCs w:val="22"/>
        </w:rPr>
      </w:pPr>
      <w:r>
        <w:instrText>10A</w:instrText>
      </w:r>
      <w:r>
        <w:rPr>
          <w:snapToGrid w:val="0"/>
        </w:rPr>
        <w:instrText>.</w:instrText>
      </w:r>
      <w:r>
        <w:rPr>
          <w:snapToGrid w:val="0"/>
        </w:rPr>
        <w:tab/>
        <w:instrText>Poisons permit (departmental and hospital)</w:instrText>
      </w:r>
      <w:r>
        <w:tab/>
      </w:r>
      <w:r>
        <w:fldChar w:fldCharType="begin"/>
      </w:r>
      <w:r>
        <w:instrText xml:space="preserve"> PAGEREF _Toc389746469 \h </w:instrText>
      </w:r>
      <w:r>
        <w:fldChar w:fldCharType="separate"/>
      </w:r>
      <w:r>
        <w:instrText>13</w:instrText>
      </w:r>
      <w:r>
        <w:fldChar w:fldCharType="end"/>
      </w:r>
    </w:p>
    <w:p>
      <w:pPr>
        <w:pStyle w:val="TOC8"/>
        <w:rPr>
          <w:rFonts w:asciiTheme="minorHAnsi" w:eastAsiaTheme="minorEastAsia" w:hAnsiTheme="minorHAnsi" w:cstheme="minorBidi"/>
          <w:szCs w:val="22"/>
        </w:rPr>
      </w:pPr>
      <w:r>
        <w:instrText>10B</w:instrText>
      </w:r>
      <w:r>
        <w:rPr>
          <w:snapToGrid w:val="0"/>
        </w:rPr>
        <w:instrText>.</w:instrText>
      </w:r>
      <w:r>
        <w:rPr>
          <w:snapToGrid w:val="0"/>
        </w:rPr>
        <w:tab/>
        <w:instrText>Licence to cultivate prohibited plants</w:instrText>
      </w:r>
      <w:r>
        <w:tab/>
      </w:r>
      <w:r>
        <w:fldChar w:fldCharType="begin"/>
      </w:r>
      <w:r>
        <w:instrText xml:space="preserve"> PAGEREF _Toc389746470 \h </w:instrText>
      </w:r>
      <w:r>
        <w:fldChar w:fldCharType="separate"/>
      </w:r>
      <w:r>
        <w:instrText>14</w:instrText>
      </w:r>
      <w:r>
        <w:fldChar w:fldCharType="end"/>
      </w:r>
    </w:p>
    <w:p>
      <w:pPr>
        <w:pStyle w:val="TOC8"/>
        <w:rPr>
          <w:rFonts w:asciiTheme="minorHAnsi" w:eastAsiaTheme="minorEastAsia" w:hAnsiTheme="minorHAnsi" w:cstheme="minorBidi"/>
          <w:szCs w:val="22"/>
        </w:rPr>
      </w:pPr>
      <w:r>
        <w:instrText>11</w:instrText>
      </w:r>
      <w:r>
        <w:rPr>
          <w:snapToGrid w:val="0"/>
        </w:rPr>
        <w:instrText>.</w:instrText>
      </w:r>
      <w:r>
        <w:rPr>
          <w:snapToGrid w:val="0"/>
        </w:rPr>
        <w:tab/>
      </w:r>
      <w:r>
        <w:instrText>CEO</w:instrText>
      </w:r>
      <w:r>
        <w:rPr>
          <w:snapToGrid w:val="0"/>
        </w:rPr>
        <w:instrText xml:space="preserve"> may designate remote area nursing posts</w:instrText>
      </w:r>
      <w:r>
        <w:tab/>
      </w:r>
      <w:r>
        <w:fldChar w:fldCharType="begin"/>
      </w:r>
      <w:r>
        <w:instrText xml:space="preserve"> PAGEREF _Toc389746471 \h </w:instrText>
      </w:r>
      <w:r>
        <w:fldChar w:fldCharType="separate"/>
      </w:r>
      <w:r>
        <w:instrText>14</w:instrText>
      </w:r>
      <w:r>
        <w:fldChar w:fldCharType="end"/>
      </w:r>
    </w:p>
    <w:p>
      <w:pPr>
        <w:pStyle w:val="TOC8"/>
        <w:rPr>
          <w:rFonts w:asciiTheme="minorHAnsi" w:eastAsiaTheme="minorEastAsia" w:hAnsiTheme="minorHAnsi" w:cstheme="minorBidi"/>
          <w:szCs w:val="22"/>
        </w:rPr>
      </w:pPr>
      <w:r>
        <w:instrText>11A.</w:instrText>
      </w:r>
      <w:r>
        <w:tab/>
        <w:instrText>CEO may designate areas for the purposes of section 23 of the Act</w:instrText>
      </w:r>
      <w:r>
        <w:tab/>
      </w:r>
      <w:r>
        <w:fldChar w:fldCharType="begin"/>
      </w:r>
      <w:r>
        <w:instrText xml:space="preserve"> PAGEREF _Toc389746472 \h </w:instrText>
      </w:r>
      <w:r>
        <w:fldChar w:fldCharType="separate"/>
      </w:r>
      <w:r>
        <w:instrText>14</w:instrText>
      </w:r>
      <w:r>
        <w:fldChar w:fldCharType="end"/>
      </w:r>
    </w:p>
    <w:p>
      <w:pPr>
        <w:pStyle w:val="TOC8"/>
        <w:rPr>
          <w:rFonts w:asciiTheme="minorHAnsi" w:eastAsiaTheme="minorEastAsia" w:hAnsiTheme="minorHAnsi" w:cstheme="minorBidi"/>
          <w:szCs w:val="22"/>
        </w:rPr>
      </w:pPr>
      <w:r>
        <w:instrText>12</w:instrText>
      </w:r>
      <w:r>
        <w:rPr>
          <w:snapToGrid w:val="0"/>
        </w:rPr>
        <w:instrText>.</w:instrText>
      </w:r>
      <w:r>
        <w:rPr>
          <w:snapToGrid w:val="0"/>
        </w:rPr>
        <w:tab/>
        <w:instrText>Application for licence or permit (sections 24 and 25)</w:instrText>
      </w:r>
      <w:r>
        <w:tab/>
      </w:r>
      <w:r>
        <w:fldChar w:fldCharType="begin"/>
      </w:r>
      <w:r>
        <w:instrText xml:space="preserve"> PAGEREF _Toc389746473 \h </w:instrText>
      </w:r>
      <w:r>
        <w:fldChar w:fldCharType="separate"/>
      </w:r>
      <w:r>
        <w:instrText>15</w:instrText>
      </w:r>
      <w:r>
        <w:fldChar w:fldCharType="end"/>
      </w:r>
    </w:p>
    <w:p>
      <w:pPr>
        <w:pStyle w:val="TOC4"/>
        <w:tabs>
          <w:tab w:val="right" w:leader="dot" w:pos="7086"/>
        </w:tabs>
        <w:rPr>
          <w:rFonts w:asciiTheme="minorHAnsi" w:eastAsiaTheme="minorEastAsia" w:hAnsiTheme="minorHAnsi" w:cstheme="minorBidi"/>
          <w:b w:val="0"/>
          <w:szCs w:val="22"/>
        </w:rPr>
      </w:pPr>
      <w:r>
        <w:instrText>Division 2 — Needle and syringe programme</w:instrText>
      </w:r>
    </w:p>
    <w:p>
      <w:pPr>
        <w:pStyle w:val="TOC8"/>
        <w:rPr>
          <w:rFonts w:asciiTheme="minorHAnsi" w:eastAsiaTheme="minorEastAsia" w:hAnsiTheme="minorHAnsi" w:cstheme="minorBidi"/>
          <w:szCs w:val="22"/>
        </w:rPr>
      </w:pPr>
      <w:r>
        <w:instrText>12A</w:instrText>
      </w:r>
      <w:r>
        <w:rPr>
          <w:snapToGrid w:val="0"/>
        </w:rPr>
        <w:instrText>.</w:instrText>
      </w:r>
      <w:r>
        <w:rPr>
          <w:snapToGrid w:val="0"/>
        </w:rPr>
        <w:tab/>
        <w:instrText>Approval of needle and syringe programme</w:instrText>
      </w:r>
      <w:r>
        <w:tab/>
      </w:r>
      <w:r>
        <w:fldChar w:fldCharType="begin"/>
      </w:r>
      <w:r>
        <w:instrText xml:space="preserve"> PAGEREF _Toc389746475 \h </w:instrText>
      </w:r>
      <w:r>
        <w:fldChar w:fldCharType="separate"/>
      </w:r>
      <w:r>
        <w:instrText>16</w:instrText>
      </w:r>
      <w:r>
        <w:fldChar w:fldCharType="end"/>
      </w:r>
    </w:p>
    <w:p>
      <w:pPr>
        <w:pStyle w:val="TOC8"/>
        <w:rPr>
          <w:rFonts w:asciiTheme="minorHAnsi" w:eastAsiaTheme="minorEastAsia" w:hAnsiTheme="minorHAnsi" w:cstheme="minorBidi"/>
          <w:szCs w:val="22"/>
        </w:rPr>
      </w:pPr>
      <w:r>
        <w:instrText>12B</w:instrText>
      </w:r>
      <w:r>
        <w:rPr>
          <w:snapToGrid w:val="0"/>
        </w:rPr>
        <w:instrText>.</w:instrText>
      </w:r>
      <w:r>
        <w:rPr>
          <w:snapToGrid w:val="0"/>
        </w:rPr>
        <w:tab/>
        <w:instrText>Copy of approval to be provided</w:instrText>
      </w:r>
      <w:r>
        <w:tab/>
      </w:r>
      <w:r>
        <w:fldChar w:fldCharType="begin"/>
      </w:r>
      <w:r>
        <w:instrText xml:space="preserve"> PAGEREF _Toc389746476 \h </w:instrText>
      </w:r>
      <w:r>
        <w:fldChar w:fldCharType="separate"/>
      </w:r>
      <w:r>
        <w:instrText>17</w:instrText>
      </w:r>
      <w:r>
        <w:fldChar w:fldCharType="end"/>
      </w:r>
    </w:p>
    <w:p>
      <w:pPr>
        <w:pStyle w:val="TOC8"/>
        <w:rPr>
          <w:rFonts w:asciiTheme="minorHAnsi" w:eastAsiaTheme="minorEastAsia" w:hAnsiTheme="minorHAnsi" w:cstheme="minorBidi"/>
          <w:szCs w:val="22"/>
        </w:rPr>
      </w:pPr>
      <w:r>
        <w:instrText>12C</w:instrText>
      </w:r>
      <w:r>
        <w:rPr>
          <w:snapToGrid w:val="0"/>
        </w:rPr>
        <w:instrText>.</w:instrText>
      </w:r>
      <w:r>
        <w:rPr>
          <w:snapToGrid w:val="0"/>
        </w:rPr>
        <w:tab/>
        <w:instrText>Duties of coordinator</w:instrText>
      </w:r>
      <w:r>
        <w:tab/>
      </w:r>
      <w:r>
        <w:fldChar w:fldCharType="begin"/>
      </w:r>
      <w:r>
        <w:instrText xml:space="preserve"> PAGEREF _Toc389746477 \h </w:instrText>
      </w:r>
      <w:r>
        <w:fldChar w:fldCharType="separate"/>
      </w:r>
      <w:r>
        <w:instrText>17</w:instrText>
      </w:r>
      <w:r>
        <w:fldChar w:fldCharType="end"/>
      </w:r>
    </w:p>
    <w:p>
      <w:pPr>
        <w:pStyle w:val="TOC8"/>
        <w:rPr>
          <w:rFonts w:asciiTheme="minorHAnsi" w:eastAsiaTheme="minorEastAsia" w:hAnsiTheme="minorHAnsi" w:cstheme="minorBidi"/>
          <w:szCs w:val="22"/>
        </w:rPr>
      </w:pPr>
      <w:r>
        <w:instrText>12D</w:instrText>
      </w:r>
      <w:r>
        <w:rPr>
          <w:snapToGrid w:val="0"/>
        </w:rPr>
        <w:instrText>.</w:instrText>
      </w:r>
      <w:r>
        <w:rPr>
          <w:snapToGrid w:val="0"/>
        </w:rPr>
        <w:tab/>
        <w:instrText>Requirements relating to programme</w:instrText>
      </w:r>
      <w:r>
        <w:tab/>
      </w:r>
      <w:r>
        <w:fldChar w:fldCharType="begin"/>
      </w:r>
      <w:r>
        <w:instrText xml:space="preserve"> PAGEREF _Toc389746478 \h </w:instrText>
      </w:r>
      <w:r>
        <w:fldChar w:fldCharType="separate"/>
      </w:r>
      <w:r>
        <w:instrText>18</w:instrText>
      </w:r>
      <w:r>
        <w:fldChar w:fldCharType="end"/>
      </w:r>
    </w:p>
    <w:p>
      <w:pPr>
        <w:pStyle w:val="TOC8"/>
        <w:rPr>
          <w:rFonts w:asciiTheme="minorHAnsi" w:eastAsiaTheme="minorEastAsia" w:hAnsiTheme="minorHAnsi" w:cstheme="minorBidi"/>
          <w:szCs w:val="22"/>
        </w:rPr>
      </w:pPr>
      <w:r>
        <w:instrText>12E</w:instrText>
      </w:r>
      <w:r>
        <w:rPr>
          <w:snapToGrid w:val="0"/>
        </w:rPr>
        <w:instrText>.</w:instrText>
      </w:r>
      <w:r>
        <w:rPr>
          <w:snapToGrid w:val="0"/>
        </w:rPr>
        <w:tab/>
        <w:instrText>Direction to person</w:instrText>
      </w:r>
      <w:r>
        <w:tab/>
      </w:r>
      <w:r>
        <w:fldChar w:fldCharType="begin"/>
      </w:r>
      <w:r>
        <w:instrText xml:space="preserve"> PAGEREF _Toc389746479 \h </w:instrText>
      </w:r>
      <w:r>
        <w:fldChar w:fldCharType="separate"/>
      </w:r>
      <w:r>
        <w:instrText>18</w:instrText>
      </w:r>
      <w:r>
        <w:fldChar w:fldCharType="end"/>
      </w:r>
    </w:p>
    <w:p>
      <w:pPr>
        <w:pStyle w:val="TOC8"/>
        <w:rPr>
          <w:rFonts w:asciiTheme="minorHAnsi" w:eastAsiaTheme="minorEastAsia" w:hAnsiTheme="minorHAnsi" w:cstheme="minorBidi"/>
          <w:szCs w:val="22"/>
        </w:rPr>
      </w:pPr>
      <w:r>
        <w:instrText>12F</w:instrText>
      </w:r>
      <w:r>
        <w:rPr>
          <w:snapToGrid w:val="0"/>
        </w:rPr>
        <w:instrText>.</w:instrText>
      </w:r>
      <w:r>
        <w:rPr>
          <w:snapToGrid w:val="0"/>
        </w:rPr>
        <w:tab/>
        <w:instrText>Requirements relating to used hypodermic needles and syringes</w:instrText>
      </w:r>
      <w:r>
        <w:tab/>
      </w:r>
      <w:r>
        <w:fldChar w:fldCharType="begin"/>
      </w:r>
      <w:r>
        <w:instrText xml:space="preserve"> PAGEREF _Toc389746480 \h </w:instrText>
      </w:r>
      <w:r>
        <w:fldChar w:fldCharType="separate"/>
      </w:r>
      <w:r>
        <w:instrText>19</w:instrText>
      </w:r>
      <w:r>
        <w:fldChar w:fldCharType="end"/>
      </w:r>
    </w:p>
    <w:p>
      <w:pPr>
        <w:pStyle w:val="TOC4"/>
        <w:tabs>
          <w:tab w:val="right" w:leader="dot" w:pos="7086"/>
        </w:tabs>
        <w:rPr>
          <w:rFonts w:asciiTheme="minorHAnsi" w:eastAsiaTheme="minorEastAsia" w:hAnsiTheme="minorHAnsi" w:cstheme="minorBidi"/>
          <w:b w:val="0"/>
          <w:szCs w:val="22"/>
        </w:rPr>
      </w:pPr>
      <w:r>
        <w:instrText>Division 3 — Restrictions and obligations</w:instrText>
      </w:r>
    </w:p>
    <w:p>
      <w:pPr>
        <w:pStyle w:val="TOC8"/>
        <w:rPr>
          <w:rFonts w:asciiTheme="minorHAnsi" w:eastAsiaTheme="minorEastAsia" w:hAnsiTheme="minorHAnsi" w:cstheme="minorBidi"/>
          <w:szCs w:val="22"/>
        </w:rPr>
      </w:pPr>
      <w:r>
        <w:instrText>15</w:instrText>
      </w:r>
      <w:r>
        <w:rPr>
          <w:snapToGrid w:val="0"/>
        </w:rPr>
        <w:instrText>.</w:instrText>
      </w:r>
      <w:r>
        <w:rPr>
          <w:snapToGrid w:val="0"/>
        </w:rPr>
        <w:tab/>
        <w:instrText>Restriction to issue of licence or permit</w:instrText>
      </w:r>
      <w:r>
        <w:tab/>
      </w:r>
      <w:r>
        <w:fldChar w:fldCharType="begin"/>
      </w:r>
      <w:r>
        <w:instrText xml:space="preserve"> PAGEREF _Toc389746482 \h </w:instrText>
      </w:r>
      <w:r>
        <w:fldChar w:fldCharType="separate"/>
      </w:r>
      <w:r>
        <w:instrText>20</w:instrText>
      </w:r>
      <w:r>
        <w:fldChar w:fldCharType="end"/>
      </w:r>
    </w:p>
    <w:p>
      <w:pPr>
        <w:pStyle w:val="TOC8"/>
        <w:rPr>
          <w:rFonts w:asciiTheme="minorHAnsi" w:eastAsiaTheme="minorEastAsia" w:hAnsiTheme="minorHAnsi" w:cstheme="minorBidi"/>
          <w:szCs w:val="22"/>
        </w:rPr>
      </w:pPr>
      <w:r>
        <w:instrText>16</w:instrText>
      </w:r>
      <w:r>
        <w:rPr>
          <w:snapToGrid w:val="0"/>
        </w:rPr>
        <w:instrText>.</w:instrText>
      </w:r>
      <w:r>
        <w:rPr>
          <w:snapToGrid w:val="0"/>
        </w:rPr>
        <w:tab/>
        <w:instrText>Sale of poison only by licensee</w:instrText>
      </w:r>
      <w:r>
        <w:tab/>
      </w:r>
      <w:r>
        <w:fldChar w:fldCharType="begin"/>
      </w:r>
      <w:r>
        <w:instrText xml:space="preserve"> PAGEREF _Toc389746483 \h </w:instrText>
      </w:r>
      <w:r>
        <w:fldChar w:fldCharType="separate"/>
      </w:r>
      <w:r>
        <w:instrText>20</w:instrText>
      </w:r>
      <w:r>
        <w:fldChar w:fldCharType="end"/>
      </w:r>
    </w:p>
    <w:p>
      <w:pPr>
        <w:pStyle w:val="TOC8"/>
        <w:rPr>
          <w:rFonts w:asciiTheme="minorHAnsi" w:eastAsiaTheme="minorEastAsia" w:hAnsiTheme="minorHAnsi" w:cstheme="minorBidi"/>
          <w:szCs w:val="22"/>
        </w:rPr>
      </w:pPr>
      <w:r>
        <w:instrText>17</w:instrText>
      </w:r>
      <w:r>
        <w:rPr>
          <w:snapToGrid w:val="0"/>
        </w:rPr>
        <w:instrText>.</w:instrText>
      </w:r>
      <w:r>
        <w:rPr>
          <w:snapToGrid w:val="0"/>
        </w:rPr>
        <w:tab/>
        <w:instrText>Licence or permit not transferable</w:instrText>
      </w:r>
      <w:r>
        <w:tab/>
      </w:r>
      <w:r>
        <w:fldChar w:fldCharType="begin"/>
      </w:r>
      <w:r>
        <w:instrText xml:space="preserve"> PAGEREF _Toc389746484 \h </w:instrText>
      </w:r>
      <w:r>
        <w:fldChar w:fldCharType="separate"/>
      </w:r>
      <w:r>
        <w:instrText>20</w:instrText>
      </w:r>
      <w:r>
        <w:fldChar w:fldCharType="end"/>
      </w:r>
    </w:p>
    <w:p>
      <w:pPr>
        <w:pStyle w:val="TOC8"/>
        <w:rPr>
          <w:rFonts w:asciiTheme="minorHAnsi" w:eastAsiaTheme="minorEastAsia" w:hAnsiTheme="minorHAnsi" w:cstheme="minorBidi"/>
          <w:szCs w:val="22"/>
        </w:rPr>
      </w:pPr>
      <w:r>
        <w:instrText>18</w:instrText>
      </w:r>
      <w:r>
        <w:rPr>
          <w:snapToGrid w:val="0"/>
        </w:rPr>
        <w:instrText>.</w:instrText>
      </w:r>
      <w:r>
        <w:rPr>
          <w:snapToGrid w:val="0"/>
        </w:rPr>
        <w:tab/>
        <w:instrText>Licensee to display licence</w:instrText>
      </w:r>
      <w:r>
        <w:tab/>
      </w:r>
      <w:r>
        <w:fldChar w:fldCharType="begin"/>
      </w:r>
      <w:r>
        <w:instrText xml:space="preserve"> PAGEREF _Toc389746485 \h </w:instrText>
      </w:r>
      <w:r>
        <w:fldChar w:fldCharType="separate"/>
      </w:r>
      <w:r>
        <w:instrText>21</w:instrText>
      </w:r>
      <w:r>
        <w:fldChar w:fldCharType="end"/>
      </w:r>
    </w:p>
    <w:p>
      <w:pPr>
        <w:pStyle w:val="TOC2"/>
        <w:tabs>
          <w:tab w:val="right" w:leader="dot" w:pos="7086"/>
        </w:tabs>
        <w:rPr>
          <w:rFonts w:asciiTheme="minorHAnsi" w:eastAsiaTheme="minorEastAsia" w:hAnsiTheme="minorHAnsi" w:cstheme="minorBidi"/>
          <w:b w:val="0"/>
          <w:sz w:val="22"/>
          <w:szCs w:val="22"/>
        </w:rPr>
      </w:pPr>
      <w:r>
        <w:instrText>Part 3 — Containers and labels</w:instrText>
      </w:r>
    </w:p>
    <w:p>
      <w:pPr>
        <w:pStyle w:val="TOC4"/>
        <w:tabs>
          <w:tab w:val="right" w:leader="dot" w:pos="7086"/>
        </w:tabs>
        <w:rPr>
          <w:rFonts w:asciiTheme="minorHAnsi" w:eastAsiaTheme="minorEastAsia" w:hAnsiTheme="minorHAnsi" w:cstheme="minorBidi"/>
          <w:b w:val="0"/>
          <w:szCs w:val="22"/>
        </w:rPr>
      </w:pPr>
      <w:r>
        <w:instrText>Division 1 — Containers</w:instrText>
      </w:r>
    </w:p>
    <w:p>
      <w:pPr>
        <w:pStyle w:val="TOC8"/>
        <w:rPr>
          <w:rFonts w:asciiTheme="minorHAnsi" w:eastAsiaTheme="minorEastAsia" w:hAnsiTheme="minorHAnsi" w:cstheme="minorBidi"/>
          <w:szCs w:val="22"/>
        </w:rPr>
      </w:pPr>
      <w:r>
        <w:instrText>19</w:instrText>
      </w:r>
      <w:r>
        <w:rPr>
          <w:snapToGrid w:val="0"/>
        </w:rPr>
        <w:instrText>.</w:instrText>
      </w:r>
      <w:r>
        <w:rPr>
          <w:snapToGrid w:val="0"/>
        </w:rPr>
        <w:tab/>
        <w:instrText>Adoption of SUSDP for containers and labels</w:instrText>
      </w:r>
      <w:r>
        <w:tab/>
      </w:r>
      <w:r>
        <w:fldChar w:fldCharType="begin"/>
      </w:r>
      <w:r>
        <w:instrText xml:space="preserve"> PAGEREF _Toc389746488 \h </w:instrText>
      </w:r>
      <w:r>
        <w:fldChar w:fldCharType="separate"/>
      </w:r>
      <w:r>
        <w:instrText>22</w:instrText>
      </w:r>
      <w:r>
        <w:fldChar w:fldCharType="end"/>
      </w:r>
    </w:p>
    <w:p>
      <w:pPr>
        <w:pStyle w:val="TOC8"/>
        <w:rPr>
          <w:rFonts w:asciiTheme="minorHAnsi" w:eastAsiaTheme="minorEastAsia" w:hAnsiTheme="minorHAnsi" w:cstheme="minorBidi"/>
          <w:szCs w:val="22"/>
        </w:rPr>
      </w:pPr>
      <w:r>
        <w:instrText>19AA</w:instrText>
      </w:r>
      <w:r>
        <w:rPr>
          <w:snapToGrid w:val="0"/>
        </w:rPr>
        <w:instrText>.</w:instrText>
      </w:r>
      <w:r>
        <w:rPr>
          <w:snapToGrid w:val="0"/>
        </w:rPr>
        <w:tab/>
        <w:instrText>Certain containers prohibited</w:instrText>
      </w:r>
      <w:r>
        <w:tab/>
      </w:r>
      <w:r>
        <w:fldChar w:fldCharType="begin"/>
      </w:r>
      <w:r>
        <w:instrText xml:space="preserve"> PAGEREF _Toc389746489 \h </w:instrText>
      </w:r>
      <w:r>
        <w:fldChar w:fldCharType="separate"/>
      </w:r>
      <w:r>
        <w:instrText>22</w:instrText>
      </w:r>
      <w:r>
        <w:fldChar w:fldCharType="end"/>
      </w:r>
    </w:p>
    <w:p>
      <w:pPr>
        <w:pStyle w:val="TOC8"/>
        <w:rPr>
          <w:rFonts w:asciiTheme="minorHAnsi" w:eastAsiaTheme="minorEastAsia" w:hAnsiTheme="minorHAnsi" w:cstheme="minorBidi"/>
          <w:szCs w:val="22"/>
        </w:rPr>
      </w:pPr>
      <w:r>
        <w:instrText>19A</w:instrText>
      </w:r>
      <w:r>
        <w:rPr>
          <w:snapToGrid w:val="0"/>
        </w:rPr>
        <w:instrText>.</w:instrText>
      </w:r>
      <w:r>
        <w:rPr>
          <w:snapToGrid w:val="0"/>
        </w:rPr>
        <w:tab/>
        <w:instrText>Food etc. containers to be distinguishable from poison containers</w:instrText>
      </w:r>
      <w:r>
        <w:tab/>
      </w:r>
      <w:r>
        <w:fldChar w:fldCharType="begin"/>
      </w:r>
      <w:r>
        <w:instrText xml:space="preserve"> PAGEREF _Toc389746490 \h </w:instrText>
      </w:r>
      <w:r>
        <w:fldChar w:fldCharType="separate"/>
      </w:r>
      <w:r>
        <w:instrText>23</w:instrText>
      </w:r>
      <w:r>
        <w:fldChar w:fldCharType="end"/>
      </w:r>
    </w:p>
    <w:p>
      <w:pPr>
        <w:pStyle w:val="TOC4"/>
        <w:tabs>
          <w:tab w:val="right" w:leader="dot" w:pos="7086"/>
        </w:tabs>
        <w:rPr>
          <w:rFonts w:asciiTheme="minorHAnsi" w:eastAsiaTheme="minorEastAsia" w:hAnsiTheme="minorHAnsi" w:cstheme="minorBidi"/>
          <w:b w:val="0"/>
          <w:szCs w:val="22"/>
        </w:rPr>
      </w:pPr>
      <w:r>
        <w:instrText>Division 2 — Labels</w:instrText>
      </w:r>
    </w:p>
    <w:p>
      <w:pPr>
        <w:pStyle w:val="TOC8"/>
        <w:rPr>
          <w:rFonts w:asciiTheme="minorHAnsi" w:eastAsiaTheme="minorEastAsia" w:hAnsiTheme="minorHAnsi" w:cstheme="minorBidi"/>
          <w:szCs w:val="22"/>
        </w:rPr>
      </w:pPr>
      <w:r>
        <w:instrText>21</w:instrText>
      </w:r>
      <w:r>
        <w:rPr>
          <w:snapToGrid w:val="0"/>
        </w:rPr>
        <w:instrText>.</w:instrText>
      </w:r>
      <w:r>
        <w:rPr>
          <w:snapToGrid w:val="0"/>
        </w:rPr>
        <w:tab/>
        <w:instrText>Labels on medicines or preparations</w:instrText>
      </w:r>
      <w:r>
        <w:tab/>
      </w:r>
      <w:r>
        <w:fldChar w:fldCharType="begin"/>
      </w:r>
      <w:r>
        <w:instrText xml:space="preserve"> PAGEREF _Toc389746492 \h </w:instrText>
      </w:r>
      <w:r>
        <w:fldChar w:fldCharType="separate"/>
      </w:r>
      <w:r>
        <w:instrText>23</w:instrText>
      </w:r>
      <w:r>
        <w:fldChar w:fldCharType="end"/>
      </w:r>
    </w:p>
    <w:p>
      <w:pPr>
        <w:pStyle w:val="TOC8"/>
        <w:rPr>
          <w:rFonts w:asciiTheme="minorHAnsi" w:eastAsiaTheme="minorEastAsia" w:hAnsiTheme="minorHAnsi" w:cstheme="minorBidi"/>
          <w:szCs w:val="22"/>
        </w:rPr>
      </w:pPr>
      <w:r>
        <w:instrText>21A</w:instrText>
      </w:r>
      <w:r>
        <w:rPr>
          <w:snapToGrid w:val="0"/>
        </w:rPr>
        <w:instrText>.</w:instrText>
      </w:r>
      <w:r>
        <w:rPr>
          <w:snapToGrid w:val="0"/>
        </w:rPr>
        <w:tab/>
        <w:instrText>Appendix K container must have appropriate label</w:instrText>
      </w:r>
      <w:r>
        <w:tab/>
      </w:r>
      <w:r>
        <w:fldChar w:fldCharType="begin"/>
      </w:r>
      <w:r>
        <w:instrText xml:space="preserve"> PAGEREF _Toc389746493 \h </w:instrText>
      </w:r>
      <w:r>
        <w:fldChar w:fldCharType="separate"/>
      </w:r>
      <w:r>
        <w:instrText>26</w:instrText>
      </w:r>
      <w:r>
        <w:fldChar w:fldCharType="end"/>
      </w:r>
    </w:p>
    <w:p>
      <w:pPr>
        <w:pStyle w:val="TOC8"/>
        <w:rPr>
          <w:rFonts w:asciiTheme="minorHAnsi" w:eastAsiaTheme="minorEastAsia" w:hAnsiTheme="minorHAnsi" w:cstheme="minorBidi"/>
          <w:szCs w:val="22"/>
        </w:rPr>
      </w:pPr>
      <w:r>
        <w:instrText>24A</w:instrText>
      </w:r>
      <w:r>
        <w:rPr>
          <w:snapToGrid w:val="0"/>
        </w:rPr>
        <w:instrText>.</w:instrText>
      </w:r>
      <w:r>
        <w:rPr>
          <w:snapToGrid w:val="0"/>
        </w:rPr>
        <w:tab/>
        <w:instrText>Carcinogenicity and teratogenicity warnings to be approved</w:instrText>
      </w:r>
      <w:r>
        <w:tab/>
      </w:r>
      <w:r>
        <w:fldChar w:fldCharType="begin"/>
      </w:r>
      <w:r>
        <w:instrText xml:space="preserve"> PAGEREF _Toc389746494 \h </w:instrText>
      </w:r>
      <w:r>
        <w:fldChar w:fldCharType="separate"/>
      </w:r>
      <w:r>
        <w:instrText>27</w:instrText>
      </w:r>
      <w:r>
        <w:fldChar w:fldCharType="end"/>
      </w:r>
    </w:p>
    <w:p>
      <w:pPr>
        <w:pStyle w:val="TOC4"/>
        <w:tabs>
          <w:tab w:val="right" w:leader="dot" w:pos="7086"/>
        </w:tabs>
        <w:rPr>
          <w:rFonts w:asciiTheme="minorHAnsi" w:eastAsiaTheme="minorEastAsia" w:hAnsiTheme="minorHAnsi" w:cstheme="minorBidi"/>
          <w:b w:val="0"/>
          <w:szCs w:val="22"/>
        </w:rPr>
      </w:pPr>
      <w:r>
        <w:instrText>Division 3 — General</w:instrText>
      </w:r>
    </w:p>
    <w:p>
      <w:pPr>
        <w:pStyle w:val="TOC8"/>
        <w:rPr>
          <w:rFonts w:asciiTheme="minorHAnsi" w:eastAsiaTheme="minorEastAsia" w:hAnsiTheme="minorHAnsi" w:cstheme="minorBidi"/>
          <w:szCs w:val="22"/>
        </w:rPr>
      </w:pPr>
      <w:r>
        <w:instrText>25</w:instrText>
      </w:r>
      <w:r>
        <w:rPr>
          <w:snapToGrid w:val="0"/>
        </w:rPr>
        <w:instrText>.</w:instrText>
      </w:r>
      <w:r>
        <w:rPr>
          <w:snapToGrid w:val="0"/>
        </w:rPr>
        <w:tab/>
      </w:r>
      <w:r>
        <w:instrText>CEO</w:instrText>
      </w:r>
      <w:r>
        <w:rPr>
          <w:snapToGrid w:val="0"/>
        </w:rPr>
        <w:instrText xml:space="preserve"> may approve container or label</w:instrText>
      </w:r>
      <w:r>
        <w:tab/>
      </w:r>
      <w:r>
        <w:fldChar w:fldCharType="begin"/>
      </w:r>
      <w:r>
        <w:instrText xml:space="preserve"> PAGEREF _Toc389746496 \h </w:instrText>
      </w:r>
      <w:r>
        <w:fldChar w:fldCharType="separate"/>
      </w:r>
      <w:r>
        <w:instrText>27</w:instrText>
      </w:r>
      <w:r>
        <w:fldChar w:fldCharType="end"/>
      </w:r>
    </w:p>
    <w:p>
      <w:pPr>
        <w:pStyle w:val="TOC8"/>
        <w:rPr>
          <w:rFonts w:asciiTheme="minorHAnsi" w:eastAsiaTheme="minorEastAsia" w:hAnsiTheme="minorHAnsi" w:cstheme="minorBidi"/>
          <w:szCs w:val="22"/>
        </w:rPr>
      </w:pPr>
      <w:r>
        <w:instrText>26</w:instrText>
      </w:r>
      <w:r>
        <w:rPr>
          <w:snapToGrid w:val="0"/>
        </w:rPr>
        <w:instrText>.</w:instrText>
      </w:r>
      <w:r>
        <w:rPr>
          <w:snapToGrid w:val="0"/>
        </w:rPr>
        <w:tab/>
      </w:r>
      <w:r>
        <w:instrText>CEO</w:instrText>
      </w:r>
      <w:r>
        <w:rPr>
          <w:snapToGrid w:val="0"/>
          <w:spacing w:val="-4"/>
        </w:rPr>
        <w:instrText xml:space="preserve"> may suspend use of container or label</w:instrText>
      </w:r>
      <w:r>
        <w:tab/>
      </w:r>
      <w:r>
        <w:fldChar w:fldCharType="begin"/>
      </w:r>
      <w:r>
        <w:instrText xml:space="preserve"> PAGEREF _Toc389746497 \h </w:instrText>
      </w:r>
      <w:r>
        <w:fldChar w:fldCharType="separate"/>
      </w:r>
      <w:r>
        <w:instrText>27</w:instrText>
      </w:r>
      <w:r>
        <w:fldChar w:fldCharType="end"/>
      </w:r>
    </w:p>
    <w:p>
      <w:pPr>
        <w:pStyle w:val="TOC2"/>
        <w:tabs>
          <w:tab w:val="right" w:leader="dot" w:pos="7086"/>
        </w:tabs>
        <w:rPr>
          <w:rFonts w:asciiTheme="minorHAnsi" w:eastAsiaTheme="minorEastAsia" w:hAnsiTheme="minorHAnsi" w:cstheme="minorBidi"/>
          <w:b w:val="0"/>
          <w:sz w:val="22"/>
          <w:szCs w:val="22"/>
        </w:rPr>
      </w:pPr>
      <w:r>
        <w:instrText>Part 4 — Storage, disposal and loss or theft of poisons</w:instrText>
      </w:r>
    </w:p>
    <w:p>
      <w:pPr>
        <w:pStyle w:val="TOC8"/>
        <w:rPr>
          <w:rFonts w:asciiTheme="minorHAnsi" w:eastAsiaTheme="minorEastAsia" w:hAnsiTheme="minorHAnsi" w:cstheme="minorBidi"/>
          <w:szCs w:val="22"/>
        </w:rPr>
      </w:pPr>
      <w:r>
        <w:instrText>30</w:instrText>
      </w:r>
      <w:r>
        <w:rPr>
          <w:snapToGrid w:val="0"/>
        </w:rPr>
        <w:instrText>.</w:instrText>
      </w:r>
      <w:r>
        <w:rPr>
          <w:snapToGrid w:val="0"/>
        </w:rPr>
        <w:tab/>
        <w:instrText>Storage of substances other than those specified in regulation 56</w:instrText>
      </w:r>
      <w:r>
        <w:tab/>
      </w:r>
      <w:r>
        <w:fldChar w:fldCharType="begin"/>
      </w:r>
      <w:r>
        <w:instrText xml:space="preserve"> PAGEREF _Toc389746499 \h </w:instrText>
      </w:r>
      <w:r>
        <w:fldChar w:fldCharType="separate"/>
      </w:r>
      <w:r>
        <w:instrText>29</w:instrText>
      </w:r>
      <w:r>
        <w:fldChar w:fldCharType="end"/>
      </w:r>
    </w:p>
    <w:p>
      <w:pPr>
        <w:pStyle w:val="TOC8"/>
        <w:rPr>
          <w:rFonts w:asciiTheme="minorHAnsi" w:eastAsiaTheme="minorEastAsia" w:hAnsiTheme="minorHAnsi" w:cstheme="minorBidi"/>
          <w:szCs w:val="22"/>
        </w:rPr>
      </w:pPr>
      <w:r>
        <w:instrText>31</w:instrText>
      </w:r>
      <w:r>
        <w:rPr>
          <w:snapToGrid w:val="0"/>
        </w:rPr>
        <w:instrText>.</w:instrText>
      </w:r>
      <w:r>
        <w:rPr>
          <w:snapToGrid w:val="0"/>
        </w:rPr>
        <w:tab/>
        <w:instrText>Disposal of poisons</w:instrText>
      </w:r>
      <w:r>
        <w:tab/>
      </w:r>
      <w:r>
        <w:fldChar w:fldCharType="begin"/>
      </w:r>
      <w:r>
        <w:instrText xml:space="preserve"> PAGEREF _Toc389746500 \h </w:instrText>
      </w:r>
      <w:r>
        <w:fldChar w:fldCharType="separate"/>
      </w:r>
      <w:r>
        <w:instrText>29</w:instrText>
      </w:r>
      <w:r>
        <w:fldChar w:fldCharType="end"/>
      </w:r>
    </w:p>
    <w:p>
      <w:pPr>
        <w:pStyle w:val="TOC8"/>
        <w:rPr>
          <w:rFonts w:asciiTheme="minorHAnsi" w:eastAsiaTheme="minorEastAsia" w:hAnsiTheme="minorHAnsi" w:cstheme="minorBidi"/>
          <w:szCs w:val="22"/>
        </w:rPr>
      </w:pPr>
      <w:r>
        <w:instrText>32</w:instrText>
      </w:r>
      <w:r>
        <w:rPr>
          <w:snapToGrid w:val="0"/>
        </w:rPr>
        <w:instrText>.</w:instrText>
      </w:r>
      <w:r>
        <w:rPr>
          <w:snapToGrid w:val="0"/>
        </w:rPr>
        <w:tab/>
        <w:instrText>Notification of loss or theft of poison</w:instrText>
      </w:r>
      <w:r>
        <w:tab/>
      </w:r>
      <w:r>
        <w:fldChar w:fldCharType="begin"/>
      </w:r>
      <w:r>
        <w:instrText xml:space="preserve"> PAGEREF _Toc389746501 \h </w:instrText>
      </w:r>
      <w:r>
        <w:fldChar w:fldCharType="separate"/>
      </w:r>
      <w:r>
        <w:instrText>29</w:instrText>
      </w:r>
      <w:r>
        <w:fldChar w:fldCharType="end"/>
      </w:r>
    </w:p>
    <w:p>
      <w:pPr>
        <w:pStyle w:val="TOC2"/>
        <w:tabs>
          <w:tab w:val="right" w:leader="dot" w:pos="7086"/>
        </w:tabs>
        <w:rPr>
          <w:rFonts w:asciiTheme="minorHAnsi" w:eastAsiaTheme="minorEastAsia" w:hAnsiTheme="minorHAnsi" w:cstheme="minorBidi"/>
          <w:b w:val="0"/>
          <w:sz w:val="22"/>
          <w:szCs w:val="22"/>
        </w:rPr>
      </w:pPr>
      <w:r>
        <w:instrText>Part 5 — Sale, supply and use of poisons</w:instrText>
      </w:r>
    </w:p>
    <w:p>
      <w:pPr>
        <w:pStyle w:val="TOC4"/>
        <w:tabs>
          <w:tab w:val="right" w:leader="dot" w:pos="7086"/>
        </w:tabs>
        <w:rPr>
          <w:rFonts w:asciiTheme="minorHAnsi" w:eastAsiaTheme="minorEastAsia" w:hAnsiTheme="minorHAnsi" w:cstheme="minorBidi"/>
          <w:b w:val="0"/>
          <w:szCs w:val="22"/>
        </w:rPr>
      </w:pPr>
      <w:r>
        <w:instrText>Division 1 — Restrictions</w:instrText>
      </w:r>
    </w:p>
    <w:p>
      <w:pPr>
        <w:pStyle w:val="TOC8"/>
        <w:rPr>
          <w:rFonts w:asciiTheme="minorHAnsi" w:eastAsiaTheme="minorEastAsia" w:hAnsiTheme="minorHAnsi" w:cstheme="minorBidi"/>
          <w:szCs w:val="22"/>
        </w:rPr>
      </w:pPr>
      <w:r>
        <w:instrText>33</w:instrText>
      </w:r>
      <w:r>
        <w:rPr>
          <w:snapToGrid w:val="0"/>
        </w:rPr>
        <w:instrText>.</w:instrText>
      </w:r>
      <w:r>
        <w:rPr>
          <w:snapToGrid w:val="0"/>
        </w:rPr>
        <w:tab/>
        <w:instrText>Poison not to be sold to persons under 16 years</w:instrText>
      </w:r>
      <w:r>
        <w:tab/>
      </w:r>
      <w:r>
        <w:fldChar w:fldCharType="begin"/>
      </w:r>
      <w:r>
        <w:instrText xml:space="preserve"> PAGEREF _Toc389746504 \h </w:instrText>
      </w:r>
      <w:r>
        <w:fldChar w:fldCharType="separate"/>
      </w:r>
      <w:r>
        <w:instrText>30</w:instrText>
      </w:r>
      <w:r>
        <w:fldChar w:fldCharType="end"/>
      </w:r>
    </w:p>
    <w:p>
      <w:pPr>
        <w:pStyle w:val="TOC8"/>
        <w:rPr>
          <w:rFonts w:asciiTheme="minorHAnsi" w:eastAsiaTheme="minorEastAsia" w:hAnsiTheme="minorHAnsi" w:cstheme="minorBidi"/>
          <w:szCs w:val="22"/>
        </w:rPr>
      </w:pPr>
      <w:r>
        <w:instrText>33A</w:instrText>
      </w:r>
      <w:r>
        <w:rPr>
          <w:snapToGrid w:val="0"/>
        </w:rPr>
        <w:instrText>.</w:instrText>
      </w:r>
      <w:r>
        <w:rPr>
          <w:snapToGrid w:val="0"/>
        </w:rPr>
        <w:tab/>
        <w:instrText>Restrictions applying to veterinary preparations</w:instrText>
      </w:r>
      <w:r>
        <w:tab/>
      </w:r>
      <w:r>
        <w:fldChar w:fldCharType="begin"/>
      </w:r>
      <w:r>
        <w:instrText xml:space="preserve"> PAGEREF _Toc389746505 \h </w:instrText>
      </w:r>
      <w:r>
        <w:fldChar w:fldCharType="separate"/>
      </w:r>
      <w:r>
        <w:instrText>30</w:instrText>
      </w:r>
      <w:r>
        <w:fldChar w:fldCharType="end"/>
      </w:r>
    </w:p>
    <w:p>
      <w:pPr>
        <w:pStyle w:val="TOC8"/>
        <w:rPr>
          <w:rFonts w:asciiTheme="minorHAnsi" w:eastAsiaTheme="minorEastAsia" w:hAnsiTheme="minorHAnsi" w:cstheme="minorBidi"/>
          <w:szCs w:val="22"/>
        </w:rPr>
      </w:pPr>
      <w:r>
        <w:instrText>33B</w:instrText>
      </w:r>
      <w:r>
        <w:rPr>
          <w:snapToGrid w:val="0"/>
        </w:rPr>
        <w:instrText>.</w:instrText>
      </w:r>
      <w:r>
        <w:rPr>
          <w:snapToGrid w:val="0"/>
        </w:rPr>
        <w:tab/>
        <w:instrText>Adoption of SUSDP for certain paints</w:instrText>
      </w:r>
      <w:r>
        <w:tab/>
      </w:r>
      <w:r>
        <w:fldChar w:fldCharType="begin"/>
      </w:r>
      <w:r>
        <w:instrText xml:space="preserve"> PAGEREF _Toc389746506 \h </w:instrText>
      </w:r>
      <w:r>
        <w:fldChar w:fldCharType="separate"/>
      </w:r>
      <w:r>
        <w:instrText>30</w:instrText>
      </w:r>
      <w:r>
        <w:fldChar w:fldCharType="end"/>
      </w:r>
    </w:p>
    <w:p>
      <w:pPr>
        <w:pStyle w:val="TOC8"/>
        <w:rPr>
          <w:rFonts w:asciiTheme="minorHAnsi" w:eastAsiaTheme="minorEastAsia" w:hAnsiTheme="minorHAnsi" w:cstheme="minorBidi"/>
          <w:szCs w:val="22"/>
        </w:rPr>
      </w:pPr>
      <w:r>
        <w:instrText>35</w:instrText>
      </w:r>
      <w:r>
        <w:rPr>
          <w:snapToGrid w:val="0"/>
        </w:rPr>
        <w:instrText>.</w:instrText>
      </w:r>
      <w:r>
        <w:rPr>
          <w:snapToGrid w:val="0"/>
        </w:rPr>
        <w:tab/>
        <w:instrText>Restrictions on retail sale of substances included in Schedule 2</w:instrText>
      </w:r>
      <w:r>
        <w:tab/>
      </w:r>
      <w:r>
        <w:fldChar w:fldCharType="begin"/>
      </w:r>
      <w:r>
        <w:instrText xml:space="preserve"> PAGEREF _Toc389746507 \h </w:instrText>
      </w:r>
      <w:r>
        <w:fldChar w:fldCharType="separate"/>
      </w:r>
      <w:r>
        <w:instrText>31</w:instrText>
      </w:r>
      <w:r>
        <w:fldChar w:fldCharType="end"/>
      </w:r>
    </w:p>
    <w:p>
      <w:pPr>
        <w:pStyle w:val="TOC8"/>
        <w:rPr>
          <w:rFonts w:asciiTheme="minorHAnsi" w:eastAsiaTheme="minorEastAsia" w:hAnsiTheme="minorHAnsi" w:cstheme="minorBidi"/>
          <w:szCs w:val="22"/>
        </w:rPr>
      </w:pPr>
      <w:r>
        <w:instrText>35A</w:instrText>
      </w:r>
      <w:r>
        <w:rPr>
          <w:snapToGrid w:val="0"/>
        </w:rPr>
        <w:instrText>.</w:instrText>
      </w:r>
      <w:r>
        <w:rPr>
          <w:snapToGrid w:val="0"/>
        </w:rPr>
        <w:tab/>
        <w:instrText>Restrictions on retail sale of substances included in Schedule 3</w:instrText>
      </w:r>
      <w:r>
        <w:tab/>
      </w:r>
      <w:r>
        <w:fldChar w:fldCharType="begin"/>
      </w:r>
      <w:r>
        <w:instrText xml:space="preserve"> PAGEREF _Toc389746508 \h </w:instrText>
      </w:r>
      <w:r>
        <w:fldChar w:fldCharType="separate"/>
      </w:r>
      <w:r>
        <w:instrText>31</w:instrText>
      </w:r>
      <w:r>
        <w:fldChar w:fldCharType="end"/>
      </w:r>
    </w:p>
    <w:p>
      <w:pPr>
        <w:pStyle w:val="TOC8"/>
        <w:rPr>
          <w:rFonts w:asciiTheme="minorHAnsi" w:eastAsiaTheme="minorEastAsia" w:hAnsiTheme="minorHAnsi" w:cstheme="minorBidi"/>
          <w:szCs w:val="22"/>
        </w:rPr>
      </w:pPr>
      <w:r>
        <w:instrText>35B</w:instrText>
      </w:r>
      <w:r>
        <w:rPr>
          <w:snapToGrid w:val="0"/>
        </w:rPr>
        <w:instrText>.</w:instrText>
      </w:r>
      <w:r>
        <w:rPr>
          <w:snapToGrid w:val="0"/>
        </w:rPr>
        <w:tab/>
        <w:instrText>Storage of substances included in Schedule 3</w:instrText>
      </w:r>
      <w:r>
        <w:tab/>
      </w:r>
      <w:r>
        <w:fldChar w:fldCharType="begin"/>
      </w:r>
      <w:r>
        <w:instrText xml:space="preserve"> PAGEREF _Toc389746509 \h </w:instrText>
      </w:r>
      <w:r>
        <w:fldChar w:fldCharType="separate"/>
      </w:r>
      <w:r>
        <w:instrText>33</w:instrText>
      </w:r>
      <w:r>
        <w:fldChar w:fldCharType="end"/>
      </w:r>
    </w:p>
    <w:p>
      <w:pPr>
        <w:pStyle w:val="TOC8"/>
        <w:rPr>
          <w:rFonts w:asciiTheme="minorHAnsi" w:eastAsiaTheme="minorEastAsia" w:hAnsiTheme="minorHAnsi" w:cstheme="minorBidi"/>
          <w:szCs w:val="22"/>
        </w:rPr>
      </w:pPr>
      <w:r>
        <w:instrText>35C</w:instrText>
      </w:r>
      <w:r>
        <w:rPr>
          <w:snapToGrid w:val="0"/>
        </w:rPr>
        <w:instrText>.</w:instrText>
      </w:r>
      <w:r>
        <w:rPr>
          <w:snapToGrid w:val="0"/>
        </w:rPr>
        <w:tab/>
        <w:instrText>Advertising of substances included in Schedule 3</w:instrText>
      </w:r>
      <w:r>
        <w:tab/>
      </w:r>
      <w:r>
        <w:fldChar w:fldCharType="begin"/>
      </w:r>
      <w:r>
        <w:instrText xml:space="preserve"> PAGEREF _Toc389746510 \h </w:instrText>
      </w:r>
      <w:r>
        <w:fldChar w:fldCharType="separate"/>
      </w:r>
      <w:r>
        <w:instrText>33</w:instrText>
      </w:r>
      <w:r>
        <w:fldChar w:fldCharType="end"/>
      </w:r>
    </w:p>
    <w:p>
      <w:pPr>
        <w:pStyle w:val="TOC8"/>
        <w:rPr>
          <w:rFonts w:asciiTheme="minorHAnsi" w:eastAsiaTheme="minorEastAsia" w:hAnsiTheme="minorHAnsi" w:cstheme="minorBidi"/>
          <w:szCs w:val="22"/>
        </w:rPr>
      </w:pPr>
      <w:r>
        <w:instrText>35D.</w:instrText>
      </w:r>
      <w:r>
        <w:tab/>
        <w:instrText>Advertising of substances included in Schedule 4</w:instrText>
      </w:r>
      <w:r>
        <w:tab/>
      </w:r>
      <w:r>
        <w:fldChar w:fldCharType="begin"/>
      </w:r>
      <w:r>
        <w:instrText xml:space="preserve"> PAGEREF _Toc389746511 \h </w:instrText>
      </w:r>
      <w:r>
        <w:fldChar w:fldCharType="separate"/>
      </w:r>
      <w:r>
        <w:instrText>34</w:instrText>
      </w:r>
      <w:r>
        <w:fldChar w:fldCharType="end"/>
      </w:r>
    </w:p>
    <w:p>
      <w:pPr>
        <w:pStyle w:val="TOC4"/>
        <w:tabs>
          <w:tab w:val="right" w:leader="dot" w:pos="7086"/>
        </w:tabs>
        <w:rPr>
          <w:rFonts w:asciiTheme="minorHAnsi" w:eastAsiaTheme="minorEastAsia" w:hAnsiTheme="minorHAnsi" w:cstheme="minorBidi"/>
          <w:b w:val="0"/>
          <w:szCs w:val="22"/>
        </w:rPr>
      </w:pPr>
      <w:r>
        <w:instrText>Division 2 — Schedule 4 poisons</w:instrText>
      </w:r>
    </w:p>
    <w:p>
      <w:pPr>
        <w:pStyle w:val="TOC8"/>
        <w:rPr>
          <w:rFonts w:asciiTheme="minorHAnsi" w:eastAsiaTheme="minorEastAsia" w:hAnsiTheme="minorHAnsi" w:cstheme="minorBidi"/>
          <w:szCs w:val="22"/>
        </w:rPr>
      </w:pPr>
      <w:r>
        <w:instrText>36</w:instrText>
      </w:r>
      <w:r>
        <w:rPr>
          <w:snapToGrid w:val="0"/>
        </w:rPr>
        <w:instrText>.</w:instrText>
      </w:r>
      <w:r>
        <w:rPr>
          <w:snapToGrid w:val="0"/>
        </w:rPr>
        <w:tab/>
        <w:instrText>Supply of poisons included in Schedule 4</w:instrText>
      </w:r>
      <w:r>
        <w:tab/>
      </w:r>
      <w:r>
        <w:fldChar w:fldCharType="begin"/>
      </w:r>
      <w:r>
        <w:instrText xml:space="preserve"> PAGEREF _Toc389746513 \h </w:instrText>
      </w:r>
      <w:r>
        <w:fldChar w:fldCharType="separate"/>
      </w:r>
      <w:r>
        <w:instrText>34</w:instrText>
      </w:r>
      <w:r>
        <w:fldChar w:fldCharType="end"/>
      </w:r>
    </w:p>
    <w:p>
      <w:pPr>
        <w:pStyle w:val="TOC8"/>
        <w:rPr>
          <w:rFonts w:asciiTheme="minorHAnsi" w:eastAsiaTheme="minorEastAsia" w:hAnsiTheme="minorHAnsi" w:cstheme="minorBidi"/>
          <w:szCs w:val="22"/>
        </w:rPr>
      </w:pPr>
      <w:r>
        <w:instrText>36AA.</w:instrText>
      </w:r>
      <w:r>
        <w:tab/>
        <w:instrText>Provision of “approved starter packs” by registered nurses</w:instrText>
      </w:r>
      <w:r>
        <w:tab/>
      </w:r>
      <w:r>
        <w:fldChar w:fldCharType="begin"/>
      </w:r>
      <w:r>
        <w:instrText xml:space="preserve"> PAGEREF _Toc389746514 \h </w:instrText>
      </w:r>
      <w:r>
        <w:fldChar w:fldCharType="separate"/>
      </w:r>
      <w:r>
        <w:instrText>38</w:instrText>
      </w:r>
      <w:r>
        <w:fldChar w:fldCharType="end"/>
      </w:r>
    </w:p>
    <w:p>
      <w:pPr>
        <w:pStyle w:val="TOC8"/>
        <w:rPr>
          <w:rFonts w:asciiTheme="minorHAnsi" w:eastAsiaTheme="minorEastAsia" w:hAnsiTheme="minorHAnsi" w:cstheme="minorBidi"/>
          <w:szCs w:val="22"/>
        </w:rPr>
      </w:pPr>
      <w:r>
        <w:instrText>36A.</w:instrText>
      </w:r>
      <w:r>
        <w:tab/>
        <w:instrText>Storage of substances included in Schedule 4</w:instrText>
      </w:r>
      <w:r>
        <w:tab/>
      </w:r>
      <w:r>
        <w:fldChar w:fldCharType="begin"/>
      </w:r>
      <w:r>
        <w:instrText xml:space="preserve"> PAGEREF _Toc389746515 \h </w:instrText>
      </w:r>
      <w:r>
        <w:fldChar w:fldCharType="separate"/>
      </w:r>
      <w:r>
        <w:instrText>42</w:instrText>
      </w:r>
      <w:r>
        <w:fldChar w:fldCharType="end"/>
      </w:r>
    </w:p>
    <w:p>
      <w:pPr>
        <w:pStyle w:val="TOC8"/>
        <w:rPr>
          <w:rFonts w:asciiTheme="minorHAnsi" w:eastAsiaTheme="minorEastAsia" w:hAnsiTheme="minorHAnsi" w:cstheme="minorBidi"/>
          <w:szCs w:val="22"/>
        </w:rPr>
      </w:pPr>
      <w:r>
        <w:instrText>36B.</w:instrText>
      </w:r>
      <w:r>
        <w:tab/>
        <w:instrText>Record of supply or administration of substances included in Schedule 4</w:instrText>
      </w:r>
      <w:r>
        <w:tab/>
      </w:r>
      <w:r>
        <w:fldChar w:fldCharType="begin"/>
      </w:r>
      <w:r>
        <w:instrText xml:space="preserve"> PAGEREF _Toc389746516 \h </w:instrText>
      </w:r>
      <w:r>
        <w:fldChar w:fldCharType="separate"/>
      </w:r>
      <w:r>
        <w:instrText>43</w:instrText>
      </w:r>
      <w:r>
        <w:fldChar w:fldCharType="end"/>
      </w:r>
    </w:p>
    <w:p>
      <w:pPr>
        <w:pStyle w:val="TOC8"/>
        <w:rPr>
          <w:rFonts w:asciiTheme="minorHAnsi" w:eastAsiaTheme="minorEastAsia" w:hAnsiTheme="minorHAnsi" w:cstheme="minorBidi"/>
          <w:szCs w:val="22"/>
        </w:rPr>
      </w:pPr>
      <w:r>
        <w:instrText>37</w:instrText>
      </w:r>
      <w:r>
        <w:rPr>
          <w:snapToGrid w:val="0"/>
        </w:rPr>
        <w:instrText>.</w:instrText>
      </w:r>
      <w:r>
        <w:rPr>
          <w:snapToGrid w:val="0"/>
        </w:rPr>
        <w:tab/>
        <w:instrText>Conditions for prescription of a poison included in Schedule 4</w:instrText>
      </w:r>
      <w:r>
        <w:tab/>
      </w:r>
      <w:r>
        <w:fldChar w:fldCharType="begin"/>
      </w:r>
      <w:r>
        <w:instrText xml:space="preserve"> PAGEREF _Toc389746517 \h </w:instrText>
      </w:r>
      <w:r>
        <w:fldChar w:fldCharType="separate"/>
      </w:r>
      <w:r>
        <w:instrText>44</w:instrText>
      </w:r>
      <w:r>
        <w:fldChar w:fldCharType="end"/>
      </w:r>
    </w:p>
    <w:p>
      <w:pPr>
        <w:pStyle w:val="TOC8"/>
        <w:rPr>
          <w:rFonts w:asciiTheme="minorHAnsi" w:eastAsiaTheme="minorEastAsia" w:hAnsiTheme="minorHAnsi" w:cstheme="minorBidi"/>
          <w:szCs w:val="22"/>
        </w:rPr>
      </w:pPr>
      <w:r>
        <w:instrText>38</w:instrText>
      </w:r>
      <w:r>
        <w:rPr>
          <w:snapToGrid w:val="0"/>
        </w:rPr>
        <w:instrText>.</w:instrText>
      </w:r>
      <w:r>
        <w:rPr>
          <w:snapToGrid w:val="0"/>
        </w:rPr>
        <w:tab/>
      </w:r>
      <w:r>
        <w:rPr>
          <w:snapToGrid w:val="0"/>
          <w:spacing w:val="-4"/>
        </w:rPr>
        <w:instrText>Dispensing poisons included in Schedule 4 in emergency cases</w:instrText>
      </w:r>
      <w:r>
        <w:tab/>
      </w:r>
      <w:r>
        <w:fldChar w:fldCharType="begin"/>
      </w:r>
      <w:r>
        <w:instrText xml:space="preserve"> PAGEREF _Toc389746518 \h </w:instrText>
      </w:r>
      <w:r>
        <w:fldChar w:fldCharType="separate"/>
      </w:r>
      <w:r>
        <w:instrText>46</w:instrText>
      </w:r>
      <w:r>
        <w:fldChar w:fldCharType="end"/>
      </w:r>
    </w:p>
    <w:p>
      <w:pPr>
        <w:pStyle w:val="TOC8"/>
        <w:rPr>
          <w:rFonts w:asciiTheme="minorHAnsi" w:eastAsiaTheme="minorEastAsia" w:hAnsiTheme="minorHAnsi" w:cstheme="minorBidi"/>
          <w:szCs w:val="22"/>
        </w:rPr>
      </w:pPr>
      <w:r>
        <w:instrText>38AA</w:instrText>
      </w:r>
      <w:r>
        <w:rPr>
          <w:snapToGrid w:val="0"/>
        </w:rPr>
        <w:instrText>.</w:instrText>
      </w:r>
      <w:r>
        <w:rPr>
          <w:snapToGrid w:val="0"/>
        </w:rPr>
        <w:tab/>
        <w:instrText>Administration of poisons included in Schedule 4 in hospital</w:instrText>
      </w:r>
      <w:r>
        <w:tab/>
      </w:r>
      <w:r>
        <w:fldChar w:fldCharType="begin"/>
      </w:r>
      <w:r>
        <w:instrText xml:space="preserve"> PAGEREF _Toc389746519 \h </w:instrText>
      </w:r>
      <w:r>
        <w:fldChar w:fldCharType="separate"/>
      </w:r>
      <w:r>
        <w:instrText>46</w:instrText>
      </w:r>
      <w:r>
        <w:fldChar w:fldCharType="end"/>
      </w:r>
    </w:p>
    <w:p>
      <w:pPr>
        <w:pStyle w:val="TOC8"/>
        <w:rPr>
          <w:rFonts w:asciiTheme="minorHAnsi" w:eastAsiaTheme="minorEastAsia" w:hAnsiTheme="minorHAnsi" w:cstheme="minorBidi"/>
          <w:szCs w:val="22"/>
        </w:rPr>
      </w:pPr>
      <w:r>
        <w:instrText>38C</w:instrText>
      </w:r>
      <w:r>
        <w:rPr>
          <w:snapToGrid w:val="0"/>
        </w:rPr>
        <w:instrText>.</w:instrText>
      </w:r>
      <w:r>
        <w:rPr>
          <w:snapToGrid w:val="0"/>
        </w:rPr>
        <w:tab/>
        <w:instrText>Clomiphene and cyclofenil</w:instrText>
      </w:r>
      <w:r>
        <w:tab/>
      </w:r>
      <w:r>
        <w:fldChar w:fldCharType="begin"/>
      </w:r>
      <w:r>
        <w:instrText xml:space="preserve"> PAGEREF _Toc389746520 \h </w:instrText>
      </w:r>
      <w:r>
        <w:fldChar w:fldCharType="separate"/>
      </w:r>
      <w:r>
        <w:instrText>47</w:instrText>
      </w:r>
      <w:r>
        <w:fldChar w:fldCharType="end"/>
      </w:r>
    </w:p>
    <w:p>
      <w:pPr>
        <w:pStyle w:val="TOC8"/>
        <w:rPr>
          <w:rFonts w:asciiTheme="minorHAnsi" w:eastAsiaTheme="minorEastAsia" w:hAnsiTheme="minorHAnsi" w:cstheme="minorBidi"/>
          <w:szCs w:val="22"/>
        </w:rPr>
      </w:pPr>
      <w:r>
        <w:instrText>38D</w:instrText>
      </w:r>
      <w:r>
        <w:rPr>
          <w:snapToGrid w:val="0"/>
        </w:rPr>
        <w:instrText>.</w:instrText>
      </w:r>
      <w:r>
        <w:rPr>
          <w:snapToGrid w:val="0"/>
        </w:rPr>
        <w:tab/>
        <w:instrText>Etretinate or acitretin</w:instrText>
      </w:r>
      <w:r>
        <w:tab/>
      </w:r>
      <w:r>
        <w:fldChar w:fldCharType="begin"/>
      </w:r>
      <w:r>
        <w:instrText xml:space="preserve"> PAGEREF _Toc389746521 \h </w:instrText>
      </w:r>
      <w:r>
        <w:fldChar w:fldCharType="separate"/>
      </w:r>
      <w:r>
        <w:instrText>47</w:instrText>
      </w:r>
      <w:r>
        <w:fldChar w:fldCharType="end"/>
      </w:r>
    </w:p>
    <w:p>
      <w:pPr>
        <w:pStyle w:val="TOC8"/>
        <w:rPr>
          <w:rFonts w:asciiTheme="minorHAnsi" w:eastAsiaTheme="minorEastAsia" w:hAnsiTheme="minorHAnsi" w:cstheme="minorBidi"/>
          <w:szCs w:val="22"/>
        </w:rPr>
      </w:pPr>
      <w:r>
        <w:instrText>38E</w:instrText>
      </w:r>
      <w:r>
        <w:rPr>
          <w:snapToGrid w:val="0"/>
        </w:rPr>
        <w:instrText>.</w:instrText>
      </w:r>
      <w:r>
        <w:rPr>
          <w:snapToGrid w:val="0"/>
        </w:rPr>
        <w:tab/>
        <w:instrText>Prostaglandins</w:instrText>
      </w:r>
      <w:r>
        <w:tab/>
      </w:r>
      <w:r>
        <w:fldChar w:fldCharType="begin"/>
      </w:r>
      <w:r>
        <w:instrText xml:space="preserve"> PAGEREF _Toc389746522 \h </w:instrText>
      </w:r>
      <w:r>
        <w:fldChar w:fldCharType="separate"/>
      </w:r>
      <w:r>
        <w:instrText>48</w:instrText>
      </w:r>
      <w:r>
        <w:fldChar w:fldCharType="end"/>
      </w:r>
    </w:p>
    <w:p>
      <w:pPr>
        <w:pStyle w:val="TOC8"/>
        <w:rPr>
          <w:rFonts w:asciiTheme="minorHAnsi" w:eastAsiaTheme="minorEastAsia" w:hAnsiTheme="minorHAnsi" w:cstheme="minorBidi"/>
          <w:szCs w:val="22"/>
        </w:rPr>
      </w:pPr>
      <w:r>
        <w:instrText>38F.</w:instrText>
      </w:r>
      <w:r>
        <w:tab/>
        <w:instrText>Isotr</w:instrText>
      </w:r>
      <w:r>
        <w:rPr>
          <w:snapToGrid w:val="0"/>
        </w:rPr>
        <w:instrText>e</w:instrText>
      </w:r>
      <w:r>
        <w:instrText>tinoin</w:instrText>
      </w:r>
      <w:r>
        <w:tab/>
      </w:r>
      <w:r>
        <w:fldChar w:fldCharType="begin"/>
      </w:r>
      <w:r>
        <w:instrText xml:space="preserve"> PAGEREF _Toc389746523 \h </w:instrText>
      </w:r>
      <w:r>
        <w:fldChar w:fldCharType="separate"/>
      </w:r>
      <w:r>
        <w:instrText>49</w:instrText>
      </w:r>
      <w:r>
        <w:fldChar w:fldCharType="end"/>
      </w:r>
    </w:p>
    <w:p>
      <w:pPr>
        <w:pStyle w:val="TOC8"/>
        <w:rPr>
          <w:rFonts w:asciiTheme="minorHAnsi" w:eastAsiaTheme="minorEastAsia" w:hAnsiTheme="minorHAnsi" w:cstheme="minorBidi"/>
          <w:szCs w:val="22"/>
        </w:rPr>
      </w:pPr>
      <w:r>
        <w:instrText>38G</w:instrText>
      </w:r>
      <w:r>
        <w:rPr>
          <w:snapToGrid w:val="0"/>
        </w:rPr>
        <w:instrText>.</w:instrText>
      </w:r>
      <w:r>
        <w:rPr>
          <w:snapToGrid w:val="0"/>
        </w:rPr>
        <w:tab/>
        <w:instrText>Thalidomide for human use</w:instrText>
      </w:r>
      <w:r>
        <w:tab/>
      </w:r>
      <w:r>
        <w:fldChar w:fldCharType="begin"/>
      </w:r>
      <w:r>
        <w:instrText xml:space="preserve"> PAGEREF _Toc389746524 \h </w:instrText>
      </w:r>
      <w:r>
        <w:fldChar w:fldCharType="separate"/>
      </w:r>
      <w:r>
        <w:instrText>49</w:instrText>
      </w:r>
      <w:r>
        <w:fldChar w:fldCharType="end"/>
      </w:r>
    </w:p>
    <w:p>
      <w:pPr>
        <w:pStyle w:val="TOC8"/>
        <w:rPr>
          <w:rFonts w:asciiTheme="minorHAnsi" w:eastAsiaTheme="minorEastAsia" w:hAnsiTheme="minorHAnsi" w:cstheme="minorBidi"/>
          <w:szCs w:val="22"/>
        </w:rPr>
      </w:pPr>
      <w:r>
        <w:instrText>38H</w:instrText>
      </w:r>
      <w:r>
        <w:rPr>
          <w:snapToGrid w:val="0"/>
        </w:rPr>
        <w:instrText>.</w:instrText>
      </w:r>
      <w:r>
        <w:rPr>
          <w:snapToGrid w:val="0"/>
        </w:rPr>
        <w:tab/>
        <w:instrText>Chloramphenicol</w:instrText>
      </w:r>
      <w:r>
        <w:tab/>
      </w:r>
      <w:r>
        <w:fldChar w:fldCharType="begin"/>
      </w:r>
      <w:r>
        <w:instrText xml:space="preserve"> PAGEREF _Toc389746525 \h </w:instrText>
      </w:r>
      <w:r>
        <w:fldChar w:fldCharType="separate"/>
      </w:r>
      <w:r>
        <w:instrText>50</w:instrText>
      </w:r>
      <w:r>
        <w:fldChar w:fldCharType="end"/>
      </w:r>
    </w:p>
    <w:p>
      <w:pPr>
        <w:pStyle w:val="TOC8"/>
        <w:rPr>
          <w:rFonts w:asciiTheme="minorHAnsi" w:eastAsiaTheme="minorEastAsia" w:hAnsiTheme="minorHAnsi" w:cstheme="minorBidi"/>
          <w:szCs w:val="22"/>
        </w:rPr>
      </w:pPr>
      <w:r>
        <w:instrText>38I</w:instrText>
      </w:r>
      <w:r>
        <w:rPr>
          <w:snapToGrid w:val="0"/>
        </w:rPr>
        <w:instrText>.</w:instrText>
      </w:r>
      <w:r>
        <w:rPr>
          <w:snapToGrid w:val="0"/>
        </w:rPr>
        <w:tab/>
        <w:instrText>Follicular stimulating hormone and luteinising hormone</w:instrText>
      </w:r>
      <w:r>
        <w:tab/>
      </w:r>
      <w:r>
        <w:fldChar w:fldCharType="begin"/>
      </w:r>
      <w:r>
        <w:instrText xml:space="preserve"> PAGEREF _Toc389746526 \h </w:instrText>
      </w:r>
      <w:r>
        <w:fldChar w:fldCharType="separate"/>
      </w:r>
      <w:r>
        <w:instrText>50</w:instrText>
      </w:r>
      <w:r>
        <w:fldChar w:fldCharType="end"/>
      </w:r>
    </w:p>
    <w:p>
      <w:pPr>
        <w:pStyle w:val="TOC8"/>
        <w:rPr>
          <w:rFonts w:asciiTheme="minorHAnsi" w:eastAsiaTheme="minorEastAsia" w:hAnsiTheme="minorHAnsi" w:cstheme="minorBidi"/>
          <w:szCs w:val="22"/>
        </w:rPr>
      </w:pPr>
      <w:r>
        <w:instrText>38K</w:instrText>
      </w:r>
      <w:r>
        <w:rPr>
          <w:snapToGrid w:val="0"/>
        </w:rPr>
        <w:instrText>.</w:instrText>
      </w:r>
      <w:r>
        <w:rPr>
          <w:snapToGrid w:val="0"/>
        </w:rPr>
        <w:tab/>
        <w:instrText>Carnidazole</w:instrText>
      </w:r>
      <w:r>
        <w:tab/>
      </w:r>
      <w:r>
        <w:fldChar w:fldCharType="begin"/>
      </w:r>
      <w:r>
        <w:instrText xml:space="preserve"> PAGEREF _Toc389746527 \h </w:instrText>
      </w:r>
      <w:r>
        <w:fldChar w:fldCharType="separate"/>
      </w:r>
      <w:r>
        <w:instrText>51</w:instrText>
      </w:r>
      <w:r>
        <w:fldChar w:fldCharType="end"/>
      </w:r>
    </w:p>
    <w:p>
      <w:pPr>
        <w:pStyle w:val="TOC8"/>
        <w:rPr>
          <w:rFonts w:asciiTheme="minorHAnsi" w:eastAsiaTheme="minorEastAsia" w:hAnsiTheme="minorHAnsi" w:cstheme="minorBidi"/>
          <w:szCs w:val="22"/>
        </w:rPr>
      </w:pPr>
      <w:r>
        <w:instrText>38L</w:instrText>
      </w:r>
      <w:r>
        <w:rPr>
          <w:snapToGrid w:val="0"/>
        </w:rPr>
        <w:instrText>.</w:instrText>
      </w:r>
      <w:r>
        <w:rPr>
          <w:snapToGrid w:val="0"/>
        </w:rPr>
        <w:tab/>
        <w:instrText>Oxolinic acid</w:instrText>
      </w:r>
      <w:r>
        <w:tab/>
      </w:r>
      <w:r>
        <w:fldChar w:fldCharType="begin"/>
      </w:r>
      <w:r>
        <w:instrText xml:space="preserve"> PAGEREF _Toc389746528 \h </w:instrText>
      </w:r>
      <w:r>
        <w:fldChar w:fldCharType="separate"/>
      </w:r>
      <w:r>
        <w:instrText>51</w:instrText>
      </w:r>
      <w:r>
        <w:fldChar w:fldCharType="end"/>
      </w:r>
    </w:p>
    <w:p>
      <w:pPr>
        <w:pStyle w:val="TOC8"/>
        <w:rPr>
          <w:rFonts w:asciiTheme="minorHAnsi" w:eastAsiaTheme="minorEastAsia" w:hAnsiTheme="minorHAnsi" w:cstheme="minorBidi"/>
          <w:szCs w:val="22"/>
        </w:rPr>
      </w:pPr>
      <w:r>
        <w:instrText>38M</w:instrText>
      </w:r>
      <w:r>
        <w:rPr>
          <w:snapToGrid w:val="0"/>
        </w:rPr>
        <w:instrText>.</w:instrText>
      </w:r>
      <w:r>
        <w:rPr>
          <w:snapToGrid w:val="0"/>
        </w:rPr>
        <w:tab/>
        <w:instrText>Clozapine</w:instrText>
      </w:r>
      <w:r>
        <w:tab/>
      </w:r>
      <w:r>
        <w:fldChar w:fldCharType="begin"/>
      </w:r>
      <w:r>
        <w:instrText xml:space="preserve"> PAGEREF _Toc389746529 \h </w:instrText>
      </w:r>
      <w:r>
        <w:fldChar w:fldCharType="separate"/>
      </w:r>
      <w:r>
        <w:instrText>51</w:instrText>
      </w:r>
      <w:r>
        <w:fldChar w:fldCharType="end"/>
      </w:r>
    </w:p>
    <w:p>
      <w:pPr>
        <w:pStyle w:val="TOC8"/>
        <w:rPr>
          <w:rFonts w:asciiTheme="minorHAnsi" w:eastAsiaTheme="minorEastAsia" w:hAnsiTheme="minorHAnsi" w:cstheme="minorBidi"/>
          <w:szCs w:val="22"/>
        </w:rPr>
      </w:pPr>
      <w:r>
        <w:instrText>38N</w:instrText>
      </w:r>
      <w:r>
        <w:rPr>
          <w:snapToGrid w:val="0"/>
        </w:rPr>
        <w:instrText>.</w:instrText>
      </w:r>
      <w:r>
        <w:rPr>
          <w:snapToGrid w:val="0"/>
        </w:rPr>
        <w:tab/>
        <w:instrText>Nitrofuran derivatives</w:instrText>
      </w:r>
      <w:r>
        <w:tab/>
      </w:r>
      <w:r>
        <w:fldChar w:fldCharType="begin"/>
      </w:r>
      <w:r>
        <w:instrText xml:space="preserve"> PAGEREF _Toc389746530 \h </w:instrText>
      </w:r>
      <w:r>
        <w:fldChar w:fldCharType="separate"/>
      </w:r>
      <w:r>
        <w:instrText>52</w:instrText>
      </w:r>
      <w:r>
        <w:fldChar w:fldCharType="end"/>
      </w:r>
    </w:p>
    <w:p>
      <w:pPr>
        <w:pStyle w:val="TOC8"/>
        <w:rPr>
          <w:rFonts w:asciiTheme="minorHAnsi" w:eastAsiaTheme="minorEastAsia" w:hAnsiTheme="minorHAnsi" w:cstheme="minorBidi"/>
          <w:szCs w:val="22"/>
        </w:rPr>
      </w:pPr>
      <w:r>
        <w:instrText>38O.</w:instrText>
      </w:r>
      <w:r>
        <w:tab/>
        <w:instrText>Bosentan for human use</w:instrText>
      </w:r>
      <w:r>
        <w:tab/>
      </w:r>
      <w:r>
        <w:fldChar w:fldCharType="begin"/>
      </w:r>
      <w:r>
        <w:instrText xml:space="preserve"> PAGEREF _Toc389746531 \h </w:instrText>
      </w:r>
      <w:r>
        <w:fldChar w:fldCharType="separate"/>
      </w:r>
      <w:r>
        <w:instrText>52</w:instrText>
      </w:r>
      <w:r>
        <w:fldChar w:fldCharType="end"/>
      </w:r>
    </w:p>
    <w:p>
      <w:pPr>
        <w:pStyle w:val="TOC8"/>
        <w:rPr>
          <w:rFonts w:asciiTheme="minorHAnsi" w:eastAsiaTheme="minorEastAsia" w:hAnsiTheme="minorHAnsi" w:cstheme="minorBidi"/>
          <w:szCs w:val="22"/>
        </w:rPr>
      </w:pPr>
      <w:r>
        <w:instrText>38P.</w:instrText>
      </w:r>
      <w:r>
        <w:tab/>
        <w:instrText>Teriparatide for human use</w:instrText>
      </w:r>
      <w:r>
        <w:tab/>
      </w:r>
      <w:r>
        <w:fldChar w:fldCharType="begin"/>
      </w:r>
      <w:r>
        <w:instrText xml:space="preserve"> PAGEREF _Toc389746532 \h </w:instrText>
      </w:r>
      <w:r>
        <w:fldChar w:fldCharType="separate"/>
      </w:r>
      <w:r>
        <w:instrText>53</w:instrText>
      </w:r>
      <w:r>
        <w:fldChar w:fldCharType="end"/>
      </w:r>
    </w:p>
    <w:p>
      <w:pPr>
        <w:pStyle w:val="TOC8"/>
        <w:rPr>
          <w:rFonts w:asciiTheme="minorHAnsi" w:eastAsiaTheme="minorEastAsia" w:hAnsiTheme="minorHAnsi" w:cstheme="minorBidi"/>
          <w:szCs w:val="22"/>
        </w:rPr>
      </w:pPr>
      <w:r>
        <w:instrText>39</w:instrText>
      </w:r>
      <w:r>
        <w:rPr>
          <w:snapToGrid w:val="0"/>
        </w:rPr>
        <w:instrText>.</w:instrText>
      </w:r>
      <w:r>
        <w:rPr>
          <w:snapToGrid w:val="0"/>
        </w:rPr>
        <w:tab/>
        <w:instrText>Veterinary use of poisons included in Schedule 4</w:instrText>
      </w:r>
      <w:r>
        <w:tab/>
      </w:r>
      <w:r>
        <w:fldChar w:fldCharType="begin"/>
      </w:r>
      <w:r>
        <w:instrText xml:space="preserve"> PAGEREF _Toc389746533 \h </w:instrText>
      </w:r>
      <w:r>
        <w:fldChar w:fldCharType="separate"/>
      </w:r>
      <w:r>
        <w:instrText>53</w:instrText>
      </w:r>
      <w:r>
        <w:fldChar w:fldCharType="end"/>
      </w:r>
    </w:p>
    <w:p>
      <w:pPr>
        <w:pStyle w:val="TOC8"/>
        <w:rPr>
          <w:rFonts w:asciiTheme="minorHAnsi" w:eastAsiaTheme="minorEastAsia" w:hAnsiTheme="minorHAnsi" w:cstheme="minorBidi"/>
          <w:szCs w:val="22"/>
        </w:rPr>
      </w:pPr>
      <w:r>
        <w:instrText>39A</w:instrText>
      </w:r>
      <w:r>
        <w:rPr>
          <w:snapToGrid w:val="0"/>
        </w:rPr>
        <w:instrText>.</w:instrText>
      </w:r>
      <w:r>
        <w:rPr>
          <w:snapToGrid w:val="0"/>
        </w:rPr>
        <w:tab/>
        <w:instrText>Stockfeed manufacturers may sell poisons included in Schedule 4</w:instrText>
      </w:r>
      <w:r>
        <w:tab/>
      </w:r>
      <w:r>
        <w:fldChar w:fldCharType="begin"/>
      </w:r>
      <w:r>
        <w:instrText xml:space="preserve"> PAGEREF _Toc389746534 \h </w:instrText>
      </w:r>
      <w:r>
        <w:fldChar w:fldCharType="separate"/>
      </w:r>
      <w:r>
        <w:instrText>54</w:instrText>
      </w:r>
      <w:r>
        <w:fldChar w:fldCharType="end"/>
      </w:r>
    </w:p>
    <w:p>
      <w:pPr>
        <w:pStyle w:val="TOC8"/>
        <w:rPr>
          <w:rFonts w:asciiTheme="minorHAnsi" w:eastAsiaTheme="minorEastAsia" w:hAnsiTheme="minorHAnsi" w:cstheme="minorBidi"/>
          <w:szCs w:val="22"/>
        </w:rPr>
      </w:pPr>
      <w:r>
        <w:instrText>39B</w:instrText>
      </w:r>
      <w:r>
        <w:rPr>
          <w:snapToGrid w:val="0"/>
        </w:rPr>
        <w:instrText>.</w:instrText>
      </w:r>
      <w:r>
        <w:rPr>
          <w:snapToGrid w:val="0"/>
        </w:rPr>
        <w:tab/>
        <w:instrText>Use of poisons included in Schedule 4 on ships and aircraft</w:instrText>
      </w:r>
      <w:r>
        <w:tab/>
      </w:r>
      <w:r>
        <w:fldChar w:fldCharType="begin"/>
      </w:r>
      <w:r>
        <w:instrText xml:space="preserve"> PAGEREF _Toc389746535 \h </w:instrText>
      </w:r>
      <w:r>
        <w:fldChar w:fldCharType="separate"/>
      </w:r>
      <w:r>
        <w:instrText>55</w:instrText>
      </w:r>
      <w:r>
        <w:fldChar w:fldCharType="end"/>
      </w:r>
    </w:p>
    <w:p>
      <w:pPr>
        <w:pStyle w:val="TOC8"/>
        <w:rPr>
          <w:rFonts w:asciiTheme="minorHAnsi" w:eastAsiaTheme="minorEastAsia" w:hAnsiTheme="minorHAnsi" w:cstheme="minorBidi"/>
          <w:szCs w:val="22"/>
        </w:rPr>
      </w:pPr>
      <w:r>
        <w:instrText>39C.</w:instrText>
      </w:r>
      <w:r>
        <w:tab/>
        <w:instrText>Use of poisons included in Schedule 4 on ships carrying livestock</w:instrText>
      </w:r>
      <w:r>
        <w:tab/>
      </w:r>
      <w:r>
        <w:fldChar w:fldCharType="begin"/>
      </w:r>
      <w:r>
        <w:instrText xml:space="preserve"> PAGEREF _Toc389746536 \h </w:instrText>
      </w:r>
      <w:r>
        <w:fldChar w:fldCharType="separate"/>
      </w:r>
      <w:r>
        <w:instrText>56</w:instrText>
      </w:r>
      <w:r>
        <w:fldChar w:fldCharType="end"/>
      </w:r>
    </w:p>
    <w:p>
      <w:pPr>
        <w:pStyle w:val="TOC8"/>
        <w:rPr>
          <w:rFonts w:asciiTheme="minorHAnsi" w:eastAsiaTheme="minorEastAsia" w:hAnsiTheme="minorHAnsi" w:cstheme="minorBidi"/>
          <w:szCs w:val="22"/>
        </w:rPr>
      </w:pPr>
      <w:r>
        <w:instrText>40</w:instrText>
      </w:r>
      <w:r>
        <w:rPr>
          <w:snapToGrid w:val="0"/>
        </w:rPr>
        <w:instrText>.</w:instrText>
      </w:r>
      <w:r>
        <w:rPr>
          <w:snapToGrid w:val="0"/>
        </w:rPr>
        <w:tab/>
        <w:instrText>Special authority to purchase poisons included in Schedule 4</w:instrText>
      </w:r>
      <w:r>
        <w:tab/>
      </w:r>
      <w:r>
        <w:fldChar w:fldCharType="begin"/>
      </w:r>
      <w:r>
        <w:instrText xml:space="preserve"> PAGEREF _Toc389746537 \h </w:instrText>
      </w:r>
      <w:r>
        <w:fldChar w:fldCharType="separate"/>
      </w:r>
      <w:r>
        <w:instrText>57</w:instrText>
      </w:r>
      <w:r>
        <w:fldChar w:fldCharType="end"/>
      </w:r>
    </w:p>
    <w:p>
      <w:pPr>
        <w:pStyle w:val="TOC8"/>
        <w:rPr>
          <w:rFonts w:asciiTheme="minorHAnsi" w:eastAsiaTheme="minorEastAsia" w:hAnsiTheme="minorHAnsi" w:cstheme="minorBidi"/>
          <w:szCs w:val="22"/>
        </w:rPr>
      </w:pPr>
      <w:r>
        <w:instrText>40A</w:instrText>
      </w:r>
      <w:r>
        <w:rPr>
          <w:snapToGrid w:val="0"/>
        </w:rPr>
        <w:instrText>.</w:instrText>
      </w:r>
      <w:r>
        <w:rPr>
          <w:snapToGrid w:val="0"/>
        </w:rPr>
        <w:tab/>
        <w:instrText>Delivery of a poison included in Schedule 4 on order</w:instrText>
      </w:r>
      <w:r>
        <w:tab/>
      </w:r>
      <w:r>
        <w:fldChar w:fldCharType="begin"/>
      </w:r>
      <w:r>
        <w:instrText xml:space="preserve"> PAGEREF _Toc389746538 \h </w:instrText>
      </w:r>
      <w:r>
        <w:fldChar w:fldCharType="separate"/>
      </w:r>
      <w:r>
        <w:instrText>59</w:instrText>
      </w:r>
      <w:r>
        <w:fldChar w:fldCharType="end"/>
      </w:r>
    </w:p>
    <w:p>
      <w:pPr>
        <w:pStyle w:val="TOC4"/>
        <w:tabs>
          <w:tab w:val="right" w:leader="dot" w:pos="7086"/>
        </w:tabs>
        <w:rPr>
          <w:rFonts w:asciiTheme="minorHAnsi" w:eastAsiaTheme="minorEastAsia" w:hAnsiTheme="minorHAnsi" w:cstheme="minorBidi"/>
          <w:b w:val="0"/>
          <w:szCs w:val="22"/>
        </w:rPr>
      </w:pPr>
      <w:r>
        <w:instrText>Division 3 — General</w:instrText>
      </w:r>
    </w:p>
    <w:p>
      <w:pPr>
        <w:pStyle w:val="TOC8"/>
        <w:rPr>
          <w:rFonts w:asciiTheme="minorHAnsi" w:eastAsiaTheme="minorEastAsia" w:hAnsiTheme="minorHAnsi" w:cstheme="minorBidi"/>
          <w:szCs w:val="22"/>
        </w:rPr>
      </w:pPr>
      <w:r>
        <w:instrText>41</w:instrText>
      </w:r>
      <w:r>
        <w:rPr>
          <w:snapToGrid w:val="0"/>
        </w:rPr>
        <w:instrText>.</w:instrText>
      </w:r>
      <w:r>
        <w:rPr>
          <w:snapToGrid w:val="0"/>
        </w:rPr>
        <w:tab/>
        <w:instrText>Revocation notice in relation to poisons included in Schedule 6</w:instrText>
      </w:r>
      <w:r>
        <w:tab/>
      </w:r>
      <w:r>
        <w:fldChar w:fldCharType="begin"/>
      </w:r>
      <w:r>
        <w:instrText xml:space="preserve"> PAGEREF _Toc389746540 \h </w:instrText>
      </w:r>
      <w:r>
        <w:fldChar w:fldCharType="separate"/>
      </w:r>
      <w:r>
        <w:instrText>59</w:instrText>
      </w:r>
      <w:r>
        <w:fldChar w:fldCharType="end"/>
      </w:r>
    </w:p>
    <w:p>
      <w:pPr>
        <w:pStyle w:val="TOC8"/>
        <w:rPr>
          <w:rFonts w:asciiTheme="minorHAnsi" w:eastAsiaTheme="minorEastAsia" w:hAnsiTheme="minorHAnsi" w:cstheme="minorBidi"/>
          <w:szCs w:val="22"/>
        </w:rPr>
      </w:pPr>
      <w:r>
        <w:instrText>41A</w:instrText>
      </w:r>
      <w:r>
        <w:rPr>
          <w:snapToGrid w:val="0"/>
        </w:rPr>
        <w:instrText>.</w:instrText>
      </w:r>
      <w:r>
        <w:rPr>
          <w:snapToGrid w:val="0"/>
        </w:rPr>
        <w:tab/>
        <w:instrText>Sale of poisons included in Schedule 7</w:instrText>
      </w:r>
      <w:r>
        <w:tab/>
      </w:r>
      <w:r>
        <w:fldChar w:fldCharType="begin"/>
      </w:r>
      <w:r>
        <w:instrText xml:space="preserve"> PAGEREF _Toc389746541 \h </w:instrText>
      </w:r>
      <w:r>
        <w:fldChar w:fldCharType="separate"/>
      </w:r>
      <w:r>
        <w:instrText>60</w:instrText>
      </w:r>
      <w:r>
        <w:fldChar w:fldCharType="end"/>
      </w:r>
    </w:p>
    <w:p>
      <w:pPr>
        <w:pStyle w:val="TOC8"/>
        <w:rPr>
          <w:rFonts w:asciiTheme="minorHAnsi" w:eastAsiaTheme="minorEastAsia" w:hAnsiTheme="minorHAnsi" w:cstheme="minorBidi"/>
          <w:szCs w:val="22"/>
        </w:rPr>
      </w:pPr>
      <w:r>
        <w:instrText>41AA</w:instrText>
      </w:r>
      <w:r>
        <w:rPr>
          <w:snapToGrid w:val="0"/>
        </w:rPr>
        <w:instrText>.</w:instrText>
      </w:r>
      <w:r>
        <w:rPr>
          <w:snapToGrid w:val="0"/>
        </w:rPr>
        <w:tab/>
        <w:instrText>Standard for intramammary antibiotic preparations</w:instrText>
      </w:r>
      <w:r>
        <w:tab/>
      </w:r>
      <w:r>
        <w:fldChar w:fldCharType="begin"/>
      </w:r>
      <w:r>
        <w:instrText xml:space="preserve"> PAGEREF _Toc389746542 \h </w:instrText>
      </w:r>
      <w:r>
        <w:fldChar w:fldCharType="separate"/>
      </w:r>
      <w:r>
        <w:instrText>61</w:instrText>
      </w:r>
      <w:r>
        <w:fldChar w:fldCharType="end"/>
      </w:r>
    </w:p>
    <w:p>
      <w:pPr>
        <w:pStyle w:val="TOC8"/>
        <w:rPr>
          <w:rFonts w:asciiTheme="minorHAnsi" w:eastAsiaTheme="minorEastAsia" w:hAnsiTheme="minorHAnsi" w:cstheme="minorBidi"/>
          <w:szCs w:val="22"/>
        </w:rPr>
      </w:pPr>
      <w:r>
        <w:instrText>41AB</w:instrText>
      </w:r>
      <w:r>
        <w:rPr>
          <w:snapToGrid w:val="0"/>
        </w:rPr>
        <w:instrText>.</w:instrText>
      </w:r>
      <w:r>
        <w:rPr>
          <w:snapToGrid w:val="0"/>
        </w:rPr>
        <w:tab/>
        <w:instrText>Camphor and naphthalene</w:instrText>
      </w:r>
      <w:r>
        <w:tab/>
      </w:r>
      <w:r>
        <w:fldChar w:fldCharType="begin"/>
      </w:r>
      <w:r>
        <w:instrText xml:space="preserve"> PAGEREF _Toc389746543 \h </w:instrText>
      </w:r>
      <w:r>
        <w:fldChar w:fldCharType="separate"/>
      </w:r>
      <w:r>
        <w:instrText>61</w:instrText>
      </w:r>
      <w:r>
        <w:fldChar w:fldCharType="end"/>
      </w:r>
    </w:p>
    <w:p>
      <w:pPr>
        <w:pStyle w:val="TOC8"/>
        <w:rPr>
          <w:rFonts w:asciiTheme="minorHAnsi" w:eastAsiaTheme="minorEastAsia" w:hAnsiTheme="minorHAnsi" w:cstheme="minorBidi"/>
          <w:szCs w:val="22"/>
        </w:rPr>
      </w:pPr>
      <w:r>
        <w:instrText>41B</w:instrText>
      </w:r>
      <w:r>
        <w:rPr>
          <w:snapToGrid w:val="0"/>
        </w:rPr>
        <w:instrText>.</w:instrText>
      </w:r>
      <w:r>
        <w:rPr>
          <w:snapToGrid w:val="0"/>
        </w:rPr>
        <w:tab/>
        <w:instrText>Record of poisons included in Schedule 3, 4 or 7</w:instrText>
      </w:r>
      <w:r>
        <w:tab/>
      </w:r>
      <w:r>
        <w:fldChar w:fldCharType="begin"/>
      </w:r>
      <w:r>
        <w:instrText xml:space="preserve"> PAGEREF _Toc389746544 \h </w:instrText>
      </w:r>
      <w:r>
        <w:fldChar w:fldCharType="separate"/>
      </w:r>
      <w:r>
        <w:instrText>61</w:instrText>
      </w:r>
      <w:r>
        <w:fldChar w:fldCharType="end"/>
      </w:r>
    </w:p>
    <w:p>
      <w:pPr>
        <w:pStyle w:val="TOC8"/>
        <w:rPr>
          <w:rFonts w:asciiTheme="minorHAnsi" w:eastAsiaTheme="minorEastAsia" w:hAnsiTheme="minorHAnsi" w:cstheme="minorBidi"/>
          <w:szCs w:val="22"/>
        </w:rPr>
      </w:pPr>
      <w:r>
        <w:instrText>41C</w:instrText>
      </w:r>
      <w:r>
        <w:rPr>
          <w:snapToGrid w:val="0"/>
        </w:rPr>
        <w:instrText>.</w:instrText>
      </w:r>
      <w:r>
        <w:rPr>
          <w:snapToGrid w:val="0"/>
        </w:rPr>
        <w:tab/>
        <w:instrText>Access to poisons included in Schedule 7</w:instrText>
      </w:r>
      <w:r>
        <w:tab/>
      </w:r>
      <w:r>
        <w:fldChar w:fldCharType="begin"/>
      </w:r>
      <w:r>
        <w:instrText xml:space="preserve"> PAGEREF _Toc389746545 \h </w:instrText>
      </w:r>
      <w:r>
        <w:fldChar w:fldCharType="separate"/>
      </w:r>
      <w:r>
        <w:instrText>62</w:instrText>
      </w:r>
      <w:r>
        <w:fldChar w:fldCharType="end"/>
      </w:r>
    </w:p>
    <w:p>
      <w:pPr>
        <w:pStyle w:val="TOC2"/>
        <w:tabs>
          <w:tab w:val="right" w:leader="dot" w:pos="7086"/>
        </w:tabs>
        <w:rPr>
          <w:rFonts w:asciiTheme="minorHAnsi" w:eastAsiaTheme="minorEastAsia" w:hAnsiTheme="minorHAnsi" w:cstheme="minorBidi"/>
          <w:b w:val="0"/>
          <w:sz w:val="22"/>
          <w:szCs w:val="22"/>
        </w:rPr>
      </w:pPr>
      <w:r>
        <w:instrText>Part 6 — Drugs of addiction</w:instrText>
      </w:r>
    </w:p>
    <w:p>
      <w:pPr>
        <w:pStyle w:val="TOC4"/>
        <w:tabs>
          <w:tab w:val="right" w:leader="dot" w:pos="7086"/>
        </w:tabs>
        <w:rPr>
          <w:rFonts w:asciiTheme="minorHAnsi" w:eastAsiaTheme="minorEastAsia" w:hAnsiTheme="minorHAnsi" w:cstheme="minorBidi"/>
          <w:b w:val="0"/>
          <w:szCs w:val="22"/>
        </w:rPr>
      </w:pPr>
      <w:r>
        <w:instrText>Division 1 — General</w:instrText>
      </w:r>
    </w:p>
    <w:p>
      <w:pPr>
        <w:pStyle w:val="TOC8"/>
        <w:rPr>
          <w:rFonts w:asciiTheme="minorHAnsi" w:eastAsiaTheme="minorEastAsia" w:hAnsiTheme="minorHAnsi" w:cstheme="minorBidi"/>
          <w:szCs w:val="22"/>
        </w:rPr>
      </w:pPr>
      <w:r>
        <w:instrText>42A.</w:instrText>
      </w:r>
      <w:r>
        <w:tab/>
        <w:instrText>Interpretation</w:instrText>
      </w:r>
      <w:r>
        <w:tab/>
      </w:r>
      <w:r>
        <w:fldChar w:fldCharType="begin"/>
      </w:r>
      <w:r>
        <w:instrText xml:space="preserve"> PAGEREF _Toc389746548 \h </w:instrText>
      </w:r>
      <w:r>
        <w:fldChar w:fldCharType="separate"/>
      </w:r>
      <w:r>
        <w:instrText>63</w:instrText>
      </w:r>
      <w:r>
        <w:fldChar w:fldCharType="end"/>
      </w:r>
    </w:p>
    <w:p>
      <w:pPr>
        <w:pStyle w:val="TOC8"/>
        <w:rPr>
          <w:rFonts w:asciiTheme="minorHAnsi" w:eastAsiaTheme="minorEastAsia" w:hAnsiTheme="minorHAnsi" w:cstheme="minorBidi"/>
          <w:szCs w:val="22"/>
        </w:rPr>
      </w:pPr>
      <w:r>
        <w:instrText>42</w:instrText>
      </w:r>
      <w:r>
        <w:rPr>
          <w:snapToGrid w:val="0"/>
        </w:rPr>
        <w:instrText>.</w:instrText>
      </w:r>
      <w:r>
        <w:rPr>
          <w:snapToGrid w:val="0"/>
        </w:rPr>
        <w:tab/>
        <w:instrText>Authority for prescribed persons to procure and have poisons included in Schedule 8</w:instrText>
      </w:r>
      <w:r>
        <w:tab/>
      </w:r>
      <w:r>
        <w:fldChar w:fldCharType="begin"/>
      </w:r>
      <w:r>
        <w:instrText xml:space="preserve"> PAGEREF _Toc389746549 \h </w:instrText>
      </w:r>
      <w:r>
        <w:fldChar w:fldCharType="separate"/>
      </w:r>
      <w:r>
        <w:instrText>63</w:instrText>
      </w:r>
      <w:r>
        <w:fldChar w:fldCharType="end"/>
      </w:r>
    </w:p>
    <w:p>
      <w:pPr>
        <w:pStyle w:val="TOC8"/>
        <w:rPr>
          <w:rFonts w:asciiTheme="minorHAnsi" w:eastAsiaTheme="minorEastAsia" w:hAnsiTheme="minorHAnsi" w:cstheme="minorBidi"/>
          <w:szCs w:val="22"/>
        </w:rPr>
      </w:pPr>
      <w:r>
        <w:instrText>43</w:instrText>
      </w:r>
      <w:r>
        <w:rPr>
          <w:snapToGrid w:val="0"/>
        </w:rPr>
        <w:instrText>.</w:instrText>
      </w:r>
      <w:r>
        <w:rPr>
          <w:snapToGrid w:val="0"/>
        </w:rPr>
        <w:tab/>
        <w:instrText>Authority for pharmacists to retail, compound and dispense poisons included in Schedule 8</w:instrText>
      </w:r>
      <w:r>
        <w:tab/>
      </w:r>
      <w:r>
        <w:fldChar w:fldCharType="begin"/>
      </w:r>
      <w:r>
        <w:instrText xml:space="preserve"> PAGEREF _Toc389746550 \h </w:instrText>
      </w:r>
      <w:r>
        <w:fldChar w:fldCharType="separate"/>
      </w:r>
      <w:r>
        <w:instrText>65</w:instrText>
      </w:r>
      <w:r>
        <w:fldChar w:fldCharType="end"/>
      </w:r>
    </w:p>
    <w:p>
      <w:pPr>
        <w:pStyle w:val="TOC8"/>
        <w:rPr>
          <w:rFonts w:asciiTheme="minorHAnsi" w:eastAsiaTheme="minorEastAsia" w:hAnsiTheme="minorHAnsi" w:cstheme="minorBidi"/>
          <w:szCs w:val="22"/>
        </w:rPr>
      </w:pPr>
      <w:r>
        <w:instrText>43A</w:instrText>
      </w:r>
      <w:r>
        <w:rPr>
          <w:snapToGrid w:val="0"/>
        </w:rPr>
        <w:instrText>.</w:instrText>
      </w:r>
      <w:r>
        <w:rPr>
          <w:snapToGrid w:val="0"/>
        </w:rPr>
        <w:tab/>
        <w:instrText>Revocation notice in relation to poisons included in Schedule 8 and specified drugs</w:instrText>
      </w:r>
      <w:r>
        <w:tab/>
      </w:r>
      <w:r>
        <w:fldChar w:fldCharType="begin"/>
      </w:r>
      <w:r>
        <w:instrText xml:space="preserve"> PAGEREF _Toc389746551 \h </w:instrText>
      </w:r>
      <w:r>
        <w:fldChar w:fldCharType="separate"/>
      </w:r>
      <w:r>
        <w:instrText>65</w:instrText>
      </w:r>
      <w:r>
        <w:fldChar w:fldCharType="end"/>
      </w:r>
    </w:p>
    <w:p>
      <w:pPr>
        <w:pStyle w:val="TOC8"/>
        <w:rPr>
          <w:rFonts w:asciiTheme="minorHAnsi" w:eastAsiaTheme="minorEastAsia" w:hAnsiTheme="minorHAnsi" w:cstheme="minorBidi"/>
          <w:szCs w:val="22"/>
        </w:rPr>
      </w:pPr>
      <w:r>
        <w:instrText>43B</w:instrText>
      </w:r>
      <w:r>
        <w:rPr>
          <w:snapToGrid w:val="0"/>
        </w:rPr>
        <w:instrText>.</w:instrText>
      </w:r>
      <w:r>
        <w:rPr>
          <w:snapToGrid w:val="0"/>
        </w:rPr>
        <w:tab/>
        <w:instrText>Prescribed purposes (section 41(1))</w:instrText>
      </w:r>
      <w:r>
        <w:tab/>
      </w:r>
      <w:r>
        <w:fldChar w:fldCharType="begin"/>
      </w:r>
      <w:r>
        <w:instrText xml:space="preserve"> PAGEREF _Toc389746552 \h </w:instrText>
      </w:r>
      <w:r>
        <w:fldChar w:fldCharType="separate"/>
      </w:r>
      <w:r>
        <w:instrText>66</w:instrText>
      </w:r>
      <w:r>
        <w:fldChar w:fldCharType="end"/>
      </w:r>
    </w:p>
    <w:p>
      <w:pPr>
        <w:pStyle w:val="TOC8"/>
        <w:rPr>
          <w:rFonts w:asciiTheme="minorHAnsi" w:eastAsiaTheme="minorEastAsia" w:hAnsiTheme="minorHAnsi" w:cstheme="minorBidi"/>
          <w:szCs w:val="22"/>
        </w:rPr>
      </w:pPr>
      <w:r>
        <w:instrText>43C</w:instrText>
      </w:r>
      <w:r>
        <w:rPr>
          <w:snapToGrid w:val="0"/>
        </w:rPr>
        <w:instrText>.</w:instrText>
      </w:r>
      <w:r>
        <w:rPr>
          <w:snapToGrid w:val="0"/>
        </w:rPr>
        <w:tab/>
        <w:instrText>Advertising of substances included in Schedule 8</w:instrText>
      </w:r>
      <w:r>
        <w:tab/>
      </w:r>
      <w:r>
        <w:fldChar w:fldCharType="begin"/>
      </w:r>
      <w:r>
        <w:instrText xml:space="preserve"> PAGEREF _Toc389746553 \h </w:instrText>
      </w:r>
      <w:r>
        <w:fldChar w:fldCharType="separate"/>
      </w:r>
      <w:r>
        <w:instrText>66</w:instrText>
      </w:r>
      <w:r>
        <w:fldChar w:fldCharType="end"/>
      </w:r>
    </w:p>
    <w:p>
      <w:pPr>
        <w:pStyle w:val="TOC8"/>
        <w:rPr>
          <w:rFonts w:asciiTheme="minorHAnsi" w:eastAsiaTheme="minorEastAsia" w:hAnsiTheme="minorHAnsi" w:cstheme="minorBidi"/>
          <w:szCs w:val="22"/>
        </w:rPr>
      </w:pPr>
      <w:r>
        <w:instrText>44.</w:instrText>
      </w:r>
      <w:r>
        <w:tab/>
        <w:instrText>Register of drugs of addiction</w:instrText>
      </w:r>
      <w:r>
        <w:tab/>
      </w:r>
      <w:r>
        <w:fldChar w:fldCharType="begin"/>
      </w:r>
      <w:r>
        <w:instrText xml:space="preserve"> PAGEREF _Toc389746554 \h </w:instrText>
      </w:r>
      <w:r>
        <w:fldChar w:fldCharType="separate"/>
      </w:r>
      <w:r>
        <w:instrText>66</w:instrText>
      </w:r>
      <w:r>
        <w:fldChar w:fldCharType="end"/>
      </w:r>
    </w:p>
    <w:p>
      <w:pPr>
        <w:pStyle w:val="TOC8"/>
        <w:rPr>
          <w:rFonts w:asciiTheme="minorHAnsi" w:eastAsiaTheme="minorEastAsia" w:hAnsiTheme="minorHAnsi" w:cstheme="minorBidi"/>
          <w:szCs w:val="22"/>
        </w:rPr>
      </w:pPr>
      <w:r>
        <w:instrText>44A</w:instrText>
      </w:r>
      <w:r>
        <w:rPr>
          <w:snapToGrid w:val="0"/>
        </w:rPr>
        <w:instrText>.</w:instrText>
      </w:r>
      <w:r>
        <w:rPr>
          <w:snapToGrid w:val="0"/>
        </w:rPr>
        <w:tab/>
        <w:instrText>Destruction of drugs of addiction and poisons included in Schedule 8</w:instrText>
      </w:r>
      <w:r>
        <w:tab/>
      </w:r>
      <w:r>
        <w:fldChar w:fldCharType="begin"/>
      </w:r>
      <w:r>
        <w:instrText xml:space="preserve"> PAGEREF _Toc389746555 \h </w:instrText>
      </w:r>
      <w:r>
        <w:fldChar w:fldCharType="separate"/>
      </w:r>
      <w:r>
        <w:instrText>68</w:instrText>
      </w:r>
      <w:r>
        <w:fldChar w:fldCharType="end"/>
      </w:r>
    </w:p>
    <w:p>
      <w:pPr>
        <w:pStyle w:val="TOC8"/>
        <w:rPr>
          <w:rFonts w:asciiTheme="minorHAnsi" w:eastAsiaTheme="minorEastAsia" w:hAnsiTheme="minorHAnsi" w:cstheme="minorBidi"/>
          <w:szCs w:val="22"/>
        </w:rPr>
      </w:pPr>
      <w:r>
        <w:instrText>44B.</w:instrText>
      </w:r>
      <w:r>
        <w:tab/>
        <w:instrText>Form of registers</w:instrText>
      </w:r>
      <w:r>
        <w:tab/>
      </w:r>
      <w:r>
        <w:fldChar w:fldCharType="begin"/>
      </w:r>
      <w:r>
        <w:instrText xml:space="preserve"> PAGEREF _Toc389746556 \h </w:instrText>
      </w:r>
      <w:r>
        <w:fldChar w:fldCharType="separate"/>
      </w:r>
      <w:r>
        <w:instrText>70</w:instrText>
      </w:r>
      <w:r>
        <w:fldChar w:fldCharType="end"/>
      </w:r>
    </w:p>
    <w:p>
      <w:pPr>
        <w:pStyle w:val="TOC8"/>
        <w:rPr>
          <w:rFonts w:asciiTheme="minorHAnsi" w:eastAsiaTheme="minorEastAsia" w:hAnsiTheme="minorHAnsi" w:cstheme="minorBidi"/>
          <w:szCs w:val="22"/>
        </w:rPr>
      </w:pPr>
      <w:r>
        <w:instrText>44C.</w:instrText>
      </w:r>
      <w:r>
        <w:tab/>
        <w:instrText>Control of access to electronic registers</w:instrText>
      </w:r>
      <w:r>
        <w:tab/>
      </w:r>
      <w:r>
        <w:fldChar w:fldCharType="begin"/>
      </w:r>
      <w:r>
        <w:instrText xml:space="preserve"> PAGEREF _Toc389746557 \h </w:instrText>
      </w:r>
      <w:r>
        <w:fldChar w:fldCharType="separate"/>
      </w:r>
      <w:r>
        <w:instrText>71</w:instrText>
      </w:r>
      <w:r>
        <w:fldChar w:fldCharType="end"/>
      </w:r>
    </w:p>
    <w:p>
      <w:pPr>
        <w:pStyle w:val="TOC8"/>
        <w:rPr>
          <w:rFonts w:asciiTheme="minorHAnsi" w:eastAsiaTheme="minorEastAsia" w:hAnsiTheme="minorHAnsi" w:cstheme="minorBidi"/>
          <w:szCs w:val="22"/>
        </w:rPr>
      </w:pPr>
      <w:r>
        <w:instrText>45</w:instrText>
      </w:r>
      <w:r>
        <w:rPr>
          <w:snapToGrid w:val="0"/>
        </w:rPr>
        <w:instrText>.</w:instrText>
      </w:r>
      <w:r>
        <w:rPr>
          <w:snapToGrid w:val="0"/>
        </w:rPr>
        <w:tab/>
        <w:instrText>Inventory of drugs of addiction</w:instrText>
      </w:r>
      <w:r>
        <w:tab/>
      </w:r>
      <w:r>
        <w:fldChar w:fldCharType="begin"/>
      </w:r>
      <w:r>
        <w:instrText xml:space="preserve"> PAGEREF _Toc389746558 \h </w:instrText>
      </w:r>
      <w:r>
        <w:fldChar w:fldCharType="separate"/>
      </w:r>
      <w:r>
        <w:instrText>72</w:instrText>
      </w:r>
      <w:r>
        <w:fldChar w:fldCharType="end"/>
      </w:r>
    </w:p>
    <w:p>
      <w:pPr>
        <w:pStyle w:val="TOC8"/>
        <w:rPr>
          <w:rFonts w:asciiTheme="minorHAnsi" w:eastAsiaTheme="minorEastAsia" w:hAnsiTheme="minorHAnsi" w:cstheme="minorBidi"/>
          <w:szCs w:val="22"/>
        </w:rPr>
      </w:pPr>
      <w:r>
        <w:instrText>47</w:instrText>
      </w:r>
      <w:r>
        <w:rPr>
          <w:snapToGrid w:val="0"/>
        </w:rPr>
        <w:instrText>.</w:instrText>
      </w:r>
      <w:r>
        <w:rPr>
          <w:snapToGrid w:val="0"/>
        </w:rPr>
        <w:tab/>
        <w:instrText>Records to be retained for 7 years and available on demand</w:instrText>
      </w:r>
      <w:r>
        <w:tab/>
      </w:r>
      <w:r>
        <w:fldChar w:fldCharType="begin"/>
      </w:r>
      <w:r>
        <w:instrText xml:space="preserve"> PAGEREF _Toc389746559 \h </w:instrText>
      </w:r>
      <w:r>
        <w:fldChar w:fldCharType="separate"/>
      </w:r>
      <w:r>
        <w:instrText>72</w:instrText>
      </w:r>
      <w:r>
        <w:fldChar w:fldCharType="end"/>
      </w:r>
    </w:p>
    <w:p>
      <w:pPr>
        <w:pStyle w:val="TOC8"/>
        <w:rPr>
          <w:rFonts w:asciiTheme="minorHAnsi" w:eastAsiaTheme="minorEastAsia" w:hAnsiTheme="minorHAnsi" w:cstheme="minorBidi"/>
          <w:szCs w:val="22"/>
        </w:rPr>
      </w:pPr>
      <w:r>
        <w:instrText>48</w:instrText>
      </w:r>
      <w:r>
        <w:rPr>
          <w:snapToGrid w:val="0"/>
        </w:rPr>
        <w:instrText>.</w:instrText>
      </w:r>
      <w:r>
        <w:rPr>
          <w:snapToGrid w:val="0"/>
        </w:rPr>
        <w:tab/>
        <w:instrText>Returns from manufacturers and wholesalers</w:instrText>
      </w:r>
      <w:r>
        <w:tab/>
      </w:r>
      <w:r>
        <w:fldChar w:fldCharType="begin"/>
      </w:r>
      <w:r>
        <w:instrText xml:space="preserve"> PAGEREF _Toc389746560 \h </w:instrText>
      </w:r>
      <w:r>
        <w:fldChar w:fldCharType="separate"/>
      </w:r>
      <w:r>
        <w:instrText>74</w:instrText>
      </w:r>
      <w:r>
        <w:fldChar w:fldCharType="end"/>
      </w:r>
    </w:p>
    <w:p>
      <w:pPr>
        <w:pStyle w:val="TOC8"/>
        <w:rPr>
          <w:rFonts w:asciiTheme="minorHAnsi" w:eastAsiaTheme="minorEastAsia" w:hAnsiTheme="minorHAnsi" w:cstheme="minorBidi"/>
          <w:szCs w:val="22"/>
        </w:rPr>
      </w:pPr>
      <w:r>
        <w:instrText>49</w:instrText>
      </w:r>
      <w:r>
        <w:rPr>
          <w:snapToGrid w:val="0"/>
        </w:rPr>
        <w:instrText>.</w:instrText>
      </w:r>
      <w:r>
        <w:rPr>
          <w:snapToGrid w:val="0"/>
        </w:rPr>
        <w:tab/>
        <w:instrText>Use of poisons included in Schedule 8 on ships and aircraft</w:instrText>
      </w:r>
      <w:r>
        <w:tab/>
      </w:r>
      <w:r>
        <w:fldChar w:fldCharType="begin"/>
      </w:r>
      <w:r>
        <w:instrText xml:space="preserve"> PAGEREF _Toc389746561 \h </w:instrText>
      </w:r>
      <w:r>
        <w:fldChar w:fldCharType="separate"/>
      </w:r>
      <w:r>
        <w:instrText>75</w:instrText>
      </w:r>
      <w:r>
        <w:fldChar w:fldCharType="end"/>
      </w:r>
    </w:p>
    <w:p>
      <w:pPr>
        <w:pStyle w:val="TOC8"/>
        <w:rPr>
          <w:rFonts w:asciiTheme="minorHAnsi" w:eastAsiaTheme="minorEastAsia" w:hAnsiTheme="minorHAnsi" w:cstheme="minorBidi"/>
          <w:szCs w:val="22"/>
        </w:rPr>
      </w:pPr>
      <w:r>
        <w:instrText>50</w:instrText>
      </w:r>
      <w:r>
        <w:rPr>
          <w:snapToGrid w:val="0"/>
        </w:rPr>
        <w:instrText>.</w:instrText>
      </w:r>
      <w:r>
        <w:rPr>
          <w:snapToGrid w:val="0"/>
        </w:rPr>
        <w:tab/>
        <w:instrText>Used poisons included in Schedule 8 at hospitals</w:instrText>
      </w:r>
      <w:r>
        <w:tab/>
      </w:r>
      <w:r>
        <w:fldChar w:fldCharType="begin"/>
      </w:r>
      <w:r>
        <w:instrText xml:space="preserve"> PAGEREF _Toc389746562 \h </w:instrText>
      </w:r>
      <w:r>
        <w:fldChar w:fldCharType="separate"/>
      </w:r>
      <w:r>
        <w:instrText>76</w:instrText>
      </w:r>
      <w:r>
        <w:fldChar w:fldCharType="end"/>
      </w:r>
    </w:p>
    <w:p>
      <w:pPr>
        <w:pStyle w:val="TOC4"/>
        <w:tabs>
          <w:tab w:val="right" w:leader="dot" w:pos="7086"/>
        </w:tabs>
        <w:rPr>
          <w:rFonts w:asciiTheme="minorHAnsi" w:eastAsiaTheme="minorEastAsia" w:hAnsiTheme="minorHAnsi" w:cstheme="minorBidi"/>
          <w:b w:val="0"/>
          <w:szCs w:val="22"/>
        </w:rPr>
      </w:pPr>
      <w:r>
        <w:instrText>Division 2 — Supply and prescription</w:instrText>
      </w:r>
    </w:p>
    <w:p>
      <w:pPr>
        <w:pStyle w:val="TOC6"/>
        <w:tabs>
          <w:tab w:val="right" w:leader="dot" w:pos="7086"/>
        </w:tabs>
        <w:rPr>
          <w:rFonts w:asciiTheme="minorHAnsi" w:eastAsiaTheme="minorEastAsia" w:hAnsiTheme="minorHAnsi" w:cstheme="minorBidi"/>
          <w:b w:val="0"/>
          <w:sz w:val="22"/>
          <w:szCs w:val="22"/>
        </w:rPr>
      </w:pPr>
      <w:r>
        <w:instrText>Subdivision 1 — Prescriptions generally</w:instrText>
      </w:r>
    </w:p>
    <w:p>
      <w:pPr>
        <w:pStyle w:val="TOC8"/>
        <w:rPr>
          <w:rFonts w:asciiTheme="minorHAnsi" w:eastAsiaTheme="minorEastAsia" w:hAnsiTheme="minorHAnsi" w:cstheme="minorBidi"/>
          <w:szCs w:val="22"/>
        </w:rPr>
      </w:pPr>
      <w:r>
        <w:instrText>51</w:instrText>
      </w:r>
      <w:r>
        <w:rPr>
          <w:snapToGrid w:val="0"/>
        </w:rPr>
        <w:instrText>.</w:instrText>
      </w:r>
      <w:r>
        <w:rPr>
          <w:snapToGrid w:val="0"/>
        </w:rPr>
        <w:tab/>
        <w:instrText>Prescriptions</w:instrText>
      </w:r>
      <w:r>
        <w:tab/>
      </w:r>
      <w:r>
        <w:fldChar w:fldCharType="begin"/>
      </w:r>
      <w:r>
        <w:instrText xml:space="preserve"> PAGEREF _Toc389746565 \h </w:instrText>
      </w:r>
      <w:r>
        <w:fldChar w:fldCharType="separate"/>
      </w:r>
      <w:r>
        <w:instrText>77</w:instrText>
      </w:r>
      <w:r>
        <w:fldChar w:fldCharType="end"/>
      </w:r>
    </w:p>
    <w:p>
      <w:pPr>
        <w:pStyle w:val="TOC6"/>
        <w:tabs>
          <w:tab w:val="right" w:leader="dot" w:pos="7086"/>
        </w:tabs>
        <w:rPr>
          <w:rFonts w:asciiTheme="minorHAnsi" w:eastAsiaTheme="minorEastAsia" w:hAnsiTheme="minorHAnsi" w:cstheme="minorBidi"/>
          <w:b w:val="0"/>
          <w:sz w:val="22"/>
          <w:szCs w:val="22"/>
        </w:rPr>
      </w:pPr>
      <w:r>
        <w:instrText>Subdivision 2 — Supply and prescription to drug addicts</w:instrText>
      </w:r>
    </w:p>
    <w:p>
      <w:pPr>
        <w:pStyle w:val="TOC8"/>
        <w:rPr>
          <w:rFonts w:asciiTheme="minorHAnsi" w:eastAsiaTheme="minorEastAsia" w:hAnsiTheme="minorHAnsi" w:cstheme="minorBidi"/>
          <w:szCs w:val="22"/>
        </w:rPr>
      </w:pPr>
      <w:r>
        <w:instrText>51A</w:instrText>
      </w:r>
      <w:r>
        <w:rPr>
          <w:snapToGrid w:val="0"/>
        </w:rPr>
        <w:instrText>.</w:instrText>
      </w:r>
      <w:r>
        <w:rPr>
          <w:snapToGrid w:val="0"/>
        </w:rPr>
        <w:tab/>
        <w:instrText>Definition of “drug addict”</w:instrText>
      </w:r>
      <w:r>
        <w:tab/>
      </w:r>
      <w:r>
        <w:fldChar w:fldCharType="begin"/>
      </w:r>
      <w:r>
        <w:instrText xml:space="preserve"> PAGEREF _Toc389746567 \h </w:instrText>
      </w:r>
      <w:r>
        <w:fldChar w:fldCharType="separate"/>
      </w:r>
      <w:r>
        <w:instrText>79</w:instrText>
      </w:r>
      <w:r>
        <w:fldChar w:fldCharType="end"/>
      </w:r>
    </w:p>
    <w:p>
      <w:pPr>
        <w:pStyle w:val="TOC8"/>
        <w:rPr>
          <w:rFonts w:asciiTheme="minorHAnsi" w:eastAsiaTheme="minorEastAsia" w:hAnsiTheme="minorHAnsi" w:cstheme="minorBidi"/>
          <w:szCs w:val="22"/>
        </w:rPr>
      </w:pPr>
      <w:r>
        <w:instrText>51AA.</w:instrText>
      </w:r>
      <w:r>
        <w:tab/>
        <w:instrText>Disclosure by drug addict to medical practitioner</w:instrText>
      </w:r>
      <w:r>
        <w:tab/>
      </w:r>
      <w:r>
        <w:fldChar w:fldCharType="begin"/>
      </w:r>
      <w:r>
        <w:instrText xml:space="preserve"> PAGEREF _Toc389746568 \h </w:instrText>
      </w:r>
      <w:r>
        <w:fldChar w:fldCharType="separate"/>
      </w:r>
      <w:r>
        <w:instrText>80</w:instrText>
      </w:r>
      <w:r>
        <w:fldChar w:fldCharType="end"/>
      </w:r>
    </w:p>
    <w:p>
      <w:pPr>
        <w:pStyle w:val="TOC8"/>
        <w:rPr>
          <w:rFonts w:asciiTheme="minorHAnsi" w:eastAsiaTheme="minorEastAsia" w:hAnsiTheme="minorHAnsi" w:cstheme="minorBidi"/>
          <w:szCs w:val="22"/>
        </w:rPr>
      </w:pPr>
      <w:r>
        <w:instrText>51B</w:instrText>
      </w:r>
      <w:r>
        <w:rPr>
          <w:snapToGrid w:val="0"/>
        </w:rPr>
        <w:instrText>.</w:instrText>
      </w:r>
      <w:r>
        <w:rPr>
          <w:snapToGrid w:val="0"/>
        </w:rPr>
        <w:tab/>
        <w:instrText>Drug addicts: medical practitioner or dentist not to prescribe or supply drugs of addiction without written authorisation</w:instrText>
      </w:r>
      <w:r>
        <w:tab/>
      </w:r>
      <w:r>
        <w:fldChar w:fldCharType="begin"/>
      </w:r>
      <w:r>
        <w:instrText xml:space="preserve"> PAGEREF _Toc389746569 \h </w:instrText>
      </w:r>
      <w:r>
        <w:fldChar w:fldCharType="separate"/>
      </w:r>
      <w:r>
        <w:instrText>80</w:instrText>
      </w:r>
      <w:r>
        <w:fldChar w:fldCharType="end"/>
      </w:r>
    </w:p>
    <w:p>
      <w:pPr>
        <w:pStyle w:val="TOC8"/>
        <w:rPr>
          <w:rFonts w:asciiTheme="minorHAnsi" w:eastAsiaTheme="minorEastAsia" w:hAnsiTheme="minorHAnsi" w:cstheme="minorBidi"/>
          <w:szCs w:val="22"/>
        </w:rPr>
      </w:pPr>
      <w:r>
        <w:instrText>51C</w:instrText>
      </w:r>
      <w:r>
        <w:rPr>
          <w:snapToGrid w:val="0"/>
        </w:rPr>
        <w:instrText>.</w:instrText>
      </w:r>
      <w:r>
        <w:rPr>
          <w:snapToGrid w:val="0"/>
        </w:rPr>
        <w:tab/>
        <w:instrText xml:space="preserve">Authorisation of </w:instrText>
      </w:r>
      <w:r>
        <w:instrText>CEO</w:instrText>
      </w:r>
      <w:r>
        <w:rPr>
          <w:snapToGrid w:val="0"/>
        </w:rPr>
        <w:instrText xml:space="preserve"> required for medical practitioner to prescribe methadone </w:instrText>
      </w:r>
      <w:r>
        <w:instrText>or buprenorphine</w:instrText>
      </w:r>
      <w:r>
        <w:rPr>
          <w:snapToGrid w:val="0"/>
        </w:rPr>
        <w:instrText xml:space="preserve"> for drug addict</w:instrText>
      </w:r>
      <w:r>
        <w:tab/>
      </w:r>
      <w:r>
        <w:fldChar w:fldCharType="begin"/>
      </w:r>
      <w:r>
        <w:instrText xml:space="preserve"> PAGEREF _Toc389746570 \h </w:instrText>
      </w:r>
      <w:r>
        <w:fldChar w:fldCharType="separate"/>
      </w:r>
      <w:r>
        <w:instrText>81</w:instrText>
      </w:r>
      <w:r>
        <w:fldChar w:fldCharType="end"/>
      </w:r>
    </w:p>
    <w:p>
      <w:pPr>
        <w:pStyle w:val="TOC8"/>
        <w:rPr>
          <w:rFonts w:asciiTheme="minorHAnsi" w:eastAsiaTheme="minorEastAsia" w:hAnsiTheme="minorHAnsi" w:cstheme="minorBidi"/>
          <w:szCs w:val="22"/>
        </w:rPr>
      </w:pPr>
      <w:r>
        <w:instrText>51D</w:instrText>
      </w:r>
      <w:r>
        <w:rPr>
          <w:snapToGrid w:val="0"/>
        </w:rPr>
        <w:instrText>.</w:instrText>
      </w:r>
      <w:r>
        <w:rPr>
          <w:snapToGrid w:val="0"/>
        </w:rPr>
        <w:tab/>
        <w:instrText>Assessment of drug addict for treatment purposes</w:instrText>
      </w:r>
      <w:r>
        <w:tab/>
      </w:r>
      <w:r>
        <w:fldChar w:fldCharType="begin"/>
      </w:r>
      <w:r>
        <w:instrText xml:space="preserve"> PAGEREF _Toc389746571 \h </w:instrText>
      </w:r>
      <w:r>
        <w:fldChar w:fldCharType="separate"/>
      </w:r>
      <w:r>
        <w:instrText>81</w:instrText>
      </w:r>
      <w:r>
        <w:fldChar w:fldCharType="end"/>
      </w:r>
    </w:p>
    <w:p>
      <w:pPr>
        <w:pStyle w:val="TOC8"/>
        <w:rPr>
          <w:rFonts w:asciiTheme="minorHAnsi" w:eastAsiaTheme="minorEastAsia" w:hAnsiTheme="minorHAnsi" w:cstheme="minorBidi"/>
          <w:szCs w:val="22"/>
        </w:rPr>
      </w:pPr>
      <w:r>
        <w:instrText>51E</w:instrText>
      </w:r>
      <w:r>
        <w:rPr>
          <w:snapToGrid w:val="0"/>
        </w:rPr>
        <w:instrText>.</w:instrText>
      </w:r>
      <w:r>
        <w:rPr>
          <w:snapToGrid w:val="0"/>
        </w:rPr>
        <w:tab/>
        <w:instrText>Conditions on treatment of drug addict</w:instrText>
      </w:r>
      <w:r>
        <w:tab/>
      </w:r>
      <w:r>
        <w:fldChar w:fldCharType="begin"/>
      </w:r>
      <w:r>
        <w:instrText xml:space="preserve"> PAGEREF _Toc389746572 \h </w:instrText>
      </w:r>
      <w:r>
        <w:fldChar w:fldCharType="separate"/>
      </w:r>
      <w:r>
        <w:instrText>82</w:instrText>
      </w:r>
      <w:r>
        <w:fldChar w:fldCharType="end"/>
      </w:r>
    </w:p>
    <w:p>
      <w:pPr>
        <w:pStyle w:val="TOC8"/>
        <w:rPr>
          <w:rFonts w:asciiTheme="minorHAnsi" w:eastAsiaTheme="minorEastAsia" w:hAnsiTheme="minorHAnsi" w:cstheme="minorBidi"/>
          <w:szCs w:val="22"/>
        </w:rPr>
      </w:pPr>
      <w:r>
        <w:instrText>51F</w:instrText>
      </w:r>
      <w:r>
        <w:rPr>
          <w:snapToGrid w:val="0"/>
        </w:rPr>
        <w:instrText>.</w:instrText>
      </w:r>
      <w:r>
        <w:rPr>
          <w:snapToGrid w:val="0"/>
        </w:rPr>
        <w:tab/>
        <w:instrText xml:space="preserve">Treatment not to exceed 60 days unless authorised by </w:instrText>
      </w:r>
      <w:r>
        <w:instrText>CEO</w:instrText>
      </w:r>
      <w:r>
        <w:tab/>
      </w:r>
      <w:r>
        <w:fldChar w:fldCharType="begin"/>
      </w:r>
      <w:r>
        <w:instrText xml:space="preserve"> PAGEREF _Toc389746573 \h </w:instrText>
      </w:r>
      <w:r>
        <w:fldChar w:fldCharType="separate"/>
      </w:r>
      <w:r>
        <w:instrText>84</w:instrText>
      </w:r>
      <w:r>
        <w:fldChar w:fldCharType="end"/>
      </w:r>
    </w:p>
    <w:p>
      <w:pPr>
        <w:pStyle w:val="TOC6"/>
        <w:tabs>
          <w:tab w:val="right" w:leader="dot" w:pos="7086"/>
        </w:tabs>
        <w:rPr>
          <w:rFonts w:asciiTheme="minorHAnsi" w:eastAsiaTheme="minorEastAsia" w:hAnsiTheme="minorHAnsi" w:cstheme="minorBidi"/>
          <w:b w:val="0"/>
          <w:sz w:val="22"/>
          <w:szCs w:val="22"/>
        </w:rPr>
      </w:pPr>
      <w:r>
        <w:instrText>Subdivision 3 — Supply and prescription of certain substances</w:instrText>
      </w:r>
    </w:p>
    <w:p>
      <w:pPr>
        <w:pStyle w:val="TOC8"/>
        <w:rPr>
          <w:rFonts w:asciiTheme="minorHAnsi" w:eastAsiaTheme="minorEastAsia" w:hAnsiTheme="minorHAnsi" w:cstheme="minorBidi"/>
          <w:szCs w:val="22"/>
        </w:rPr>
      </w:pPr>
      <w:r>
        <w:instrText>51G.</w:instrText>
      </w:r>
      <w:r>
        <w:tab/>
        <w:instrText>Interpretation</w:instrText>
      </w:r>
      <w:r>
        <w:tab/>
      </w:r>
      <w:r>
        <w:fldChar w:fldCharType="begin"/>
      </w:r>
      <w:r>
        <w:instrText xml:space="preserve"> PAGEREF _Toc389746575 \h </w:instrText>
      </w:r>
      <w:r>
        <w:fldChar w:fldCharType="separate"/>
      </w:r>
      <w:r>
        <w:instrText>86</w:instrText>
      </w:r>
      <w:r>
        <w:fldChar w:fldCharType="end"/>
      </w:r>
    </w:p>
    <w:p>
      <w:pPr>
        <w:pStyle w:val="TOC8"/>
        <w:rPr>
          <w:rFonts w:asciiTheme="minorHAnsi" w:eastAsiaTheme="minorEastAsia" w:hAnsiTheme="minorHAnsi" w:cstheme="minorBidi"/>
          <w:szCs w:val="22"/>
        </w:rPr>
      </w:pPr>
      <w:r>
        <w:instrText>51GAA.</w:instrText>
      </w:r>
      <w:r>
        <w:tab/>
        <w:instrText>When a medical practitioner may supply or prescribe a stimulant</w:instrText>
      </w:r>
      <w:r>
        <w:tab/>
      </w:r>
      <w:r>
        <w:fldChar w:fldCharType="begin"/>
      </w:r>
      <w:r>
        <w:instrText xml:space="preserve"> PAGEREF _Toc389746576 \h </w:instrText>
      </w:r>
      <w:r>
        <w:fldChar w:fldCharType="separate"/>
      </w:r>
      <w:r>
        <w:instrText>86</w:instrText>
      </w:r>
      <w:r>
        <w:fldChar w:fldCharType="end"/>
      </w:r>
    </w:p>
    <w:p>
      <w:pPr>
        <w:pStyle w:val="TOC8"/>
        <w:rPr>
          <w:rFonts w:asciiTheme="minorHAnsi" w:eastAsiaTheme="minorEastAsia" w:hAnsiTheme="minorHAnsi" w:cstheme="minorBidi"/>
          <w:szCs w:val="22"/>
        </w:rPr>
      </w:pPr>
      <w:r>
        <w:instrText>51GAB.</w:instrText>
      </w:r>
      <w:r>
        <w:tab/>
        <w:instrText>Authorisation to supply or prescribe a stimulant</w:instrText>
      </w:r>
      <w:r>
        <w:tab/>
      </w:r>
      <w:r>
        <w:fldChar w:fldCharType="begin"/>
      </w:r>
      <w:r>
        <w:instrText xml:space="preserve"> PAGEREF _Toc389746577 \h </w:instrText>
      </w:r>
      <w:r>
        <w:fldChar w:fldCharType="separate"/>
      </w:r>
      <w:r>
        <w:instrText>87</w:instrText>
      </w:r>
      <w:r>
        <w:fldChar w:fldCharType="end"/>
      </w:r>
    </w:p>
    <w:p>
      <w:pPr>
        <w:pStyle w:val="TOC8"/>
        <w:rPr>
          <w:rFonts w:asciiTheme="minorHAnsi" w:eastAsiaTheme="minorEastAsia" w:hAnsiTheme="minorHAnsi" w:cstheme="minorBidi"/>
          <w:szCs w:val="22"/>
        </w:rPr>
      </w:pPr>
      <w:r>
        <w:instrText>51GAC.</w:instrText>
      </w:r>
      <w:r>
        <w:tab/>
        <w:instrText>When an authorised practitioner may supply or prescribe a stimulant</w:instrText>
      </w:r>
      <w:r>
        <w:tab/>
      </w:r>
      <w:r>
        <w:fldChar w:fldCharType="begin"/>
      </w:r>
      <w:r>
        <w:instrText xml:space="preserve"> PAGEREF _Toc389746578 \h </w:instrText>
      </w:r>
      <w:r>
        <w:fldChar w:fldCharType="separate"/>
      </w:r>
      <w:r>
        <w:instrText>87</w:instrText>
      </w:r>
      <w:r>
        <w:fldChar w:fldCharType="end"/>
      </w:r>
    </w:p>
    <w:p>
      <w:pPr>
        <w:pStyle w:val="TOC8"/>
        <w:rPr>
          <w:rFonts w:asciiTheme="minorHAnsi" w:eastAsiaTheme="minorEastAsia" w:hAnsiTheme="minorHAnsi" w:cstheme="minorBidi"/>
          <w:szCs w:val="22"/>
        </w:rPr>
      </w:pPr>
      <w:r>
        <w:instrText>51GAD.</w:instrText>
      </w:r>
      <w:r>
        <w:tab/>
        <w:instrText>Treatment of attention deficit hyperactivity disorder with a stimulant</w:instrText>
      </w:r>
      <w:r>
        <w:tab/>
      </w:r>
      <w:r>
        <w:fldChar w:fldCharType="begin"/>
      </w:r>
      <w:r>
        <w:instrText xml:space="preserve"> PAGEREF _Toc389746579 \h </w:instrText>
      </w:r>
      <w:r>
        <w:fldChar w:fldCharType="separate"/>
      </w:r>
      <w:r>
        <w:instrText>88</w:instrText>
      </w:r>
      <w:r>
        <w:fldChar w:fldCharType="end"/>
      </w:r>
    </w:p>
    <w:p>
      <w:pPr>
        <w:pStyle w:val="TOC8"/>
        <w:rPr>
          <w:rFonts w:asciiTheme="minorHAnsi" w:eastAsiaTheme="minorEastAsia" w:hAnsiTheme="minorHAnsi" w:cstheme="minorBidi"/>
          <w:szCs w:val="22"/>
        </w:rPr>
      </w:pPr>
      <w:r>
        <w:instrText>51GAE.</w:instrText>
      </w:r>
      <w:r>
        <w:tab/>
        <w:instrText>Dose for supply or prescription of a stimulant</w:instrText>
      </w:r>
      <w:r>
        <w:tab/>
      </w:r>
      <w:r>
        <w:fldChar w:fldCharType="begin"/>
      </w:r>
      <w:r>
        <w:instrText xml:space="preserve"> PAGEREF _Toc389746580 \h </w:instrText>
      </w:r>
      <w:r>
        <w:fldChar w:fldCharType="separate"/>
      </w:r>
      <w:r>
        <w:instrText>89</w:instrText>
      </w:r>
      <w:r>
        <w:fldChar w:fldCharType="end"/>
      </w:r>
    </w:p>
    <w:p>
      <w:pPr>
        <w:pStyle w:val="TOC8"/>
        <w:rPr>
          <w:rFonts w:asciiTheme="minorHAnsi" w:eastAsiaTheme="minorEastAsia" w:hAnsiTheme="minorHAnsi" w:cstheme="minorBidi"/>
          <w:szCs w:val="22"/>
        </w:rPr>
      </w:pPr>
      <w:r>
        <w:instrText>51GAF.</w:instrText>
      </w:r>
      <w:r>
        <w:tab/>
        <w:instrText>Notification to CEO of supply or prescription of a stimulant</w:instrText>
      </w:r>
      <w:r>
        <w:tab/>
      </w:r>
      <w:r>
        <w:fldChar w:fldCharType="begin"/>
      </w:r>
      <w:r>
        <w:instrText xml:space="preserve"> PAGEREF _Toc389746581 \h </w:instrText>
      </w:r>
      <w:r>
        <w:fldChar w:fldCharType="separate"/>
      </w:r>
      <w:r>
        <w:instrText>89</w:instrText>
      </w:r>
      <w:r>
        <w:fldChar w:fldCharType="end"/>
      </w:r>
    </w:p>
    <w:p>
      <w:pPr>
        <w:pStyle w:val="TOC8"/>
        <w:rPr>
          <w:rFonts w:asciiTheme="minorHAnsi" w:eastAsiaTheme="minorEastAsia" w:hAnsiTheme="minorHAnsi" w:cstheme="minorBidi"/>
          <w:szCs w:val="22"/>
        </w:rPr>
      </w:pPr>
      <w:r>
        <w:instrText>51GAG.</w:instrText>
      </w:r>
      <w:r>
        <w:tab/>
        <w:instrText>Co</w:instrText>
      </w:r>
      <w:r>
        <w:noBreakHyphen/>
        <w:instrText>prescriber for supply or prescription of a stimulant</w:instrText>
      </w:r>
      <w:r>
        <w:tab/>
      </w:r>
      <w:r>
        <w:fldChar w:fldCharType="begin"/>
      </w:r>
      <w:r>
        <w:instrText xml:space="preserve"> PAGEREF _Toc389746582 \h </w:instrText>
      </w:r>
      <w:r>
        <w:fldChar w:fldCharType="separate"/>
      </w:r>
      <w:r>
        <w:instrText>90</w:instrText>
      </w:r>
      <w:r>
        <w:fldChar w:fldCharType="end"/>
      </w:r>
    </w:p>
    <w:p>
      <w:pPr>
        <w:pStyle w:val="TOC8"/>
        <w:rPr>
          <w:rFonts w:asciiTheme="minorHAnsi" w:eastAsiaTheme="minorEastAsia" w:hAnsiTheme="minorHAnsi" w:cstheme="minorBidi"/>
          <w:szCs w:val="22"/>
        </w:rPr>
      </w:pPr>
      <w:r>
        <w:instrText>51GAH.</w:instrText>
      </w:r>
      <w:r>
        <w:tab/>
        <w:instrText>Special authorisation to supply or prescription of a stimulant</w:instrText>
      </w:r>
      <w:r>
        <w:tab/>
      </w:r>
      <w:r>
        <w:fldChar w:fldCharType="begin"/>
      </w:r>
      <w:r>
        <w:instrText xml:space="preserve"> PAGEREF _Toc389746583 \h </w:instrText>
      </w:r>
      <w:r>
        <w:fldChar w:fldCharType="separate"/>
      </w:r>
      <w:r>
        <w:instrText>91</w:instrText>
      </w:r>
      <w:r>
        <w:fldChar w:fldCharType="end"/>
      </w:r>
    </w:p>
    <w:p>
      <w:pPr>
        <w:pStyle w:val="TOC8"/>
        <w:rPr>
          <w:rFonts w:asciiTheme="minorHAnsi" w:eastAsiaTheme="minorEastAsia" w:hAnsiTheme="minorHAnsi" w:cstheme="minorBidi"/>
          <w:szCs w:val="22"/>
        </w:rPr>
      </w:pPr>
      <w:r>
        <w:instrText>51GAI.</w:instrText>
      </w:r>
      <w:r>
        <w:tab/>
        <w:instrText>Supply or prescription of a stimulant in a public hospital or prison</w:instrText>
      </w:r>
      <w:r>
        <w:tab/>
      </w:r>
      <w:r>
        <w:fldChar w:fldCharType="begin"/>
      </w:r>
      <w:r>
        <w:instrText xml:space="preserve"> PAGEREF _Toc389746584 \h </w:instrText>
      </w:r>
      <w:r>
        <w:fldChar w:fldCharType="separate"/>
      </w:r>
      <w:r>
        <w:instrText>91</w:instrText>
      </w:r>
      <w:r>
        <w:fldChar w:fldCharType="end"/>
      </w:r>
    </w:p>
    <w:p>
      <w:pPr>
        <w:pStyle w:val="TOC8"/>
        <w:rPr>
          <w:rFonts w:asciiTheme="minorHAnsi" w:eastAsiaTheme="minorEastAsia" w:hAnsiTheme="minorHAnsi" w:cstheme="minorBidi"/>
          <w:szCs w:val="22"/>
        </w:rPr>
      </w:pPr>
      <w:r>
        <w:instrText>51GA</w:instrText>
      </w:r>
      <w:r>
        <w:rPr>
          <w:snapToGrid w:val="0"/>
        </w:rPr>
        <w:instrText>.</w:instrText>
      </w:r>
      <w:r>
        <w:rPr>
          <w:snapToGrid w:val="0"/>
        </w:rPr>
        <w:tab/>
        <w:instrText>Supply of dronabinol</w:instrText>
      </w:r>
      <w:r>
        <w:tab/>
      </w:r>
      <w:r>
        <w:fldChar w:fldCharType="begin"/>
      </w:r>
      <w:r>
        <w:instrText xml:space="preserve"> PAGEREF _Toc389746585 \h </w:instrText>
      </w:r>
      <w:r>
        <w:fldChar w:fldCharType="separate"/>
      </w:r>
      <w:r>
        <w:instrText>91</w:instrText>
      </w:r>
      <w:r>
        <w:fldChar w:fldCharType="end"/>
      </w:r>
    </w:p>
    <w:p>
      <w:pPr>
        <w:pStyle w:val="TOC8"/>
        <w:rPr>
          <w:rFonts w:asciiTheme="minorHAnsi" w:eastAsiaTheme="minorEastAsia" w:hAnsiTheme="minorHAnsi" w:cstheme="minorBidi"/>
          <w:szCs w:val="22"/>
        </w:rPr>
      </w:pPr>
      <w:r>
        <w:instrText>51GB</w:instrText>
      </w:r>
      <w:r>
        <w:rPr>
          <w:snapToGrid w:val="0"/>
        </w:rPr>
        <w:instrText>.</w:instrText>
      </w:r>
      <w:r>
        <w:rPr>
          <w:snapToGrid w:val="0"/>
        </w:rPr>
        <w:tab/>
        <w:instrText>Supply of flunitrazepam</w:instrText>
      </w:r>
      <w:r>
        <w:tab/>
      </w:r>
      <w:r>
        <w:fldChar w:fldCharType="begin"/>
      </w:r>
      <w:r>
        <w:instrText xml:space="preserve"> PAGEREF _Toc389746586 \h </w:instrText>
      </w:r>
      <w:r>
        <w:fldChar w:fldCharType="separate"/>
      </w:r>
      <w:r>
        <w:instrText>92</w:instrText>
      </w:r>
      <w:r>
        <w:fldChar w:fldCharType="end"/>
      </w:r>
    </w:p>
    <w:p>
      <w:pPr>
        <w:pStyle w:val="TOC8"/>
        <w:rPr>
          <w:rFonts w:asciiTheme="minorHAnsi" w:eastAsiaTheme="minorEastAsia" w:hAnsiTheme="minorHAnsi" w:cstheme="minorBidi"/>
          <w:szCs w:val="22"/>
        </w:rPr>
      </w:pPr>
      <w:r>
        <w:instrText>51H</w:instrText>
      </w:r>
      <w:r>
        <w:rPr>
          <w:snapToGrid w:val="0"/>
        </w:rPr>
        <w:instrText>.</w:instrText>
      </w:r>
      <w:r>
        <w:rPr>
          <w:snapToGrid w:val="0"/>
        </w:rPr>
        <w:tab/>
        <w:instrText>Dentists not to prescribe or supply certain drugs of addiction</w:instrText>
      </w:r>
      <w:r>
        <w:tab/>
      </w:r>
      <w:r>
        <w:fldChar w:fldCharType="begin"/>
      </w:r>
      <w:r>
        <w:instrText xml:space="preserve"> PAGEREF _Toc389746587 \h </w:instrText>
      </w:r>
      <w:r>
        <w:fldChar w:fldCharType="separate"/>
      </w:r>
      <w:r>
        <w:instrText>93</w:instrText>
      </w:r>
      <w:r>
        <w:fldChar w:fldCharType="end"/>
      </w:r>
    </w:p>
    <w:p>
      <w:pPr>
        <w:pStyle w:val="TOC4"/>
        <w:tabs>
          <w:tab w:val="right" w:leader="dot" w:pos="7086"/>
        </w:tabs>
        <w:rPr>
          <w:rFonts w:asciiTheme="minorHAnsi" w:eastAsiaTheme="minorEastAsia" w:hAnsiTheme="minorHAnsi" w:cstheme="minorBidi"/>
          <w:b w:val="0"/>
          <w:szCs w:val="22"/>
        </w:rPr>
      </w:pPr>
      <w:r>
        <w:instrText>Division 3 — Dispensing and delivery</w:instrText>
      </w:r>
    </w:p>
    <w:p>
      <w:pPr>
        <w:pStyle w:val="TOC8"/>
        <w:rPr>
          <w:rFonts w:asciiTheme="minorHAnsi" w:eastAsiaTheme="minorEastAsia" w:hAnsiTheme="minorHAnsi" w:cstheme="minorBidi"/>
          <w:szCs w:val="22"/>
        </w:rPr>
      </w:pPr>
      <w:r>
        <w:instrText>52</w:instrText>
      </w:r>
      <w:r>
        <w:rPr>
          <w:snapToGrid w:val="0"/>
        </w:rPr>
        <w:instrText>.</w:instrText>
      </w:r>
      <w:r>
        <w:rPr>
          <w:snapToGrid w:val="0"/>
        </w:rPr>
        <w:tab/>
        <w:instrText>Dispensing drugs of addiction</w:instrText>
      </w:r>
      <w:r>
        <w:tab/>
      </w:r>
      <w:r>
        <w:fldChar w:fldCharType="begin"/>
      </w:r>
      <w:r>
        <w:instrText xml:space="preserve"> PAGEREF _Toc389746589 \h </w:instrText>
      </w:r>
      <w:r>
        <w:fldChar w:fldCharType="separate"/>
      </w:r>
      <w:r>
        <w:instrText>94</w:instrText>
      </w:r>
      <w:r>
        <w:fldChar w:fldCharType="end"/>
      </w:r>
    </w:p>
    <w:p>
      <w:pPr>
        <w:pStyle w:val="TOC8"/>
        <w:rPr>
          <w:rFonts w:asciiTheme="minorHAnsi" w:eastAsiaTheme="minorEastAsia" w:hAnsiTheme="minorHAnsi" w:cstheme="minorBidi"/>
          <w:szCs w:val="22"/>
        </w:rPr>
      </w:pPr>
      <w:r>
        <w:instrText>52A</w:instrText>
      </w:r>
      <w:r>
        <w:rPr>
          <w:snapToGrid w:val="0"/>
        </w:rPr>
        <w:instrText>.</w:instrText>
      </w:r>
      <w:r>
        <w:rPr>
          <w:snapToGrid w:val="0"/>
        </w:rPr>
        <w:tab/>
        <w:instrText>Movement of drugs of addiction in other circumstances</w:instrText>
      </w:r>
      <w:r>
        <w:tab/>
      </w:r>
      <w:r>
        <w:fldChar w:fldCharType="begin"/>
      </w:r>
      <w:r>
        <w:instrText xml:space="preserve"> PAGEREF _Toc389746590 \h </w:instrText>
      </w:r>
      <w:r>
        <w:fldChar w:fldCharType="separate"/>
      </w:r>
      <w:r>
        <w:instrText>99</w:instrText>
      </w:r>
      <w:r>
        <w:fldChar w:fldCharType="end"/>
      </w:r>
    </w:p>
    <w:p>
      <w:pPr>
        <w:pStyle w:val="TOC8"/>
        <w:rPr>
          <w:rFonts w:asciiTheme="minorHAnsi" w:eastAsiaTheme="minorEastAsia" w:hAnsiTheme="minorHAnsi" w:cstheme="minorBidi"/>
          <w:szCs w:val="22"/>
        </w:rPr>
      </w:pPr>
      <w:r>
        <w:instrText>52B</w:instrText>
      </w:r>
      <w:r>
        <w:rPr>
          <w:snapToGrid w:val="0"/>
        </w:rPr>
        <w:instrText>.</w:instrText>
      </w:r>
      <w:r>
        <w:rPr>
          <w:snapToGrid w:val="0"/>
        </w:rPr>
        <w:tab/>
        <w:instrText>Manner of recording details</w:instrText>
      </w:r>
      <w:r>
        <w:tab/>
      </w:r>
      <w:r>
        <w:fldChar w:fldCharType="begin"/>
      </w:r>
      <w:r>
        <w:instrText xml:space="preserve"> PAGEREF _Toc389746591 \h </w:instrText>
      </w:r>
      <w:r>
        <w:fldChar w:fldCharType="separate"/>
      </w:r>
      <w:r>
        <w:instrText>99</w:instrText>
      </w:r>
      <w:r>
        <w:fldChar w:fldCharType="end"/>
      </w:r>
    </w:p>
    <w:p>
      <w:pPr>
        <w:pStyle w:val="TOC8"/>
        <w:rPr>
          <w:rFonts w:asciiTheme="minorHAnsi" w:eastAsiaTheme="minorEastAsia" w:hAnsiTheme="minorHAnsi" w:cstheme="minorBidi"/>
          <w:szCs w:val="22"/>
        </w:rPr>
      </w:pPr>
      <w:r>
        <w:instrText>52C</w:instrText>
      </w:r>
      <w:r>
        <w:rPr>
          <w:snapToGrid w:val="0"/>
        </w:rPr>
        <w:instrText>.</w:instrText>
      </w:r>
      <w:r>
        <w:rPr>
          <w:snapToGrid w:val="0"/>
        </w:rPr>
        <w:tab/>
        <w:instrText>Returns to department</w:instrText>
      </w:r>
      <w:r>
        <w:tab/>
      </w:r>
      <w:r>
        <w:fldChar w:fldCharType="begin"/>
      </w:r>
      <w:r>
        <w:instrText xml:space="preserve"> PAGEREF _Toc389746592 \h </w:instrText>
      </w:r>
      <w:r>
        <w:fldChar w:fldCharType="separate"/>
      </w:r>
      <w:r>
        <w:instrText>100</w:instrText>
      </w:r>
      <w:r>
        <w:fldChar w:fldCharType="end"/>
      </w:r>
    </w:p>
    <w:p>
      <w:pPr>
        <w:pStyle w:val="TOC8"/>
        <w:rPr>
          <w:rFonts w:asciiTheme="minorHAnsi" w:eastAsiaTheme="minorEastAsia" w:hAnsiTheme="minorHAnsi" w:cstheme="minorBidi"/>
          <w:szCs w:val="22"/>
        </w:rPr>
      </w:pPr>
      <w:r>
        <w:instrText>53</w:instrText>
      </w:r>
      <w:r>
        <w:rPr>
          <w:snapToGrid w:val="0"/>
        </w:rPr>
        <w:instrText>.</w:instrText>
      </w:r>
      <w:r>
        <w:rPr>
          <w:snapToGrid w:val="0"/>
        </w:rPr>
        <w:tab/>
        <w:instrText>Dispensing poisons included in Schedule 8 in case of emergency</w:instrText>
      </w:r>
      <w:r>
        <w:tab/>
      </w:r>
      <w:r>
        <w:fldChar w:fldCharType="begin"/>
      </w:r>
      <w:r>
        <w:instrText xml:space="preserve"> PAGEREF _Toc389746593 \h </w:instrText>
      </w:r>
      <w:r>
        <w:fldChar w:fldCharType="separate"/>
      </w:r>
      <w:r>
        <w:instrText>100</w:instrText>
      </w:r>
      <w:r>
        <w:fldChar w:fldCharType="end"/>
      </w:r>
    </w:p>
    <w:p>
      <w:pPr>
        <w:pStyle w:val="TOC8"/>
        <w:rPr>
          <w:rFonts w:asciiTheme="minorHAnsi" w:eastAsiaTheme="minorEastAsia" w:hAnsiTheme="minorHAnsi" w:cstheme="minorBidi"/>
          <w:szCs w:val="22"/>
        </w:rPr>
      </w:pPr>
      <w:r>
        <w:instrText>53A</w:instrText>
      </w:r>
      <w:r>
        <w:rPr>
          <w:snapToGrid w:val="0"/>
        </w:rPr>
        <w:instrText>.</w:instrText>
      </w:r>
      <w:r>
        <w:rPr>
          <w:snapToGrid w:val="0"/>
        </w:rPr>
        <w:tab/>
        <w:instrText>Dispensing certain poisons included in Schedule 8</w:instrText>
      </w:r>
      <w:r>
        <w:tab/>
      </w:r>
      <w:r>
        <w:fldChar w:fldCharType="begin"/>
      </w:r>
      <w:r>
        <w:instrText xml:space="preserve"> PAGEREF _Toc389746594 \h </w:instrText>
      </w:r>
      <w:r>
        <w:fldChar w:fldCharType="separate"/>
      </w:r>
      <w:r>
        <w:instrText>101</w:instrText>
      </w:r>
      <w:r>
        <w:fldChar w:fldCharType="end"/>
      </w:r>
    </w:p>
    <w:p>
      <w:pPr>
        <w:pStyle w:val="TOC8"/>
        <w:rPr>
          <w:rFonts w:asciiTheme="minorHAnsi" w:eastAsiaTheme="minorEastAsia" w:hAnsiTheme="minorHAnsi" w:cstheme="minorBidi"/>
          <w:szCs w:val="22"/>
        </w:rPr>
      </w:pPr>
      <w:r>
        <w:instrText>54</w:instrText>
      </w:r>
      <w:r>
        <w:rPr>
          <w:snapToGrid w:val="0"/>
        </w:rPr>
        <w:instrText>.</w:instrText>
      </w:r>
      <w:r>
        <w:rPr>
          <w:snapToGrid w:val="0"/>
        </w:rPr>
        <w:tab/>
        <w:instrText>Delivery of poisons included in Schedule 8 on order</w:instrText>
      </w:r>
      <w:r>
        <w:tab/>
      </w:r>
      <w:r>
        <w:fldChar w:fldCharType="begin"/>
      </w:r>
      <w:r>
        <w:instrText xml:space="preserve"> PAGEREF _Toc389746595 \h </w:instrText>
      </w:r>
      <w:r>
        <w:fldChar w:fldCharType="separate"/>
      </w:r>
      <w:r>
        <w:instrText>102</w:instrText>
      </w:r>
      <w:r>
        <w:fldChar w:fldCharType="end"/>
      </w:r>
    </w:p>
    <w:p>
      <w:pPr>
        <w:pStyle w:val="TOC8"/>
        <w:rPr>
          <w:rFonts w:asciiTheme="minorHAnsi" w:eastAsiaTheme="minorEastAsia" w:hAnsiTheme="minorHAnsi" w:cstheme="minorBidi"/>
          <w:szCs w:val="22"/>
        </w:rPr>
      </w:pPr>
      <w:r>
        <w:instrText>54A</w:instrText>
      </w:r>
      <w:r>
        <w:rPr>
          <w:snapToGrid w:val="0"/>
        </w:rPr>
        <w:instrText>.</w:instrText>
      </w:r>
      <w:r>
        <w:rPr>
          <w:snapToGrid w:val="0"/>
        </w:rPr>
        <w:tab/>
        <w:instrText>Packaging of drugs of addiction</w:instrText>
      </w:r>
      <w:r>
        <w:tab/>
      </w:r>
      <w:r>
        <w:fldChar w:fldCharType="begin"/>
      </w:r>
      <w:r>
        <w:instrText xml:space="preserve"> PAGEREF _Toc389746596 \h </w:instrText>
      </w:r>
      <w:r>
        <w:fldChar w:fldCharType="separate"/>
      </w:r>
      <w:r>
        <w:instrText>103</w:instrText>
      </w:r>
      <w:r>
        <w:fldChar w:fldCharType="end"/>
      </w:r>
    </w:p>
    <w:p>
      <w:pPr>
        <w:pStyle w:val="TOC8"/>
        <w:rPr>
          <w:rFonts w:asciiTheme="minorHAnsi" w:eastAsiaTheme="minorEastAsia" w:hAnsiTheme="minorHAnsi" w:cstheme="minorBidi"/>
          <w:szCs w:val="22"/>
        </w:rPr>
      </w:pPr>
      <w:r>
        <w:instrText>55</w:instrText>
      </w:r>
      <w:r>
        <w:rPr>
          <w:snapToGrid w:val="0"/>
        </w:rPr>
        <w:instrText>.</w:instrText>
      </w:r>
      <w:r>
        <w:rPr>
          <w:snapToGrid w:val="0"/>
        </w:rPr>
        <w:tab/>
        <w:instrText>Common carrier protected</w:instrText>
      </w:r>
      <w:r>
        <w:tab/>
      </w:r>
      <w:r>
        <w:fldChar w:fldCharType="begin"/>
      </w:r>
      <w:r>
        <w:instrText xml:space="preserve"> PAGEREF _Toc389746597 \h </w:instrText>
      </w:r>
      <w:r>
        <w:fldChar w:fldCharType="separate"/>
      </w:r>
      <w:r>
        <w:instrText>104</w:instrText>
      </w:r>
      <w:r>
        <w:fldChar w:fldCharType="end"/>
      </w:r>
    </w:p>
    <w:p>
      <w:pPr>
        <w:pStyle w:val="TOC4"/>
        <w:tabs>
          <w:tab w:val="right" w:leader="dot" w:pos="7086"/>
        </w:tabs>
        <w:rPr>
          <w:rFonts w:asciiTheme="minorHAnsi" w:eastAsiaTheme="minorEastAsia" w:hAnsiTheme="minorHAnsi" w:cstheme="minorBidi"/>
          <w:b w:val="0"/>
          <w:szCs w:val="22"/>
        </w:rPr>
      </w:pPr>
      <w:r>
        <w:instrText>Division 4 — Safe custody</w:instrText>
      </w:r>
    </w:p>
    <w:p>
      <w:pPr>
        <w:pStyle w:val="TOC8"/>
        <w:rPr>
          <w:rFonts w:asciiTheme="minorHAnsi" w:eastAsiaTheme="minorEastAsia" w:hAnsiTheme="minorHAnsi" w:cstheme="minorBidi"/>
          <w:szCs w:val="22"/>
        </w:rPr>
      </w:pPr>
      <w:r>
        <w:instrText>56</w:instrText>
      </w:r>
      <w:r>
        <w:rPr>
          <w:snapToGrid w:val="0"/>
        </w:rPr>
        <w:instrText>.</w:instrText>
      </w:r>
      <w:r>
        <w:rPr>
          <w:snapToGrid w:val="0"/>
        </w:rPr>
        <w:tab/>
        <w:instrText>Storing and securing drugs of addiction</w:instrText>
      </w:r>
      <w:r>
        <w:tab/>
      </w:r>
      <w:r>
        <w:fldChar w:fldCharType="begin"/>
      </w:r>
      <w:r>
        <w:instrText xml:space="preserve"> PAGEREF _Toc389746599 \h </w:instrText>
      </w:r>
      <w:r>
        <w:fldChar w:fldCharType="separate"/>
      </w:r>
      <w:r>
        <w:instrText>104</w:instrText>
      </w:r>
      <w:r>
        <w:fldChar w:fldCharType="end"/>
      </w:r>
    </w:p>
    <w:p>
      <w:pPr>
        <w:pStyle w:val="TOC8"/>
        <w:rPr>
          <w:rFonts w:asciiTheme="minorHAnsi" w:eastAsiaTheme="minorEastAsia" w:hAnsiTheme="minorHAnsi" w:cstheme="minorBidi"/>
          <w:szCs w:val="22"/>
        </w:rPr>
      </w:pPr>
      <w:r>
        <w:instrText>56A</w:instrText>
      </w:r>
      <w:r>
        <w:rPr>
          <w:snapToGrid w:val="0"/>
        </w:rPr>
        <w:instrText>.</w:instrText>
      </w:r>
      <w:r>
        <w:rPr>
          <w:snapToGrid w:val="0"/>
        </w:rPr>
        <w:tab/>
        <w:instrText>Prescribed amount of poisons included in Schedule 8</w:instrText>
      </w:r>
      <w:r>
        <w:tab/>
      </w:r>
      <w:r>
        <w:fldChar w:fldCharType="begin"/>
      </w:r>
      <w:r>
        <w:instrText xml:space="preserve"> PAGEREF _Toc389746600 \h </w:instrText>
      </w:r>
      <w:r>
        <w:fldChar w:fldCharType="separate"/>
      </w:r>
      <w:r>
        <w:instrText>106</w:instrText>
      </w:r>
      <w:r>
        <w:fldChar w:fldCharType="end"/>
      </w:r>
    </w:p>
    <w:p>
      <w:pPr>
        <w:pStyle w:val="TOC8"/>
        <w:rPr>
          <w:rFonts w:asciiTheme="minorHAnsi" w:eastAsiaTheme="minorEastAsia" w:hAnsiTheme="minorHAnsi" w:cstheme="minorBidi"/>
          <w:szCs w:val="22"/>
        </w:rPr>
      </w:pPr>
      <w:r>
        <w:instrText>56B</w:instrText>
      </w:r>
      <w:r>
        <w:rPr>
          <w:snapToGrid w:val="0"/>
        </w:rPr>
        <w:instrText>.</w:instrText>
      </w:r>
      <w:r>
        <w:rPr>
          <w:snapToGrid w:val="0"/>
        </w:rPr>
        <w:tab/>
        <w:instrText>Location of safe in premises</w:instrText>
      </w:r>
      <w:r>
        <w:tab/>
      </w:r>
      <w:r>
        <w:fldChar w:fldCharType="begin"/>
      </w:r>
      <w:r>
        <w:instrText xml:space="preserve"> PAGEREF _Toc389746601 \h </w:instrText>
      </w:r>
      <w:r>
        <w:fldChar w:fldCharType="separate"/>
      </w:r>
      <w:r>
        <w:instrText>106</w:instrText>
      </w:r>
      <w:r>
        <w:fldChar w:fldCharType="end"/>
      </w:r>
    </w:p>
    <w:p>
      <w:pPr>
        <w:pStyle w:val="TOC8"/>
        <w:rPr>
          <w:rFonts w:asciiTheme="minorHAnsi" w:eastAsiaTheme="minorEastAsia" w:hAnsiTheme="minorHAnsi" w:cstheme="minorBidi"/>
          <w:szCs w:val="22"/>
        </w:rPr>
      </w:pPr>
      <w:r>
        <w:instrText>56C</w:instrText>
      </w:r>
      <w:r>
        <w:rPr>
          <w:snapToGrid w:val="0"/>
        </w:rPr>
        <w:instrText>.</w:instrText>
      </w:r>
      <w:r>
        <w:rPr>
          <w:snapToGrid w:val="0"/>
        </w:rPr>
        <w:tab/>
        <w:instrText>Authorised persons to keep keys to safes</w:instrText>
      </w:r>
      <w:r>
        <w:tab/>
      </w:r>
      <w:r>
        <w:fldChar w:fldCharType="begin"/>
      </w:r>
      <w:r>
        <w:instrText xml:space="preserve"> PAGEREF _Toc389746602 \h </w:instrText>
      </w:r>
      <w:r>
        <w:fldChar w:fldCharType="separate"/>
      </w:r>
      <w:r>
        <w:instrText>107</w:instrText>
      </w:r>
      <w:r>
        <w:fldChar w:fldCharType="end"/>
      </w:r>
    </w:p>
    <w:p>
      <w:pPr>
        <w:pStyle w:val="TOC8"/>
        <w:rPr>
          <w:rFonts w:asciiTheme="minorHAnsi" w:eastAsiaTheme="minorEastAsia" w:hAnsiTheme="minorHAnsi" w:cstheme="minorBidi"/>
          <w:szCs w:val="22"/>
        </w:rPr>
      </w:pPr>
      <w:r>
        <w:instrText>56D</w:instrText>
      </w:r>
      <w:r>
        <w:rPr>
          <w:snapToGrid w:val="0"/>
        </w:rPr>
        <w:instrText>.</w:instrText>
      </w:r>
      <w:r>
        <w:rPr>
          <w:snapToGrid w:val="0"/>
        </w:rPr>
        <w:tab/>
        <w:instrText>Safes to be kept locked</w:instrText>
      </w:r>
      <w:r>
        <w:tab/>
      </w:r>
      <w:r>
        <w:fldChar w:fldCharType="begin"/>
      </w:r>
      <w:r>
        <w:instrText xml:space="preserve"> PAGEREF _Toc389746603 \h </w:instrText>
      </w:r>
      <w:r>
        <w:fldChar w:fldCharType="separate"/>
      </w:r>
      <w:r>
        <w:instrText>107</w:instrText>
      </w:r>
      <w:r>
        <w:fldChar w:fldCharType="end"/>
      </w:r>
    </w:p>
    <w:p>
      <w:pPr>
        <w:pStyle w:val="TOC8"/>
        <w:rPr>
          <w:rFonts w:asciiTheme="minorHAnsi" w:eastAsiaTheme="minorEastAsia" w:hAnsiTheme="minorHAnsi" w:cstheme="minorBidi"/>
          <w:szCs w:val="22"/>
        </w:rPr>
      </w:pPr>
      <w:r>
        <w:instrText>56E</w:instrText>
      </w:r>
      <w:r>
        <w:rPr>
          <w:snapToGrid w:val="0"/>
        </w:rPr>
        <w:instrText>.</w:instrText>
      </w:r>
      <w:r>
        <w:rPr>
          <w:snapToGrid w:val="0"/>
        </w:rPr>
        <w:tab/>
        <w:instrText>Pharmacist present on premises</w:instrText>
      </w:r>
      <w:r>
        <w:tab/>
      </w:r>
      <w:r>
        <w:fldChar w:fldCharType="begin"/>
      </w:r>
      <w:r>
        <w:instrText xml:space="preserve"> PAGEREF _Toc389746604 \h </w:instrText>
      </w:r>
      <w:r>
        <w:fldChar w:fldCharType="separate"/>
      </w:r>
      <w:r>
        <w:instrText>107</w:instrText>
      </w:r>
      <w:r>
        <w:fldChar w:fldCharType="end"/>
      </w:r>
    </w:p>
    <w:p>
      <w:pPr>
        <w:pStyle w:val="TOC8"/>
        <w:rPr>
          <w:rFonts w:asciiTheme="minorHAnsi" w:eastAsiaTheme="minorEastAsia" w:hAnsiTheme="minorHAnsi" w:cstheme="minorBidi"/>
          <w:szCs w:val="22"/>
        </w:rPr>
      </w:pPr>
      <w:r>
        <w:instrText>56F</w:instrText>
      </w:r>
      <w:r>
        <w:rPr>
          <w:snapToGrid w:val="0"/>
        </w:rPr>
        <w:instrText>.</w:instrText>
      </w:r>
      <w:r>
        <w:rPr>
          <w:snapToGrid w:val="0"/>
        </w:rPr>
        <w:tab/>
        <w:instrText>Keys to, and locking of, poisons cupboards and lockable drawers</w:instrText>
      </w:r>
      <w:r>
        <w:tab/>
      </w:r>
      <w:r>
        <w:fldChar w:fldCharType="begin"/>
      </w:r>
      <w:r>
        <w:instrText xml:space="preserve"> PAGEREF _Toc389746605 \h </w:instrText>
      </w:r>
      <w:r>
        <w:fldChar w:fldCharType="separate"/>
      </w:r>
      <w:r>
        <w:instrText>108</w:instrText>
      </w:r>
      <w:r>
        <w:fldChar w:fldCharType="end"/>
      </w:r>
    </w:p>
    <w:p>
      <w:pPr>
        <w:pStyle w:val="TOC8"/>
        <w:rPr>
          <w:rFonts w:asciiTheme="minorHAnsi" w:eastAsiaTheme="minorEastAsia" w:hAnsiTheme="minorHAnsi" w:cstheme="minorBidi"/>
          <w:szCs w:val="22"/>
        </w:rPr>
      </w:pPr>
      <w:r>
        <w:instrText>56G</w:instrText>
      </w:r>
      <w:r>
        <w:rPr>
          <w:snapToGrid w:val="0"/>
        </w:rPr>
        <w:instrText>.</w:instrText>
      </w:r>
      <w:r>
        <w:rPr>
          <w:snapToGrid w:val="0"/>
        </w:rPr>
        <w:tab/>
        <w:instrText>Poisons included in Schedule 8 in hospital ward</w:instrText>
      </w:r>
      <w:r>
        <w:tab/>
      </w:r>
      <w:r>
        <w:fldChar w:fldCharType="begin"/>
      </w:r>
      <w:r>
        <w:instrText xml:space="preserve"> PAGEREF _Toc389746606 \h </w:instrText>
      </w:r>
      <w:r>
        <w:fldChar w:fldCharType="separate"/>
      </w:r>
      <w:r>
        <w:instrText>108</w:instrText>
      </w:r>
      <w:r>
        <w:fldChar w:fldCharType="end"/>
      </w:r>
    </w:p>
    <w:p>
      <w:pPr>
        <w:pStyle w:val="TOC8"/>
        <w:rPr>
          <w:rFonts w:asciiTheme="minorHAnsi" w:eastAsiaTheme="minorEastAsia" w:hAnsiTheme="minorHAnsi" w:cstheme="minorBidi"/>
          <w:szCs w:val="22"/>
        </w:rPr>
      </w:pPr>
      <w:r>
        <w:instrText>56H</w:instrText>
      </w:r>
      <w:r>
        <w:rPr>
          <w:snapToGrid w:val="0"/>
        </w:rPr>
        <w:instrText>.</w:instrText>
      </w:r>
      <w:r>
        <w:rPr>
          <w:snapToGrid w:val="0"/>
        </w:rPr>
        <w:tab/>
        <w:instrText>Keys to, and locking of, cupboards in hospital wards</w:instrText>
      </w:r>
      <w:r>
        <w:tab/>
      </w:r>
      <w:r>
        <w:fldChar w:fldCharType="begin"/>
      </w:r>
      <w:r>
        <w:instrText xml:space="preserve"> PAGEREF _Toc389746607 \h </w:instrText>
      </w:r>
      <w:r>
        <w:fldChar w:fldCharType="separate"/>
      </w:r>
      <w:r>
        <w:instrText>109</w:instrText>
      </w:r>
      <w:r>
        <w:fldChar w:fldCharType="end"/>
      </w:r>
    </w:p>
    <w:p>
      <w:pPr>
        <w:pStyle w:val="TOC4"/>
        <w:tabs>
          <w:tab w:val="right" w:leader="dot" w:pos="7086"/>
        </w:tabs>
        <w:rPr>
          <w:rFonts w:asciiTheme="minorHAnsi" w:eastAsiaTheme="minorEastAsia" w:hAnsiTheme="minorHAnsi" w:cstheme="minorBidi"/>
          <w:b w:val="0"/>
          <w:szCs w:val="22"/>
        </w:rPr>
      </w:pPr>
      <w:r>
        <w:instrText>Division 5 — Restrictions on supply</w:instrText>
      </w:r>
    </w:p>
    <w:p>
      <w:pPr>
        <w:pStyle w:val="TOC8"/>
        <w:rPr>
          <w:rFonts w:asciiTheme="minorHAnsi" w:eastAsiaTheme="minorEastAsia" w:hAnsiTheme="minorHAnsi" w:cstheme="minorBidi"/>
          <w:szCs w:val="22"/>
        </w:rPr>
      </w:pPr>
      <w:r>
        <w:instrText>57</w:instrText>
      </w:r>
      <w:r>
        <w:rPr>
          <w:snapToGrid w:val="0"/>
        </w:rPr>
        <w:instrText>.</w:instrText>
      </w:r>
      <w:r>
        <w:rPr>
          <w:snapToGrid w:val="0"/>
        </w:rPr>
        <w:tab/>
        <w:instrText>Labelling</w:instrText>
      </w:r>
      <w:r>
        <w:tab/>
      </w:r>
      <w:r>
        <w:fldChar w:fldCharType="begin"/>
      </w:r>
      <w:r>
        <w:instrText xml:space="preserve"> PAGEREF _Toc389746609 \h </w:instrText>
      </w:r>
      <w:r>
        <w:fldChar w:fldCharType="separate"/>
      </w:r>
      <w:r>
        <w:instrText>109</w:instrText>
      </w:r>
      <w:r>
        <w:fldChar w:fldCharType="end"/>
      </w:r>
    </w:p>
    <w:p>
      <w:pPr>
        <w:pStyle w:val="TOC8"/>
        <w:rPr>
          <w:rFonts w:asciiTheme="minorHAnsi" w:eastAsiaTheme="minorEastAsia" w:hAnsiTheme="minorHAnsi" w:cstheme="minorBidi"/>
          <w:szCs w:val="22"/>
        </w:rPr>
      </w:pPr>
      <w:r>
        <w:instrText>58</w:instrText>
      </w:r>
      <w:r>
        <w:rPr>
          <w:snapToGrid w:val="0"/>
        </w:rPr>
        <w:instrText>.</w:instrText>
      </w:r>
      <w:r>
        <w:rPr>
          <w:snapToGrid w:val="0"/>
        </w:rPr>
        <w:tab/>
        <w:instrText>Improper prescribing or use of drugs of addiction</w:instrText>
      </w:r>
      <w:r>
        <w:tab/>
      </w:r>
      <w:r>
        <w:fldChar w:fldCharType="begin"/>
      </w:r>
      <w:r>
        <w:instrText xml:space="preserve"> PAGEREF _Toc389746610 \h </w:instrText>
      </w:r>
      <w:r>
        <w:fldChar w:fldCharType="separate"/>
      </w:r>
      <w:r>
        <w:instrText>110</w:instrText>
      </w:r>
      <w:r>
        <w:fldChar w:fldCharType="end"/>
      </w:r>
    </w:p>
    <w:p>
      <w:pPr>
        <w:pStyle w:val="TOC2"/>
        <w:tabs>
          <w:tab w:val="right" w:leader="dot" w:pos="7086"/>
        </w:tabs>
        <w:rPr>
          <w:rFonts w:asciiTheme="minorHAnsi" w:eastAsiaTheme="minorEastAsia" w:hAnsiTheme="minorHAnsi" w:cstheme="minorBidi"/>
          <w:b w:val="0"/>
          <w:sz w:val="22"/>
          <w:szCs w:val="22"/>
        </w:rPr>
      </w:pPr>
      <w:r>
        <w:instrText>Part 7 — Miscellaneous provisions</w:instrText>
      </w:r>
    </w:p>
    <w:p>
      <w:pPr>
        <w:pStyle w:val="TOC8"/>
        <w:rPr>
          <w:rFonts w:asciiTheme="minorHAnsi" w:eastAsiaTheme="minorEastAsia" w:hAnsiTheme="minorHAnsi" w:cstheme="minorBidi"/>
          <w:szCs w:val="22"/>
        </w:rPr>
      </w:pPr>
      <w:r>
        <w:instrText>59</w:instrText>
      </w:r>
      <w:r>
        <w:rPr>
          <w:snapToGrid w:val="0"/>
        </w:rPr>
        <w:instrText>.</w:instrText>
      </w:r>
      <w:r>
        <w:rPr>
          <w:snapToGrid w:val="0"/>
        </w:rPr>
        <w:tab/>
        <w:instrText>Names of persons from whom licence or authority withdrawn to be published</w:instrText>
      </w:r>
      <w:r>
        <w:tab/>
      </w:r>
      <w:r>
        <w:fldChar w:fldCharType="begin"/>
      </w:r>
      <w:r>
        <w:instrText xml:space="preserve"> PAGEREF _Toc389746612 \h </w:instrText>
      </w:r>
      <w:r>
        <w:fldChar w:fldCharType="separate"/>
      </w:r>
      <w:r>
        <w:instrText>111</w:instrText>
      </w:r>
      <w:r>
        <w:fldChar w:fldCharType="end"/>
      </w:r>
    </w:p>
    <w:p>
      <w:pPr>
        <w:pStyle w:val="TOC8"/>
        <w:rPr>
          <w:rFonts w:asciiTheme="minorHAnsi" w:eastAsiaTheme="minorEastAsia" w:hAnsiTheme="minorHAnsi" w:cstheme="minorBidi"/>
          <w:szCs w:val="22"/>
        </w:rPr>
      </w:pPr>
      <w:r>
        <w:instrText>64</w:instrText>
      </w:r>
      <w:r>
        <w:rPr>
          <w:snapToGrid w:val="0"/>
        </w:rPr>
        <w:instrText>.</w:instrText>
      </w:r>
      <w:r>
        <w:rPr>
          <w:snapToGrid w:val="0"/>
        </w:rPr>
        <w:tab/>
        <w:instrText>Substitution of one brand of a drug for another</w:instrText>
      </w:r>
      <w:r>
        <w:tab/>
      </w:r>
      <w:r>
        <w:fldChar w:fldCharType="begin"/>
      </w:r>
      <w:r>
        <w:instrText xml:space="preserve"> PAGEREF _Toc389746613 \h </w:instrText>
      </w:r>
      <w:r>
        <w:fldChar w:fldCharType="separate"/>
      </w:r>
      <w:r>
        <w:instrText>111</w:instrText>
      </w:r>
      <w:r>
        <w:fldChar w:fldCharType="end"/>
      </w:r>
    </w:p>
    <w:p>
      <w:pPr>
        <w:pStyle w:val="TOC8"/>
        <w:rPr>
          <w:rFonts w:asciiTheme="minorHAnsi" w:eastAsiaTheme="minorEastAsia" w:hAnsiTheme="minorHAnsi" w:cstheme="minorBidi"/>
          <w:szCs w:val="22"/>
        </w:rPr>
      </w:pPr>
      <w:r>
        <w:instrText>65</w:instrText>
      </w:r>
      <w:r>
        <w:rPr>
          <w:snapToGrid w:val="0"/>
        </w:rPr>
        <w:instrText>.</w:instrText>
      </w:r>
      <w:r>
        <w:rPr>
          <w:snapToGrid w:val="0"/>
        </w:rPr>
        <w:tab/>
        <w:instrText>Form of warrant (section 55A)</w:instrText>
      </w:r>
      <w:r>
        <w:tab/>
      </w:r>
      <w:r>
        <w:fldChar w:fldCharType="begin"/>
      </w:r>
      <w:r>
        <w:instrText xml:space="preserve"> PAGEREF _Toc389746614 \h </w:instrText>
      </w:r>
      <w:r>
        <w:fldChar w:fldCharType="separate"/>
      </w:r>
      <w:r>
        <w:instrText>112</w:instrText>
      </w:r>
      <w:r>
        <w:fldChar w:fldCharType="end"/>
      </w:r>
    </w:p>
    <w:p>
      <w:pPr>
        <w:pStyle w:val="TOC2"/>
        <w:tabs>
          <w:tab w:val="right" w:leader="dot" w:pos="7086"/>
        </w:tabs>
        <w:rPr>
          <w:rFonts w:asciiTheme="minorHAnsi" w:eastAsiaTheme="minorEastAsia" w:hAnsiTheme="minorHAnsi" w:cstheme="minorBidi"/>
          <w:b w:val="0"/>
          <w:sz w:val="22"/>
          <w:szCs w:val="22"/>
        </w:rPr>
      </w:pPr>
      <w:r>
        <w:instrText>Appendix A</w:instrText>
      </w:r>
    </w:p>
    <w:p>
      <w:pPr>
        <w:pStyle w:val="TOC2"/>
        <w:tabs>
          <w:tab w:val="right" w:leader="dot" w:pos="7086"/>
        </w:tabs>
        <w:rPr>
          <w:rFonts w:asciiTheme="minorHAnsi" w:eastAsiaTheme="minorEastAsia" w:hAnsiTheme="minorHAnsi" w:cstheme="minorBidi"/>
          <w:b w:val="0"/>
          <w:sz w:val="22"/>
          <w:szCs w:val="22"/>
        </w:rPr>
      </w:pPr>
      <w:r>
        <w:instrText>Appendix G</w:instrText>
      </w:r>
    </w:p>
    <w:p>
      <w:pPr>
        <w:pStyle w:val="TOC2"/>
        <w:tabs>
          <w:tab w:val="right" w:leader="dot" w:pos="7086"/>
        </w:tabs>
        <w:rPr>
          <w:rFonts w:asciiTheme="minorHAnsi" w:eastAsiaTheme="minorEastAsia" w:hAnsiTheme="minorHAnsi" w:cstheme="minorBidi"/>
          <w:b w:val="0"/>
          <w:sz w:val="22"/>
          <w:szCs w:val="22"/>
        </w:rPr>
      </w:pPr>
      <w:r>
        <w:instrText>Appendix H</w:instrText>
      </w:r>
    </w:p>
    <w:p>
      <w:pPr>
        <w:pStyle w:val="TOC2"/>
        <w:tabs>
          <w:tab w:val="right" w:leader="dot" w:pos="7086"/>
        </w:tabs>
        <w:rPr>
          <w:rFonts w:asciiTheme="minorHAnsi" w:eastAsiaTheme="minorEastAsia" w:hAnsiTheme="minorHAnsi" w:cstheme="minorBidi"/>
          <w:b w:val="0"/>
          <w:sz w:val="22"/>
          <w:szCs w:val="22"/>
        </w:rPr>
      </w:pPr>
      <w:r>
        <w:instrText>Schedule 4 substances referred to in regulation 39(1)</w:instrText>
      </w:r>
    </w:p>
    <w:p>
      <w:pPr>
        <w:pStyle w:val="TOC2"/>
        <w:tabs>
          <w:tab w:val="right" w:leader="dot" w:pos="7086"/>
        </w:tabs>
        <w:rPr>
          <w:rFonts w:asciiTheme="minorHAnsi" w:eastAsiaTheme="minorEastAsia" w:hAnsiTheme="minorHAnsi" w:cstheme="minorBidi"/>
          <w:b w:val="0"/>
          <w:sz w:val="22"/>
          <w:szCs w:val="22"/>
        </w:rPr>
      </w:pPr>
      <w:r>
        <w:instrText>Appendix J</w:instrText>
      </w:r>
    </w:p>
    <w:p>
      <w:pPr>
        <w:pStyle w:val="TOC2"/>
        <w:tabs>
          <w:tab w:val="right" w:leader="dot" w:pos="7086"/>
        </w:tabs>
        <w:rPr>
          <w:rFonts w:asciiTheme="minorHAnsi" w:eastAsiaTheme="minorEastAsia" w:hAnsiTheme="minorHAnsi" w:cstheme="minorBidi"/>
          <w:b w:val="0"/>
          <w:sz w:val="22"/>
          <w:szCs w:val="22"/>
        </w:rPr>
      </w:pPr>
      <w:r>
        <w:instrText>Schedule 3 poison sales to be recorded</w:instrText>
      </w:r>
    </w:p>
    <w:p>
      <w:pPr>
        <w:pStyle w:val="TOC2"/>
        <w:tabs>
          <w:tab w:val="right" w:leader="dot" w:pos="7086"/>
        </w:tabs>
        <w:rPr>
          <w:rFonts w:asciiTheme="minorHAnsi" w:eastAsiaTheme="minorEastAsia" w:hAnsiTheme="minorHAnsi" w:cstheme="minorBidi"/>
          <w:b w:val="0"/>
          <w:sz w:val="22"/>
          <w:szCs w:val="22"/>
        </w:rPr>
      </w:pPr>
      <w:r>
        <w:instrText>Appendix L</w:instrText>
      </w:r>
    </w:p>
    <w:p>
      <w:pPr>
        <w:pStyle w:val="TOC2"/>
        <w:tabs>
          <w:tab w:val="right" w:leader="dot" w:pos="7086"/>
        </w:tabs>
        <w:rPr>
          <w:rFonts w:asciiTheme="minorHAnsi" w:eastAsiaTheme="minorEastAsia" w:hAnsiTheme="minorHAnsi" w:cstheme="minorBidi"/>
          <w:b w:val="0"/>
          <w:sz w:val="22"/>
          <w:szCs w:val="22"/>
        </w:rPr>
      </w:pPr>
      <w:r>
        <w:instrText>Specified criteria for the generation of prescriptions by computer</w:instrText>
      </w:r>
    </w:p>
    <w:p>
      <w:pPr>
        <w:pStyle w:val="TOC2"/>
        <w:tabs>
          <w:tab w:val="right" w:leader="dot" w:pos="7086"/>
        </w:tabs>
        <w:rPr>
          <w:rFonts w:asciiTheme="minorHAnsi" w:eastAsiaTheme="minorEastAsia" w:hAnsiTheme="minorHAnsi" w:cstheme="minorBidi"/>
          <w:b w:val="0"/>
          <w:sz w:val="22"/>
          <w:szCs w:val="22"/>
        </w:rPr>
      </w:pPr>
      <w:r>
        <w:instrText>Appendix M</w:instrText>
      </w:r>
    </w:p>
    <w:p>
      <w:pPr>
        <w:pStyle w:val="TOC2"/>
        <w:tabs>
          <w:tab w:val="right" w:leader="dot" w:pos="7086"/>
        </w:tabs>
        <w:rPr>
          <w:rFonts w:asciiTheme="minorHAnsi" w:eastAsiaTheme="minorEastAsia" w:hAnsiTheme="minorHAnsi" w:cstheme="minorBidi"/>
          <w:b w:val="0"/>
          <w:sz w:val="22"/>
          <w:szCs w:val="22"/>
        </w:rPr>
      </w:pPr>
      <w:r>
        <w:instrText>Safes and additional security for storing drugs of addiction</w:instrText>
      </w:r>
    </w:p>
    <w:p>
      <w:pPr>
        <w:pStyle w:val="TOC8"/>
        <w:rPr>
          <w:rFonts w:asciiTheme="minorHAnsi" w:eastAsiaTheme="minorEastAsia" w:hAnsiTheme="minorHAnsi" w:cstheme="minorBidi"/>
          <w:szCs w:val="22"/>
        </w:rPr>
      </w:pPr>
      <w:r>
        <w:instrText>1</w:instrText>
      </w:r>
      <w:r>
        <w:rPr>
          <w:snapToGrid w:val="0"/>
        </w:rPr>
        <w:instrText>.</w:instrText>
      </w:r>
      <w:r>
        <w:rPr>
          <w:snapToGrid w:val="0"/>
        </w:rPr>
        <w:tab/>
        <w:instrText>Safes</w:instrText>
      </w:r>
      <w:r>
        <w:tab/>
      </w:r>
      <w:r>
        <w:fldChar w:fldCharType="begin"/>
      </w:r>
      <w:r>
        <w:instrText xml:space="preserve"> PAGEREF _Toc389746625 \h </w:instrText>
      </w:r>
      <w:r>
        <w:fldChar w:fldCharType="separate"/>
      </w:r>
      <w:r>
        <w:instrText>133</w:instrText>
      </w:r>
      <w:r>
        <w:fldChar w:fldCharType="end"/>
      </w:r>
    </w:p>
    <w:p>
      <w:pPr>
        <w:pStyle w:val="TOC8"/>
        <w:rPr>
          <w:rFonts w:asciiTheme="minorHAnsi" w:eastAsiaTheme="minorEastAsia" w:hAnsiTheme="minorHAnsi" w:cstheme="minorBidi"/>
          <w:szCs w:val="22"/>
        </w:rPr>
      </w:pPr>
      <w:r>
        <w:instrText>2</w:instrText>
      </w:r>
      <w:r>
        <w:rPr>
          <w:snapToGrid w:val="0"/>
        </w:rPr>
        <w:instrText>.</w:instrText>
      </w:r>
      <w:r>
        <w:rPr>
          <w:snapToGrid w:val="0"/>
        </w:rPr>
        <w:tab/>
        <w:instrText>Additional security requirements</w:instrText>
      </w:r>
      <w:r>
        <w:tab/>
      </w:r>
      <w:r>
        <w:fldChar w:fldCharType="begin"/>
      </w:r>
      <w:r>
        <w:instrText xml:space="preserve"> PAGEREF _Toc389746626 \h </w:instrText>
      </w:r>
      <w:r>
        <w:fldChar w:fldCharType="separate"/>
      </w:r>
      <w:r>
        <w:instrText>134</w:instrText>
      </w:r>
      <w:r>
        <w:fldChar w:fldCharType="end"/>
      </w:r>
    </w:p>
    <w:p>
      <w:pPr>
        <w:pStyle w:val="TOC2"/>
        <w:tabs>
          <w:tab w:val="right" w:leader="dot" w:pos="7086"/>
        </w:tabs>
        <w:rPr>
          <w:rFonts w:asciiTheme="minorHAnsi" w:eastAsiaTheme="minorEastAsia" w:hAnsiTheme="minorHAnsi" w:cstheme="minorBidi"/>
          <w:b w:val="0"/>
          <w:sz w:val="22"/>
          <w:szCs w:val="22"/>
        </w:rPr>
      </w:pPr>
      <w:r>
        <w:instrText>Notes</w:instrText>
      </w:r>
    </w:p>
    <w:p>
      <w:pPr>
        <w:pStyle w:val="TOC8"/>
        <w:rPr>
          <w:rFonts w:asciiTheme="minorHAnsi" w:eastAsiaTheme="minorEastAsia" w:hAnsiTheme="minorHAnsi" w:cstheme="minorBidi"/>
          <w:szCs w:val="22"/>
        </w:rPr>
      </w:pPr>
      <w:r>
        <w:rPr>
          <w:snapToGrid w:val="0"/>
        </w:rPr>
        <w:instrText>Compilation table</w:instrText>
      </w:r>
      <w:r>
        <w:tab/>
      </w:r>
      <w:r>
        <w:fldChar w:fldCharType="begin"/>
      </w:r>
      <w:r>
        <w:instrText xml:space="preserve"> PAGEREF _Toc389746628 \h </w:instrText>
      </w:r>
      <w:r>
        <w:fldChar w:fldCharType="separate"/>
      </w:r>
      <w:r>
        <w:instrText>135</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9746279"/>
      <w:bookmarkStart w:id="2" w:name="_Toc389746454"/>
      <w:r>
        <w:rPr>
          <w:rStyle w:val="CharPartNo"/>
        </w:rPr>
        <w:t>Part 1</w:t>
      </w:r>
      <w:r>
        <w:rPr>
          <w:rStyle w:val="CharDivNo"/>
        </w:rPr>
        <w:t> </w:t>
      </w:r>
      <w:r>
        <w:t>—</w:t>
      </w:r>
      <w:r>
        <w:rPr>
          <w:rStyle w:val="CharDivText"/>
        </w:rPr>
        <w:t> </w:t>
      </w:r>
      <w:r>
        <w:rPr>
          <w:rStyle w:val="CharPartText"/>
        </w:rPr>
        <w:t>Preliminary</w:t>
      </w:r>
      <w:bookmarkEnd w:id="1"/>
      <w:bookmarkEnd w:id="2"/>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3" w:name="_Toc389746280"/>
      <w:bookmarkStart w:id="4" w:name="_Toc389746455"/>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5" w:name="_Toc389746281"/>
      <w:bookmarkStart w:id="6" w:name="_Toc389746456"/>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animal</w:t>
      </w:r>
      <w:r>
        <w:rPr>
          <w:b/>
        </w:rPr>
        <w:t>”</w:t>
      </w:r>
      <w:r>
        <w:t xml:space="preserve"> includes bees, birds, cetaceans, crustaceans, fish, molluscs and reptiles;</w:t>
      </w:r>
    </w:p>
    <w:p>
      <w:pPr>
        <w:pStyle w:val="Defstart"/>
      </w:pPr>
      <w:r>
        <w:rPr>
          <w:b/>
        </w:rPr>
        <w:tab/>
        <w:t>“</w:t>
      </w:r>
      <w:r>
        <w:rPr>
          <w:rStyle w:val="CharDefText"/>
        </w:rPr>
        <w:t>approved needle and syringe programme</w:t>
      </w:r>
      <w:r>
        <w:rPr>
          <w:b/>
        </w:rPr>
        <w:t>”</w:t>
      </w:r>
      <w:r>
        <w:t xml:space="preserve"> means a needle and syringe programme that has been approved by the CEO;</w:t>
      </w:r>
    </w:p>
    <w:p>
      <w:pPr>
        <w:pStyle w:val="Defstart"/>
      </w:pPr>
      <w:r>
        <w:rPr>
          <w:b/>
        </w:rPr>
        <w:tab/>
        <w:t>“</w:t>
      </w:r>
      <w:r>
        <w:rPr>
          <w:rStyle w:val="CharDefText"/>
        </w:rPr>
        <w:t>child</w:t>
      </w:r>
      <w:r>
        <w:rPr>
          <w:b/>
        </w:rPr>
        <w:t>”</w:t>
      </w:r>
      <w:r>
        <w:t xml:space="preserve"> means a person under the age of 12 years;</w:t>
      </w:r>
    </w:p>
    <w:p>
      <w:pPr>
        <w:pStyle w:val="Defstart"/>
      </w:pPr>
      <w:r>
        <w:rPr>
          <w:b/>
        </w:rPr>
        <w:tab/>
        <w:t>“</w:t>
      </w:r>
      <w:r>
        <w:rPr>
          <w:rStyle w:val="CharDefText"/>
        </w:rPr>
        <w:t>coordinator</w:t>
      </w:r>
      <w:r>
        <w:rPr>
          <w:b/>
        </w:rPr>
        <w:t>”</w:t>
      </w:r>
      <w:r>
        <w:t>, in relation to an approved needle and syringe programme, means the person nominated in an application referred to in regulation 12A to be the coordinator of that programme;</w:t>
      </w:r>
    </w:p>
    <w:p>
      <w:pPr>
        <w:pStyle w:val="Defstart"/>
      </w:pPr>
      <w:r>
        <w:rPr>
          <w:b/>
        </w:rPr>
        <w:tab/>
        <w:t>“</w:t>
      </w:r>
      <w:r>
        <w:rPr>
          <w:rStyle w:val="CharDefText"/>
        </w:rPr>
        <w:t>dermatologist</w:t>
      </w:r>
      <w:r>
        <w:rPr>
          <w:b/>
        </w:rPr>
        <w:t>”</w:t>
      </w:r>
      <w:r>
        <w:t xml:space="preserve"> means a medical practitioner who has qualifications recognised by the Medical Board as appropriate to a specialist in dermatology;</w:t>
      </w:r>
    </w:p>
    <w:p>
      <w:pPr>
        <w:pStyle w:val="Defstart"/>
      </w:pPr>
      <w:r>
        <w:rPr>
          <w:b/>
        </w:rPr>
        <w:tab/>
        <w:t>“</w:t>
      </w:r>
      <w:r>
        <w:rPr>
          <w:rStyle w:val="CharDefText"/>
        </w:rPr>
        <w:t>direction</w:t>
      </w:r>
      <w:r>
        <w:rPr>
          <w:b/>
        </w:rPr>
        <w:t>”</w:t>
      </w:r>
      <w:r>
        <w:t xml:space="preserve"> means regular and frequent supervision but does not necessarily imply continuous personal supervision;</w:t>
      </w:r>
    </w:p>
    <w:p>
      <w:pPr>
        <w:pStyle w:val="Defstart"/>
      </w:pPr>
      <w:r>
        <w:rPr>
          <w:b/>
        </w:rPr>
        <w:tab/>
        <w:t>“</w:t>
      </w:r>
      <w:r>
        <w:rPr>
          <w:rStyle w:val="CharDefText"/>
        </w:rPr>
        <w:t>director of nursing</w:t>
      </w:r>
      <w:r>
        <w:rPr>
          <w:b/>
        </w:rPr>
        <w:t>”</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t>“</w:t>
      </w:r>
      <w:r>
        <w:rPr>
          <w:rStyle w:val="CharDefText"/>
        </w:rPr>
        <w:t>dispense</w:t>
      </w:r>
      <w:r>
        <w:rPr>
          <w:b/>
        </w:rPr>
        <w:t>”</w:t>
      </w:r>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t>“</w:t>
      </w:r>
      <w:r>
        <w:rPr>
          <w:rStyle w:val="CharDefText"/>
        </w:rPr>
        <w:t>distributor</w:t>
      </w:r>
      <w:r>
        <w:rPr>
          <w:b/>
        </w:rPr>
        <w:t>”</w:t>
      </w:r>
      <w:r>
        <w:t xml:space="preserve"> means a person who imports, sells or otherwise supplies a poison;</w:t>
      </w:r>
    </w:p>
    <w:p>
      <w:pPr>
        <w:pStyle w:val="Defstart"/>
      </w:pPr>
      <w:r>
        <w:rPr>
          <w:b/>
        </w:rPr>
        <w:tab/>
        <w:t>“</w:t>
      </w:r>
      <w:r>
        <w:rPr>
          <w:rStyle w:val="CharDefText"/>
        </w:rPr>
        <w:t>dosage unit</w:t>
      </w:r>
      <w:r>
        <w:rPr>
          <w:b/>
        </w:rPr>
        <w:t>”</w:t>
      </w:r>
      <w:r>
        <w:t xml:space="preserve"> means an individual dose of a poison and includes a tablet, capsule, cachet, single dose powder, or a single dose sachet of powders or granules;</w:t>
      </w:r>
    </w:p>
    <w:p>
      <w:pPr>
        <w:pStyle w:val="Defstart"/>
      </w:pPr>
      <w:r>
        <w:rPr>
          <w:b/>
        </w:rPr>
        <w:tab/>
        <w:t>“</w:t>
      </w:r>
      <w:r>
        <w:rPr>
          <w:rStyle w:val="CharDefText"/>
        </w:rPr>
        <w:t>experienced person</w:t>
      </w:r>
      <w:r>
        <w:rPr>
          <w:b/>
        </w:rPr>
        <w:t>”</w:t>
      </w:r>
      <w:r>
        <w:t xml:space="preserve"> means a person who for at least 5 years has been employed in the manufacture, handling or selling of poisons;</w:t>
      </w:r>
    </w:p>
    <w:p>
      <w:pPr>
        <w:pStyle w:val="Defstart"/>
      </w:pPr>
      <w:r>
        <w:rPr>
          <w:b/>
        </w:rPr>
        <w:tab/>
        <w:t>“</w:t>
      </w:r>
      <w:r>
        <w:rPr>
          <w:rStyle w:val="CharDefText"/>
        </w:rPr>
        <w:t>external</w:t>
      </w:r>
      <w:r>
        <w:rPr>
          <w:b/>
        </w:rPr>
        <w:t>”</w:t>
      </w:r>
      <w:r>
        <w:t xml:space="preserve"> in relation to the use of a poison, means application in the ears, eyes or nose, or to a body surface other than in the mouth, rectum, vagina, urethra or other body orifice;</w:t>
      </w:r>
    </w:p>
    <w:p>
      <w:pPr>
        <w:pStyle w:val="Defstart"/>
      </w:pPr>
      <w:r>
        <w:rPr>
          <w:b/>
        </w:rPr>
        <w:tab/>
        <w:t>“</w:t>
      </w:r>
      <w:r>
        <w:rPr>
          <w:rStyle w:val="CharDefText"/>
        </w:rPr>
        <w:t>gynaecologist</w:t>
      </w:r>
      <w:r>
        <w:rPr>
          <w:b/>
        </w:rPr>
        <w:t>”</w:t>
      </w:r>
      <w:r>
        <w:t xml:space="preserve"> means a medical practitioner who has qualifications recognised by the Medical Board as appropriate to a specialist in gynaecology;</w:t>
      </w:r>
    </w:p>
    <w:p>
      <w:pPr>
        <w:pStyle w:val="Defstart"/>
      </w:pPr>
      <w:r>
        <w:rPr>
          <w:b/>
        </w:rPr>
        <w:tab/>
        <w:t>“</w:t>
      </w:r>
      <w:r>
        <w:rPr>
          <w:rStyle w:val="CharDefText"/>
        </w:rPr>
        <w:t>immediate container</w:t>
      </w:r>
      <w:r>
        <w:rPr>
          <w:b/>
        </w:rPr>
        <w:t>”</w:t>
      </w:r>
      <w:r>
        <w:t xml:space="preserve"> includes any form of container in which a poison is directly packed, but does not include any such container intended for consumption or any immediate wrapper;</w:t>
      </w:r>
    </w:p>
    <w:p>
      <w:pPr>
        <w:pStyle w:val="Defstart"/>
      </w:pPr>
      <w:r>
        <w:rPr>
          <w:b/>
        </w:rPr>
        <w:tab/>
        <w:t>“</w:t>
      </w:r>
      <w:r>
        <w:rPr>
          <w:rStyle w:val="CharDefText"/>
        </w:rPr>
        <w:t>immediate wrapper</w:t>
      </w:r>
      <w:r>
        <w:rPr>
          <w:b/>
        </w:rPr>
        <w:t>”</w:t>
      </w:r>
      <w:r>
        <w:t xml:space="preserve"> means metal foil, plastic foil, waxed paper, or any other such material not intended for consumption, when used as the first wrapper for a dosage unit or dressing;</w:t>
      </w:r>
    </w:p>
    <w:p>
      <w:pPr>
        <w:pStyle w:val="Defstart"/>
      </w:pPr>
      <w:r>
        <w:rPr>
          <w:b/>
        </w:rPr>
        <w:tab/>
        <w:t>“</w:t>
      </w:r>
      <w:r>
        <w:rPr>
          <w:rStyle w:val="CharDefText"/>
        </w:rPr>
        <w:t>manufacture</w:t>
      </w:r>
      <w:r>
        <w:rPr>
          <w:b/>
        </w:rPr>
        <w:t>”</w:t>
      </w:r>
      <w:r>
        <w:t xml:space="preserve"> includes the processes of packing and repacking, refining manipulating and mixing any poison;</w:t>
      </w:r>
    </w:p>
    <w:p>
      <w:pPr>
        <w:pStyle w:val="Defstart"/>
      </w:pPr>
      <w:r>
        <w:rPr>
          <w:b/>
        </w:rPr>
        <w:tab/>
        <w:t>“</w:t>
      </w:r>
      <w:r>
        <w:rPr>
          <w:rStyle w:val="CharDefText"/>
        </w:rPr>
        <w:t>manufacturer</w:t>
      </w:r>
      <w:r>
        <w:rPr>
          <w:b/>
        </w:rPr>
        <w:t>”</w:t>
      </w:r>
      <w:r>
        <w:t xml:space="preserve"> means a person who manufactures, produces, or packs a poison;</w:t>
      </w:r>
    </w:p>
    <w:p>
      <w:pPr>
        <w:pStyle w:val="Defstart"/>
      </w:pPr>
      <w:r>
        <w:rPr>
          <w:b/>
        </w:rPr>
        <w:tab/>
        <w:t>“</w:t>
      </w:r>
      <w:r>
        <w:rPr>
          <w:rStyle w:val="CharDefText"/>
        </w:rPr>
        <w:t>Medical Board</w:t>
      </w:r>
      <w:r>
        <w:rPr>
          <w:b/>
        </w:rPr>
        <w:t>”</w:t>
      </w:r>
      <w:r>
        <w:t xml:space="preserve"> means the Medical Board established under section 4 of the </w:t>
      </w:r>
      <w:r>
        <w:rPr>
          <w:i/>
        </w:rPr>
        <w:t>Medical Act 1894</w:t>
      </w:r>
      <w:r>
        <w:t>;</w:t>
      </w:r>
    </w:p>
    <w:p>
      <w:pPr>
        <w:pStyle w:val="Defstart"/>
      </w:pPr>
      <w:r>
        <w:rPr>
          <w:b/>
        </w:rPr>
        <w:tab/>
        <w:t>“</w:t>
      </w:r>
      <w:r>
        <w:rPr>
          <w:rStyle w:val="CharDefText"/>
        </w:rPr>
        <w:t>obstetrician</w:t>
      </w:r>
      <w:r>
        <w:rPr>
          <w:b/>
        </w:rPr>
        <w:t>”</w:t>
      </w:r>
      <w:r>
        <w:t xml:space="preserve"> means a medical practitioner who has qualifications recognised by the Medical Board as appropriate to a specialist in obstetrics;</w:t>
      </w:r>
    </w:p>
    <w:p>
      <w:pPr>
        <w:pStyle w:val="Defstart"/>
      </w:pPr>
      <w:r>
        <w:rPr>
          <w:b/>
        </w:rPr>
        <w:tab/>
        <w:t>“</w:t>
      </w:r>
      <w:r>
        <w:rPr>
          <w:rStyle w:val="CharDefText"/>
        </w:rPr>
        <w:t>permit</w:t>
      </w:r>
      <w:r>
        <w:rPr>
          <w:b/>
        </w:rPr>
        <w:t>”</w:t>
      </w:r>
      <w:r>
        <w:t xml:space="preserve"> means a permit granted pursuant to the Act;</w:t>
      </w:r>
    </w:p>
    <w:p>
      <w:pPr>
        <w:pStyle w:val="Defstart"/>
      </w:pPr>
      <w:r>
        <w:rPr>
          <w:b/>
        </w:rPr>
        <w:tab/>
        <w:t>“</w:t>
      </w:r>
      <w:r>
        <w:rPr>
          <w:rStyle w:val="CharDefText"/>
        </w:rPr>
        <w:t>personal supervision</w:t>
      </w:r>
      <w:r>
        <w:rPr>
          <w:b/>
        </w:rPr>
        <w:t>”</w:t>
      </w:r>
      <w:r>
        <w:t xml:space="preserve"> means close and continuous control requiring the actual presence of the person exercising the supervision;</w:t>
      </w:r>
    </w:p>
    <w:p>
      <w:pPr>
        <w:pStyle w:val="Defstart"/>
      </w:pPr>
      <w:r>
        <w:rPr>
          <w:b/>
        </w:rPr>
        <w:tab/>
        <w:t>“</w:t>
      </w:r>
      <w:r>
        <w:rPr>
          <w:rStyle w:val="CharDefText"/>
        </w:rPr>
        <w:t>physician</w:t>
      </w:r>
      <w:r>
        <w:rPr>
          <w:b/>
        </w:rPr>
        <w:t>”</w:t>
      </w:r>
      <w:r>
        <w:t xml:space="preserve"> means a medical practitioner who has qualifications recognised by the Medical Board as appropriate to a specialist in general medicine;</w:t>
      </w:r>
    </w:p>
    <w:p>
      <w:pPr>
        <w:pStyle w:val="Defstart"/>
      </w:pPr>
      <w:r>
        <w:rPr>
          <w:b/>
        </w:rPr>
        <w:tab/>
        <w:t>“</w:t>
      </w:r>
      <w:r>
        <w:rPr>
          <w:rStyle w:val="CharDefText"/>
        </w:rPr>
        <w:t>poisons cupboard</w:t>
      </w:r>
      <w:r>
        <w:rPr>
          <w:b/>
        </w:rPr>
        <w:t>”</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t>“</w:t>
      </w:r>
      <w:r>
        <w:rPr>
          <w:rStyle w:val="CharDefText"/>
        </w:rPr>
        <w:t>prescribe</w:t>
      </w:r>
      <w:r>
        <w:rPr>
          <w:b/>
        </w:rPr>
        <w:t>”</w:t>
      </w:r>
      <w:r>
        <w:t>, in relation to a drug of addiction, has a meaning affected by regulation 42A;</w:t>
      </w:r>
    </w:p>
    <w:p>
      <w:pPr>
        <w:pStyle w:val="Defstart"/>
      </w:pPr>
      <w:r>
        <w:rPr>
          <w:b/>
        </w:rPr>
        <w:tab/>
        <w:t>“</w:t>
      </w:r>
      <w:r>
        <w:rPr>
          <w:rStyle w:val="CharDefText"/>
        </w:rPr>
        <w:t>psychiatrist</w:t>
      </w:r>
      <w:r>
        <w:rPr>
          <w:b/>
        </w:rPr>
        <w: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t>“</w:t>
      </w:r>
      <w:r>
        <w:rPr>
          <w:rStyle w:val="CharDefText"/>
        </w:rPr>
        <w:t>public hospital</w:t>
      </w:r>
      <w:r>
        <w:rPr>
          <w:b/>
        </w:rPr>
        <w:t>”</w:t>
      </w:r>
      <w:r>
        <w:t xml:space="preserve"> means a public hospital as defined in section 2(1) of the </w:t>
      </w:r>
      <w:r>
        <w:rPr>
          <w:i/>
        </w:rPr>
        <w:t>Hospitals and Health Services Act 1927</w:t>
      </w:r>
      <w:r>
        <w:t>;</w:t>
      </w:r>
    </w:p>
    <w:p>
      <w:pPr>
        <w:pStyle w:val="Defstart"/>
      </w:pPr>
      <w:r>
        <w:rPr>
          <w:b/>
        </w:rPr>
        <w:tab/>
        <w:t>“</w:t>
      </w:r>
      <w:r>
        <w:rPr>
          <w:rStyle w:val="CharDefText"/>
        </w:rPr>
        <w:t>qualified person</w:t>
      </w:r>
      <w:r>
        <w:rPr>
          <w:b/>
        </w:rPr>
        <w:t>”</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t>“</w:t>
      </w:r>
      <w:r>
        <w:rPr>
          <w:rStyle w:val="CharDefText"/>
        </w:rPr>
        <w:t>quarter</w:t>
      </w:r>
      <w:r>
        <w:rPr>
          <w:b/>
        </w:rPr>
        <w:t>”</w:t>
      </w:r>
      <w:r>
        <w:t xml:space="preserve"> means any one of the 3 monthly periods of any year ending on 31 March, 30 June, 30 September or 31 December;</w:t>
      </w:r>
    </w:p>
    <w:p>
      <w:pPr>
        <w:pStyle w:val="Defstart"/>
      </w:pPr>
      <w:r>
        <w:rPr>
          <w:b/>
        </w:rPr>
        <w:tab/>
        <w:t>“</w:t>
      </w:r>
      <w:r>
        <w:rPr>
          <w:rStyle w:val="CharDefText"/>
        </w:rPr>
        <w:t>registered nurse</w:t>
      </w:r>
      <w:r>
        <w:rPr>
          <w:b/>
        </w:rPr>
        <w:t>”</w:t>
      </w:r>
      <w:r>
        <w:t xml:space="preserve"> means a nurse whose name is entered in division 1 of the register referred to in section 33 of the </w:t>
      </w:r>
      <w:r>
        <w:rPr>
          <w:i/>
        </w:rPr>
        <w:t>Nurses Act 1992</w:t>
      </w:r>
      <w:r>
        <w:t>;</w:t>
      </w:r>
    </w:p>
    <w:p>
      <w:pPr>
        <w:pStyle w:val="Defstart"/>
      </w:pPr>
      <w:r>
        <w:rPr>
          <w:b/>
        </w:rPr>
        <w:tab/>
        <w:t>“</w:t>
      </w:r>
      <w:r>
        <w:rPr>
          <w:rStyle w:val="CharDefText"/>
        </w:rPr>
        <w:t>remote area nursing post</w:t>
      </w:r>
      <w:r>
        <w:rPr>
          <w:b/>
        </w:rPr>
        <w:t>”</w:t>
      </w:r>
      <w:r>
        <w:t xml:space="preserve"> means a remote area site designated as a remote area nursing post by the CEO under regulation 11;</w:t>
      </w:r>
    </w:p>
    <w:p>
      <w:pPr>
        <w:pStyle w:val="Defstart"/>
      </w:pPr>
      <w:r>
        <w:rPr>
          <w:b/>
        </w:rPr>
        <w:tab/>
        <w:t>“</w:t>
      </w:r>
      <w:r>
        <w:rPr>
          <w:rStyle w:val="CharDefText"/>
        </w:rPr>
        <w:t>sale</w:t>
      </w:r>
      <w:r>
        <w:rPr>
          <w:b/>
        </w:rPr>
        <w:t>”</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b/>
        </w:rPr>
        <w:t>“</w:t>
      </w:r>
      <w:r>
        <w:rPr>
          <w:rStyle w:val="CharDefText"/>
        </w:rPr>
        <w:t>to sell</w:t>
      </w:r>
      <w:r>
        <w:rPr>
          <w:b/>
        </w:rPr>
        <w:t>”</w:t>
      </w:r>
      <w:r>
        <w:t xml:space="preserve"> has a corresponding meaning;</w:t>
      </w:r>
    </w:p>
    <w:p>
      <w:pPr>
        <w:pStyle w:val="Defstart"/>
      </w:pPr>
      <w:r>
        <w:rPr>
          <w:b/>
        </w:rPr>
        <w:tab/>
        <w:t>“</w:t>
      </w:r>
      <w:r>
        <w:rPr>
          <w:rStyle w:val="CharDefText"/>
        </w:rPr>
        <w:t>Schedule</w:t>
      </w:r>
      <w:r>
        <w:rPr>
          <w:b/>
        </w:rPr>
        <w:t>”</w:t>
      </w:r>
      <w:r>
        <w:t xml:space="preserve"> has the meaning given in the Act;</w:t>
      </w:r>
    </w:p>
    <w:p>
      <w:pPr>
        <w:pStyle w:val="Defstart"/>
      </w:pPr>
      <w:r>
        <w:rPr>
          <w:b/>
        </w:rPr>
        <w:tab/>
        <w:t>“</w:t>
      </w:r>
      <w:r>
        <w:rPr>
          <w:rStyle w:val="CharDefText"/>
        </w:rPr>
        <w:t>supply</w:t>
      </w:r>
      <w:r>
        <w:rPr>
          <w:b/>
        </w:rPr>
        <w:t>”</w:t>
      </w:r>
      <w:r>
        <w:t xml:space="preserve"> includes </w:t>
      </w:r>
      <w:r>
        <w:rPr>
          <w:b/>
        </w:rPr>
        <w:t>“</w:t>
      </w:r>
      <w:r>
        <w:rPr>
          <w:rStyle w:val="CharDefText"/>
        </w:rPr>
        <w:t>distribute</w:t>
      </w:r>
      <w:r>
        <w:rPr>
          <w:b/>
        </w:rPr>
        <w:t>”</w:t>
      </w:r>
      <w:r>
        <w:t xml:space="preserve"> and </w:t>
      </w:r>
      <w:r>
        <w:rPr>
          <w:b/>
        </w:rPr>
        <w:t>“</w:t>
      </w:r>
      <w:r>
        <w:rPr>
          <w:rStyle w:val="CharDefText"/>
        </w:rPr>
        <w:t>sell</w:t>
      </w:r>
      <w:r>
        <w:rPr>
          <w:b/>
        </w:rPr>
        <w:t>”</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t>“</w:t>
      </w:r>
      <w:r>
        <w:rPr>
          <w:rStyle w:val="CharDefText"/>
        </w:rPr>
        <w:t>SUSDP</w:t>
      </w:r>
      <w:r>
        <w:rPr>
          <w:b/>
        </w:rPr>
        <w:t>”</w:t>
      </w:r>
      <w:r>
        <w:t xml:space="preserve"> has the meaning given in clause 1(1) of Appendix A to the Act;</w:t>
      </w:r>
    </w:p>
    <w:p>
      <w:pPr>
        <w:pStyle w:val="Defstart"/>
        <w:keepNext/>
      </w:pPr>
      <w:r>
        <w:rPr>
          <w:b/>
        </w:rPr>
        <w:tab/>
        <w:t>“</w:t>
      </w:r>
      <w:r>
        <w:rPr>
          <w:rStyle w:val="CharDefText"/>
        </w:rPr>
        <w:t>the Act</w:t>
      </w:r>
      <w:r>
        <w:rPr>
          <w:b/>
        </w:rPr>
        <w:t>”</w:t>
      </w:r>
      <w:r>
        <w:t xml:space="preserve"> means the </w:t>
      </w:r>
      <w:r>
        <w:rPr>
          <w:i/>
        </w:rPr>
        <w:t>Poisons Act 1964</w:t>
      </w:r>
      <w:r>
        <w:t>.</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17 Jan 1996 p. 267; 19 Mar 1996 p. 1216</w:t>
      </w:r>
      <w:r>
        <w:noBreakHyphen/>
        <w:t xml:space="preserve">17; 11 Apr 1997 p. 1829; 27 Nov 1998 p. 6343; 12 Aug 2003 p. 3658; 15 Nov 2005 p. 5603; 15 Dec 2006 p. 5630; amended by Act No. 9 of 2003 s. 41.] </w:t>
      </w:r>
    </w:p>
    <w:p>
      <w:pPr>
        <w:pStyle w:val="Heading5"/>
        <w:rPr>
          <w:snapToGrid w:val="0"/>
        </w:rPr>
      </w:pPr>
      <w:bookmarkStart w:id="7" w:name="_Toc389746282"/>
      <w:bookmarkStart w:id="8" w:name="_Toc389746457"/>
      <w:r>
        <w:rPr>
          <w:rStyle w:val="CharSectno"/>
        </w:rPr>
        <w:t>2AA</w:t>
      </w:r>
      <w:r>
        <w:rPr>
          <w:snapToGrid w:val="0"/>
        </w:rPr>
        <w:t>.</w:t>
      </w:r>
      <w:r>
        <w:rPr>
          <w:snapToGrid w:val="0"/>
        </w:rPr>
        <w:tab/>
        <w:t>Prescribed office (section 64B)</w:t>
      </w:r>
      <w:bookmarkEnd w:id="7"/>
      <w:bookmarkEnd w:id="8"/>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9" w:name="_Toc389746283"/>
      <w:bookmarkStart w:id="10" w:name="_Toc389746458"/>
      <w:r>
        <w:rPr>
          <w:rStyle w:val="CharSectno"/>
        </w:rPr>
        <w:t>2A</w:t>
      </w:r>
      <w:r>
        <w:rPr>
          <w:snapToGrid w:val="0"/>
        </w:rPr>
        <w:t>.</w:t>
      </w:r>
      <w:r>
        <w:rPr>
          <w:snapToGrid w:val="0"/>
        </w:rPr>
        <w:tab/>
        <w:t>Exemptions</w:t>
      </w:r>
      <w:bookmarkEnd w:id="9"/>
      <w:bookmarkEnd w:id="10"/>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11" w:name="_Toc389746284"/>
      <w:bookmarkStart w:id="12" w:name="_Toc389746459"/>
      <w:r>
        <w:rPr>
          <w:rStyle w:val="CharPartNo"/>
        </w:rPr>
        <w:t>Part 2</w:t>
      </w:r>
      <w:r>
        <w:t xml:space="preserve"> — </w:t>
      </w:r>
      <w:r>
        <w:rPr>
          <w:rStyle w:val="CharPartText"/>
        </w:rPr>
        <w:t>Licences and permits</w:t>
      </w:r>
      <w:bookmarkEnd w:id="11"/>
      <w:bookmarkEnd w:id="12"/>
      <w:r>
        <w:rPr>
          <w:i/>
        </w:rPr>
        <w:t xml:space="preserve"> </w:t>
      </w:r>
    </w:p>
    <w:p>
      <w:pPr>
        <w:pStyle w:val="Footnoteheading"/>
      </w:pPr>
      <w:r>
        <w:tab/>
        <w:t>[Heading inserted in Gazette 12 Aug 2003 p. 3664.]</w:t>
      </w:r>
    </w:p>
    <w:p>
      <w:pPr>
        <w:pStyle w:val="Heading3"/>
        <w:spacing w:before="220"/>
      </w:pPr>
      <w:bookmarkStart w:id="13" w:name="_Toc389746285"/>
      <w:bookmarkStart w:id="14" w:name="_Toc389746460"/>
      <w:r>
        <w:rPr>
          <w:rStyle w:val="CharDivNo"/>
        </w:rPr>
        <w:t>Division 1</w:t>
      </w:r>
      <w:r>
        <w:t xml:space="preserve"> — </w:t>
      </w:r>
      <w:r>
        <w:rPr>
          <w:rStyle w:val="CharDivText"/>
        </w:rPr>
        <w:t>General</w:t>
      </w:r>
      <w:bookmarkEnd w:id="13"/>
      <w:bookmarkEnd w:id="14"/>
    </w:p>
    <w:p>
      <w:pPr>
        <w:pStyle w:val="Footnoteheading"/>
      </w:pPr>
      <w:r>
        <w:tab/>
        <w:t>[Heading inserted in Gazette 12 Aug 2003 p. 3664.]</w:t>
      </w:r>
    </w:p>
    <w:p>
      <w:pPr>
        <w:pStyle w:val="Heading5"/>
        <w:spacing w:before="180"/>
      </w:pPr>
      <w:bookmarkStart w:id="15" w:name="_Toc389746286"/>
      <w:bookmarkStart w:id="16" w:name="_Toc389746461"/>
      <w:r>
        <w:rPr>
          <w:rStyle w:val="CharSectno"/>
        </w:rPr>
        <w:t>3</w:t>
      </w:r>
      <w:r>
        <w:t>.</w:t>
      </w:r>
      <w:r>
        <w:tab/>
        <w:t>Wholesaler’s licences and permits</w:t>
      </w:r>
      <w:bookmarkEnd w:id="15"/>
      <w:bookmarkEnd w:id="16"/>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70"/>
      </w:pPr>
      <w:r>
        <w:tab/>
        <w:t>(a)</w:t>
      </w:r>
      <w:r>
        <w:tab/>
        <w:t>ceases to work for the licensee; or</w:t>
      </w:r>
    </w:p>
    <w:p>
      <w:pPr>
        <w:pStyle w:val="Indenta"/>
        <w:spacing w:before="70"/>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b/>
        </w:rPr>
        <w:t>“</w:t>
      </w:r>
      <w:r>
        <w:rPr>
          <w:rStyle w:val="CharDefText"/>
        </w:rPr>
        <w:t>specified</w:t>
      </w:r>
      <w:r>
        <w:rPr>
          <w:b/>
        </w:rPr>
        <w:t>”</w:t>
      </w:r>
      <w:r>
        <w:t xml:space="preserve"> means specified in a wholesaler’s licence.</w:t>
      </w:r>
    </w:p>
    <w:p>
      <w:pPr>
        <w:pStyle w:val="Footnotesection"/>
      </w:pPr>
      <w:r>
        <w:tab/>
        <w:t>[Regulation 3 inserted in Gazette 14 Sep 2001 </w:t>
      </w:r>
      <w:r>
        <w:rPr>
          <w:i w:val="0"/>
          <w:vertAlign w:val="superscript"/>
        </w:rPr>
        <w:t>3</w:t>
      </w:r>
      <w:r>
        <w:t xml:space="preserve"> p. 5073</w:t>
      </w:r>
      <w:r>
        <w:noBreakHyphen/>
        <w:t>4; amended in Gazette 15 Dec 2006 p. 5630.]</w:t>
      </w:r>
    </w:p>
    <w:p>
      <w:pPr>
        <w:pStyle w:val="Ednotesection"/>
      </w:pPr>
      <w:r>
        <w:t>[</w:t>
      </w:r>
      <w:r>
        <w:rPr>
          <w:b/>
        </w:rPr>
        <w:t>4.</w:t>
      </w:r>
      <w:r>
        <w:tab/>
        <w:t>Repealed in Gazette 14 Sep 2001 p. 5073.]</w:t>
      </w:r>
    </w:p>
    <w:p>
      <w:pPr>
        <w:pStyle w:val="Ednotedivision"/>
      </w:pPr>
      <w:r>
        <w:t>[Heading deleted in Gazette 12 Aug 2003 p. 3663.]</w:t>
      </w:r>
    </w:p>
    <w:p>
      <w:pPr>
        <w:pStyle w:val="Heading5"/>
        <w:rPr>
          <w:snapToGrid w:val="0"/>
        </w:rPr>
      </w:pPr>
      <w:bookmarkStart w:id="17" w:name="_Toc389746287"/>
      <w:bookmarkStart w:id="18" w:name="_Toc389746462"/>
      <w:r>
        <w:rPr>
          <w:rStyle w:val="CharSectno"/>
        </w:rPr>
        <w:t>5</w:t>
      </w:r>
      <w:r>
        <w:rPr>
          <w:snapToGrid w:val="0"/>
        </w:rPr>
        <w:t>.</w:t>
      </w:r>
      <w:r>
        <w:rPr>
          <w:snapToGrid w:val="0"/>
        </w:rPr>
        <w:tab/>
        <w:t>Pharmaceutical chemist’s licence to sell poisons</w:t>
      </w:r>
      <w:bookmarkEnd w:id="17"/>
      <w:bookmarkEnd w:id="18"/>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Repealed in Gazette 19 Mar 1996 p. 1217.] </w:t>
      </w:r>
    </w:p>
    <w:p>
      <w:pPr>
        <w:pStyle w:val="Ednotedivision"/>
      </w:pPr>
      <w:r>
        <w:t>[Heading deleted in Gazette 12 Aug 2003 p. 3663.]</w:t>
      </w:r>
    </w:p>
    <w:p>
      <w:pPr>
        <w:pStyle w:val="Heading5"/>
        <w:spacing w:before="180"/>
        <w:rPr>
          <w:snapToGrid w:val="0"/>
        </w:rPr>
      </w:pPr>
      <w:bookmarkStart w:id="19" w:name="_Toc389746288"/>
      <w:bookmarkStart w:id="20" w:name="_Toc389746463"/>
      <w:r>
        <w:rPr>
          <w:rStyle w:val="CharSectno"/>
        </w:rPr>
        <w:t>7</w:t>
      </w:r>
      <w:r>
        <w:rPr>
          <w:snapToGrid w:val="0"/>
        </w:rPr>
        <w:t>.</w:t>
      </w:r>
      <w:r>
        <w:rPr>
          <w:snapToGrid w:val="0"/>
        </w:rPr>
        <w:tab/>
        <w:t>Retailer’s licence to sell poisons specified in Schedule 2 to the Act</w:t>
      </w:r>
      <w:bookmarkEnd w:id="19"/>
      <w:bookmarkEnd w:id="20"/>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spacing w:before="180"/>
        <w:rPr>
          <w:snapToGrid w:val="0"/>
        </w:rPr>
      </w:pPr>
      <w:bookmarkStart w:id="21" w:name="_Toc389746289"/>
      <w:bookmarkStart w:id="22" w:name="_Toc389746464"/>
      <w:r>
        <w:rPr>
          <w:rStyle w:val="CharSectno"/>
        </w:rPr>
        <w:t>8</w:t>
      </w:r>
      <w:r>
        <w:rPr>
          <w:snapToGrid w:val="0"/>
        </w:rPr>
        <w:t>.</w:t>
      </w:r>
      <w:r>
        <w:rPr>
          <w:snapToGrid w:val="0"/>
        </w:rPr>
        <w:tab/>
        <w:t>Retailer’s licence to sell poisons included in Schedule 7 to the Act</w:t>
      </w:r>
      <w:bookmarkEnd w:id="21"/>
      <w:bookmarkEnd w:id="22"/>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23" w:name="_Toc389746290"/>
      <w:bookmarkStart w:id="24" w:name="_Toc389746465"/>
      <w:r>
        <w:rPr>
          <w:rStyle w:val="CharSectno"/>
        </w:rPr>
        <w:t>8A</w:t>
      </w:r>
      <w:r>
        <w:rPr>
          <w:snapToGrid w:val="0"/>
        </w:rPr>
        <w:t>.</w:t>
      </w:r>
      <w:r>
        <w:rPr>
          <w:snapToGrid w:val="0"/>
        </w:rPr>
        <w:tab/>
        <w:t>Poisons permit (distribution of samples)</w:t>
      </w:r>
      <w:bookmarkEnd w:id="23"/>
      <w:bookmarkEnd w:id="24"/>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b/>
          <w:snapToGrid w:val="0"/>
          <w:spacing w:val="-4"/>
        </w:rPr>
        <w:t>“</w:t>
      </w:r>
      <w:r>
        <w:rPr>
          <w:rStyle w:val="CharDefText"/>
          <w:spacing w:val="-4"/>
        </w:rPr>
        <w:t>specified drug</w:t>
      </w:r>
      <w:r>
        <w:rPr>
          <w:b/>
          <w:snapToGrid w:val="0"/>
          <w:spacing w:val="-4"/>
        </w:rPr>
        <w:t>”</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t>“</w:t>
      </w:r>
      <w:r>
        <w:rPr>
          <w:rStyle w:val="CharDefText"/>
        </w:rPr>
        <w:t>proprietary preparation</w:t>
      </w:r>
      <w:r>
        <w:rPr>
          <w:b/>
        </w:rPr>
        <w:t>”</w:t>
      </w:r>
      <w:r>
        <w:t xml:space="preserve"> means one or more forms of a poison intended for therapeutic use boxed or wrapped in a single sample package;</w:t>
      </w:r>
    </w:p>
    <w:p>
      <w:pPr>
        <w:pStyle w:val="Defstart"/>
      </w:pPr>
      <w:r>
        <w:rPr>
          <w:b/>
        </w:rPr>
        <w:tab/>
        <w:t>“</w:t>
      </w:r>
      <w:r>
        <w:rPr>
          <w:rStyle w:val="CharDefText"/>
        </w:rPr>
        <w:t>sample</w:t>
      </w:r>
      <w:r>
        <w:rPr>
          <w:b/>
        </w:rPr>
        <w:t>”</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25" w:name="_Toc389746291"/>
      <w:bookmarkStart w:id="26" w:name="_Toc389746466"/>
      <w:r>
        <w:rPr>
          <w:rStyle w:val="CharSectno"/>
        </w:rPr>
        <w:t>9</w:t>
      </w:r>
      <w:r>
        <w:rPr>
          <w:snapToGrid w:val="0"/>
        </w:rPr>
        <w:t>.</w:t>
      </w:r>
      <w:r>
        <w:rPr>
          <w:snapToGrid w:val="0"/>
        </w:rPr>
        <w:tab/>
        <w:t>Poisons permit (industrial)</w:t>
      </w:r>
      <w:bookmarkEnd w:id="25"/>
      <w:bookmarkEnd w:id="26"/>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27" w:name="_Toc389746292"/>
      <w:bookmarkStart w:id="28" w:name="_Toc389746467"/>
      <w:r>
        <w:rPr>
          <w:rStyle w:val="CharSectno"/>
        </w:rPr>
        <w:t>10</w:t>
      </w:r>
      <w:r>
        <w:rPr>
          <w:snapToGrid w:val="0"/>
        </w:rPr>
        <w:t>.</w:t>
      </w:r>
      <w:r>
        <w:rPr>
          <w:snapToGrid w:val="0"/>
        </w:rPr>
        <w:tab/>
        <w:t>Poisons permit (educational, advisory or research)</w:t>
      </w:r>
      <w:bookmarkEnd w:id="27"/>
      <w:bookmarkEnd w:id="28"/>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pPr>
      <w:bookmarkStart w:id="29" w:name="_Toc389746293"/>
      <w:bookmarkStart w:id="30" w:name="_Toc389746468"/>
      <w:r>
        <w:rPr>
          <w:rStyle w:val="CharSectno"/>
        </w:rPr>
        <w:t>10AA</w:t>
      </w:r>
      <w:r>
        <w:t>.</w:t>
      </w:r>
      <w:r>
        <w:tab/>
        <w:t>Poisons permit (Health services)</w:t>
      </w:r>
      <w:bookmarkEnd w:id="29"/>
      <w:bookmarkEnd w:id="30"/>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31" w:name="_Toc389746294"/>
      <w:bookmarkStart w:id="32" w:name="_Toc389746469"/>
      <w:r>
        <w:rPr>
          <w:rStyle w:val="CharSectno"/>
        </w:rPr>
        <w:t>10A</w:t>
      </w:r>
      <w:r>
        <w:rPr>
          <w:snapToGrid w:val="0"/>
        </w:rPr>
        <w:t>.</w:t>
      </w:r>
      <w:r>
        <w:rPr>
          <w:snapToGrid w:val="0"/>
        </w:rPr>
        <w:tab/>
        <w:t>Poisons permit (departmental and hospital)</w:t>
      </w:r>
      <w:bookmarkEnd w:id="31"/>
      <w:bookmarkEnd w:id="32"/>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33" w:name="_Toc389746295"/>
      <w:bookmarkStart w:id="34" w:name="_Toc389746470"/>
      <w:r>
        <w:rPr>
          <w:rStyle w:val="CharSectno"/>
        </w:rPr>
        <w:t>10B</w:t>
      </w:r>
      <w:r>
        <w:rPr>
          <w:snapToGrid w:val="0"/>
        </w:rPr>
        <w:t>.</w:t>
      </w:r>
      <w:r>
        <w:rPr>
          <w:snapToGrid w:val="0"/>
        </w:rPr>
        <w:tab/>
        <w:t>Licence to cultivate prohibited plants</w:t>
      </w:r>
      <w:bookmarkEnd w:id="33"/>
      <w:bookmarkEnd w:id="34"/>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35" w:name="_Toc389746296"/>
      <w:bookmarkStart w:id="36" w:name="_Toc389746471"/>
      <w:r>
        <w:rPr>
          <w:rStyle w:val="CharSectno"/>
        </w:rPr>
        <w:t>11</w:t>
      </w:r>
      <w:r>
        <w:rPr>
          <w:snapToGrid w:val="0"/>
        </w:rPr>
        <w:t>.</w:t>
      </w:r>
      <w:r>
        <w:rPr>
          <w:snapToGrid w:val="0"/>
        </w:rPr>
        <w:tab/>
      </w:r>
      <w:r>
        <w:t>CEO</w:t>
      </w:r>
      <w:r>
        <w:rPr>
          <w:snapToGrid w:val="0"/>
        </w:rPr>
        <w:t xml:space="preserve"> may designate remote area nursing posts</w:t>
      </w:r>
      <w:bookmarkEnd w:id="35"/>
      <w:bookmarkEnd w:id="3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37" w:name="_Toc389746297"/>
      <w:bookmarkStart w:id="38" w:name="_Toc389746472"/>
      <w:r>
        <w:rPr>
          <w:rStyle w:val="CharSectno"/>
        </w:rPr>
        <w:t>11A</w:t>
      </w:r>
      <w:r>
        <w:t>.</w:t>
      </w:r>
      <w:r>
        <w:tab/>
        <w:t>CEO may designate areas for the purposes of section 23 of the Act</w:t>
      </w:r>
      <w:bookmarkEnd w:id="37"/>
      <w:bookmarkEnd w:id="38"/>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Ednotedivision"/>
      </w:pPr>
      <w:r>
        <w:t>[Heading deleted in Gazette 12 Aug 2003 p. 3663.]</w:t>
      </w:r>
    </w:p>
    <w:p>
      <w:pPr>
        <w:pStyle w:val="Heading5"/>
        <w:rPr>
          <w:snapToGrid w:val="0"/>
        </w:rPr>
      </w:pPr>
      <w:bookmarkStart w:id="39" w:name="_Toc389746298"/>
      <w:bookmarkStart w:id="40" w:name="_Toc389746473"/>
      <w:r>
        <w:rPr>
          <w:rStyle w:val="CharSectno"/>
        </w:rPr>
        <w:t>12</w:t>
      </w:r>
      <w:r>
        <w:rPr>
          <w:snapToGrid w:val="0"/>
        </w:rPr>
        <w:t>.</w:t>
      </w:r>
      <w:r>
        <w:rPr>
          <w:snapToGrid w:val="0"/>
        </w:rPr>
        <w:tab/>
        <w:t>Application for licence or permit (sections 24 and 25)</w:t>
      </w:r>
      <w:bookmarkEnd w:id="39"/>
      <w:bookmarkEnd w:id="40"/>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41" w:name="_Toc389746299"/>
      <w:bookmarkStart w:id="42" w:name="_Toc389746474"/>
      <w:r>
        <w:rPr>
          <w:rStyle w:val="CharDivNo"/>
        </w:rPr>
        <w:t>Division 2</w:t>
      </w:r>
      <w:r>
        <w:t xml:space="preserve"> — </w:t>
      </w:r>
      <w:r>
        <w:rPr>
          <w:rStyle w:val="CharDivText"/>
        </w:rPr>
        <w:t>Needle and syringe programme</w:t>
      </w:r>
      <w:bookmarkEnd w:id="41"/>
      <w:bookmarkEnd w:id="42"/>
    </w:p>
    <w:p>
      <w:pPr>
        <w:pStyle w:val="Footnoteheading"/>
      </w:pPr>
      <w:r>
        <w:tab/>
        <w:t>[Heading inserted in Gazette 12 Aug 2003 p. 3664.]</w:t>
      </w:r>
    </w:p>
    <w:p>
      <w:pPr>
        <w:pStyle w:val="Heading5"/>
        <w:rPr>
          <w:snapToGrid w:val="0"/>
        </w:rPr>
      </w:pPr>
      <w:bookmarkStart w:id="43" w:name="_Toc389746300"/>
      <w:bookmarkStart w:id="44" w:name="_Toc389746475"/>
      <w:r>
        <w:rPr>
          <w:rStyle w:val="CharSectno"/>
        </w:rPr>
        <w:t>12A</w:t>
      </w:r>
      <w:r>
        <w:rPr>
          <w:snapToGrid w:val="0"/>
        </w:rPr>
        <w:t>.</w:t>
      </w:r>
      <w:r>
        <w:rPr>
          <w:snapToGrid w:val="0"/>
        </w:rPr>
        <w:tab/>
        <w:t>Approval of needle and syringe programme</w:t>
      </w:r>
      <w:bookmarkEnd w:id="43"/>
      <w:bookmarkEnd w:id="44"/>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45" w:name="_Toc389746301"/>
      <w:bookmarkStart w:id="46" w:name="_Toc389746476"/>
      <w:r>
        <w:rPr>
          <w:rStyle w:val="CharSectno"/>
        </w:rPr>
        <w:t>12B</w:t>
      </w:r>
      <w:r>
        <w:rPr>
          <w:snapToGrid w:val="0"/>
        </w:rPr>
        <w:t>.</w:t>
      </w:r>
      <w:r>
        <w:rPr>
          <w:snapToGrid w:val="0"/>
        </w:rPr>
        <w:tab/>
        <w:t>Copy of approval to be provided</w:t>
      </w:r>
      <w:bookmarkEnd w:id="45"/>
      <w:bookmarkEnd w:id="46"/>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47" w:name="_Toc389746302"/>
      <w:bookmarkStart w:id="48" w:name="_Toc389746477"/>
      <w:r>
        <w:rPr>
          <w:rStyle w:val="CharSectno"/>
        </w:rPr>
        <w:t>12C</w:t>
      </w:r>
      <w:r>
        <w:rPr>
          <w:snapToGrid w:val="0"/>
        </w:rPr>
        <w:t>.</w:t>
      </w:r>
      <w:r>
        <w:rPr>
          <w:snapToGrid w:val="0"/>
        </w:rPr>
        <w:tab/>
        <w:t>Duties of coordinator</w:t>
      </w:r>
      <w:bookmarkEnd w:id="47"/>
      <w:bookmarkEnd w:id="48"/>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spacing w:before="180"/>
        <w:rPr>
          <w:snapToGrid w:val="0"/>
        </w:rPr>
      </w:pPr>
      <w:bookmarkStart w:id="49" w:name="_Toc389746303"/>
      <w:bookmarkStart w:id="50" w:name="_Toc389746478"/>
      <w:r>
        <w:rPr>
          <w:rStyle w:val="CharSectno"/>
        </w:rPr>
        <w:t>12D</w:t>
      </w:r>
      <w:r>
        <w:rPr>
          <w:snapToGrid w:val="0"/>
        </w:rPr>
        <w:t>.</w:t>
      </w:r>
      <w:r>
        <w:rPr>
          <w:snapToGrid w:val="0"/>
        </w:rPr>
        <w:tab/>
        <w:t>Requirements relating to programme</w:t>
      </w:r>
      <w:bookmarkEnd w:id="49"/>
      <w:bookmarkEnd w:id="50"/>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 amended in Gazette 15 Dec 2006 p. 5630.]</w:t>
      </w:r>
    </w:p>
    <w:p>
      <w:pPr>
        <w:pStyle w:val="Heading5"/>
        <w:rPr>
          <w:snapToGrid w:val="0"/>
        </w:rPr>
      </w:pPr>
      <w:bookmarkStart w:id="51" w:name="_Toc389746304"/>
      <w:bookmarkStart w:id="52" w:name="_Toc389746479"/>
      <w:r>
        <w:rPr>
          <w:rStyle w:val="CharSectno"/>
        </w:rPr>
        <w:t>12E</w:t>
      </w:r>
      <w:r>
        <w:rPr>
          <w:snapToGrid w:val="0"/>
        </w:rPr>
        <w:t>.</w:t>
      </w:r>
      <w:r>
        <w:rPr>
          <w:snapToGrid w:val="0"/>
        </w:rPr>
        <w:tab/>
        <w:t>Direction to person</w:t>
      </w:r>
      <w:bookmarkEnd w:id="51"/>
      <w:bookmarkEnd w:id="52"/>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53" w:name="_Toc389746305"/>
      <w:bookmarkStart w:id="54" w:name="_Toc389746480"/>
      <w:r>
        <w:rPr>
          <w:rStyle w:val="CharSectno"/>
        </w:rPr>
        <w:t>12F</w:t>
      </w:r>
      <w:r>
        <w:rPr>
          <w:snapToGrid w:val="0"/>
        </w:rPr>
        <w:t>.</w:t>
      </w:r>
      <w:r>
        <w:rPr>
          <w:snapToGrid w:val="0"/>
        </w:rPr>
        <w:tab/>
        <w:t>Requirements relating to used hypodermic needles and syringes</w:t>
      </w:r>
      <w:bookmarkEnd w:id="53"/>
      <w:bookmarkEnd w:id="54"/>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Repealed in Gazette 19 Mar 1996 p. 1219.] </w:t>
      </w:r>
    </w:p>
    <w:p>
      <w:pPr>
        <w:pStyle w:val="Heading3"/>
      </w:pPr>
      <w:bookmarkStart w:id="55" w:name="_Toc389746306"/>
      <w:bookmarkStart w:id="56" w:name="_Toc389746481"/>
      <w:r>
        <w:rPr>
          <w:rStyle w:val="CharDivNo"/>
        </w:rPr>
        <w:t>Division 3</w:t>
      </w:r>
      <w:r>
        <w:t xml:space="preserve"> — </w:t>
      </w:r>
      <w:r>
        <w:rPr>
          <w:rStyle w:val="CharDivText"/>
        </w:rPr>
        <w:t>Restrictions and obligations</w:t>
      </w:r>
      <w:bookmarkEnd w:id="55"/>
      <w:bookmarkEnd w:id="56"/>
    </w:p>
    <w:p>
      <w:pPr>
        <w:pStyle w:val="Footnoteheading"/>
      </w:pPr>
      <w:r>
        <w:tab/>
        <w:t>[Heading inserted in Gazette 12 Aug 2003 p. 3664.]</w:t>
      </w:r>
    </w:p>
    <w:p>
      <w:pPr>
        <w:pStyle w:val="Heading5"/>
        <w:rPr>
          <w:snapToGrid w:val="0"/>
        </w:rPr>
      </w:pPr>
      <w:bookmarkStart w:id="57" w:name="_Toc389746307"/>
      <w:bookmarkStart w:id="58" w:name="_Toc389746482"/>
      <w:r>
        <w:rPr>
          <w:rStyle w:val="CharSectno"/>
        </w:rPr>
        <w:t>15</w:t>
      </w:r>
      <w:r>
        <w:rPr>
          <w:snapToGrid w:val="0"/>
        </w:rPr>
        <w:t>.</w:t>
      </w:r>
      <w:r>
        <w:rPr>
          <w:snapToGrid w:val="0"/>
        </w:rPr>
        <w:tab/>
        <w:t>Restriction to issue of licence or permit</w:t>
      </w:r>
      <w:bookmarkEnd w:id="57"/>
      <w:bookmarkEnd w:id="58"/>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59" w:name="_Toc389746308"/>
      <w:bookmarkStart w:id="60" w:name="_Toc389746483"/>
      <w:r>
        <w:rPr>
          <w:rStyle w:val="CharSectno"/>
        </w:rPr>
        <w:t>16</w:t>
      </w:r>
      <w:r>
        <w:rPr>
          <w:snapToGrid w:val="0"/>
        </w:rPr>
        <w:t>.</w:t>
      </w:r>
      <w:r>
        <w:rPr>
          <w:snapToGrid w:val="0"/>
        </w:rPr>
        <w:tab/>
        <w:t>Sale of poison only by licensee</w:t>
      </w:r>
      <w:bookmarkEnd w:id="59"/>
      <w:bookmarkEnd w:id="6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61" w:name="_Toc389746309"/>
      <w:bookmarkStart w:id="62" w:name="_Toc389746484"/>
      <w:r>
        <w:rPr>
          <w:rStyle w:val="CharSectno"/>
        </w:rPr>
        <w:t>17</w:t>
      </w:r>
      <w:r>
        <w:rPr>
          <w:snapToGrid w:val="0"/>
        </w:rPr>
        <w:t>.</w:t>
      </w:r>
      <w:r>
        <w:rPr>
          <w:snapToGrid w:val="0"/>
        </w:rPr>
        <w:tab/>
        <w:t>Licence or permit not transferable</w:t>
      </w:r>
      <w:bookmarkEnd w:id="61"/>
      <w:bookmarkEnd w:id="62"/>
      <w:r>
        <w:rPr>
          <w:snapToGrid w:val="0"/>
        </w:rPr>
        <w:t xml:space="preserve"> </w:t>
      </w:r>
    </w:p>
    <w:p>
      <w:pPr>
        <w:pStyle w:val="Subsection"/>
        <w:spacing w:before="120"/>
        <w:rPr>
          <w:snapToGrid w:val="0"/>
        </w:rPr>
      </w:pPr>
      <w:r>
        <w:rPr>
          <w:snapToGrid w:val="0"/>
        </w:rPr>
        <w:tab/>
      </w:r>
      <w:r>
        <w:rPr>
          <w:snapToGrid w:val="0"/>
        </w:rPr>
        <w:tab/>
        <w:t>A licence or permit is not transferable from one person to another.</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63" w:name="_Toc389746310"/>
      <w:bookmarkStart w:id="64" w:name="_Toc389746485"/>
      <w:r>
        <w:rPr>
          <w:rStyle w:val="CharSectno"/>
        </w:rPr>
        <w:t>18</w:t>
      </w:r>
      <w:r>
        <w:rPr>
          <w:snapToGrid w:val="0"/>
        </w:rPr>
        <w:t>.</w:t>
      </w:r>
      <w:r>
        <w:rPr>
          <w:snapToGrid w:val="0"/>
        </w:rPr>
        <w:tab/>
        <w:t>Licensee to display licence</w:t>
      </w:r>
      <w:bookmarkEnd w:id="63"/>
      <w:bookmarkEnd w:id="64"/>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65" w:name="_Toc389746311"/>
      <w:bookmarkStart w:id="66" w:name="_Toc389746486"/>
      <w:r>
        <w:rPr>
          <w:rStyle w:val="CharPartNo"/>
        </w:rPr>
        <w:t>Part 3</w:t>
      </w:r>
      <w:r>
        <w:t xml:space="preserve"> — </w:t>
      </w:r>
      <w:r>
        <w:rPr>
          <w:rStyle w:val="CharPartText"/>
        </w:rPr>
        <w:t>Containers and labels</w:t>
      </w:r>
      <w:bookmarkEnd w:id="65"/>
      <w:bookmarkEnd w:id="66"/>
      <w:r>
        <w:rPr>
          <w:i/>
        </w:rPr>
        <w:t xml:space="preserve"> </w:t>
      </w:r>
    </w:p>
    <w:p>
      <w:pPr>
        <w:pStyle w:val="Footnoteheading"/>
      </w:pPr>
      <w:r>
        <w:tab/>
        <w:t>[Heading inserted in Gazette 12 Aug 2003 p. 3664.]</w:t>
      </w:r>
    </w:p>
    <w:p>
      <w:pPr>
        <w:pStyle w:val="Heading3"/>
        <w:keepNext w:val="0"/>
      </w:pPr>
      <w:bookmarkStart w:id="67" w:name="_Toc389746312"/>
      <w:bookmarkStart w:id="68" w:name="_Toc389746487"/>
      <w:r>
        <w:rPr>
          <w:rStyle w:val="CharDivNo"/>
        </w:rPr>
        <w:t>Division 1</w:t>
      </w:r>
      <w:r>
        <w:t xml:space="preserve"> — </w:t>
      </w:r>
      <w:r>
        <w:rPr>
          <w:rStyle w:val="CharDivText"/>
        </w:rPr>
        <w:t>Containers</w:t>
      </w:r>
      <w:bookmarkEnd w:id="67"/>
      <w:bookmarkEnd w:id="68"/>
    </w:p>
    <w:p>
      <w:pPr>
        <w:pStyle w:val="Footnoteheading"/>
      </w:pPr>
      <w:r>
        <w:tab/>
        <w:t>[Heading inserted in Gazette 12 Aug 2003 p. 3664.]</w:t>
      </w:r>
    </w:p>
    <w:p>
      <w:pPr>
        <w:pStyle w:val="Heading5"/>
        <w:rPr>
          <w:snapToGrid w:val="0"/>
        </w:rPr>
      </w:pPr>
      <w:bookmarkStart w:id="69" w:name="_Toc389746313"/>
      <w:bookmarkStart w:id="70" w:name="_Toc389746488"/>
      <w:r>
        <w:rPr>
          <w:rStyle w:val="CharSectno"/>
        </w:rPr>
        <w:t>19</w:t>
      </w:r>
      <w:r>
        <w:rPr>
          <w:snapToGrid w:val="0"/>
        </w:rPr>
        <w:t>.</w:t>
      </w:r>
      <w:r>
        <w:rPr>
          <w:snapToGrid w:val="0"/>
        </w:rPr>
        <w:tab/>
        <w:t>Adoption of SUSDP for containers and labels</w:t>
      </w:r>
      <w:bookmarkEnd w:id="69"/>
      <w:bookmarkEnd w:id="70"/>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71" w:name="_Toc389746314"/>
      <w:bookmarkStart w:id="72" w:name="_Toc389746489"/>
      <w:r>
        <w:rPr>
          <w:rStyle w:val="CharSectno"/>
        </w:rPr>
        <w:t>19AA</w:t>
      </w:r>
      <w:r>
        <w:rPr>
          <w:snapToGrid w:val="0"/>
        </w:rPr>
        <w:t>.</w:t>
      </w:r>
      <w:r>
        <w:rPr>
          <w:snapToGrid w:val="0"/>
        </w:rPr>
        <w:tab/>
        <w:t>Certain containers prohibited</w:t>
      </w:r>
      <w:bookmarkEnd w:id="71"/>
      <w:bookmarkEnd w:id="72"/>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spacing w:before="180"/>
        <w:rPr>
          <w:snapToGrid w:val="0"/>
        </w:rPr>
      </w:pPr>
      <w:bookmarkStart w:id="73" w:name="_Toc389746315"/>
      <w:bookmarkStart w:id="74" w:name="_Toc389746490"/>
      <w:r>
        <w:rPr>
          <w:rStyle w:val="CharSectno"/>
        </w:rPr>
        <w:t>19A</w:t>
      </w:r>
      <w:r>
        <w:rPr>
          <w:snapToGrid w:val="0"/>
        </w:rPr>
        <w:t>.</w:t>
      </w:r>
      <w:r>
        <w:rPr>
          <w:snapToGrid w:val="0"/>
        </w:rPr>
        <w:tab/>
        <w:t>Food etc. containers to be distinguishable from poison containers</w:t>
      </w:r>
      <w:bookmarkEnd w:id="73"/>
      <w:bookmarkEnd w:id="74"/>
      <w:r>
        <w:rPr>
          <w:snapToGrid w:val="0"/>
        </w:rPr>
        <w:t xml:space="preserve"> </w:t>
      </w:r>
    </w:p>
    <w:p>
      <w:pPr>
        <w:pStyle w:val="Subsection"/>
        <w:spacing w:before="120"/>
        <w:rPr>
          <w:snapToGrid w:val="0"/>
        </w:rPr>
      </w:pPr>
      <w:r>
        <w:rPr>
          <w:snapToGrid w:val="0"/>
        </w:rPr>
        <w:tab/>
      </w:r>
      <w:r>
        <w:rPr>
          <w:snapToGrid w:val="0"/>
        </w:rPr>
        <w:tab/>
        <w:t>A person shall not sell any food, drink, or condiment, or any drug or medicine for internal use, in a container — </w:t>
      </w:r>
    </w:p>
    <w:p>
      <w:pPr>
        <w:pStyle w:val="Indenta"/>
        <w:spacing w:before="7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7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spacing w:before="180"/>
      </w:pPr>
      <w:r>
        <w:t>[Heading deleted in Gazette 12 Aug 2003 p. 3663.]</w:t>
      </w:r>
    </w:p>
    <w:p>
      <w:pPr>
        <w:pStyle w:val="Ednotesection"/>
        <w:spacing w:before="180"/>
        <w:ind w:left="890" w:hanging="890"/>
      </w:pPr>
      <w:r>
        <w:t>[</w:t>
      </w:r>
      <w:r>
        <w:rPr>
          <w:b/>
        </w:rPr>
        <w:t>20.</w:t>
      </w:r>
      <w:r>
        <w:tab/>
        <w:t xml:space="preserve">Repealed in Gazette 23 Nov 1990 p. 5792.] </w:t>
      </w:r>
    </w:p>
    <w:p>
      <w:pPr>
        <w:pStyle w:val="Heading3"/>
        <w:spacing w:before="220"/>
      </w:pPr>
      <w:bookmarkStart w:id="75" w:name="_Toc389746316"/>
      <w:bookmarkStart w:id="76" w:name="_Toc389746491"/>
      <w:r>
        <w:rPr>
          <w:rStyle w:val="CharDivNo"/>
        </w:rPr>
        <w:t>Division 2</w:t>
      </w:r>
      <w:r>
        <w:t xml:space="preserve"> — </w:t>
      </w:r>
      <w:r>
        <w:rPr>
          <w:rStyle w:val="CharDivText"/>
        </w:rPr>
        <w:t>Labels</w:t>
      </w:r>
      <w:bookmarkEnd w:id="75"/>
      <w:bookmarkEnd w:id="76"/>
    </w:p>
    <w:p>
      <w:pPr>
        <w:pStyle w:val="Footnoteheading"/>
        <w:spacing w:before="100"/>
      </w:pPr>
      <w:r>
        <w:tab/>
        <w:t>[Heading inserted in Gazette 12 Aug 2003 p. 3664.]</w:t>
      </w:r>
    </w:p>
    <w:p>
      <w:pPr>
        <w:pStyle w:val="Heading5"/>
        <w:spacing w:before="180"/>
        <w:rPr>
          <w:snapToGrid w:val="0"/>
        </w:rPr>
      </w:pPr>
      <w:bookmarkStart w:id="77" w:name="_Toc389746317"/>
      <w:bookmarkStart w:id="78" w:name="_Toc389746492"/>
      <w:r>
        <w:rPr>
          <w:rStyle w:val="CharSectno"/>
        </w:rPr>
        <w:t>21</w:t>
      </w:r>
      <w:r>
        <w:rPr>
          <w:snapToGrid w:val="0"/>
        </w:rPr>
        <w:t>.</w:t>
      </w:r>
      <w:r>
        <w:rPr>
          <w:snapToGrid w:val="0"/>
        </w:rPr>
        <w:tab/>
        <w:t>Labels on medicines or preparations</w:t>
      </w:r>
      <w:bookmarkEnd w:id="77"/>
      <w:bookmarkEnd w:id="78"/>
      <w:r>
        <w:rPr>
          <w:snapToGrid w:val="0"/>
        </w:rPr>
        <w:t xml:space="preserve"> </w:t>
      </w:r>
    </w:p>
    <w:p>
      <w:pPr>
        <w:pStyle w:val="Subsection"/>
        <w:spacing w:before="12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rPr>
          <w:snapToGrid w:val="0"/>
        </w:rPr>
      </w:pPr>
      <w:r>
        <w:rPr>
          <w:snapToGrid w:val="0"/>
        </w:rPr>
        <w:tab/>
        <w:t>(iv)</w:t>
      </w:r>
      <w:r>
        <w:rPr>
          <w:snapToGrid w:val="0"/>
        </w:rPr>
        <w:tab/>
        <w:t>instructions for the use of that medicine or preparation;</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t>(vi)</w:t>
      </w:r>
      <w:r>
        <w:rPr>
          <w:snapToGrid w:val="0"/>
        </w:rPr>
        <w:tab/>
        <w:t>the name and address of the pharmacy, or veterinary practice, from which it is supplied;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79" w:name="_Toc389746318"/>
      <w:bookmarkStart w:id="80" w:name="_Toc389746493"/>
      <w:r>
        <w:rPr>
          <w:rStyle w:val="CharSectno"/>
        </w:rPr>
        <w:t>21A</w:t>
      </w:r>
      <w:r>
        <w:rPr>
          <w:snapToGrid w:val="0"/>
        </w:rPr>
        <w:t>.</w:t>
      </w:r>
      <w:r>
        <w:rPr>
          <w:snapToGrid w:val="0"/>
        </w:rPr>
        <w:tab/>
        <w:t>Appendix K container must have appropriate label</w:t>
      </w:r>
      <w:bookmarkEnd w:id="79"/>
      <w:bookmarkEnd w:id="80"/>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 xml:space="preserve"> “This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height</w:t>
      </w:r>
      <w:r>
        <w:rPr>
          <w:b/>
        </w:rPr>
        <w: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Repealed in Gazette 23 Nov 1990 p. 5792.] </w:t>
      </w:r>
    </w:p>
    <w:p>
      <w:pPr>
        <w:pStyle w:val="Heading5"/>
        <w:spacing w:before="180"/>
        <w:rPr>
          <w:snapToGrid w:val="0"/>
        </w:rPr>
      </w:pPr>
      <w:bookmarkStart w:id="81" w:name="_Toc389746319"/>
      <w:bookmarkStart w:id="82" w:name="_Toc389746494"/>
      <w:r>
        <w:rPr>
          <w:rStyle w:val="CharSectno"/>
        </w:rPr>
        <w:t>24A</w:t>
      </w:r>
      <w:r>
        <w:rPr>
          <w:snapToGrid w:val="0"/>
        </w:rPr>
        <w:t>.</w:t>
      </w:r>
      <w:r>
        <w:rPr>
          <w:snapToGrid w:val="0"/>
        </w:rPr>
        <w:tab/>
        <w:t>Carcinogenicity and teratogenicity warnings to be approved</w:t>
      </w:r>
      <w:bookmarkEnd w:id="81"/>
      <w:bookmarkEnd w:id="82"/>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83" w:name="_Toc389746320"/>
      <w:bookmarkStart w:id="84" w:name="_Toc389746495"/>
      <w:r>
        <w:rPr>
          <w:rStyle w:val="CharDivNo"/>
        </w:rPr>
        <w:t>Division 3</w:t>
      </w:r>
      <w:r>
        <w:t xml:space="preserve"> — </w:t>
      </w:r>
      <w:r>
        <w:rPr>
          <w:rStyle w:val="CharDivText"/>
        </w:rPr>
        <w:t>General</w:t>
      </w:r>
      <w:bookmarkEnd w:id="83"/>
      <w:bookmarkEnd w:id="84"/>
    </w:p>
    <w:p>
      <w:pPr>
        <w:pStyle w:val="Footnoteheading"/>
      </w:pPr>
      <w:r>
        <w:tab/>
        <w:t>[Heading inserted in Gazette 12 Aug 2003 p. 3664.]</w:t>
      </w:r>
    </w:p>
    <w:p>
      <w:pPr>
        <w:pStyle w:val="Heading5"/>
        <w:keepLines w:val="0"/>
        <w:rPr>
          <w:snapToGrid w:val="0"/>
        </w:rPr>
      </w:pPr>
      <w:bookmarkStart w:id="85" w:name="_Toc389746321"/>
      <w:bookmarkStart w:id="86" w:name="_Toc389746496"/>
      <w:r>
        <w:rPr>
          <w:rStyle w:val="CharSectno"/>
        </w:rPr>
        <w:t>25</w:t>
      </w:r>
      <w:r>
        <w:rPr>
          <w:snapToGrid w:val="0"/>
        </w:rPr>
        <w:t>.</w:t>
      </w:r>
      <w:r>
        <w:rPr>
          <w:snapToGrid w:val="0"/>
        </w:rPr>
        <w:tab/>
      </w:r>
      <w:r>
        <w:t>CEO</w:t>
      </w:r>
      <w:r>
        <w:rPr>
          <w:snapToGrid w:val="0"/>
        </w:rPr>
        <w:t xml:space="preserve"> may approve container or label</w:t>
      </w:r>
      <w:bookmarkEnd w:id="85"/>
      <w:bookmarkEnd w:id="8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87" w:name="_Toc389746322"/>
      <w:bookmarkStart w:id="88" w:name="_Toc389746497"/>
      <w:r>
        <w:rPr>
          <w:rStyle w:val="CharSectno"/>
        </w:rPr>
        <w:t>26</w:t>
      </w:r>
      <w:r>
        <w:rPr>
          <w:snapToGrid w:val="0"/>
        </w:rPr>
        <w:t>.</w:t>
      </w:r>
      <w:r>
        <w:rPr>
          <w:snapToGrid w:val="0"/>
        </w:rPr>
        <w:tab/>
      </w:r>
      <w:r>
        <w:t>CEO</w:t>
      </w:r>
      <w:r>
        <w:rPr>
          <w:snapToGrid w:val="0"/>
          <w:spacing w:val="-4"/>
        </w:rPr>
        <w:t xml:space="preserve"> may suspend use of container or label</w:t>
      </w:r>
      <w:bookmarkEnd w:id="87"/>
      <w:bookmarkEnd w:id="8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Repealed in Gazette 23 Nov 1990 p. 5792.] </w:t>
      </w:r>
    </w:p>
    <w:p>
      <w:pPr>
        <w:pStyle w:val="Ednotesection"/>
        <w:ind w:left="890" w:hanging="890"/>
      </w:pPr>
      <w:r>
        <w:t>[</w:t>
      </w:r>
      <w:r>
        <w:rPr>
          <w:b/>
        </w:rPr>
        <w:t>27AA, 27A.</w:t>
      </w:r>
      <w:r>
        <w:rPr>
          <w:b/>
        </w:rPr>
        <w:tab/>
      </w:r>
      <w:r>
        <w:t xml:space="preserve">Repealed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Repealed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Repealed in Gazette 28 May 1993 p. 2595.] </w:t>
      </w:r>
    </w:p>
    <w:p>
      <w:pPr>
        <w:pStyle w:val="Heading2"/>
      </w:pPr>
      <w:bookmarkStart w:id="89" w:name="_Toc389746323"/>
      <w:bookmarkStart w:id="90" w:name="_Toc389746498"/>
      <w:r>
        <w:rPr>
          <w:rStyle w:val="CharPartNo"/>
        </w:rPr>
        <w:t>Part 4</w:t>
      </w:r>
      <w:r>
        <w:rPr>
          <w:rStyle w:val="CharDivNo"/>
        </w:rPr>
        <w:t> </w:t>
      </w:r>
      <w:r>
        <w:t>—</w:t>
      </w:r>
      <w:r>
        <w:rPr>
          <w:rStyle w:val="CharDivText"/>
        </w:rPr>
        <w:t> </w:t>
      </w:r>
      <w:r>
        <w:rPr>
          <w:rStyle w:val="CharPartText"/>
        </w:rPr>
        <w:t>Storage, disposal and loss or theft of poisons</w:t>
      </w:r>
      <w:bookmarkEnd w:id="89"/>
      <w:bookmarkEnd w:id="90"/>
    </w:p>
    <w:p>
      <w:pPr>
        <w:pStyle w:val="Footnoteheading"/>
      </w:pPr>
      <w:r>
        <w:tab/>
        <w:t>[Heading inserted in Gazette 12 Aug 2003 p. 3664.]</w:t>
      </w:r>
    </w:p>
    <w:p>
      <w:pPr>
        <w:pStyle w:val="Heading5"/>
        <w:rPr>
          <w:snapToGrid w:val="0"/>
        </w:rPr>
      </w:pPr>
      <w:bookmarkStart w:id="91" w:name="_Toc389746324"/>
      <w:bookmarkStart w:id="92" w:name="_Toc389746499"/>
      <w:r>
        <w:rPr>
          <w:rStyle w:val="CharSectno"/>
        </w:rPr>
        <w:t>30</w:t>
      </w:r>
      <w:r>
        <w:rPr>
          <w:snapToGrid w:val="0"/>
        </w:rPr>
        <w:t>.</w:t>
      </w:r>
      <w:r>
        <w:rPr>
          <w:snapToGrid w:val="0"/>
        </w:rPr>
        <w:tab/>
        <w:t>Storage of substances other than those specified in regulation 56</w:t>
      </w:r>
      <w:bookmarkEnd w:id="91"/>
      <w:bookmarkEnd w:id="92"/>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93" w:name="_Toc389746325"/>
      <w:bookmarkStart w:id="94" w:name="_Toc389746500"/>
      <w:r>
        <w:rPr>
          <w:rStyle w:val="CharSectno"/>
        </w:rPr>
        <w:t>31</w:t>
      </w:r>
      <w:r>
        <w:rPr>
          <w:snapToGrid w:val="0"/>
        </w:rPr>
        <w:t>.</w:t>
      </w:r>
      <w:r>
        <w:rPr>
          <w:snapToGrid w:val="0"/>
        </w:rPr>
        <w:tab/>
        <w:t>Disposal of poisons</w:t>
      </w:r>
      <w:bookmarkEnd w:id="93"/>
      <w:bookmarkEnd w:id="94"/>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95" w:name="_Toc389746326"/>
      <w:bookmarkStart w:id="96" w:name="_Toc389746501"/>
      <w:r>
        <w:rPr>
          <w:rStyle w:val="CharSectno"/>
        </w:rPr>
        <w:t>32</w:t>
      </w:r>
      <w:r>
        <w:rPr>
          <w:snapToGrid w:val="0"/>
        </w:rPr>
        <w:t>.</w:t>
      </w:r>
      <w:r>
        <w:rPr>
          <w:snapToGrid w:val="0"/>
        </w:rPr>
        <w:tab/>
        <w:t>Notification of loss or theft of poison</w:t>
      </w:r>
      <w:bookmarkEnd w:id="95"/>
      <w:bookmarkEnd w:id="96"/>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97" w:name="_Toc389746327"/>
      <w:bookmarkStart w:id="98" w:name="_Toc389746502"/>
      <w:r>
        <w:rPr>
          <w:rStyle w:val="CharPartNo"/>
        </w:rPr>
        <w:t>Part 5</w:t>
      </w:r>
      <w:r>
        <w:t xml:space="preserve"> — </w:t>
      </w:r>
      <w:r>
        <w:rPr>
          <w:rStyle w:val="CharPartText"/>
        </w:rPr>
        <w:t>Sale, supply and use of poisons</w:t>
      </w:r>
      <w:bookmarkEnd w:id="97"/>
      <w:bookmarkEnd w:id="98"/>
    </w:p>
    <w:p>
      <w:pPr>
        <w:pStyle w:val="Footnoteheading"/>
      </w:pPr>
      <w:r>
        <w:tab/>
        <w:t>[Heading inserted in Gazette 12 Aug 2003 p. 3664.]</w:t>
      </w:r>
    </w:p>
    <w:p>
      <w:pPr>
        <w:pStyle w:val="Heading3"/>
      </w:pPr>
      <w:bookmarkStart w:id="99" w:name="_Toc389746328"/>
      <w:bookmarkStart w:id="100" w:name="_Toc389746503"/>
      <w:r>
        <w:rPr>
          <w:rStyle w:val="CharDivNo"/>
        </w:rPr>
        <w:t>Division 1 </w:t>
      </w:r>
      <w:r>
        <w:t>—</w:t>
      </w:r>
      <w:r>
        <w:rPr>
          <w:rStyle w:val="CharDivNo"/>
        </w:rPr>
        <w:t xml:space="preserve"> </w:t>
      </w:r>
      <w:r>
        <w:rPr>
          <w:rStyle w:val="CharDivText"/>
        </w:rPr>
        <w:t>Restrictions</w:t>
      </w:r>
      <w:bookmarkEnd w:id="99"/>
      <w:bookmarkEnd w:id="100"/>
    </w:p>
    <w:p>
      <w:pPr>
        <w:pStyle w:val="Footnoteheading"/>
      </w:pPr>
      <w:r>
        <w:tab/>
        <w:t>[Heading inserted in Gazette 12 Aug 2003 p. 3664.]</w:t>
      </w:r>
    </w:p>
    <w:p>
      <w:pPr>
        <w:pStyle w:val="Heading5"/>
        <w:rPr>
          <w:snapToGrid w:val="0"/>
        </w:rPr>
      </w:pPr>
      <w:bookmarkStart w:id="101" w:name="_Toc389746329"/>
      <w:bookmarkStart w:id="102" w:name="_Toc389746504"/>
      <w:r>
        <w:rPr>
          <w:rStyle w:val="CharSectno"/>
        </w:rPr>
        <w:t>33</w:t>
      </w:r>
      <w:r>
        <w:rPr>
          <w:snapToGrid w:val="0"/>
        </w:rPr>
        <w:t>.</w:t>
      </w:r>
      <w:r>
        <w:rPr>
          <w:snapToGrid w:val="0"/>
        </w:rPr>
        <w:tab/>
        <w:t>Poison not to be sold to persons under 16 years</w:t>
      </w:r>
      <w:bookmarkEnd w:id="101"/>
      <w:bookmarkEnd w:id="102"/>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103" w:name="_Toc389746330"/>
      <w:bookmarkStart w:id="104" w:name="_Toc389746505"/>
      <w:r>
        <w:rPr>
          <w:rStyle w:val="CharSectno"/>
        </w:rPr>
        <w:t>33A</w:t>
      </w:r>
      <w:r>
        <w:rPr>
          <w:snapToGrid w:val="0"/>
        </w:rPr>
        <w:t>.</w:t>
      </w:r>
      <w:r>
        <w:rPr>
          <w:snapToGrid w:val="0"/>
        </w:rPr>
        <w:tab/>
        <w:t>Restrictions applying to veterinary preparations</w:t>
      </w:r>
      <w:bookmarkEnd w:id="103"/>
      <w:bookmarkEnd w:id="10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105" w:name="_Toc389746331"/>
      <w:bookmarkStart w:id="106" w:name="_Toc389746506"/>
      <w:r>
        <w:rPr>
          <w:rStyle w:val="CharSectno"/>
        </w:rPr>
        <w:t>33B</w:t>
      </w:r>
      <w:r>
        <w:rPr>
          <w:snapToGrid w:val="0"/>
        </w:rPr>
        <w:t>.</w:t>
      </w:r>
      <w:r>
        <w:rPr>
          <w:snapToGrid w:val="0"/>
        </w:rPr>
        <w:tab/>
        <w:t>Adoption of SUSDP for certain paints</w:t>
      </w:r>
      <w:bookmarkEnd w:id="105"/>
      <w:bookmarkEnd w:id="106"/>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Repealed in Gazette 23 May 1986 p. 1716.] </w:t>
      </w:r>
    </w:p>
    <w:p>
      <w:pPr>
        <w:pStyle w:val="Ednotedivision"/>
      </w:pPr>
      <w:r>
        <w:t>[Heading deleted in Gazette 23 May 1986 p. 1716.]</w:t>
      </w:r>
    </w:p>
    <w:p>
      <w:pPr>
        <w:pStyle w:val="Ednotesection"/>
      </w:pPr>
      <w:r>
        <w:t>[</w:t>
      </w:r>
      <w:r>
        <w:rPr>
          <w:b/>
        </w:rPr>
        <w:t>34A-34C.</w:t>
      </w:r>
      <w:r>
        <w:tab/>
        <w:t xml:space="preserve">Repealed in Gazette 23 May 1986 p. 1716.] </w:t>
      </w:r>
    </w:p>
    <w:p>
      <w:pPr>
        <w:pStyle w:val="Ednotesection"/>
      </w:pPr>
      <w:r>
        <w:t>[</w:t>
      </w:r>
      <w:r>
        <w:rPr>
          <w:b/>
        </w:rPr>
        <w:t>34D.</w:t>
      </w:r>
      <w:r>
        <w:rPr>
          <w:b/>
        </w:rPr>
        <w:tab/>
      </w:r>
      <w:r>
        <w:t xml:space="preserve">Repealed in Gazette 19 Mar 1996 p. 1220.] </w:t>
      </w:r>
    </w:p>
    <w:p>
      <w:pPr>
        <w:pStyle w:val="Ednotedivision"/>
      </w:pPr>
      <w:r>
        <w:t>[Heading deleted in Gazette 12 Aug 2003 p. 3663.]</w:t>
      </w:r>
    </w:p>
    <w:p>
      <w:pPr>
        <w:pStyle w:val="Heading5"/>
        <w:rPr>
          <w:snapToGrid w:val="0"/>
        </w:rPr>
      </w:pPr>
      <w:bookmarkStart w:id="107" w:name="_Toc389746332"/>
      <w:bookmarkStart w:id="108" w:name="_Toc389746507"/>
      <w:r>
        <w:rPr>
          <w:rStyle w:val="CharSectno"/>
        </w:rPr>
        <w:t>35</w:t>
      </w:r>
      <w:r>
        <w:rPr>
          <w:snapToGrid w:val="0"/>
        </w:rPr>
        <w:t>.</w:t>
      </w:r>
      <w:r>
        <w:rPr>
          <w:snapToGrid w:val="0"/>
        </w:rPr>
        <w:tab/>
        <w:t>Restrictions on retail sale of substances included in Schedule 2</w:t>
      </w:r>
      <w:bookmarkEnd w:id="107"/>
      <w:bookmarkEnd w:id="108"/>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109" w:name="_Toc389746333"/>
      <w:bookmarkStart w:id="110" w:name="_Toc389746508"/>
      <w:r>
        <w:rPr>
          <w:rStyle w:val="CharSectno"/>
        </w:rPr>
        <w:t>35A</w:t>
      </w:r>
      <w:r>
        <w:rPr>
          <w:snapToGrid w:val="0"/>
        </w:rPr>
        <w:t>.</w:t>
      </w:r>
      <w:r>
        <w:rPr>
          <w:snapToGrid w:val="0"/>
        </w:rPr>
        <w:tab/>
        <w:t>Restrictions on retail sale of substances included in Schedule 3</w:t>
      </w:r>
      <w:bookmarkEnd w:id="109"/>
      <w:bookmarkEnd w:id="110"/>
      <w:r>
        <w:rPr>
          <w:snapToGrid w:val="0"/>
        </w:rPr>
        <w:t xml:space="preserve"> </w:t>
      </w:r>
    </w:p>
    <w:p>
      <w:pPr>
        <w:pStyle w:val="Ednotesubsection"/>
      </w:pPr>
      <w:r>
        <w:tab/>
        <w:t>[(1)</w:t>
      </w:r>
      <w:r>
        <w:tab/>
        <w:t>repealed]</w:t>
      </w:r>
    </w:p>
    <w:p>
      <w:pPr>
        <w:pStyle w:val="Subsection"/>
        <w:rPr>
          <w:snapToGrid w:val="0"/>
        </w:rPr>
      </w:pPr>
      <w:r>
        <w:rPr>
          <w:snapToGrid w:val="0"/>
        </w:rPr>
        <w:tab/>
        <w:t>(1a)</w:t>
      </w:r>
      <w:r>
        <w:rPr>
          <w:snapToGrid w:val="0"/>
        </w:rPr>
        <w:tab/>
        <w:t>A substance included in Schedule 3 shall not be sold or supplied by retail except under the personal supervision of a pharmaceutical chemist.</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p>
    <w:p>
      <w:pPr>
        <w:pStyle w:val="Subsection"/>
        <w:rPr>
          <w:snapToGrid w:val="0"/>
        </w:rPr>
      </w:pPr>
      <w:r>
        <w:rPr>
          <w:snapToGrid w:val="0"/>
        </w:rPr>
        <w:tab/>
        <w:t>(2)</w:t>
      </w:r>
      <w:r>
        <w:rPr>
          <w:snapToGrid w:val="0"/>
        </w:rPr>
        <w:tab/>
        <w:t>Before a substance referred to in Appendix J is delivered to a purchaser on a sale by retail, the pharmaceutical chemist or graduate trainee in pharmacy making the sale shall — </w:t>
      </w:r>
    </w:p>
    <w:p>
      <w:pPr>
        <w:pStyle w:val="Indenta"/>
        <w:rPr>
          <w:snapToGrid w:val="0"/>
        </w:rPr>
      </w:pPr>
      <w:r>
        <w:rPr>
          <w:snapToGrid w:val="0"/>
        </w:rPr>
        <w:tab/>
        <w:t>(a)</w:t>
      </w:r>
      <w:r>
        <w:rPr>
          <w:snapToGrid w:val="0"/>
        </w:rPr>
        <w:tab/>
        <w:t>record, in ink, in the prescription book referred to in regulation 36(3)(c), the following particulars — </w:t>
      </w:r>
    </w:p>
    <w:p>
      <w:pPr>
        <w:pStyle w:val="Indenti"/>
        <w:rPr>
          <w:snapToGrid w:val="0"/>
        </w:rPr>
      </w:pPr>
      <w:r>
        <w:rPr>
          <w:snapToGrid w:val="0"/>
        </w:rPr>
        <w:tab/>
        <w:t>(i)</w:t>
      </w:r>
      <w:r>
        <w:rPr>
          <w:snapToGrid w:val="0"/>
        </w:rPr>
        <w:tab/>
        <w:t>the date of sale;</w:t>
      </w:r>
    </w:p>
    <w:p>
      <w:pPr>
        <w:pStyle w:val="Indenti"/>
        <w:rPr>
          <w:snapToGrid w:val="0"/>
        </w:rPr>
      </w:pPr>
      <w:r>
        <w:rPr>
          <w:snapToGrid w:val="0"/>
        </w:rPr>
        <w:tab/>
        <w:t>(ii)</w:t>
      </w:r>
      <w:r>
        <w:rPr>
          <w:snapToGrid w:val="0"/>
        </w:rPr>
        <w:tab/>
        <w:t>the name and address of the purchaser and, where the person for whom the substance is intended is not the purchaser, the name and address of the person for whom the substance is intended; and</w:t>
      </w:r>
    </w:p>
    <w:p>
      <w:pPr>
        <w:pStyle w:val="Indenti"/>
        <w:rPr>
          <w:snapToGrid w:val="0"/>
        </w:rPr>
      </w:pPr>
      <w:r>
        <w:rPr>
          <w:snapToGrid w:val="0"/>
        </w:rPr>
        <w:tab/>
        <w:t>(iii)</w:t>
      </w:r>
      <w:r>
        <w:rPr>
          <w:snapToGrid w:val="0"/>
        </w:rPr>
        <w:tab/>
        <w:t>the name and quantity of the substance supplied,</w:t>
      </w:r>
    </w:p>
    <w:p>
      <w:pPr>
        <w:pStyle w:val="Indenta"/>
        <w:rPr>
          <w:snapToGrid w:val="0"/>
        </w:rPr>
      </w:pPr>
      <w:r>
        <w:rPr>
          <w:snapToGrid w:val="0"/>
        </w:rPr>
        <w:tab/>
      </w:r>
      <w:r>
        <w:rPr>
          <w:snapToGrid w:val="0"/>
        </w:rPr>
        <w:tab/>
        <w:t>and the entry in the prescription book shall be given a unique identification number or letter;</w:t>
      </w:r>
    </w:p>
    <w:p>
      <w:pPr>
        <w:pStyle w:val="Indenta"/>
        <w:rPr>
          <w:snapToGrid w:val="0"/>
        </w:rPr>
      </w:pPr>
      <w:r>
        <w:rPr>
          <w:snapToGrid w:val="0"/>
        </w:rPr>
        <w:tab/>
        <w:t>(b)</w:t>
      </w:r>
      <w:r>
        <w:rPr>
          <w:snapToGrid w:val="0"/>
        </w:rPr>
        <w:tab/>
        <w:t>label the product with — </w:t>
      </w:r>
    </w:p>
    <w:p>
      <w:pPr>
        <w:pStyle w:val="Indenti"/>
        <w:rPr>
          <w:snapToGrid w:val="0"/>
        </w:rPr>
      </w:pPr>
      <w:r>
        <w:rPr>
          <w:snapToGrid w:val="0"/>
        </w:rPr>
        <w:tab/>
        <w:t>(i)</w:t>
      </w:r>
      <w:r>
        <w:rPr>
          <w:snapToGrid w:val="0"/>
        </w:rPr>
        <w:tab/>
        <w:t>the name and address of the pharmacy; and</w:t>
      </w:r>
    </w:p>
    <w:p>
      <w:pPr>
        <w:pStyle w:val="Indenti"/>
        <w:rPr>
          <w:snapToGrid w:val="0"/>
        </w:rPr>
      </w:pPr>
      <w:r>
        <w:rPr>
          <w:snapToGrid w:val="0"/>
        </w:rPr>
        <w:tab/>
        <w:t>(ii)</w:t>
      </w:r>
      <w:r>
        <w:rPr>
          <w:snapToGrid w:val="0"/>
        </w:rPr>
        <w:tab/>
        <w:t>the unique identifying number or letter allocated in accordance with paragraph (a).</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w:t>
      </w:r>
    </w:p>
    <w:p>
      <w:pPr>
        <w:pStyle w:val="Ednotesection"/>
      </w:pPr>
      <w:r>
        <w:t>[</w:t>
      </w:r>
      <w:r>
        <w:rPr>
          <w:b/>
        </w:rPr>
        <w:t>35AA.</w:t>
      </w:r>
      <w:r>
        <w:rPr>
          <w:b/>
        </w:rPr>
        <w:tab/>
      </w:r>
      <w:r>
        <w:t xml:space="preserve">Repealed in Gazette 11 Apr 1997 p. 1829.] </w:t>
      </w:r>
    </w:p>
    <w:p>
      <w:pPr>
        <w:pStyle w:val="Heading5"/>
        <w:rPr>
          <w:snapToGrid w:val="0"/>
        </w:rPr>
      </w:pPr>
      <w:bookmarkStart w:id="111" w:name="_Toc389746334"/>
      <w:bookmarkStart w:id="112" w:name="_Toc389746509"/>
      <w:r>
        <w:rPr>
          <w:rStyle w:val="CharSectno"/>
        </w:rPr>
        <w:t>35B</w:t>
      </w:r>
      <w:r>
        <w:rPr>
          <w:snapToGrid w:val="0"/>
        </w:rPr>
        <w:t>.</w:t>
      </w:r>
      <w:r>
        <w:rPr>
          <w:snapToGrid w:val="0"/>
        </w:rPr>
        <w:tab/>
        <w:t>Storage of substances included in Schedule 3</w:t>
      </w:r>
      <w:bookmarkEnd w:id="111"/>
      <w:bookmarkEnd w:id="112"/>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13" w:name="_Toc389746335"/>
      <w:bookmarkStart w:id="114" w:name="_Toc389746510"/>
      <w:r>
        <w:rPr>
          <w:rStyle w:val="CharSectno"/>
        </w:rPr>
        <w:t>35C</w:t>
      </w:r>
      <w:r>
        <w:rPr>
          <w:snapToGrid w:val="0"/>
        </w:rPr>
        <w:t>.</w:t>
      </w:r>
      <w:r>
        <w:rPr>
          <w:snapToGrid w:val="0"/>
        </w:rPr>
        <w:tab/>
        <w:t>Advertising of substances included in Schedule 3</w:t>
      </w:r>
      <w:bookmarkEnd w:id="113"/>
      <w:bookmarkEnd w:id="114"/>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t>“</w:t>
      </w:r>
      <w:r>
        <w:rPr>
          <w:rStyle w:val="CharDefText"/>
        </w:rPr>
        <w:t>approved name</w:t>
      </w:r>
      <w:r>
        <w:rPr>
          <w:b/>
        </w:rPr>
        <w:t>”</w:t>
      </w:r>
      <w:r>
        <w:t>, in relation to a poison, means the name for the poison that is listed in the Australian Register of Therapeutic Goods, other than a brand name of the poison;</w:t>
      </w:r>
    </w:p>
    <w:p>
      <w:pPr>
        <w:pStyle w:val="Defstart"/>
      </w:pPr>
      <w:r>
        <w:rPr>
          <w:b/>
        </w:rPr>
        <w:tab/>
        <w:t>“</w:t>
      </w:r>
      <w:r>
        <w:rPr>
          <w:rStyle w:val="CharDefText"/>
        </w:rPr>
        <w:t>Australian Register of Therapeutic Goods</w:t>
      </w:r>
      <w:r>
        <w:rPr>
          <w:b/>
        </w:rPr>
        <w:t>”</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b/>
          <w:spacing w:val="-4"/>
        </w:rPr>
        <w:t>“</w:t>
      </w:r>
      <w:r>
        <w:rPr>
          <w:rStyle w:val="CharDefText"/>
          <w:spacing w:val="-4"/>
        </w:rPr>
        <w:t>brand name</w:t>
      </w:r>
      <w:r>
        <w:rPr>
          <w:b/>
          <w:spacing w:val="-4"/>
        </w:rPr>
        <w:t>”</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115" w:name="_Toc389746336"/>
      <w:bookmarkStart w:id="116" w:name="_Toc389746511"/>
      <w:r>
        <w:rPr>
          <w:rStyle w:val="CharSectno"/>
        </w:rPr>
        <w:t>35D</w:t>
      </w:r>
      <w:r>
        <w:t>.</w:t>
      </w:r>
      <w:r>
        <w:tab/>
        <w:t>Advertising of substances included in Schedule 4</w:t>
      </w:r>
      <w:bookmarkEnd w:id="115"/>
      <w:bookmarkEnd w:id="116"/>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117" w:name="_Toc389746337"/>
      <w:bookmarkStart w:id="118" w:name="_Toc389746512"/>
      <w:r>
        <w:rPr>
          <w:rStyle w:val="CharDivNo"/>
        </w:rPr>
        <w:t>Division 2</w:t>
      </w:r>
      <w:r>
        <w:t xml:space="preserve"> — </w:t>
      </w:r>
      <w:r>
        <w:rPr>
          <w:rStyle w:val="CharDivText"/>
        </w:rPr>
        <w:t>Schedule 4 poisons</w:t>
      </w:r>
      <w:bookmarkEnd w:id="117"/>
      <w:bookmarkEnd w:id="118"/>
    </w:p>
    <w:p>
      <w:pPr>
        <w:pStyle w:val="Footnoteheading"/>
      </w:pPr>
      <w:r>
        <w:tab/>
        <w:t>[Heading inserted in Gazette 12 Aug 2003 p. 3664; amended in Gazette 4 Jan 2005 p. 3.]</w:t>
      </w:r>
    </w:p>
    <w:p>
      <w:pPr>
        <w:pStyle w:val="Heading5"/>
        <w:rPr>
          <w:snapToGrid w:val="0"/>
        </w:rPr>
      </w:pPr>
      <w:bookmarkStart w:id="119" w:name="_Toc389746338"/>
      <w:bookmarkStart w:id="120" w:name="_Toc389746513"/>
      <w:r>
        <w:rPr>
          <w:rStyle w:val="CharSectno"/>
        </w:rPr>
        <w:t>36</w:t>
      </w:r>
      <w:r>
        <w:rPr>
          <w:snapToGrid w:val="0"/>
        </w:rPr>
        <w:t>.</w:t>
      </w:r>
      <w:r>
        <w:rPr>
          <w:snapToGrid w:val="0"/>
        </w:rPr>
        <w:tab/>
        <w:t>Supply of poisons included in Schedule 4</w:t>
      </w:r>
      <w:bookmarkEnd w:id="119"/>
      <w:bookmarkEnd w:id="120"/>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the person to whom the poison is sold or supplied is the holder of a prescription written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rPr>
          <w:snapToGrid w:val="0"/>
        </w:rPr>
      </w:pPr>
      <w:r>
        <w:rPr>
          <w:snapToGrid w:val="0"/>
        </w:rPr>
        <w:tab/>
        <w:t>(a)</w:t>
      </w:r>
      <w:r>
        <w:rPr>
          <w:snapToGrid w:val="0"/>
        </w:rPr>
        <w:tab/>
        <w:t>the prescription shall not be dispensed more than the maximum number of times indicated thereon, and on each occasion upon which it is dispensed the prescription shall be stamped or marked to show clearly the date upon which it is dispensed and the name and address of the pharmacy at which it is dispensed;</w:t>
      </w:r>
    </w:p>
    <w:p>
      <w:pPr>
        <w:pStyle w:val="Indenta"/>
        <w:rPr>
          <w:snapToGrid w:val="0"/>
        </w:rPr>
      </w:pPr>
      <w:r>
        <w:rPr>
          <w:snapToGrid w:val="0"/>
        </w:rPr>
        <w:tab/>
        <w:t>(b)</w:t>
      </w:r>
      <w:r>
        <w:rPr>
          <w:snapToGrid w:val="0"/>
        </w:rPr>
        <w:tab/>
        <w:t>the person who dispenses a prescription which does not clearly indicate the maximum number of times it is to be dispensed, or which has reached the last occasion upon which it may be dispensed according to the maximum indicated thereon, shall write in ink, stamp or mark in legible letters across such prescription the word “cancelled”;</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t>marked “cancelled”; 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to whom a prescription referred to in paragraph (e) is presented shall retain the prescription and forthwith inform the </w:t>
      </w:r>
      <w:r>
        <w:t>CEO</w:t>
      </w:r>
      <w:r>
        <w:rPr>
          <w:snapToGrid w:val="0"/>
        </w:rPr>
        <w:t xml:space="preserve"> of the relevant circumstances and the reasons for his refusal to dispense the prescription.</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 xml:space="preserve">2; 15 Dec 2006 p. 5630; amended by Act No. 9 of 2003 s. 44.] </w:t>
      </w:r>
    </w:p>
    <w:p>
      <w:pPr>
        <w:pStyle w:val="Heading5"/>
        <w:spacing w:before="260"/>
      </w:pPr>
      <w:bookmarkStart w:id="121" w:name="_Toc389746339"/>
      <w:bookmarkStart w:id="122" w:name="_Toc389746514"/>
      <w:r>
        <w:rPr>
          <w:rStyle w:val="CharSectno"/>
        </w:rPr>
        <w:t>36AA</w:t>
      </w:r>
      <w:r>
        <w:t>.</w:t>
      </w:r>
      <w:r>
        <w:tab/>
        <w:t>Provision of “approved starter packs” by registered nurses</w:t>
      </w:r>
      <w:bookmarkEnd w:id="121"/>
      <w:bookmarkEnd w:id="122"/>
    </w:p>
    <w:p>
      <w:pPr>
        <w:pStyle w:val="Subsection"/>
        <w:spacing w:before="200"/>
      </w:pPr>
      <w:r>
        <w:tab/>
        <w:t>(1)</w:t>
      </w:r>
      <w:r>
        <w:tab/>
        <w:t>In this regulation —</w:t>
      </w:r>
    </w:p>
    <w:p>
      <w:pPr>
        <w:pStyle w:val="Defstart"/>
      </w:pPr>
      <w:r>
        <w:tab/>
      </w:r>
      <w:r>
        <w:rPr>
          <w:b/>
        </w:rPr>
        <w:t>“</w:t>
      </w:r>
      <w:r>
        <w:rPr>
          <w:rStyle w:val="CharDefText"/>
        </w:rPr>
        <w:t>approved health service</w:t>
      </w:r>
      <w:r>
        <w:rPr>
          <w:b/>
        </w:rPr>
        <w:t>”</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CEO for the purposes of this regulation; </w:t>
      </w:r>
    </w:p>
    <w:p>
      <w:pPr>
        <w:pStyle w:val="Defstart"/>
      </w:pPr>
      <w:r>
        <w:tab/>
      </w:r>
      <w:r>
        <w:rPr>
          <w:b/>
        </w:rPr>
        <w:t>“</w:t>
      </w:r>
      <w:r>
        <w:rPr>
          <w:rStyle w:val="CharDefText"/>
        </w:rPr>
        <w:t>approved name</w:t>
      </w:r>
      <w:r>
        <w:rPr>
          <w:b/>
        </w:rPr>
        <w:t>”</w:t>
      </w:r>
      <w:r>
        <w:t xml:space="preserve"> has the same meaning as in regulation 35C; </w:t>
      </w:r>
    </w:p>
    <w:p>
      <w:pPr>
        <w:pStyle w:val="Defstart"/>
      </w:pPr>
      <w:r>
        <w:tab/>
      </w:r>
      <w:r>
        <w:rPr>
          <w:b/>
        </w:rPr>
        <w:t>“</w:t>
      </w:r>
      <w:r>
        <w:rPr>
          <w:rStyle w:val="CharDefText"/>
        </w:rPr>
        <w:t>approved starter pack</w:t>
      </w:r>
      <w:r>
        <w:rPr>
          <w:b/>
        </w:rPr>
        <w:t>”</w:t>
      </w:r>
      <w:r>
        <w:t xml:space="preserve"> means a starter pack approved by the CEO for the purposes of this regulation; </w:t>
      </w:r>
    </w:p>
    <w:p>
      <w:pPr>
        <w:pStyle w:val="Defstart"/>
      </w:pPr>
      <w:r>
        <w:tab/>
      </w:r>
      <w:r>
        <w:rPr>
          <w:b/>
        </w:rPr>
        <w:t>“</w:t>
      </w:r>
      <w:r>
        <w:rPr>
          <w:rStyle w:val="CharDefText"/>
        </w:rPr>
        <w:t>brand name</w:t>
      </w:r>
      <w:r>
        <w:rPr>
          <w:b/>
        </w:rPr>
        <w:t>”</w:t>
      </w:r>
      <w:r>
        <w:t xml:space="preserve"> has the same meaning as in regulation 35C; </w:t>
      </w:r>
    </w:p>
    <w:p>
      <w:pPr>
        <w:pStyle w:val="Defstart"/>
        <w:keepNext/>
      </w:pPr>
      <w:r>
        <w:tab/>
      </w:r>
      <w:r>
        <w:rPr>
          <w:b/>
        </w:rPr>
        <w:t>“</w:t>
      </w:r>
      <w:r>
        <w:rPr>
          <w:rStyle w:val="CharDefText"/>
        </w:rPr>
        <w:t>starter pack</w:t>
      </w:r>
      <w:r>
        <w:rPr>
          <w:b/>
        </w:rPr>
        <w:t>”</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b/>
        </w:rPr>
        <w:t>“</w:t>
      </w:r>
      <w:r>
        <w:rPr>
          <w:rStyle w:val="CharDefText"/>
        </w:rPr>
        <w:t>starter pack instruction</w:t>
      </w:r>
      <w:r>
        <w:rPr>
          <w:b/>
        </w:rPr>
        <w:t>”</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w:t>
      </w:r>
    </w:p>
    <w:p>
      <w:pPr>
        <w:pStyle w:val="Heading5"/>
      </w:pPr>
      <w:bookmarkStart w:id="123" w:name="_Toc389746340"/>
      <w:bookmarkStart w:id="124" w:name="_Toc389746515"/>
      <w:r>
        <w:rPr>
          <w:rStyle w:val="CharSectno"/>
        </w:rPr>
        <w:t>36A</w:t>
      </w:r>
      <w:r>
        <w:t>.</w:t>
      </w:r>
      <w:r>
        <w:tab/>
        <w:t>Storage of substances included in Schedule 4</w:t>
      </w:r>
      <w:bookmarkEnd w:id="123"/>
      <w:bookmarkEnd w:id="124"/>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b/>
        </w:rPr>
        <w:t>“</w:t>
      </w:r>
      <w:r>
        <w:rPr>
          <w:rStyle w:val="CharDefText"/>
        </w:rPr>
        <w:t>emergency supplies</w:t>
      </w:r>
      <w:r>
        <w:rPr>
          <w:b/>
        </w:rPr>
        <w:t>”</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125" w:name="_Toc389746341"/>
      <w:bookmarkStart w:id="126" w:name="_Toc389746516"/>
      <w:r>
        <w:rPr>
          <w:rStyle w:val="CharSectno"/>
        </w:rPr>
        <w:t>36B</w:t>
      </w:r>
      <w:r>
        <w:t>.</w:t>
      </w:r>
      <w:r>
        <w:tab/>
        <w:t>Record of supply or administration of substances included in Schedule 4</w:t>
      </w:r>
      <w:bookmarkEnd w:id="125"/>
      <w:bookmarkEnd w:id="126"/>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division"/>
      </w:pPr>
      <w:r>
        <w:t>[Heading deleted in Gazette 12 Aug 2003 p. 3663.]</w:t>
      </w:r>
    </w:p>
    <w:p>
      <w:pPr>
        <w:pStyle w:val="Heading5"/>
        <w:rPr>
          <w:snapToGrid w:val="0"/>
        </w:rPr>
      </w:pPr>
      <w:bookmarkStart w:id="127" w:name="_Toc389746342"/>
      <w:bookmarkStart w:id="128" w:name="_Toc389746517"/>
      <w:r>
        <w:rPr>
          <w:rStyle w:val="CharSectno"/>
        </w:rPr>
        <w:t>37</w:t>
      </w:r>
      <w:r>
        <w:rPr>
          <w:snapToGrid w:val="0"/>
        </w:rPr>
        <w:t>.</w:t>
      </w:r>
      <w:r>
        <w:rPr>
          <w:snapToGrid w:val="0"/>
        </w:rPr>
        <w:tab/>
        <w:t>Conditions for prescription of a poison included in Schedule 4</w:t>
      </w:r>
      <w:bookmarkEnd w:id="127"/>
      <w:bookmarkEnd w:id="128"/>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rPr>
          <w:snapToGrid w:val="0"/>
        </w:rPr>
      </w:pPr>
      <w:r>
        <w:rPr>
          <w:snapToGrid w:val="0"/>
        </w:rPr>
        <w:tab/>
        <w:t>(a)</w:t>
      </w:r>
      <w:r>
        <w:rPr>
          <w:snapToGrid w:val="0"/>
        </w:rPr>
        <w:tab/>
        <w:t>it shall show in a clearly legible and indelible manner —</w:t>
      </w:r>
    </w:p>
    <w:p>
      <w:pPr>
        <w:pStyle w:val="Indenti"/>
        <w:rPr>
          <w:snapToGrid w:val="0"/>
        </w:rPr>
      </w:pPr>
      <w:r>
        <w:rPr>
          <w:snapToGrid w:val="0"/>
        </w:rPr>
        <w:tab/>
        <w:t>(i)</w:t>
      </w:r>
      <w:r>
        <w:rPr>
          <w:snapToGrid w:val="0"/>
        </w:rPr>
        <w:tab/>
        <w:t>the name and address of prescriber;</w:t>
      </w:r>
    </w:p>
    <w:p>
      <w:pPr>
        <w:pStyle w:val="Indenti"/>
        <w:rPr>
          <w:snapToGrid w:val="0"/>
        </w:rPr>
      </w:pPr>
      <w:r>
        <w:rPr>
          <w:snapToGrid w:val="0"/>
        </w:rPr>
        <w:tab/>
        <w:t>(ii)</w:t>
      </w:r>
      <w:r>
        <w:rPr>
          <w:snapToGrid w:val="0"/>
        </w:rPr>
        <w:tab/>
        <w:t>the name and address of the patient;</w:t>
      </w:r>
    </w:p>
    <w:p>
      <w:pPr>
        <w:pStyle w:val="Indenta"/>
        <w:rPr>
          <w:snapToGrid w:val="0"/>
        </w:rPr>
      </w:pPr>
      <w:r>
        <w:rPr>
          <w:snapToGrid w:val="0"/>
        </w:rPr>
        <w:tab/>
        <w:t>(b)</w:t>
      </w:r>
      <w:r>
        <w:rPr>
          <w:snapToGrid w:val="0"/>
        </w:rPr>
        <w:tab/>
        <w:t>subject to paragraph (ba) there shall be written in ink in the prescriber’s own handwriting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the name and quantity of the substance;</w:t>
      </w:r>
    </w:p>
    <w:p>
      <w:pPr>
        <w:pStyle w:val="Indenti"/>
        <w:rPr>
          <w:snapToGrid w:val="0"/>
        </w:rPr>
      </w:pPr>
      <w:r>
        <w:rPr>
          <w:snapToGrid w:val="0"/>
        </w:rPr>
        <w:tab/>
        <w:t>(iii)</w:t>
      </w:r>
      <w:r>
        <w:rPr>
          <w:snapToGrid w:val="0"/>
        </w:rPr>
        <w:tab/>
        <w:t>direction for use, if necessary;</w:t>
      </w:r>
    </w:p>
    <w:p>
      <w:pPr>
        <w:pStyle w:val="Indenti"/>
        <w:rPr>
          <w:snapToGrid w:val="0"/>
        </w:rPr>
      </w:pPr>
      <w:r>
        <w:rPr>
          <w:snapToGrid w:val="0"/>
        </w:rPr>
        <w:tab/>
        <w:t>(iv)</w:t>
      </w:r>
      <w:r>
        <w:rPr>
          <w:snapToGrid w:val="0"/>
        </w:rPr>
        <w:tab/>
        <w:t>the date on which it is written;</w:t>
      </w:r>
    </w:p>
    <w:p>
      <w:pPr>
        <w:pStyle w:val="Indenti"/>
        <w:rPr>
          <w:snapToGrid w:val="0"/>
        </w:rPr>
      </w:pPr>
      <w:r>
        <w:rPr>
          <w:snapToGrid w:val="0"/>
        </w:rPr>
        <w:tab/>
        <w:t>(v)</w:t>
      </w:r>
      <w:r>
        <w:rPr>
          <w:snapToGrid w:val="0"/>
        </w:rPr>
        <w:tab/>
        <w:t>the maximum number of times it may be repeated, if any, and (where applicable) the intervals at which it may be repeated; and</w:t>
      </w:r>
    </w:p>
    <w:p>
      <w:pPr>
        <w:pStyle w:val="Indenti"/>
        <w:rPr>
          <w:snapToGrid w:val="0"/>
        </w:rPr>
      </w:pPr>
      <w:r>
        <w:rPr>
          <w:snapToGrid w:val="0"/>
        </w:rPr>
        <w:tab/>
        <w:t>(vi)</w:t>
      </w:r>
      <w:r>
        <w:rPr>
          <w:snapToGrid w:val="0"/>
        </w:rPr>
        <w:tab/>
        <w:t>the signature of the prescriber;</w:t>
      </w:r>
    </w:p>
    <w:p>
      <w:pPr>
        <w:pStyle w:val="Indenta"/>
        <w:rPr>
          <w:snapToGrid w:val="0"/>
        </w:rPr>
      </w:pPr>
      <w:r>
        <w:rPr>
          <w:snapToGrid w:val="0"/>
        </w:rPr>
        <w:tab/>
        <w:t>(ba)</w:t>
      </w:r>
      <w:r>
        <w:rPr>
          <w:snapToGrid w:val="0"/>
        </w:rPr>
        <w:tab/>
      </w:r>
      <w:r>
        <w:rPr>
          <w:snapToGrid w:val="0"/>
          <w:spacing w:val="-4"/>
        </w:rPr>
        <w:t>where a prescription is processed on a computer which —</w:t>
      </w:r>
      <w:r>
        <w:rPr>
          <w:snapToGrid w:val="0"/>
        </w:rPr>
        <w:t>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rPr>
          <w:snapToGrid w:val="0"/>
        </w:rPr>
      </w:pPr>
      <w:r>
        <w:rPr>
          <w:snapToGrid w:val="0"/>
        </w:rPr>
        <w:tab/>
      </w:r>
      <w:r>
        <w:rPr>
          <w:snapToGrid w:val="0"/>
        </w:rPr>
        <w:tab/>
        <w:t>the prescription shall contain — </w:t>
      </w:r>
    </w:p>
    <w:p>
      <w:pPr>
        <w:pStyle w:val="Indenti"/>
        <w:rPr>
          <w:snapToGrid w:val="0"/>
        </w:rPr>
      </w:pPr>
      <w:r>
        <w:rPr>
          <w:snapToGrid w:val="0"/>
        </w:rPr>
        <w:tab/>
        <w:t>(iii)</w:t>
      </w:r>
      <w:r>
        <w:rPr>
          <w:snapToGrid w:val="0"/>
        </w:rPr>
        <w:tab/>
        <w:t>the information required under paragraph (b)(ii) to (v), in a form generated by the computer;</w:t>
      </w:r>
    </w:p>
    <w:p>
      <w:pPr>
        <w:pStyle w:val="Indenti"/>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37(1)(ba))”; and</w:t>
      </w:r>
    </w:p>
    <w:p>
      <w:pPr>
        <w:pStyle w:val="Indenti"/>
        <w:rPr>
          <w:snapToGrid w:val="0"/>
        </w:rPr>
      </w:pPr>
      <w:r>
        <w:rPr>
          <w:snapToGrid w:val="0"/>
        </w:rPr>
        <w:tab/>
        <w:t>(v)</w:t>
      </w:r>
      <w:r>
        <w:rPr>
          <w:snapToGrid w:val="0"/>
        </w:rPr>
        <w:tab/>
        <w:t>the signature of the prescriber in his or her own handwriting;</w:t>
      </w:r>
    </w:p>
    <w:p>
      <w:pPr>
        <w:pStyle w:val="Indenta"/>
        <w:rPr>
          <w:snapToGrid w:val="0"/>
        </w:rPr>
      </w:pPr>
      <w:r>
        <w:rPr>
          <w:snapToGrid w:val="0"/>
        </w:rPr>
        <w:tab/>
        <w:t>(c)</w:t>
      </w:r>
      <w:r>
        <w:rPr>
          <w:snapToGrid w:val="0"/>
        </w:rPr>
        <w:tab/>
        <w:t>a prescription written by a dentist shall be for dental purposes only and shall be marked as such and a prescription written by a veterinary surgeon shall be for veterinary use only and shall be marked “For veterinary use only” or “For animal treatment only”;</w:t>
      </w:r>
    </w:p>
    <w:p>
      <w:pPr>
        <w:pStyle w:val="Indenta"/>
        <w:rPr>
          <w:snapToGrid w:val="0"/>
        </w:rPr>
      </w:pPr>
      <w:r>
        <w:rPr>
          <w:snapToGrid w:val="0"/>
        </w:rPr>
        <w:tab/>
        <w:t>(d)</w:t>
      </w:r>
      <w:r>
        <w:rPr>
          <w:snapToGrid w:val="0"/>
        </w:rPr>
        <w:tab/>
        <w:t>if a prescription contains an unusual dose the prescriber shall indicate that such a dose is intended by underlining that part of the prescription and initialling the same in margin;</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70"/>
        <w:rPr>
          <w:snapToGrid w:val="0"/>
        </w:rPr>
      </w:pPr>
      <w:r>
        <w:rPr>
          <w:snapToGrid w:val="0"/>
        </w:rPr>
        <w:tab/>
        <w:t>(f)</w:t>
      </w:r>
      <w:r>
        <w:rPr>
          <w:snapToGrid w:val="0"/>
        </w:rPr>
        <w:tab/>
        <w:t>a prescription shall not be written in cipher.</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37 inserted in Gazette 19 Feb 1971 p. 519; amended in Gazette 21 Nov 1986 p. 4269; 5 Dec 1986 p. 4467; 17 Aug 1990 p. 4081; 26 Jul 1991 p. 3854; 7 Aug 1992 p. 3869; 26 May 1994 p. 2201; 19 Mar 1996 p. 1222; 15 Dec 2006 p. 5630; amended by Act No. 9 of 2003 s. 45.]</w:t>
      </w:r>
    </w:p>
    <w:p>
      <w:pPr>
        <w:pStyle w:val="Ednotedivision"/>
      </w:pPr>
      <w:r>
        <w:t>[Heading deleted in Gazette 12 Aug 2003 p. 3663.]</w:t>
      </w:r>
    </w:p>
    <w:p>
      <w:pPr>
        <w:pStyle w:val="Heading5"/>
        <w:rPr>
          <w:snapToGrid w:val="0"/>
        </w:rPr>
      </w:pPr>
      <w:bookmarkStart w:id="129" w:name="_Toc389746343"/>
      <w:bookmarkStart w:id="130" w:name="_Toc389746518"/>
      <w:r>
        <w:rPr>
          <w:rStyle w:val="CharSectno"/>
        </w:rPr>
        <w:t>38</w:t>
      </w:r>
      <w:r>
        <w:rPr>
          <w:snapToGrid w:val="0"/>
        </w:rPr>
        <w:t>.</w:t>
      </w:r>
      <w:r>
        <w:rPr>
          <w:snapToGrid w:val="0"/>
        </w:rPr>
        <w:tab/>
      </w:r>
      <w:r>
        <w:rPr>
          <w:snapToGrid w:val="0"/>
          <w:spacing w:val="-4"/>
        </w:rPr>
        <w:t>Dispensing poisons included in Schedule 4 in emergency cases</w:t>
      </w:r>
      <w:bookmarkEnd w:id="129"/>
      <w:bookmarkEnd w:id="130"/>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pPr>
      <w:r>
        <w:tab/>
        <w:t>[Regulation 38 amended in Gazette 19 Mar 1996 p. 1222; amended by Act No. 9 of 2003 s. 46.]</w:t>
      </w:r>
    </w:p>
    <w:p>
      <w:pPr>
        <w:pStyle w:val="Ednotedivision"/>
        <w:spacing w:before="180"/>
      </w:pPr>
      <w:r>
        <w:rPr>
          <w:snapToGrid/>
        </w:rPr>
        <w:t>[Heading deleted in Gazette 12 Aug 2003 p. 3663.]</w:t>
      </w:r>
    </w:p>
    <w:p>
      <w:pPr>
        <w:pStyle w:val="Ednotesection"/>
        <w:spacing w:before="180"/>
      </w:pPr>
      <w:r>
        <w:t>[</w:t>
      </w:r>
      <w:r>
        <w:rPr>
          <w:b/>
        </w:rPr>
        <w:t>38A.</w:t>
      </w:r>
      <w:r>
        <w:rPr>
          <w:b/>
        </w:rPr>
        <w:tab/>
      </w:r>
      <w:r>
        <w:t xml:space="preserve">Repealed in Gazette 17 Mar 1998 p. 1417.] </w:t>
      </w:r>
    </w:p>
    <w:p>
      <w:pPr>
        <w:pStyle w:val="Heading5"/>
        <w:spacing w:before="180"/>
        <w:rPr>
          <w:snapToGrid w:val="0"/>
        </w:rPr>
      </w:pPr>
      <w:bookmarkStart w:id="131" w:name="_Toc389746344"/>
      <w:bookmarkStart w:id="132" w:name="_Toc389746519"/>
      <w:r>
        <w:rPr>
          <w:rStyle w:val="CharSectno"/>
        </w:rPr>
        <w:t>38AA</w:t>
      </w:r>
      <w:r>
        <w:rPr>
          <w:snapToGrid w:val="0"/>
        </w:rPr>
        <w:t>.</w:t>
      </w:r>
      <w:r>
        <w:rPr>
          <w:snapToGrid w:val="0"/>
        </w:rPr>
        <w:tab/>
        <w:t>Administration of poisons included in Schedule 4 in hospital</w:t>
      </w:r>
      <w:bookmarkEnd w:id="131"/>
      <w:bookmarkEnd w:id="132"/>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pPr>
      <w:r>
        <w:rPr>
          <w:snapToGrid/>
        </w:rPr>
        <w:t>[Heading deleted in Gazette 12 Aug 2003 p. 3663.]</w:t>
      </w:r>
    </w:p>
    <w:p>
      <w:pPr>
        <w:pStyle w:val="Ednotesection"/>
      </w:pPr>
      <w:r>
        <w:t>[</w:t>
      </w:r>
      <w:r>
        <w:rPr>
          <w:b/>
        </w:rPr>
        <w:t>38B.</w:t>
      </w:r>
      <w:r>
        <w:rPr>
          <w:b/>
        </w:rPr>
        <w:tab/>
      </w:r>
      <w:r>
        <w:t xml:space="preserve">Repealed in Gazette 24 Jun 1994 p. 2867.] </w:t>
      </w:r>
    </w:p>
    <w:p>
      <w:pPr>
        <w:pStyle w:val="Ednotedivision"/>
      </w:pPr>
      <w:r>
        <w:t>[Heading deleted in Gazette 12 Aug 2003 p. 3663.]</w:t>
      </w:r>
    </w:p>
    <w:p>
      <w:pPr>
        <w:pStyle w:val="Heading5"/>
        <w:rPr>
          <w:snapToGrid w:val="0"/>
        </w:rPr>
      </w:pPr>
      <w:bookmarkStart w:id="133" w:name="_Toc389746345"/>
      <w:bookmarkStart w:id="134" w:name="_Toc389746520"/>
      <w:r>
        <w:rPr>
          <w:rStyle w:val="CharSectno"/>
        </w:rPr>
        <w:t>38C</w:t>
      </w:r>
      <w:r>
        <w:rPr>
          <w:snapToGrid w:val="0"/>
        </w:rPr>
        <w:t>.</w:t>
      </w:r>
      <w:r>
        <w:rPr>
          <w:snapToGrid w:val="0"/>
        </w:rPr>
        <w:tab/>
        <w:t>Clomiphene and cyclofenil</w:t>
      </w:r>
      <w:bookmarkEnd w:id="133"/>
      <w:bookmarkEnd w:id="134"/>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r>
        <w:t>[Heading deleted in Gazette 12 Aug 2003 p. 3663.]</w:t>
      </w:r>
    </w:p>
    <w:p>
      <w:pPr>
        <w:pStyle w:val="Heading5"/>
        <w:rPr>
          <w:snapToGrid w:val="0"/>
        </w:rPr>
      </w:pPr>
      <w:bookmarkStart w:id="135" w:name="_Toc389746346"/>
      <w:bookmarkStart w:id="136" w:name="_Toc389746521"/>
      <w:r>
        <w:rPr>
          <w:rStyle w:val="CharSectno"/>
        </w:rPr>
        <w:t>38D</w:t>
      </w:r>
      <w:r>
        <w:rPr>
          <w:snapToGrid w:val="0"/>
        </w:rPr>
        <w:t>.</w:t>
      </w:r>
      <w:r>
        <w:rPr>
          <w:snapToGrid w:val="0"/>
        </w:rPr>
        <w:tab/>
        <w:t>Etretinate or acitretin</w:t>
      </w:r>
      <w:bookmarkEnd w:id="135"/>
      <w:bookmarkEnd w:id="136"/>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260"/>
      </w:pPr>
      <w:r>
        <w:t>[Heading deleted in Gazette 12 Aug 2003 p. 3663.]</w:t>
      </w:r>
    </w:p>
    <w:p>
      <w:pPr>
        <w:pStyle w:val="Heading5"/>
        <w:spacing w:before="260"/>
        <w:rPr>
          <w:snapToGrid w:val="0"/>
        </w:rPr>
      </w:pPr>
      <w:bookmarkStart w:id="137" w:name="_Toc389746347"/>
      <w:bookmarkStart w:id="138" w:name="_Toc389746522"/>
      <w:r>
        <w:rPr>
          <w:rStyle w:val="CharSectno"/>
        </w:rPr>
        <w:t>38E</w:t>
      </w:r>
      <w:r>
        <w:rPr>
          <w:snapToGrid w:val="0"/>
        </w:rPr>
        <w:t>.</w:t>
      </w:r>
      <w:r>
        <w:rPr>
          <w:snapToGrid w:val="0"/>
        </w:rPr>
        <w:tab/>
        <w:t>Prostaglandins</w:t>
      </w:r>
      <w:bookmarkEnd w:id="137"/>
      <w:bookmarkEnd w:id="138"/>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139" w:name="_Toc389746348"/>
      <w:bookmarkStart w:id="140" w:name="_Toc389746523"/>
      <w:r>
        <w:rPr>
          <w:rStyle w:val="CharSectno"/>
        </w:rPr>
        <w:t>38F</w:t>
      </w:r>
      <w:r>
        <w:t>.</w:t>
      </w:r>
      <w:r>
        <w:tab/>
        <w:t>Isotr</w:t>
      </w:r>
      <w:r>
        <w:rPr>
          <w:b w:val="0"/>
          <w:snapToGrid w:val="0"/>
        </w:rPr>
        <w:t>e</w:t>
      </w:r>
      <w:r>
        <w:t>tinoin</w:t>
      </w:r>
      <w:bookmarkEnd w:id="139"/>
      <w:bookmarkEnd w:id="140"/>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keepNext/>
        <w:keepLines/>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141" w:name="_Toc389746349"/>
      <w:bookmarkStart w:id="142" w:name="_Toc389746524"/>
      <w:r>
        <w:rPr>
          <w:rStyle w:val="CharSectno"/>
        </w:rPr>
        <w:t>38G</w:t>
      </w:r>
      <w:r>
        <w:rPr>
          <w:snapToGrid w:val="0"/>
        </w:rPr>
        <w:t>.</w:t>
      </w:r>
      <w:r>
        <w:rPr>
          <w:snapToGrid w:val="0"/>
        </w:rPr>
        <w:tab/>
        <w:t>Thalidomide for human use</w:t>
      </w:r>
      <w:bookmarkEnd w:id="141"/>
      <w:bookmarkEnd w:id="142"/>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143" w:name="_Toc389746350"/>
      <w:bookmarkStart w:id="144" w:name="_Toc389746525"/>
      <w:r>
        <w:rPr>
          <w:rStyle w:val="CharSectno"/>
        </w:rPr>
        <w:t>38H</w:t>
      </w:r>
      <w:r>
        <w:rPr>
          <w:snapToGrid w:val="0"/>
        </w:rPr>
        <w:t>.</w:t>
      </w:r>
      <w:r>
        <w:rPr>
          <w:snapToGrid w:val="0"/>
        </w:rPr>
        <w:tab/>
        <w:t>Chloramphenicol</w:t>
      </w:r>
      <w:bookmarkEnd w:id="143"/>
      <w:bookmarkEnd w:id="144"/>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145" w:name="_Toc389746351"/>
      <w:bookmarkStart w:id="146" w:name="_Toc389746526"/>
      <w:r>
        <w:rPr>
          <w:rStyle w:val="CharSectno"/>
        </w:rPr>
        <w:t>38I</w:t>
      </w:r>
      <w:r>
        <w:rPr>
          <w:snapToGrid w:val="0"/>
        </w:rPr>
        <w:t>.</w:t>
      </w:r>
      <w:r>
        <w:rPr>
          <w:snapToGrid w:val="0"/>
        </w:rPr>
        <w:tab/>
        <w:t>Follicular stimulating hormone and luteinising hormone</w:t>
      </w:r>
      <w:bookmarkEnd w:id="145"/>
      <w:bookmarkEnd w:id="146"/>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Repealed in Gazette 19 Mar 1996 p. 1223.] </w:t>
      </w:r>
    </w:p>
    <w:p>
      <w:pPr>
        <w:pStyle w:val="Heading5"/>
        <w:spacing w:before="180"/>
        <w:rPr>
          <w:snapToGrid w:val="0"/>
        </w:rPr>
      </w:pPr>
      <w:bookmarkStart w:id="147" w:name="_Toc389746352"/>
      <w:bookmarkStart w:id="148" w:name="_Toc389746527"/>
      <w:r>
        <w:rPr>
          <w:rStyle w:val="CharSectno"/>
        </w:rPr>
        <w:t>38K</w:t>
      </w:r>
      <w:r>
        <w:rPr>
          <w:snapToGrid w:val="0"/>
        </w:rPr>
        <w:t>.</w:t>
      </w:r>
      <w:r>
        <w:rPr>
          <w:snapToGrid w:val="0"/>
        </w:rPr>
        <w:tab/>
        <w:t>Carnidazole</w:t>
      </w:r>
      <w:bookmarkEnd w:id="147"/>
      <w:bookmarkEnd w:id="148"/>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49" w:name="_Toc389746353"/>
      <w:bookmarkStart w:id="150" w:name="_Toc389746528"/>
      <w:r>
        <w:rPr>
          <w:rStyle w:val="CharSectno"/>
        </w:rPr>
        <w:t>38L</w:t>
      </w:r>
      <w:r>
        <w:rPr>
          <w:snapToGrid w:val="0"/>
        </w:rPr>
        <w:t>.</w:t>
      </w:r>
      <w:r>
        <w:rPr>
          <w:snapToGrid w:val="0"/>
        </w:rPr>
        <w:tab/>
        <w:t>Oxolinic acid</w:t>
      </w:r>
      <w:bookmarkEnd w:id="149"/>
      <w:bookmarkEnd w:id="150"/>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spacing w:before="260"/>
        <w:rPr>
          <w:snapToGrid w:val="0"/>
        </w:rPr>
      </w:pPr>
      <w:bookmarkStart w:id="151" w:name="_Toc389746354"/>
      <w:bookmarkStart w:id="152" w:name="_Toc389746529"/>
      <w:r>
        <w:rPr>
          <w:rStyle w:val="CharSectno"/>
        </w:rPr>
        <w:t>38M</w:t>
      </w:r>
      <w:r>
        <w:rPr>
          <w:snapToGrid w:val="0"/>
        </w:rPr>
        <w:t>.</w:t>
      </w:r>
      <w:r>
        <w:rPr>
          <w:snapToGrid w:val="0"/>
        </w:rPr>
        <w:tab/>
        <w:t>Clozapine</w:t>
      </w:r>
      <w:bookmarkEnd w:id="151"/>
      <w:bookmarkEnd w:id="152"/>
      <w:r>
        <w:rPr>
          <w:snapToGrid w:val="0"/>
        </w:rPr>
        <w:t xml:space="preserve"> </w:t>
      </w:r>
    </w:p>
    <w:p>
      <w:pPr>
        <w:pStyle w:val="Subsection"/>
        <w:spacing w:before="200"/>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 xml:space="preserve">[Regulation 38M inserted in Gazette 24 Jun 1994 p. 2868; amended in Gazette 19 Mar 1996 p. 1223; 11 Apr 1997 p. 1831; 27 Nov 1998 p. 6344; 15 Dec 2006 p. 5630-1.] </w:t>
      </w:r>
    </w:p>
    <w:p>
      <w:pPr>
        <w:pStyle w:val="Heading5"/>
        <w:spacing w:before="260"/>
        <w:rPr>
          <w:snapToGrid w:val="0"/>
        </w:rPr>
      </w:pPr>
      <w:bookmarkStart w:id="153" w:name="_Toc389746355"/>
      <w:bookmarkStart w:id="154" w:name="_Toc389746530"/>
      <w:r>
        <w:rPr>
          <w:rStyle w:val="CharSectno"/>
        </w:rPr>
        <w:t>38N</w:t>
      </w:r>
      <w:r>
        <w:rPr>
          <w:snapToGrid w:val="0"/>
        </w:rPr>
        <w:t>.</w:t>
      </w:r>
      <w:r>
        <w:rPr>
          <w:snapToGrid w:val="0"/>
        </w:rPr>
        <w:tab/>
        <w:t>Nitrofuran derivatives</w:t>
      </w:r>
      <w:bookmarkEnd w:id="153"/>
      <w:bookmarkEnd w:id="154"/>
      <w:r>
        <w:rPr>
          <w:snapToGrid w:val="0"/>
        </w:rPr>
        <w:t xml:space="preserve"> </w:t>
      </w:r>
    </w:p>
    <w:p>
      <w:pPr>
        <w:pStyle w:val="Subsection"/>
        <w:spacing w:before="20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ind w:left="890" w:hanging="890"/>
      </w:pPr>
      <w:r>
        <w:tab/>
        <w:t>[Regulation 38N inserted in Gazette 24 Jun 1994 p. 2868; amended in Gazette 19 Mar 1996 p. 1223; 11 Apr 1997 p. 1831</w:t>
      </w:r>
      <w:r>
        <w:noBreakHyphen/>
        <w:t>2.]</w:t>
      </w:r>
    </w:p>
    <w:p>
      <w:pPr>
        <w:pStyle w:val="Heading5"/>
        <w:spacing w:before="260"/>
      </w:pPr>
      <w:bookmarkStart w:id="155" w:name="_Toc389746356"/>
      <w:bookmarkStart w:id="156" w:name="_Toc389746531"/>
      <w:r>
        <w:rPr>
          <w:rStyle w:val="CharSectno"/>
        </w:rPr>
        <w:t>38O</w:t>
      </w:r>
      <w:r>
        <w:t>.</w:t>
      </w:r>
      <w:r>
        <w:tab/>
        <w:t>Bosentan for human use</w:t>
      </w:r>
      <w:bookmarkEnd w:id="155"/>
      <w:bookmarkEnd w:id="156"/>
    </w:p>
    <w:p>
      <w:pPr>
        <w:pStyle w:val="Subsection"/>
        <w:spacing w:before="200"/>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spacing w:before="200"/>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157" w:name="_Toc389746357"/>
      <w:bookmarkStart w:id="158" w:name="_Toc389746532"/>
      <w:r>
        <w:rPr>
          <w:rStyle w:val="CharSectno"/>
        </w:rPr>
        <w:t>38P</w:t>
      </w:r>
      <w:r>
        <w:t>.</w:t>
      </w:r>
      <w:r>
        <w:tab/>
        <w:t>Teriparatide for human use</w:t>
      </w:r>
      <w:bookmarkEnd w:id="157"/>
      <w:bookmarkEnd w:id="158"/>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159" w:name="_Toc389746358"/>
      <w:bookmarkStart w:id="160" w:name="_Toc389746533"/>
      <w:r>
        <w:rPr>
          <w:rStyle w:val="CharSectno"/>
        </w:rPr>
        <w:t>39</w:t>
      </w:r>
      <w:r>
        <w:rPr>
          <w:snapToGrid w:val="0"/>
        </w:rPr>
        <w:t>.</w:t>
      </w:r>
      <w:r>
        <w:rPr>
          <w:snapToGrid w:val="0"/>
        </w:rPr>
        <w:tab/>
        <w:t>Veterinary use of poisons included in Schedule 4</w:t>
      </w:r>
      <w:bookmarkEnd w:id="159"/>
      <w:bookmarkEnd w:id="160"/>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repealed] </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161" w:name="_Toc389746359"/>
      <w:bookmarkStart w:id="162" w:name="_Toc389746534"/>
      <w:r>
        <w:rPr>
          <w:rStyle w:val="CharSectno"/>
        </w:rPr>
        <w:t>39A</w:t>
      </w:r>
      <w:r>
        <w:rPr>
          <w:snapToGrid w:val="0"/>
        </w:rPr>
        <w:t>.</w:t>
      </w:r>
      <w:r>
        <w:rPr>
          <w:snapToGrid w:val="0"/>
        </w:rPr>
        <w:tab/>
        <w:t>Stockfeed manufacturers may sell poisons included in Schedule 4</w:t>
      </w:r>
      <w:bookmarkEnd w:id="161"/>
      <w:bookmarkEnd w:id="162"/>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ind w:left="890" w:hanging="890"/>
      </w:pPr>
      <w:r>
        <w:tab/>
        <w:t>[Regulation 39A inserted in Gazette 5 Oct 1979 p. 3085; amended in Gazette 29 Jun 1984 p. 1784; 25 Jun 1993 p. 3085; 26 May 1994 p. 2201; 19 Mar 1996 p. 1224; 15 Dec 2006 p. 5630-1.]</w:t>
      </w:r>
    </w:p>
    <w:p>
      <w:pPr>
        <w:pStyle w:val="Heading5"/>
        <w:rPr>
          <w:snapToGrid w:val="0"/>
        </w:rPr>
      </w:pPr>
      <w:bookmarkStart w:id="163" w:name="_Toc389746360"/>
      <w:bookmarkStart w:id="164" w:name="_Toc389746535"/>
      <w:r>
        <w:rPr>
          <w:rStyle w:val="CharSectno"/>
        </w:rPr>
        <w:t>39B</w:t>
      </w:r>
      <w:r>
        <w:rPr>
          <w:snapToGrid w:val="0"/>
        </w:rPr>
        <w:t>.</w:t>
      </w:r>
      <w:r>
        <w:rPr>
          <w:snapToGrid w:val="0"/>
        </w:rPr>
        <w:tab/>
        <w:t>Use of poisons included in Schedule 4 on ships and aircraft</w:t>
      </w:r>
      <w:bookmarkEnd w:id="163"/>
      <w:bookmarkEnd w:id="164"/>
      <w:r>
        <w:rPr>
          <w:snapToGrid w:val="0"/>
        </w:rPr>
        <w:t xml:space="preserve"> </w:t>
      </w:r>
    </w:p>
    <w:p>
      <w:pPr>
        <w:pStyle w:val="Subsection"/>
        <w:rPr>
          <w:snapToGrid w:val="0"/>
        </w:rPr>
      </w:pPr>
      <w:r>
        <w:rPr>
          <w:snapToGrid w:val="0"/>
        </w:rPr>
        <w:tab/>
        <w:t>(1)</w:t>
      </w:r>
      <w:r>
        <w:rPr>
          <w:snapToGrid w:val="0"/>
        </w:rPr>
        <w:tab/>
        <w:t>The master of a ship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w:t>
      </w:r>
    </w:p>
    <w:p>
      <w:pPr>
        <w:pStyle w:val="Heading5"/>
      </w:pPr>
      <w:bookmarkStart w:id="165" w:name="_Toc389746361"/>
      <w:bookmarkStart w:id="166" w:name="_Toc389746536"/>
      <w:r>
        <w:rPr>
          <w:rStyle w:val="CharSectno"/>
        </w:rPr>
        <w:t>39C</w:t>
      </w:r>
      <w:r>
        <w:t>.</w:t>
      </w:r>
      <w:r>
        <w:tab/>
        <w:t>Use of poisons included in Schedule 4 on ships carrying livestock</w:t>
      </w:r>
      <w:bookmarkEnd w:id="165"/>
      <w:bookmarkEnd w:id="166"/>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t>“</w:t>
      </w:r>
      <w:r>
        <w:rPr>
          <w:rStyle w:val="CharDefText"/>
        </w:rPr>
        <w:t>livestock</w:t>
      </w:r>
      <w:r>
        <w:rPr>
          <w:b/>
        </w:rPr>
        <w:t>”</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t>“</w:t>
      </w:r>
      <w:r>
        <w:rPr>
          <w:rStyle w:val="CharDefText"/>
        </w:rPr>
        <w:t>exporter</w:t>
      </w:r>
      <w:r>
        <w:rPr>
          <w:b/>
        </w:rPr>
        <w:t>”</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t>“</w:t>
      </w:r>
      <w:r>
        <w:rPr>
          <w:rStyle w:val="CharDefText"/>
        </w:rPr>
        <w:t>master of a ship</w:t>
      </w:r>
      <w:r>
        <w:rPr>
          <w:b/>
        </w:rPr>
        <w:t>”</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67" w:name="_Toc389746362"/>
      <w:bookmarkStart w:id="168" w:name="_Toc389746537"/>
      <w:r>
        <w:rPr>
          <w:rStyle w:val="CharSectno"/>
        </w:rPr>
        <w:t>40</w:t>
      </w:r>
      <w:r>
        <w:rPr>
          <w:snapToGrid w:val="0"/>
        </w:rPr>
        <w:t>.</w:t>
      </w:r>
      <w:r>
        <w:rPr>
          <w:snapToGrid w:val="0"/>
        </w:rPr>
        <w:tab/>
        <w:t>Special authority to purchase poisons included in Schedule 4</w:t>
      </w:r>
      <w:bookmarkEnd w:id="167"/>
      <w:bookmarkEnd w:id="168"/>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keepNext/>
        <w:keepLines/>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rPr>
          <w:b/>
        </w:rPr>
      </w:pPr>
      <w:r>
        <w:rPr>
          <w:b/>
        </w:rPr>
        <w:t>Table</w:t>
      </w:r>
    </w:p>
    <w:tbl>
      <w:tblPr>
        <w:tblW w:w="0" w:type="auto"/>
        <w:tblInd w:w="851" w:type="dxa"/>
        <w:tblLayout w:type="fixed"/>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169" w:name="_Toc389746363"/>
      <w:bookmarkStart w:id="170" w:name="_Toc389746538"/>
      <w:r>
        <w:rPr>
          <w:rStyle w:val="CharSectno"/>
        </w:rPr>
        <w:t>40A</w:t>
      </w:r>
      <w:r>
        <w:rPr>
          <w:snapToGrid w:val="0"/>
        </w:rPr>
        <w:t>.</w:t>
      </w:r>
      <w:r>
        <w:rPr>
          <w:snapToGrid w:val="0"/>
        </w:rPr>
        <w:tab/>
        <w:t>Delivery of a poison included in Schedule 4 on order</w:t>
      </w:r>
      <w:bookmarkEnd w:id="169"/>
      <w:bookmarkEnd w:id="170"/>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71" w:name="_Toc389746364"/>
      <w:bookmarkStart w:id="172" w:name="_Toc389746539"/>
      <w:r>
        <w:rPr>
          <w:rStyle w:val="CharDivNo"/>
        </w:rPr>
        <w:t>Division 3 </w:t>
      </w:r>
      <w:r>
        <w:t xml:space="preserve">— </w:t>
      </w:r>
      <w:r>
        <w:rPr>
          <w:rStyle w:val="CharDivText"/>
        </w:rPr>
        <w:t>General</w:t>
      </w:r>
      <w:bookmarkEnd w:id="171"/>
      <w:bookmarkEnd w:id="172"/>
    </w:p>
    <w:p>
      <w:pPr>
        <w:pStyle w:val="Footnoteheading"/>
        <w:rPr>
          <w:rStyle w:val="CharSectno"/>
        </w:rPr>
      </w:pPr>
      <w:r>
        <w:tab/>
        <w:t>[Heading inserted in Gazette 12 Aug 2003 p. 3664.]</w:t>
      </w:r>
    </w:p>
    <w:p>
      <w:pPr>
        <w:pStyle w:val="Heading5"/>
        <w:spacing w:before="260"/>
        <w:rPr>
          <w:snapToGrid w:val="0"/>
        </w:rPr>
      </w:pPr>
      <w:bookmarkStart w:id="173" w:name="_Toc389746365"/>
      <w:bookmarkStart w:id="174" w:name="_Toc389746540"/>
      <w:r>
        <w:rPr>
          <w:rStyle w:val="CharSectno"/>
        </w:rPr>
        <w:t>41</w:t>
      </w:r>
      <w:r>
        <w:rPr>
          <w:snapToGrid w:val="0"/>
        </w:rPr>
        <w:t>.</w:t>
      </w:r>
      <w:r>
        <w:rPr>
          <w:snapToGrid w:val="0"/>
        </w:rPr>
        <w:tab/>
        <w:t>Revocation notice in relation to poisons included in Schedule 6</w:t>
      </w:r>
      <w:bookmarkEnd w:id="173"/>
      <w:bookmarkEnd w:id="17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175" w:name="_Toc389746366"/>
      <w:bookmarkStart w:id="176" w:name="_Toc389746541"/>
      <w:r>
        <w:rPr>
          <w:rStyle w:val="CharSectno"/>
        </w:rPr>
        <w:t>41A</w:t>
      </w:r>
      <w:r>
        <w:rPr>
          <w:snapToGrid w:val="0"/>
        </w:rPr>
        <w:t>.</w:t>
      </w:r>
      <w:r>
        <w:rPr>
          <w:snapToGrid w:val="0"/>
        </w:rPr>
        <w:tab/>
        <w:t>Sale of poisons included in Schedule 7</w:t>
      </w:r>
      <w:bookmarkEnd w:id="175"/>
      <w:bookmarkEnd w:id="176"/>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77" w:name="_Toc389746367"/>
      <w:bookmarkStart w:id="178" w:name="_Toc389746542"/>
      <w:r>
        <w:rPr>
          <w:rStyle w:val="CharSectno"/>
        </w:rPr>
        <w:t>41AA</w:t>
      </w:r>
      <w:r>
        <w:rPr>
          <w:snapToGrid w:val="0"/>
        </w:rPr>
        <w:t>.</w:t>
      </w:r>
      <w:r>
        <w:rPr>
          <w:snapToGrid w:val="0"/>
        </w:rPr>
        <w:tab/>
        <w:t>Standard for intramammary antibiotic preparations</w:t>
      </w:r>
      <w:bookmarkEnd w:id="177"/>
      <w:bookmarkEnd w:id="178"/>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79" w:name="_Toc389746368"/>
      <w:bookmarkStart w:id="180" w:name="_Toc389746543"/>
      <w:r>
        <w:rPr>
          <w:rStyle w:val="CharSectno"/>
        </w:rPr>
        <w:t>41AB</w:t>
      </w:r>
      <w:r>
        <w:rPr>
          <w:snapToGrid w:val="0"/>
        </w:rPr>
        <w:t>.</w:t>
      </w:r>
      <w:r>
        <w:rPr>
          <w:snapToGrid w:val="0"/>
        </w:rPr>
        <w:tab/>
        <w:t>Camphor and naphthalene</w:t>
      </w:r>
      <w:bookmarkEnd w:id="179"/>
      <w:bookmarkEnd w:id="180"/>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81" w:name="_Toc389746369"/>
      <w:bookmarkStart w:id="182" w:name="_Toc389746544"/>
      <w:r>
        <w:rPr>
          <w:rStyle w:val="CharSectno"/>
        </w:rPr>
        <w:t>41B</w:t>
      </w:r>
      <w:r>
        <w:rPr>
          <w:snapToGrid w:val="0"/>
        </w:rPr>
        <w:t>.</w:t>
      </w:r>
      <w:r>
        <w:rPr>
          <w:snapToGrid w:val="0"/>
        </w:rPr>
        <w:tab/>
        <w:t>Record of poisons included in Schedule 3, 4 or 7</w:t>
      </w:r>
      <w:bookmarkEnd w:id="181"/>
      <w:bookmarkEnd w:id="182"/>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83" w:name="_Toc389746370"/>
      <w:bookmarkStart w:id="184" w:name="_Toc389746545"/>
      <w:r>
        <w:rPr>
          <w:rStyle w:val="CharSectno"/>
        </w:rPr>
        <w:t>41C</w:t>
      </w:r>
      <w:r>
        <w:rPr>
          <w:snapToGrid w:val="0"/>
        </w:rPr>
        <w:t>.</w:t>
      </w:r>
      <w:r>
        <w:rPr>
          <w:snapToGrid w:val="0"/>
        </w:rPr>
        <w:tab/>
        <w:t>Access to poisons included in Schedule 7</w:t>
      </w:r>
      <w:bookmarkEnd w:id="183"/>
      <w:bookmarkEnd w:id="184"/>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Ednotedivision"/>
      </w:pPr>
      <w:r>
        <w:t>[Heading deleted in Gazette 12 Aug 2003 p. 3663.]</w:t>
      </w:r>
    </w:p>
    <w:p>
      <w:pPr>
        <w:pStyle w:val="Heading2"/>
      </w:pPr>
      <w:bookmarkStart w:id="185" w:name="_Toc389746371"/>
      <w:bookmarkStart w:id="186" w:name="_Toc389746546"/>
      <w:r>
        <w:rPr>
          <w:rStyle w:val="CharPartNo"/>
        </w:rPr>
        <w:t>Part 6</w:t>
      </w:r>
      <w:r>
        <w:t xml:space="preserve"> — </w:t>
      </w:r>
      <w:r>
        <w:rPr>
          <w:rStyle w:val="CharPartText"/>
        </w:rPr>
        <w:t>Drugs of addiction</w:t>
      </w:r>
      <w:bookmarkEnd w:id="185"/>
      <w:bookmarkEnd w:id="186"/>
    </w:p>
    <w:p>
      <w:pPr>
        <w:pStyle w:val="Footnoteheading"/>
      </w:pPr>
      <w:r>
        <w:tab/>
        <w:t>[Heading inserted in Gazette 12 Aug 2003 p. 3664.]</w:t>
      </w:r>
    </w:p>
    <w:p>
      <w:pPr>
        <w:pStyle w:val="Heading3"/>
      </w:pPr>
      <w:bookmarkStart w:id="187" w:name="_Toc389746372"/>
      <w:bookmarkStart w:id="188" w:name="_Toc389746547"/>
      <w:r>
        <w:rPr>
          <w:rStyle w:val="CharDivNo"/>
        </w:rPr>
        <w:t>Division 1</w:t>
      </w:r>
      <w:r>
        <w:t xml:space="preserve"> — </w:t>
      </w:r>
      <w:r>
        <w:rPr>
          <w:rStyle w:val="CharDivText"/>
        </w:rPr>
        <w:t>General</w:t>
      </w:r>
      <w:bookmarkEnd w:id="187"/>
      <w:bookmarkEnd w:id="188"/>
    </w:p>
    <w:p>
      <w:pPr>
        <w:pStyle w:val="Footnoteheading"/>
        <w:rPr>
          <w:i w:val="0"/>
        </w:rPr>
      </w:pPr>
      <w:r>
        <w:tab/>
        <w:t>[Heading inserted in Gazette 12 Aug 2003 p. 3664.]</w:t>
      </w:r>
    </w:p>
    <w:p>
      <w:pPr>
        <w:pStyle w:val="Heading5"/>
      </w:pPr>
      <w:bookmarkStart w:id="189" w:name="_Toc389746373"/>
      <w:bookmarkStart w:id="190" w:name="_Toc389746548"/>
      <w:r>
        <w:rPr>
          <w:rStyle w:val="CharSectno"/>
        </w:rPr>
        <w:t>42A</w:t>
      </w:r>
      <w:r>
        <w:t>.</w:t>
      </w:r>
      <w:r>
        <w:tab/>
        <w:t>Interpretation</w:t>
      </w:r>
      <w:bookmarkEnd w:id="189"/>
      <w:bookmarkEnd w:id="190"/>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91" w:name="_Toc389746374"/>
      <w:bookmarkStart w:id="192" w:name="_Toc389746549"/>
      <w:r>
        <w:rPr>
          <w:rStyle w:val="CharSectno"/>
        </w:rPr>
        <w:t>42</w:t>
      </w:r>
      <w:r>
        <w:rPr>
          <w:snapToGrid w:val="0"/>
        </w:rPr>
        <w:t>.</w:t>
      </w:r>
      <w:r>
        <w:rPr>
          <w:snapToGrid w:val="0"/>
        </w:rPr>
        <w:tab/>
        <w:t>Authority for prescribed persons to procure and have poisons included in Schedule 8</w:t>
      </w:r>
      <w:bookmarkEnd w:id="191"/>
      <w:bookmarkEnd w:id="192"/>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A person to whom a prescription for a poison included in Schedule 8 has been given 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
              <w:spacing w:before="120" w:after="2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spacing w:after="20"/>
              <w:ind w:left="567" w:hanging="567"/>
              <w:rPr>
                <w:snapToGrid w:val="0"/>
              </w:rPr>
            </w:pPr>
            <w:r>
              <w:rPr>
                <w:snapToGrid w:val="0"/>
              </w:rPr>
              <w:t>PAPAVERETUM, in tablet form, with a total papaveretum content of 240 milligrams</w:t>
            </w:r>
          </w:p>
        </w:tc>
      </w:tr>
      <w:tr>
        <w:trPr>
          <w:cantSplit/>
        </w:trPr>
        <w:tc>
          <w:tcPr>
            <w:tcW w:w="5894" w:type="dxa"/>
          </w:tcPr>
          <w:p>
            <w:pPr>
              <w:pStyle w:val="Table"/>
              <w:spacing w:after="2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spacing w:after="20"/>
              <w:ind w:left="567" w:hanging="567"/>
              <w:rPr>
                <w:snapToGrid w:val="0"/>
              </w:rPr>
            </w:pPr>
            <w:r>
              <w:rPr>
                <w:snapToGrid w:val="0"/>
              </w:rPr>
              <w:t>METHADONE, in tablet form, with a total methadone content of 240 milligrams</w:t>
            </w:r>
          </w:p>
        </w:tc>
      </w:tr>
      <w:tr>
        <w:trPr>
          <w:cantSplit/>
        </w:trPr>
        <w:tc>
          <w:tcPr>
            <w:tcW w:w="5894" w:type="dxa"/>
          </w:tcPr>
          <w:p>
            <w:pPr>
              <w:pStyle w:val="Table"/>
              <w:spacing w:after="2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spacing w:after="20"/>
              <w:ind w:left="567" w:hanging="567"/>
              <w:rPr>
                <w:snapToGrid w:val="0"/>
              </w:rPr>
            </w:pPr>
            <w:r>
              <w:rPr>
                <w:snapToGrid w:val="0"/>
              </w:rPr>
              <w:t>OXYCODONE, in tablet form, with a total oxycodone content of 120 milligrams</w:t>
            </w:r>
          </w:p>
        </w:tc>
      </w:tr>
      <w:tr>
        <w:trPr>
          <w:cantSplit/>
        </w:trPr>
        <w:tc>
          <w:tcPr>
            <w:tcW w:w="5894" w:type="dxa"/>
          </w:tcPr>
          <w:p>
            <w:pPr>
              <w:pStyle w:val="Table"/>
              <w:spacing w:after="2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w:t>
      </w:r>
    </w:p>
    <w:p>
      <w:pPr>
        <w:pStyle w:val="Ednotedivision"/>
      </w:pPr>
      <w:r>
        <w:t>[Heading deleted in Gazette 12 Aug 2003 p. 3663.]</w:t>
      </w:r>
    </w:p>
    <w:p>
      <w:pPr>
        <w:pStyle w:val="Heading5"/>
        <w:rPr>
          <w:snapToGrid w:val="0"/>
        </w:rPr>
      </w:pPr>
      <w:bookmarkStart w:id="193" w:name="_Toc389746375"/>
      <w:bookmarkStart w:id="194" w:name="_Toc389746550"/>
      <w:r>
        <w:rPr>
          <w:rStyle w:val="CharSectno"/>
        </w:rPr>
        <w:t>43</w:t>
      </w:r>
      <w:r>
        <w:rPr>
          <w:snapToGrid w:val="0"/>
        </w:rPr>
        <w:t>.</w:t>
      </w:r>
      <w:r>
        <w:rPr>
          <w:snapToGrid w:val="0"/>
        </w:rPr>
        <w:tab/>
        <w:t>Authority for pharmacists to retail, compound and dispense poisons included in Schedule 8</w:t>
      </w:r>
      <w:bookmarkEnd w:id="193"/>
      <w:bookmarkEnd w:id="194"/>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195" w:name="_Toc389746376"/>
      <w:bookmarkStart w:id="196" w:name="_Toc389746551"/>
      <w:r>
        <w:rPr>
          <w:rStyle w:val="CharSectno"/>
        </w:rPr>
        <w:t>43A</w:t>
      </w:r>
      <w:r>
        <w:rPr>
          <w:snapToGrid w:val="0"/>
        </w:rPr>
        <w:t>.</w:t>
      </w:r>
      <w:r>
        <w:rPr>
          <w:snapToGrid w:val="0"/>
        </w:rPr>
        <w:tab/>
        <w:t>Revocation notice in relation to poisons included in Schedule 8 and specified drugs</w:t>
      </w:r>
      <w:bookmarkEnd w:id="195"/>
      <w:bookmarkEnd w:id="19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97" w:name="_Toc389746377"/>
      <w:bookmarkStart w:id="198" w:name="_Toc389746552"/>
      <w:r>
        <w:rPr>
          <w:rStyle w:val="CharSectno"/>
        </w:rPr>
        <w:t>43B</w:t>
      </w:r>
      <w:r>
        <w:rPr>
          <w:snapToGrid w:val="0"/>
        </w:rPr>
        <w:t>.</w:t>
      </w:r>
      <w:r>
        <w:rPr>
          <w:snapToGrid w:val="0"/>
        </w:rPr>
        <w:tab/>
        <w:t>Prescribed purposes (section 41(1))</w:t>
      </w:r>
      <w:bookmarkEnd w:id="197"/>
      <w:bookmarkEnd w:id="198"/>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99" w:name="_Toc389746378"/>
      <w:bookmarkStart w:id="200" w:name="_Toc389746553"/>
      <w:r>
        <w:rPr>
          <w:rStyle w:val="CharSectno"/>
        </w:rPr>
        <w:t>43C</w:t>
      </w:r>
      <w:r>
        <w:rPr>
          <w:snapToGrid w:val="0"/>
        </w:rPr>
        <w:t>.</w:t>
      </w:r>
      <w:r>
        <w:rPr>
          <w:snapToGrid w:val="0"/>
        </w:rPr>
        <w:tab/>
        <w:t>Advertising of substances included in Schedule 8</w:t>
      </w:r>
      <w:bookmarkEnd w:id="199"/>
      <w:bookmarkEnd w:id="200"/>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201" w:name="_Toc389746379"/>
      <w:bookmarkStart w:id="202" w:name="_Toc389746554"/>
      <w:r>
        <w:rPr>
          <w:rStyle w:val="CharSectno"/>
        </w:rPr>
        <w:t>44</w:t>
      </w:r>
      <w:r>
        <w:t>.</w:t>
      </w:r>
      <w:r>
        <w:tab/>
        <w:t>Register of drugs of addiction</w:t>
      </w:r>
      <w:bookmarkEnd w:id="201"/>
      <w:bookmarkEnd w:id="202"/>
      <w:r>
        <w:t xml:space="preserve"> </w:t>
      </w:r>
    </w:p>
    <w:p>
      <w:pPr>
        <w:pStyle w:val="Subsection"/>
      </w:pPr>
      <w:r>
        <w:tab/>
        <w:t>(1)</w:t>
      </w:r>
      <w:r>
        <w:tab/>
        <w:t>In this regulation —</w:t>
      </w:r>
    </w:p>
    <w:p>
      <w:pPr>
        <w:pStyle w:val="Defstart"/>
      </w:pPr>
      <w:r>
        <w:tab/>
      </w:r>
      <w:r>
        <w:rPr>
          <w:b/>
        </w:rPr>
        <w:t>“</w:t>
      </w:r>
      <w:r>
        <w:rPr>
          <w:rStyle w:val="CharDefText"/>
        </w:rPr>
        <w:t>authorised person</w:t>
      </w:r>
      <w:r>
        <w:rPr>
          <w:b/>
        </w:rPr>
        <w:t>”</w:t>
      </w:r>
      <w:r>
        <w:t xml:space="preserve"> means a person authorised to manufacture, distribute, sell or possess any drug of addiction, other than a person having possession of a drug of addiction by the authority of a prescription from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wrote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spacing w:before="120"/>
      </w:pPr>
      <w:r>
        <w:tab/>
        <w:t>(3a)</w:t>
      </w:r>
      <w:r>
        <w:tab/>
        <w:t>An authorised person is to record, or cause to be recorded, in the Register the result of each inventory made by the authorised person under regulation 45 on the day on which the inventory is made.</w:t>
      </w:r>
    </w:p>
    <w:p>
      <w:pPr>
        <w:pStyle w:val="Subsection"/>
        <w:spacing w:before="120"/>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w:t>
      </w:r>
    </w:p>
    <w:p>
      <w:pPr>
        <w:pStyle w:val="Heading5"/>
        <w:spacing w:before="260"/>
        <w:rPr>
          <w:snapToGrid w:val="0"/>
        </w:rPr>
      </w:pPr>
      <w:bookmarkStart w:id="203" w:name="_Toc389746380"/>
      <w:bookmarkStart w:id="204" w:name="_Toc389746555"/>
      <w:r>
        <w:rPr>
          <w:rStyle w:val="CharSectno"/>
        </w:rPr>
        <w:t>44A</w:t>
      </w:r>
      <w:r>
        <w:rPr>
          <w:snapToGrid w:val="0"/>
        </w:rPr>
        <w:t>.</w:t>
      </w:r>
      <w:r>
        <w:rPr>
          <w:snapToGrid w:val="0"/>
        </w:rPr>
        <w:tab/>
        <w:t>Destruction of drugs of addiction and poisons included in Schedule 8</w:t>
      </w:r>
      <w:bookmarkEnd w:id="203"/>
      <w:bookmarkEnd w:id="204"/>
      <w:r>
        <w:rPr>
          <w:snapToGrid w:val="0"/>
        </w:rPr>
        <w:t xml:space="preserve"> </w:t>
      </w:r>
    </w:p>
    <w:p>
      <w:pPr>
        <w:pStyle w:val="Subsection"/>
        <w:spacing w:before="200"/>
        <w:rPr>
          <w:snapToGrid w:val="0"/>
        </w:rPr>
      </w:pPr>
      <w:r>
        <w:rPr>
          <w:snapToGrid w:val="0"/>
        </w:rPr>
        <w:tab/>
        <w:t>(1)</w:t>
      </w:r>
      <w:r>
        <w:rPr>
          <w:snapToGrid w:val="0"/>
        </w:rPr>
        <w:tab/>
        <w:t>Subject to subregulations (2) and (3) a person authorised to manufacture, distribute, procure, sell or possess a drug of addiction (other than a person who possesses a poison included in Schedule 8 under a prescription from 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w:t>
      </w:r>
    </w:p>
    <w:p>
      <w:pPr>
        <w:pStyle w:val="Heading5"/>
      </w:pPr>
      <w:bookmarkStart w:id="205" w:name="_Toc389746381"/>
      <w:bookmarkStart w:id="206" w:name="_Toc389746556"/>
      <w:r>
        <w:rPr>
          <w:rStyle w:val="CharSectno"/>
        </w:rPr>
        <w:t>44B</w:t>
      </w:r>
      <w:r>
        <w:t>.</w:t>
      </w:r>
      <w:r>
        <w:tab/>
        <w:t>Form of registers</w:t>
      </w:r>
      <w:bookmarkEnd w:id="205"/>
      <w:bookmarkEnd w:id="206"/>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 xml:space="preserve">otherwise, in a manner approved by the Commissioner for Health. </w:t>
      </w:r>
    </w:p>
    <w:p>
      <w:pPr>
        <w:pStyle w:val="Footnotesection"/>
        <w:spacing w:before="80"/>
        <w:ind w:left="890" w:hanging="890"/>
      </w:pPr>
      <w:r>
        <w:tab/>
        <w:t>[Regulation 44B inserted in Gazette 29 Feb 2000 p. 994; amended in Gazette 14 Sep 2001 p. 5076; 15 Dec 2006 p. 5630.]</w:t>
      </w:r>
    </w:p>
    <w:p>
      <w:pPr>
        <w:pStyle w:val="Heading5"/>
      </w:pPr>
      <w:bookmarkStart w:id="207" w:name="_Toc389746382"/>
      <w:bookmarkStart w:id="208" w:name="_Toc389746557"/>
      <w:r>
        <w:rPr>
          <w:rStyle w:val="CharSectno"/>
        </w:rPr>
        <w:t>44C</w:t>
      </w:r>
      <w:r>
        <w:t>.</w:t>
      </w:r>
      <w:r>
        <w:tab/>
        <w:t>Control of access to electronic registers</w:t>
      </w:r>
      <w:bookmarkEnd w:id="207"/>
      <w:bookmarkEnd w:id="208"/>
    </w:p>
    <w:p>
      <w:pPr>
        <w:pStyle w:val="Subsection"/>
      </w:pPr>
      <w:r>
        <w:tab/>
        <w:t>(1)</w:t>
      </w:r>
      <w:r>
        <w:tab/>
        <w:t>In this regulation —</w:t>
      </w:r>
    </w:p>
    <w:p>
      <w:pPr>
        <w:pStyle w:val="Defstart"/>
      </w:pPr>
      <w:r>
        <w:tab/>
      </w:r>
      <w:r>
        <w:rPr>
          <w:b/>
        </w:rPr>
        <w:t>“</w:t>
      </w:r>
      <w:r>
        <w:rPr>
          <w:rStyle w:val="CharDefText"/>
        </w:rPr>
        <w:t>authorised person</w:t>
      </w:r>
      <w:r>
        <w:rPr>
          <w:b/>
        </w:rPr>
        <w:t>”</w:t>
      </w:r>
      <w:r>
        <w:t xml:space="preserve"> means the person who is required under regulation 44(2) or 44A(4) to maintain the register; </w:t>
      </w:r>
    </w:p>
    <w:p>
      <w:pPr>
        <w:pStyle w:val="Defstart"/>
      </w:pPr>
      <w:r>
        <w:tab/>
      </w:r>
      <w:r>
        <w:rPr>
          <w:b/>
        </w:rPr>
        <w:t>“</w:t>
      </w:r>
      <w:r>
        <w:rPr>
          <w:rStyle w:val="CharDefText"/>
        </w:rPr>
        <w:t>entry</w:t>
      </w:r>
      <w:r>
        <w:rPr>
          <w:b/>
        </w:rPr>
        <w:t>”</w:t>
      </w:r>
      <w:r>
        <w:t xml:space="preserve"> includes a note or alteration made in accordance with regulation 44B(6);</w:t>
      </w:r>
    </w:p>
    <w:p>
      <w:pPr>
        <w:pStyle w:val="Defstart"/>
      </w:pPr>
      <w:r>
        <w:tab/>
      </w:r>
      <w:r>
        <w:rPr>
          <w:b/>
        </w:rPr>
        <w:t>“</w:t>
      </w:r>
      <w:r>
        <w:rPr>
          <w:rStyle w:val="CharDefText"/>
        </w:rPr>
        <w:t>register</w:t>
      </w:r>
      <w:r>
        <w:rPr>
          <w:b/>
        </w:rPr>
        <w:t>”</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proof to the contrary that person is taken to have made the entry. </w:t>
      </w:r>
    </w:p>
    <w:p>
      <w:pPr>
        <w:pStyle w:val="Footnotesection"/>
        <w:ind w:left="890" w:hanging="890"/>
      </w:pPr>
      <w:r>
        <w:tab/>
        <w:t>[Regulation 44C inserted in Gazette 29 Feb 2000 p. 994</w:t>
      </w:r>
      <w:r>
        <w:noBreakHyphen/>
        <w:t>5.]</w:t>
      </w:r>
    </w:p>
    <w:p>
      <w:pPr>
        <w:pStyle w:val="Ednotedivision"/>
        <w:spacing w:before="260"/>
      </w:pPr>
      <w:r>
        <w:t>[Heading deleted in Gazette 12 Aug 2003 p. 3663.]</w:t>
      </w:r>
    </w:p>
    <w:p>
      <w:pPr>
        <w:pStyle w:val="Heading5"/>
        <w:spacing w:before="260"/>
        <w:rPr>
          <w:snapToGrid w:val="0"/>
        </w:rPr>
      </w:pPr>
      <w:bookmarkStart w:id="209" w:name="_Toc389746383"/>
      <w:bookmarkStart w:id="210" w:name="_Toc389746558"/>
      <w:r>
        <w:rPr>
          <w:rStyle w:val="CharSectno"/>
        </w:rPr>
        <w:t>45</w:t>
      </w:r>
      <w:r>
        <w:rPr>
          <w:snapToGrid w:val="0"/>
        </w:rPr>
        <w:t>.</w:t>
      </w:r>
      <w:r>
        <w:rPr>
          <w:snapToGrid w:val="0"/>
        </w:rPr>
        <w:tab/>
        <w:t>Inventory of drugs of addiction</w:t>
      </w:r>
      <w:bookmarkEnd w:id="209"/>
      <w:bookmarkEnd w:id="210"/>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Repealed in Gazette 29 Feb 2000 p. 995.]</w:t>
      </w:r>
    </w:p>
    <w:p>
      <w:pPr>
        <w:pStyle w:val="Ednotedivision"/>
        <w:spacing w:before="260"/>
      </w:pPr>
      <w:r>
        <w:t>[Heading deleted in Gazette 12 Aug 2003 p. 3663.]</w:t>
      </w:r>
    </w:p>
    <w:p>
      <w:pPr>
        <w:pStyle w:val="Heading5"/>
        <w:rPr>
          <w:snapToGrid w:val="0"/>
        </w:rPr>
      </w:pPr>
      <w:bookmarkStart w:id="211" w:name="_Toc389746384"/>
      <w:bookmarkStart w:id="212" w:name="_Toc389746559"/>
      <w:r>
        <w:rPr>
          <w:rStyle w:val="CharSectno"/>
        </w:rPr>
        <w:t>47</w:t>
      </w:r>
      <w:r>
        <w:rPr>
          <w:snapToGrid w:val="0"/>
        </w:rPr>
        <w:t>.</w:t>
      </w:r>
      <w:r>
        <w:rPr>
          <w:snapToGrid w:val="0"/>
        </w:rPr>
        <w:tab/>
        <w:t>Records to be retained for 7 years and available on demand</w:t>
      </w:r>
      <w:bookmarkEnd w:id="211"/>
      <w:bookmarkEnd w:id="212"/>
      <w:r>
        <w:rPr>
          <w:snapToGrid w:val="0"/>
        </w:rPr>
        <w:t xml:space="preserve"> </w:t>
      </w:r>
    </w:p>
    <w:p>
      <w:pPr>
        <w:pStyle w:val="Subsection"/>
        <w:spacing w:before="20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20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20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20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20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keepLines/>
        <w:spacing w:before="20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spacing w:before="260"/>
      </w:pPr>
      <w:r>
        <w:t>[Heading deleted in Gazette 12 Aug 2003 p. 3663.]</w:t>
      </w:r>
    </w:p>
    <w:p>
      <w:pPr>
        <w:pStyle w:val="Heading5"/>
        <w:spacing w:before="260"/>
        <w:rPr>
          <w:snapToGrid w:val="0"/>
        </w:rPr>
      </w:pPr>
      <w:bookmarkStart w:id="213" w:name="_Toc389746385"/>
      <w:bookmarkStart w:id="214" w:name="_Toc389746560"/>
      <w:r>
        <w:rPr>
          <w:rStyle w:val="CharSectno"/>
        </w:rPr>
        <w:t>48</w:t>
      </w:r>
      <w:r>
        <w:rPr>
          <w:snapToGrid w:val="0"/>
        </w:rPr>
        <w:t>.</w:t>
      </w:r>
      <w:r>
        <w:rPr>
          <w:snapToGrid w:val="0"/>
        </w:rPr>
        <w:tab/>
        <w:t>Returns from manufacturers and wholesalers</w:t>
      </w:r>
      <w:bookmarkEnd w:id="213"/>
      <w:bookmarkEnd w:id="214"/>
      <w:r>
        <w:rPr>
          <w:snapToGrid w:val="0"/>
        </w:rPr>
        <w:t xml:space="preserve"> </w:t>
      </w:r>
    </w:p>
    <w:p>
      <w:pPr>
        <w:pStyle w:val="Subsection"/>
        <w:spacing w:before="200"/>
        <w:rPr>
          <w:snapToGrid w:val="0"/>
        </w:rPr>
      </w:pPr>
      <w:r>
        <w:rPr>
          <w:snapToGrid w:val="0"/>
        </w:rPr>
        <w:tab/>
        <w:t>(1)</w:t>
      </w:r>
      <w:r>
        <w:rPr>
          <w:snapToGrid w:val="0"/>
        </w:rPr>
        <w:tab/>
        <w:t>Every person who is licensed under regulation 4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20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w:t>
      </w:r>
    </w:p>
    <w:p>
      <w:pPr>
        <w:pStyle w:val="Ednotedivision"/>
        <w:spacing w:before="260"/>
      </w:pPr>
      <w:r>
        <w:t>[Heading deleted in Gazette 12 Aug 2003 p. 3663.]</w:t>
      </w:r>
    </w:p>
    <w:p>
      <w:pPr>
        <w:pStyle w:val="Heading5"/>
        <w:spacing w:before="180"/>
        <w:rPr>
          <w:snapToGrid w:val="0"/>
        </w:rPr>
      </w:pPr>
      <w:bookmarkStart w:id="215" w:name="_Toc389746386"/>
      <w:bookmarkStart w:id="216" w:name="_Toc389746561"/>
      <w:r>
        <w:rPr>
          <w:rStyle w:val="CharSectno"/>
        </w:rPr>
        <w:t>49</w:t>
      </w:r>
      <w:r>
        <w:rPr>
          <w:snapToGrid w:val="0"/>
        </w:rPr>
        <w:t>.</w:t>
      </w:r>
      <w:r>
        <w:rPr>
          <w:snapToGrid w:val="0"/>
        </w:rPr>
        <w:tab/>
        <w:t>Use of poisons included in Schedule 8 on ships and aircraft</w:t>
      </w:r>
      <w:bookmarkEnd w:id="215"/>
      <w:bookmarkEnd w:id="216"/>
      <w:r>
        <w:rPr>
          <w:snapToGrid w:val="0"/>
        </w:rPr>
        <w:t xml:space="preserve"> </w:t>
      </w:r>
    </w:p>
    <w:p>
      <w:pPr>
        <w:pStyle w:val="Subsection"/>
        <w:keepLines/>
        <w:spacing w:before="120"/>
        <w:rPr>
          <w:snapToGrid w:val="0"/>
        </w:rPr>
      </w:pPr>
      <w:r>
        <w:rPr>
          <w:snapToGrid w:val="0"/>
        </w:rPr>
        <w:tab/>
        <w:t>(1)</w:t>
      </w:r>
      <w:r>
        <w:rPr>
          <w:snapToGrid w:val="0"/>
        </w:rPr>
        <w:tab/>
        <w:t>The master of a ship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w:t>
      </w:r>
    </w:p>
    <w:p>
      <w:pPr>
        <w:pStyle w:val="Ednotedivision"/>
        <w:spacing w:before="260"/>
      </w:pPr>
      <w:r>
        <w:t>[Heading deleted in Gazette 12 Aug 2003 p. 3663.]</w:t>
      </w:r>
    </w:p>
    <w:p>
      <w:pPr>
        <w:pStyle w:val="Heading5"/>
        <w:keepLines w:val="0"/>
        <w:spacing w:before="260"/>
        <w:rPr>
          <w:snapToGrid w:val="0"/>
        </w:rPr>
      </w:pPr>
      <w:bookmarkStart w:id="217" w:name="_Toc389746387"/>
      <w:bookmarkStart w:id="218" w:name="_Toc389746562"/>
      <w:r>
        <w:rPr>
          <w:rStyle w:val="CharSectno"/>
        </w:rPr>
        <w:t>50</w:t>
      </w:r>
      <w:r>
        <w:rPr>
          <w:snapToGrid w:val="0"/>
        </w:rPr>
        <w:t>.</w:t>
      </w:r>
      <w:r>
        <w:rPr>
          <w:snapToGrid w:val="0"/>
        </w:rPr>
        <w:tab/>
        <w:t>Used poisons included in Schedule 8 at hospitals</w:t>
      </w:r>
      <w:bookmarkEnd w:id="217"/>
      <w:bookmarkEnd w:id="218"/>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pPr>
      <w:r>
        <w:t>[Heading deleted in Gazette 12 Aug 2003 p. 3663.]</w:t>
      </w:r>
    </w:p>
    <w:p>
      <w:pPr>
        <w:pStyle w:val="Heading3"/>
      </w:pPr>
      <w:bookmarkStart w:id="219" w:name="_Toc389746388"/>
      <w:bookmarkStart w:id="220" w:name="_Toc389746563"/>
      <w:r>
        <w:rPr>
          <w:rStyle w:val="CharDivNo"/>
        </w:rPr>
        <w:t>Division 2</w:t>
      </w:r>
      <w:r>
        <w:t xml:space="preserve"> — </w:t>
      </w:r>
      <w:r>
        <w:rPr>
          <w:rStyle w:val="CharDivText"/>
        </w:rPr>
        <w:t>Supply and prescription</w:t>
      </w:r>
      <w:bookmarkEnd w:id="219"/>
      <w:bookmarkEnd w:id="220"/>
    </w:p>
    <w:p>
      <w:pPr>
        <w:pStyle w:val="Footnoteheading"/>
        <w:keepNext/>
      </w:pPr>
      <w:r>
        <w:tab/>
        <w:t>[Heading inserted in Gazette 12 Aug 2003 p. 3664.]</w:t>
      </w:r>
    </w:p>
    <w:p>
      <w:pPr>
        <w:pStyle w:val="Heading4"/>
      </w:pPr>
      <w:bookmarkStart w:id="221" w:name="_Toc389746389"/>
      <w:bookmarkStart w:id="222" w:name="_Toc389746564"/>
      <w:r>
        <w:t>Subdivision 1 — Prescriptions generally</w:t>
      </w:r>
      <w:bookmarkEnd w:id="221"/>
      <w:bookmarkEnd w:id="222"/>
    </w:p>
    <w:p>
      <w:pPr>
        <w:pStyle w:val="Footnoteheading"/>
        <w:keepNext/>
        <w:spacing w:before="220"/>
      </w:pPr>
      <w:r>
        <w:tab/>
        <w:t>[Heading inserted in Gazette 12 Aug 2003 p. 3664.]</w:t>
      </w:r>
    </w:p>
    <w:p>
      <w:pPr>
        <w:pStyle w:val="Heading5"/>
        <w:rPr>
          <w:snapToGrid w:val="0"/>
        </w:rPr>
      </w:pPr>
      <w:bookmarkStart w:id="223" w:name="_Toc389746390"/>
      <w:bookmarkStart w:id="224" w:name="_Toc389746565"/>
      <w:r>
        <w:rPr>
          <w:rStyle w:val="CharSectno"/>
        </w:rPr>
        <w:t>51</w:t>
      </w:r>
      <w:r>
        <w:rPr>
          <w:snapToGrid w:val="0"/>
        </w:rPr>
        <w:t>.</w:t>
      </w:r>
      <w:r>
        <w:rPr>
          <w:snapToGrid w:val="0"/>
        </w:rPr>
        <w:tab/>
        <w:t>Prescriptions</w:t>
      </w:r>
      <w:bookmarkEnd w:id="223"/>
      <w:bookmarkEnd w:id="224"/>
      <w:r>
        <w:rPr>
          <w:snapToGrid w:val="0"/>
        </w:rPr>
        <w:t xml:space="preserve"> </w:t>
      </w:r>
    </w:p>
    <w:p>
      <w:pPr>
        <w:pStyle w:val="Subsection"/>
        <w:rPr>
          <w:snapToGrid w:val="0"/>
        </w:rPr>
      </w:pPr>
      <w:r>
        <w:rPr>
          <w:snapToGrid w:val="0"/>
        </w:rPr>
        <w:tab/>
        <w:t>(1)</w:t>
      </w:r>
      <w:r>
        <w:rPr>
          <w:snapToGrid w:val="0"/>
        </w:rPr>
        <w:tab/>
        <w:t>A prescription for the supply of a drug of addiction shall comply with the following conditions — </w:t>
      </w:r>
    </w:p>
    <w:p>
      <w:pPr>
        <w:pStyle w:val="Indenta"/>
        <w:rPr>
          <w:snapToGrid w:val="0"/>
        </w:rPr>
      </w:pPr>
      <w:r>
        <w:rPr>
          <w:snapToGrid w:val="0"/>
        </w:rPr>
        <w:tab/>
        <w:t>(a)</w:t>
      </w:r>
      <w:r>
        <w:rPr>
          <w:snapToGrid w:val="0"/>
        </w:rPr>
        <w:tab/>
        <w:t>the prescription shall bear on its face, legibly printed or written in ink the name and address of the prescriber;</w:t>
      </w:r>
    </w:p>
    <w:p>
      <w:pPr>
        <w:pStyle w:val="Indenta"/>
        <w:spacing w:before="70"/>
      </w:pPr>
      <w:r>
        <w:tab/>
        <w:t>(aa)</w:t>
      </w:r>
      <w:r>
        <w:tab/>
        <w:t>it shall not prescribe more than one drug of addiction, nor any other substance, but may prescribe the same drug in more than one form;</w:t>
      </w:r>
    </w:p>
    <w:p>
      <w:pPr>
        <w:pStyle w:val="Indenta"/>
        <w:spacing w:before="70"/>
        <w:rPr>
          <w:snapToGrid w:val="0"/>
        </w:rPr>
      </w:pPr>
      <w:r>
        <w:rPr>
          <w:snapToGrid w:val="0"/>
        </w:rPr>
        <w:tab/>
        <w:t>(b)</w:t>
      </w:r>
      <w:r>
        <w:rPr>
          <w:snapToGrid w:val="0"/>
        </w:rPr>
        <w:tab/>
        <w:t>subject to paragraph (ba) the prescription shall bear on its face, legibly written in ink in the handwriting of the prescriber — </w:t>
      </w:r>
    </w:p>
    <w:p>
      <w:pPr>
        <w:pStyle w:val="Indenti"/>
        <w:spacing w:before="70"/>
        <w:rPr>
          <w:snapToGrid w:val="0"/>
        </w:rPr>
      </w:pPr>
      <w:r>
        <w:rPr>
          <w:snapToGrid w:val="0"/>
        </w:rPr>
        <w:tab/>
        <w:t>(i)</w:t>
      </w:r>
      <w:r>
        <w:rPr>
          <w:snapToGrid w:val="0"/>
        </w:rPr>
        <w:tab/>
        <w:t>the date when it is written;</w:t>
      </w:r>
    </w:p>
    <w:p>
      <w:pPr>
        <w:pStyle w:val="Indenti"/>
        <w:spacing w:before="70"/>
        <w:rPr>
          <w:snapToGrid w:val="0"/>
        </w:rPr>
      </w:pPr>
      <w:r>
        <w:rPr>
          <w:snapToGrid w:val="0"/>
        </w:rPr>
        <w:tab/>
        <w:t>(ii)</w:t>
      </w:r>
      <w:r>
        <w:rPr>
          <w:snapToGrid w:val="0"/>
        </w:rPr>
        <w:tab/>
        <w:t>the signature of the prescriber;</w:t>
      </w:r>
    </w:p>
    <w:p>
      <w:pPr>
        <w:pStyle w:val="Indenti"/>
        <w:spacing w:before="70"/>
        <w:rPr>
          <w:snapToGrid w:val="0"/>
        </w:rPr>
      </w:pPr>
      <w:r>
        <w:rPr>
          <w:snapToGrid w:val="0"/>
        </w:rPr>
        <w:tab/>
        <w:t>(iii)</w:t>
      </w:r>
      <w:r>
        <w:rPr>
          <w:snapToGrid w:val="0"/>
        </w:rPr>
        <w:tab/>
        <w:t xml:space="preserve">the </w:t>
      </w:r>
      <w:r>
        <w:t>name, full address and date of birth of the patient</w:t>
      </w:r>
      <w:r>
        <w:rPr>
          <w:snapToGrid w:val="0"/>
        </w:rPr>
        <w:t xml:space="preserve"> or, in the case of a prescription for veterinary use, the name and full address of the person having the care of the animal for which it is intended;</w:t>
      </w:r>
    </w:p>
    <w:p>
      <w:pPr>
        <w:pStyle w:val="Indenti"/>
        <w:rPr>
          <w:snapToGrid w:val="0"/>
        </w:rPr>
      </w:pPr>
      <w:r>
        <w:rPr>
          <w:snapToGrid w:val="0"/>
        </w:rPr>
        <w:tab/>
        <w:t>(iv)</w:t>
      </w:r>
      <w:r>
        <w:rPr>
          <w:snapToGrid w:val="0"/>
        </w:rPr>
        <w:tab/>
        <w:t xml:space="preserve">the description and quantity of the </w:t>
      </w:r>
      <w:r>
        <w:t>drug of addiction</w:t>
      </w:r>
      <w:r>
        <w:rPr>
          <w:snapToGrid w:val="0"/>
        </w:rPr>
        <w:t xml:space="preserve"> to be dispensed;</w:t>
      </w:r>
    </w:p>
    <w:p>
      <w:pPr>
        <w:pStyle w:val="Indenti"/>
      </w:pPr>
      <w:r>
        <w:tab/>
        <w:t>(v)</w:t>
      </w:r>
      <w:r>
        <w:tab/>
        <w:t>precise directions for the use of the drug of addiction, including the dose to be taken or administered and the frequency with which the dose is to be taken or administered;</w:t>
      </w:r>
    </w:p>
    <w:p>
      <w:pPr>
        <w:pStyle w:val="Indenti"/>
        <w:rPr>
          <w:snapToGrid w:val="0"/>
        </w:rPr>
      </w:pPr>
      <w:r>
        <w:rPr>
          <w:snapToGrid w:val="0"/>
        </w:rPr>
        <w:tab/>
        <w:t>(vi)</w:t>
      </w:r>
      <w:r>
        <w:rPr>
          <w:snapToGrid w:val="0"/>
        </w:rPr>
        <w:tab/>
        <w:t xml:space="preserve">where </w:t>
      </w:r>
      <w:r>
        <w:t xml:space="preserve">the drug of addiction is to be dispensed more than once under the prescription, </w:t>
      </w:r>
      <w:r>
        <w:rPr>
          <w:snapToGrid w:val="0"/>
        </w:rPr>
        <w:t>the maximum number of times it may be repeated and the intervals at which it may be dispensed;</w:t>
      </w:r>
    </w:p>
    <w:p>
      <w:pPr>
        <w:pStyle w:val="Indenti"/>
        <w:rPr>
          <w:snapToGrid w:val="0"/>
        </w:rPr>
      </w:pPr>
      <w:r>
        <w:rPr>
          <w:snapToGrid w:val="0"/>
        </w:rPr>
        <w:tab/>
        <w:t>(vii)</w:t>
      </w:r>
      <w:r>
        <w:rPr>
          <w:snapToGrid w:val="0"/>
        </w:rPr>
        <w:tab/>
        <w:t>the words ‘for animal treatment only’ if it is written by a veterinary surgeon;</w:t>
      </w:r>
    </w:p>
    <w:p>
      <w:pPr>
        <w:pStyle w:val="Indenti"/>
        <w:rPr>
          <w:snapToGrid w:val="0"/>
        </w:rPr>
      </w:pPr>
      <w:r>
        <w:rPr>
          <w:snapToGrid w:val="0"/>
        </w:rPr>
        <w:tab/>
        <w:t>(viii)</w:t>
      </w:r>
      <w:r>
        <w:rPr>
          <w:snapToGrid w:val="0"/>
        </w:rPr>
        <w:tab/>
        <w:t>the words ‘for dental treatment only’ if it is written by a dentist;</w:t>
      </w:r>
    </w:p>
    <w:p>
      <w:pPr>
        <w:pStyle w:val="Indenti"/>
        <w:rPr>
          <w:snapToGrid w:val="0"/>
        </w:rPr>
      </w:pPr>
      <w:r>
        <w:rPr>
          <w:snapToGrid w:val="0"/>
        </w:rPr>
        <w:tab/>
        <w:t>(ix)</w:t>
      </w:r>
      <w:r>
        <w:rPr>
          <w:snapToGrid w:val="0"/>
        </w:rPr>
        <w:tab/>
        <w:t xml:space="preserve">where it </w:t>
      </w:r>
      <w:r>
        <w:t>prescribes</w:t>
      </w:r>
      <w:r>
        <w:rPr>
          <w:snapToGrid w:val="0"/>
        </w:rPr>
        <w:t xml:space="preserve"> an unusual dose, an indication that such is intended, by underlining that part of the prescription and initialling the same in the margin;</w:t>
      </w:r>
    </w:p>
    <w:p>
      <w:pPr>
        <w:pStyle w:val="Indenta"/>
        <w:rPr>
          <w:snapToGrid w:val="0"/>
        </w:rPr>
      </w:pPr>
      <w:r>
        <w:rPr>
          <w:snapToGrid w:val="0"/>
        </w:rPr>
        <w:tab/>
        <w:t>(ba)</w:t>
      </w:r>
      <w:r>
        <w:rPr>
          <w:snapToGrid w:val="0"/>
        </w:rPr>
        <w:tab/>
        <w:t>where a prescription is processed on a computer which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rPr>
          <w:snapToGrid w:val="0"/>
        </w:rPr>
      </w:pPr>
      <w:r>
        <w:rPr>
          <w:snapToGrid w:val="0"/>
        </w:rPr>
        <w:tab/>
      </w:r>
      <w:r>
        <w:rPr>
          <w:snapToGrid w:val="0"/>
        </w:rPr>
        <w:tab/>
        <w:t>the prescription shall contain — </w:t>
      </w:r>
    </w:p>
    <w:p>
      <w:pPr>
        <w:pStyle w:val="Indenti"/>
        <w:rPr>
          <w:snapToGrid w:val="0"/>
        </w:rPr>
      </w:pPr>
      <w:r>
        <w:rPr>
          <w:snapToGrid w:val="0"/>
        </w:rPr>
        <w:tab/>
        <w:t>(iii)</w:t>
      </w:r>
      <w:r>
        <w:rPr>
          <w:snapToGrid w:val="0"/>
        </w:rPr>
        <w:tab/>
        <w:t>the information required under paragraph (b)(i), (iii), (vii) and (viii) in a form generated by the computer;</w:t>
      </w:r>
    </w:p>
    <w:p>
      <w:pPr>
        <w:pStyle w:val="Indenti"/>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51(1)(ba))”; and</w:t>
      </w:r>
    </w:p>
    <w:p>
      <w:pPr>
        <w:pStyle w:val="Indenti"/>
        <w:rPr>
          <w:snapToGrid w:val="0"/>
        </w:rPr>
      </w:pPr>
      <w:r>
        <w:rPr>
          <w:snapToGrid w:val="0"/>
        </w:rPr>
        <w:tab/>
        <w:t>(v)</w:t>
      </w:r>
      <w:r>
        <w:rPr>
          <w:snapToGrid w:val="0"/>
        </w:rPr>
        <w:tab/>
        <w:t>the signature of the prescriber in his or her own handwriting;</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prescription shall not bear the impression of a rubber stamp or other such contrivance in lieu of the written signature of the medical practitioner, dentist or veterinary surgeon by whom it has been issued.</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own handwriting but in that case the prescriber shall sign the prescription with his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w:t>
      </w:r>
      <w:r>
        <w:noBreakHyphen/>
        <w:t>4; 15 Dec 2006 p. 5630.]</w:t>
      </w:r>
    </w:p>
    <w:p>
      <w:pPr>
        <w:pStyle w:val="Heading4"/>
        <w:keepNext w:val="0"/>
      </w:pPr>
      <w:bookmarkStart w:id="225" w:name="_Toc389746391"/>
      <w:bookmarkStart w:id="226" w:name="_Toc389746566"/>
      <w:r>
        <w:t>Subdivision 2 — Supply and prescription to drug addicts</w:t>
      </w:r>
      <w:bookmarkEnd w:id="225"/>
      <w:bookmarkEnd w:id="226"/>
    </w:p>
    <w:p>
      <w:pPr>
        <w:pStyle w:val="Footnoteheading"/>
        <w:keepNext/>
      </w:pPr>
      <w:r>
        <w:tab/>
        <w:t>[Heading inserted in Gazette 12 Aug 2003 p. 3664.]</w:t>
      </w:r>
    </w:p>
    <w:p>
      <w:pPr>
        <w:pStyle w:val="Heading5"/>
        <w:keepNext w:val="0"/>
        <w:keepLines w:val="0"/>
        <w:spacing w:before="260"/>
        <w:rPr>
          <w:snapToGrid w:val="0"/>
        </w:rPr>
      </w:pPr>
      <w:bookmarkStart w:id="227" w:name="_Toc389746392"/>
      <w:bookmarkStart w:id="228" w:name="_Toc389746567"/>
      <w:r>
        <w:rPr>
          <w:rStyle w:val="CharSectno"/>
        </w:rPr>
        <w:t>51A</w:t>
      </w:r>
      <w:r>
        <w:rPr>
          <w:snapToGrid w:val="0"/>
        </w:rPr>
        <w:t>.</w:t>
      </w:r>
      <w:r>
        <w:rPr>
          <w:snapToGrid w:val="0"/>
        </w:rPr>
        <w:tab/>
        <w:t>Definition of “drug addict”</w:t>
      </w:r>
      <w:bookmarkEnd w:id="227"/>
      <w:bookmarkEnd w:id="228"/>
      <w:r>
        <w:rPr>
          <w:snapToGrid w:val="0"/>
        </w:rPr>
        <w:t xml:space="preserve"> </w:t>
      </w:r>
    </w:p>
    <w:p>
      <w:pPr>
        <w:pStyle w:val="Subsection"/>
        <w:spacing w:before="200"/>
        <w:rPr>
          <w:snapToGrid w:val="0"/>
        </w:rPr>
      </w:pPr>
      <w:r>
        <w:tab/>
      </w:r>
      <w:r>
        <w:tab/>
        <w:t>In this Subdivision —</w:t>
      </w:r>
    </w:p>
    <w:p>
      <w:pPr>
        <w:pStyle w:val="Defstart"/>
      </w:pPr>
      <w:r>
        <w:rPr>
          <w:b/>
        </w:rPr>
        <w:tab/>
        <w:t>“</w:t>
      </w:r>
      <w:r>
        <w:rPr>
          <w:rStyle w:val="CharDefText"/>
        </w:rPr>
        <w:t>drug addict</w:t>
      </w:r>
      <w:r>
        <w:rPr>
          <w:b/>
        </w:rPr>
        <w:t>”</w:t>
      </w:r>
      <w:r>
        <w:t xml:space="preserve"> means a person who is — </w:t>
      </w:r>
    </w:p>
    <w:p>
      <w:pPr>
        <w:pStyle w:val="Defpara"/>
      </w:pPr>
      <w:r>
        <w:tab/>
        <w:t>(a)</w:t>
      </w:r>
      <w:r>
        <w:tab/>
        <w:t>under a state of periodic or chronic intoxication produced by consumption of a drug of addiction or any substitute therefor;</w:t>
      </w:r>
    </w:p>
    <w:p>
      <w:pPr>
        <w:pStyle w:val="Defpara"/>
      </w:pPr>
      <w:r>
        <w:tab/>
        <w:t>(b)</w:t>
      </w:r>
      <w:r>
        <w:tab/>
        <w:t>under a desire or craving to take a drug of addiction or any substitute therefor until he has so satisfied that desire or craving;</w:t>
      </w:r>
    </w:p>
    <w:p>
      <w:pPr>
        <w:pStyle w:val="Defpara"/>
      </w:pPr>
      <w:r>
        <w:tab/>
        <w:t>(c)</w:t>
      </w:r>
      <w:r>
        <w:tab/>
        <w:t>under a psychic or physical dependence to take a drug of addiction or any substitute therefor; or</w:t>
      </w:r>
    </w:p>
    <w:p>
      <w:pPr>
        <w:pStyle w:val="Defpara"/>
        <w:keepNext/>
      </w:pPr>
      <w:r>
        <w:tab/>
        <w:t>(d)</w:t>
      </w:r>
      <w:r>
        <w:tab/>
        <w:t xml:space="preserve">listed in the register of information kept under the </w:t>
      </w:r>
      <w:r>
        <w:rPr>
          <w:i/>
        </w:rPr>
        <w:t>Drugs of Addiction Notification Regulations 1980.</w:t>
      </w:r>
      <w:r>
        <w:t xml:space="preserve"> </w:t>
      </w:r>
    </w:p>
    <w:p>
      <w:pPr>
        <w:pStyle w:val="Footnotesection"/>
        <w:keepLines w:val="0"/>
      </w:pPr>
      <w:r>
        <w:tab/>
        <w:t xml:space="preserve">[Regulation 51A inserted in Gazette 29 Aug 1980 p. 3028; amended in Gazette 12 Oct 1984 p. 3267; 12 Apr 1991 p. 1608; 12 Aug 2003 p. 3659.] </w:t>
      </w:r>
    </w:p>
    <w:p>
      <w:pPr>
        <w:pStyle w:val="Heading5"/>
        <w:spacing w:before="260"/>
      </w:pPr>
      <w:bookmarkStart w:id="229" w:name="_Toc389746393"/>
      <w:bookmarkStart w:id="230" w:name="_Toc389746568"/>
      <w:r>
        <w:rPr>
          <w:rStyle w:val="CharSectno"/>
        </w:rPr>
        <w:t>51AA</w:t>
      </w:r>
      <w:r>
        <w:t>.</w:t>
      </w:r>
      <w:r>
        <w:tab/>
        <w:t>Disclosure by drug addict to medical practitioner</w:t>
      </w:r>
      <w:bookmarkEnd w:id="229"/>
      <w:bookmarkEnd w:id="230"/>
    </w:p>
    <w:p>
      <w:pPr>
        <w:pStyle w:val="Subsection"/>
        <w:spacing w:before="200"/>
      </w:pPr>
      <w:r>
        <w:tab/>
      </w:r>
      <w:r>
        <w:tab/>
        <w:t>A drug addict shall,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200"/>
      </w:pPr>
      <w:r>
        <w:tab/>
      </w:r>
      <w:r>
        <w:tab/>
        <w:t>disclose to the medical practitioner or dentist the fact that he is a drug addict.</w:t>
      </w:r>
    </w:p>
    <w:p>
      <w:pPr>
        <w:pStyle w:val="Footnotesection"/>
      </w:pPr>
      <w:r>
        <w:tab/>
        <w:t xml:space="preserve">[Regulation 51AA inserted in Gazette 12 Oct 1984 p. 3267; amended in Gazette 11 Apr 1997 p. 1832.] </w:t>
      </w:r>
    </w:p>
    <w:p>
      <w:pPr>
        <w:pStyle w:val="Heading5"/>
        <w:spacing w:before="260"/>
        <w:rPr>
          <w:snapToGrid w:val="0"/>
        </w:rPr>
      </w:pPr>
      <w:bookmarkStart w:id="231" w:name="_Toc389746394"/>
      <w:bookmarkStart w:id="232" w:name="_Toc389746569"/>
      <w:r>
        <w:rPr>
          <w:rStyle w:val="CharSectno"/>
        </w:rPr>
        <w:t>51B</w:t>
      </w:r>
      <w:r>
        <w:rPr>
          <w:snapToGrid w:val="0"/>
        </w:rPr>
        <w:t>.</w:t>
      </w:r>
      <w:r>
        <w:rPr>
          <w:snapToGrid w:val="0"/>
        </w:rPr>
        <w:tab/>
        <w:t>Drug addicts: medical practitioner or dentist not to prescribe or supply drugs of addiction without written authorisation</w:t>
      </w:r>
      <w:bookmarkEnd w:id="231"/>
      <w:bookmarkEnd w:id="232"/>
      <w:r>
        <w:rPr>
          <w:snapToGrid w:val="0"/>
        </w:rPr>
        <w:t xml:space="preserve"> </w:t>
      </w:r>
    </w:p>
    <w:p>
      <w:pPr>
        <w:pStyle w:val="Subsection"/>
        <w:spacing w:before="200"/>
        <w:rPr>
          <w:snapToGrid w:val="0"/>
        </w:rPr>
      </w:pPr>
      <w:r>
        <w:rPr>
          <w:snapToGrid w:val="0"/>
        </w:rPr>
        <w:tab/>
        <w:t>(1)</w:t>
      </w:r>
      <w:r>
        <w:rPr>
          <w:snapToGrid w:val="0"/>
        </w:rPr>
        <w:tab/>
        <w:t>A medical practitioner or dentist shall not write, issue or authorise a prescription or document prescribing the use, sale or supply of a drug of addiction, or supply a drug of addiction, for the treatment of a person — </w:t>
      </w:r>
    </w:p>
    <w:p>
      <w:pPr>
        <w:pStyle w:val="Indenta"/>
        <w:rPr>
          <w:snapToGrid w:val="0"/>
        </w:rPr>
      </w:pPr>
      <w:r>
        <w:rPr>
          <w:snapToGrid w:val="0"/>
        </w:rPr>
        <w:tab/>
        <w:t>(a)</w:t>
      </w:r>
      <w:r>
        <w:rPr>
          <w:snapToGrid w:val="0"/>
        </w:rPr>
        <w:tab/>
        <w:t>who is a drug addict; or</w:t>
      </w:r>
    </w:p>
    <w:p>
      <w:pPr>
        <w:pStyle w:val="Indenta"/>
        <w:rPr>
          <w:snapToGrid w:val="0"/>
        </w:rPr>
      </w:pPr>
      <w:r>
        <w:rPr>
          <w:snapToGrid w:val="0"/>
        </w:rPr>
        <w:tab/>
        <w:t>(b)</w:t>
      </w:r>
      <w:r>
        <w:rPr>
          <w:snapToGrid w:val="0"/>
        </w:rPr>
        <w:tab/>
        <w:t xml:space="preserve">who has been named as a drug addict by the </w:t>
      </w:r>
      <w:r>
        <w:t>CEO</w:t>
      </w:r>
      <w:r>
        <w:rPr>
          <w:snapToGrid w:val="0"/>
        </w:rPr>
        <w:t xml:space="preserve"> by notice forwarded to the medical practitioner or dentist,</w:t>
      </w:r>
    </w:p>
    <w:p>
      <w:pPr>
        <w:pStyle w:val="Subsection"/>
        <w:rPr>
          <w:snapToGrid w:val="0"/>
        </w:rPr>
      </w:pPr>
      <w:r>
        <w:rPr>
          <w:snapToGrid w:val="0"/>
        </w:rPr>
        <w:tab/>
      </w:r>
      <w:r>
        <w:rPr>
          <w:snapToGrid w:val="0"/>
        </w:rPr>
        <w:tab/>
        <w:t>unless the medical practitioner or dentist has first obtained written authorisation to do so from the</w:t>
      </w:r>
      <w:r>
        <w:t xml:space="preserve"> CEO</w:t>
      </w:r>
      <w:r>
        <w:rPr>
          <w:snapToGrid w:val="0"/>
        </w:rPr>
        <w:t>.</w:t>
      </w:r>
    </w:p>
    <w:p>
      <w:pPr>
        <w:pStyle w:val="Subsection"/>
        <w:keepNext/>
        <w:rPr>
          <w:snapToGrid w:val="0"/>
        </w:rPr>
      </w:pPr>
      <w:r>
        <w:rPr>
          <w:snapToGrid w:val="0"/>
        </w:rPr>
        <w:tab/>
        <w:t>(2)</w:t>
      </w:r>
      <w:r>
        <w:rPr>
          <w:snapToGrid w:val="0"/>
        </w:rPr>
        <w:tab/>
        <w:t>In this regulation — </w:t>
      </w:r>
    </w:p>
    <w:p>
      <w:pPr>
        <w:pStyle w:val="Defstart"/>
      </w:pPr>
      <w:r>
        <w:rPr>
          <w:b/>
        </w:rPr>
        <w:tab/>
        <w:t>“</w:t>
      </w:r>
      <w:r>
        <w:rPr>
          <w:rStyle w:val="CharDefText"/>
        </w:rPr>
        <w:t>drug of addiction</w:t>
      </w:r>
      <w:r>
        <w:rPr>
          <w:b/>
        </w:rPr>
        <w:t>”</w:t>
      </w:r>
      <w:r>
        <w:t xml:space="preserve"> includes methadone only if prescribed or supplied by a dentist.</w:t>
      </w:r>
    </w:p>
    <w:p>
      <w:pPr>
        <w:pStyle w:val="Footnotesection"/>
        <w:ind w:left="890" w:hanging="890"/>
      </w:pPr>
      <w:r>
        <w:tab/>
        <w:t xml:space="preserve">[Regulation 51B inserted in Gazette 11 Apr 1997 p. 1832; amended in Gazette 15 Dec 2006 p. 5630.] </w:t>
      </w:r>
    </w:p>
    <w:p>
      <w:pPr>
        <w:pStyle w:val="Heading5"/>
        <w:spacing w:before="260"/>
        <w:rPr>
          <w:snapToGrid w:val="0"/>
        </w:rPr>
      </w:pPr>
      <w:bookmarkStart w:id="233" w:name="_Toc389746395"/>
      <w:bookmarkStart w:id="234" w:name="_Toc389746570"/>
      <w:r>
        <w:rPr>
          <w:rStyle w:val="CharSectno"/>
        </w:rPr>
        <w:t>51C</w:t>
      </w:r>
      <w:r>
        <w:rPr>
          <w:snapToGrid w:val="0"/>
        </w:rPr>
        <w:t>.</w:t>
      </w:r>
      <w:r>
        <w:rPr>
          <w:snapToGrid w:val="0"/>
        </w:rPr>
        <w:tab/>
        <w:t xml:space="preserve">Authorisation of </w:t>
      </w:r>
      <w:r>
        <w:t>CEO</w:t>
      </w:r>
      <w:r>
        <w:rPr>
          <w:snapToGrid w:val="0"/>
        </w:rPr>
        <w:t xml:space="preserve"> required for medical practitioner to prescribe methadone </w:t>
      </w:r>
      <w:r>
        <w:t>or buprenorphine</w:t>
      </w:r>
      <w:r>
        <w:rPr>
          <w:snapToGrid w:val="0"/>
        </w:rPr>
        <w:t xml:space="preserve"> for drug addict</w:t>
      </w:r>
      <w:bookmarkEnd w:id="233"/>
      <w:bookmarkEnd w:id="234"/>
      <w:r>
        <w:rPr>
          <w:snapToGrid w:val="0"/>
        </w:rPr>
        <w:t xml:space="preserve"> </w:t>
      </w:r>
    </w:p>
    <w:p>
      <w:pPr>
        <w:pStyle w:val="Subsection"/>
        <w:spacing w:before="200"/>
        <w:rPr>
          <w:snapToGrid w:val="0"/>
        </w:rPr>
      </w:pPr>
      <w:r>
        <w:rPr>
          <w:snapToGrid w:val="0"/>
        </w:rPr>
        <w:tab/>
      </w:r>
      <w:r>
        <w:rPr>
          <w:snapToGrid w:val="0"/>
        </w:rPr>
        <w:tab/>
        <w:t>A medical practitioner shall not write, issue or authorise a prescription or document prescribing the use, sale or supply of methadone</w:t>
      </w:r>
      <w:r>
        <w:t xml:space="preserve"> or buprenorphine</w:t>
      </w:r>
      <w:r>
        <w:rPr>
          <w:snapToGrid w:val="0"/>
        </w:rPr>
        <w:t>, or supply methadone</w:t>
      </w:r>
      <w:r>
        <w:t xml:space="preserve"> or buprenorphine</w:t>
      </w:r>
      <w:r>
        <w:rPr>
          <w:snapToGrid w:val="0"/>
        </w:rPr>
        <w:t>, for the treatment of a person who is — </w:t>
      </w:r>
    </w:p>
    <w:p>
      <w:pPr>
        <w:pStyle w:val="Indenta"/>
        <w:rPr>
          <w:snapToGrid w:val="0"/>
        </w:rPr>
      </w:pPr>
      <w:r>
        <w:rPr>
          <w:snapToGrid w:val="0"/>
        </w:rPr>
        <w:tab/>
        <w:t>(a)</w:t>
      </w:r>
      <w:r>
        <w:rPr>
          <w:snapToGrid w:val="0"/>
        </w:rPr>
        <w:tab/>
        <w:t>a drug addict; or</w:t>
      </w:r>
    </w:p>
    <w:p>
      <w:pPr>
        <w:pStyle w:val="Indenta"/>
        <w:rPr>
          <w:snapToGrid w:val="0"/>
        </w:rPr>
      </w:pPr>
      <w:r>
        <w:rPr>
          <w:snapToGrid w:val="0"/>
        </w:rPr>
        <w:tab/>
        <w:t>(b)</w:t>
      </w:r>
      <w:r>
        <w:rPr>
          <w:snapToGrid w:val="0"/>
        </w:rPr>
        <w:tab/>
        <w:t xml:space="preserve">a person who has been named as a drug addict by the </w:t>
      </w:r>
      <w:r>
        <w:t>CEO</w:t>
      </w:r>
      <w:r>
        <w:rPr>
          <w:snapToGrid w:val="0"/>
        </w:rPr>
        <w:t xml:space="preserve"> by notice forwarded to the medical practitioner,</w:t>
      </w:r>
    </w:p>
    <w:p>
      <w:pPr>
        <w:pStyle w:val="Subsection"/>
        <w:rPr>
          <w:snapToGrid w:val="0"/>
        </w:rPr>
      </w:pPr>
      <w:r>
        <w:rPr>
          <w:snapToGrid w:val="0"/>
        </w:rPr>
        <w:tab/>
      </w:r>
      <w:r>
        <w:rPr>
          <w:snapToGrid w:val="0"/>
        </w:rPr>
        <w:tab/>
        <w:t>unless the medical practitioner has — </w:t>
      </w:r>
    </w:p>
    <w:p>
      <w:pPr>
        <w:pStyle w:val="Indenta"/>
        <w:rPr>
          <w:snapToGrid w:val="0"/>
        </w:rPr>
      </w:pPr>
      <w:r>
        <w:rPr>
          <w:snapToGrid w:val="0"/>
        </w:rPr>
        <w:tab/>
        <w:t>(c)</w:t>
      </w:r>
      <w:r>
        <w:rPr>
          <w:snapToGrid w:val="0"/>
        </w:rPr>
        <w:tab/>
        <w:t xml:space="preserve">notified the </w:t>
      </w:r>
      <w:r>
        <w:t>CEO</w:t>
      </w:r>
      <w:r>
        <w:rPr>
          <w:snapToGrid w:val="0"/>
        </w:rPr>
        <w:t xml:space="preserve"> of the condition of health of that person in accordance with the </w:t>
      </w:r>
      <w:r>
        <w:rPr>
          <w:i/>
          <w:snapToGrid w:val="0"/>
        </w:rPr>
        <w:t>Drugs of Addiction Notification Regulations 1980</w:t>
      </w:r>
      <w:r>
        <w:rPr>
          <w:snapToGrid w:val="0"/>
        </w:rPr>
        <w:t xml:space="preserve"> as in force under the </w:t>
      </w:r>
      <w:r>
        <w:rPr>
          <w:i/>
          <w:snapToGrid w:val="0"/>
        </w:rPr>
        <w:t>Health Act 1911</w:t>
      </w:r>
      <w:r>
        <w:rPr>
          <w:snapToGrid w:val="0"/>
        </w:rPr>
        <w:t xml:space="preserve"> from time to time; and</w:t>
      </w:r>
    </w:p>
    <w:p>
      <w:pPr>
        <w:pStyle w:val="Indenta"/>
        <w:rPr>
          <w:snapToGrid w:val="0"/>
        </w:rPr>
      </w:pPr>
      <w:r>
        <w:rPr>
          <w:snapToGrid w:val="0"/>
        </w:rPr>
        <w:tab/>
        <w:t>(d)</w:t>
      </w:r>
      <w:r>
        <w:rPr>
          <w:snapToGrid w:val="0"/>
        </w:rPr>
        <w:tab/>
        <w:t>received written authorisation to do so from the</w:t>
      </w:r>
      <w:r>
        <w:t xml:space="preserve"> CEO</w:t>
      </w:r>
      <w:r>
        <w:rPr>
          <w:snapToGrid w:val="0"/>
        </w:rPr>
        <w:t>.</w:t>
      </w:r>
    </w:p>
    <w:p>
      <w:pPr>
        <w:pStyle w:val="Footnotesection"/>
      </w:pPr>
      <w:r>
        <w:tab/>
        <w:t xml:space="preserve">[Regulation 51C inserted in Gazette 29 Aug 1980 p. 3029; amended in Gazette 29 Jun 1984 p. 1784; 25 Jun 1993 p. 3085; 26 May 1994 p. 2201; 11 Apr 1997 p. 1832; 14 Aug 2001 p. 4253; 15 Dec 2006 p. 5630 and 5631.] </w:t>
      </w:r>
    </w:p>
    <w:p>
      <w:pPr>
        <w:pStyle w:val="Heading5"/>
        <w:spacing w:before="260"/>
        <w:rPr>
          <w:snapToGrid w:val="0"/>
        </w:rPr>
      </w:pPr>
      <w:bookmarkStart w:id="235" w:name="_Toc389746396"/>
      <w:bookmarkStart w:id="236" w:name="_Toc389746571"/>
      <w:r>
        <w:rPr>
          <w:rStyle w:val="CharSectno"/>
        </w:rPr>
        <w:t>51D</w:t>
      </w:r>
      <w:r>
        <w:rPr>
          <w:snapToGrid w:val="0"/>
        </w:rPr>
        <w:t>.</w:t>
      </w:r>
      <w:r>
        <w:rPr>
          <w:snapToGrid w:val="0"/>
        </w:rPr>
        <w:tab/>
        <w:t>Assessment of drug addict for treatment purposes</w:t>
      </w:r>
      <w:bookmarkEnd w:id="235"/>
      <w:bookmarkEnd w:id="236"/>
      <w:r>
        <w:rPr>
          <w:snapToGrid w:val="0"/>
        </w:rPr>
        <w:t xml:space="preserve"> </w:t>
      </w:r>
    </w:p>
    <w:p>
      <w:pPr>
        <w:pStyle w:val="Subsection"/>
        <w:rPr>
          <w:snapToGrid w:val="0"/>
        </w:rPr>
      </w:pPr>
      <w:r>
        <w:rPr>
          <w:snapToGrid w:val="0"/>
        </w:rPr>
        <w:tab/>
        <w:t>(1)</w:t>
      </w:r>
      <w:r>
        <w:rPr>
          <w:snapToGrid w:val="0"/>
        </w:rPr>
        <w:tab/>
        <w:t xml:space="preserve">Before an authorisation is issued by the </w:t>
      </w:r>
      <w:r>
        <w:t>CEO</w:t>
      </w:r>
      <w:r>
        <w:rPr>
          <w:snapToGrid w:val="0"/>
        </w:rPr>
        <w:t xml:space="preserve"> for the treatment of a drug addict with methadone</w:t>
      </w:r>
      <w:r>
        <w:t xml:space="preserve"> or buprenorphine</w:t>
      </w:r>
      <w:r>
        <w:rPr>
          <w:snapToGrid w:val="0"/>
        </w:rPr>
        <w:t xml:space="preserve"> the drug addict in relation to whom the treatment is to be authorised, prescribed or used shall be assessed for such treatment by — </w:t>
      </w:r>
    </w:p>
    <w:p>
      <w:pPr>
        <w:pStyle w:val="Indenta"/>
      </w:pPr>
      <w:r>
        <w:tab/>
        <w:t>(a)</w:t>
      </w:r>
      <w:r>
        <w:tab/>
        <w:t>a medical practitioner approved by the CEO;</w:t>
      </w:r>
    </w:p>
    <w:p>
      <w:pPr>
        <w:pStyle w:val="Ednotepara"/>
        <w:spacing w:before="80"/>
      </w:pPr>
      <w:r>
        <w:tab/>
        <w:t>[(b), (c)</w:t>
      </w:r>
      <w:r>
        <w:tab/>
        <w:t>deleted]</w:t>
      </w:r>
    </w:p>
    <w:p>
      <w:pPr>
        <w:pStyle w:val="Indenta"/>
        <w:rPr>
          <w:snapToGrid w:val="0"/>
        </w:rPr>
      </w:pPr>
      <w:r>
        <w:rPr>
          <w:snapToGrid w:val="0"/>
        </w:rPr>
        <w:tab/>
        <w:t>(d)</w:t>
      </w:r>
      <w:r>
        <w:rPr>
          <w:snapToGrid w:val="0"/>
        </w:rPr>
        <w:tab/>
        <w:t xml:space="preserve">a psychiatrist in the course of treating that drug addict at a psychiatric unit of a hospital that is approved of as a teaching hospital as defined in the </w:t>
      </w:r>
      <w:r>
        <w:rPr>
          <w:i/>
          <w:snapToGrid w:val="0"/>
        </w:rPr>
        <w:t>Hospitals and Health Services Act 1927</w:t>
      </w:r>
      <w:r>
        <w:rPr>
          <w:snapToGrid w:val="0"/>
        </w:rPr>
        <w:t>; or</w:t>
      </w:r>
    </w:p>
    <w:p>
      <w:pPr>
        <w:pStyle w:val="Indenta"/>
        <w:rPr>
          <w:snapToGrid w:val="0"/>
        </w:rPr>
      </w:pPr>
      <w:r>
        <w:rPr>
          <w:snapToGrid w:val="0"/>
        </w:rPr>
        <w:tab/>
        <w:t>(e)</w:t>
      </w:r>
      <w:r>
        <w:rPr>
          <w:snapToGrid w:val="0"/>
        </w:rPr>
        <w:tab/>
        <w:t xml:space="preserve">a medical officer attached to a regional hospital established under the </w:t>
      </w:r>
      <w:r>
        <w:rPr>
          <w:i/>
          <w:snapToGrid w:val="0"/>
        </w:rPr>
        <w:t>Hospitals and Health Services Act 1927</w:t>
      </w:r>
      <w:r>
        <w:rPr>
          <w:snapToGrid w:val="0"/>
        </w:rPr>
        <w:t xml:space="preserve"> who is approved of by the</w:t>
      </w:r>
      <w:r>
        <w:t xml:space="preserve"> CEO</w:t>
      </w:r>
      <w:r>
        <w:rPr>
          <w:snapToGrid w:val="0"/>
        </w:rPr>
        <w:t>.</w:t>
      </w:r>
    </w:p>
    <w:p>
      <w:pPr>
        <w:pStyle w:val="Subsection"/>
        <w:rPr>
          <w:snapToGrid w:val="0"/>
        </w:rPr>
      </w:pPr>
      <w:r>
        <w:rPr>
          <w:snapToGrid w:val="0"/>
        </w:rPr>
        <w:tab/>
        <w:t>(2)</w:t>
      </w:r>
      <w:r>
        <w:rPr>
          <w:snapToGrid w:val="0"/>
        </w:rPr>
        <w:tab/>
        <w:t>A person who makes an assessment for the purposes of subregulation (1) shall specify in the assessment — </w:t>
      </w:r>
    </w:p>
    <w:p>
      <w:pPr>
        <w:pStyle w:val="Indenta"/>
        <w:rPr>
          <w:snapToGrid w:val="0"/>
        </w:rPr>
      </w:pPr>
      <w:r>
        <w:rPr>
          <w:snapToGrid w:val="0"/>
        </w:rPr>
        <w:tab/>
        <w:t>(a)</w:t>
      </w:r>
      <w:r>
        <w:rPr>
          <w:snapToGrid w:val="0"/>
        </w:rPr>
        <w:tab/>
        <w:t>the maximum daily dose not to be exceeded in the treatment in relation to the drug addict with respect to whom the assessment is made; and</w:t>
      </w:r>
    </w:p>
    <w:p>
      <w:pPr>
        <w:pStyle w:val="Indenta"/>
        <w:rPr>
          <w:snapToGrid w:val="0"/>
        </w:rPr>
      </w:pPr>
      <w:r>
        <w:rPr>
          <w:snapToGrid w:val="0"/>
        </w:rPr>
        <w:tab/>
        <w:t>(b)</w:t>
      </w:r>
      <w:r>
        <w:rPr>
          <w:snapToGrid w:val="0"/>
        </w:rPr>
        <w:tab/>
        <w:t>the maximum period of the treatment,</w:t>
      </w:r>
    </w:p>
    <w:p>
      <w:pPr>
        <w:pStyle w:val="Subsection"/>
        <w:rPr>
          <w:snapToGrid w:val="0"/>
        </w:rPr>
      </w:pPr>
      <w:r>
        <w:rPr>
          <w:snapToGrid w:val="0"/>
        </w:rPr>
        <w:tab/>
      </w:r>
      <w:r>
        <w:rPr>
          <w:snapToGrid w:val="0"/>
        </w:rPr>
        <w:tab/>
        <w:t>and shall sign the assessment in his usual signature.</w:t>
      </w:r>
    </w:p>
    <w:p>
      <w:pPr>
        <w:pStyle w:val="Footnotesection"/>
      </w:pPr>
      <w:r>
        <w:tab/>
        <w:t>[Regulation 51D inserted in Gazette 29 Aug 1980 p. 3029; amended in Gazette 29 Jun 1984 p. 1784; 27 May 1988 p. 1771; 12 Apr 1991 p. 1609; 25 Jun 1993 p. 3085; 26 May 1994 p. 2201; 19 Mar 1996 p. 1230; 29 Feb 2000 p. 995; 14 Aug 2001 p. 4253; 15 Dec 2006 p. 5630.]</w:t>
      </w:r>
    </w:p>
    <w:p>
      <w:pPr>
        <w:pStyle w:val="Heading5"/>
        <w:rPr>
          <w:snapToGrid w:val="0"/>
        </w:rPr>
      </w:pPr>
      <w:bookmarkStart w:id="237" w:name="_Toc389746397"/>
      <w:bookmarkStart w:id="238" w:name="_Toc389746572"/>
      <w:r>
        <w:rPr>
          <w:rStyle w:val="CharSectno"/>
        </w:rPr>
        <w:t>51E</w:t>
      </w:r>
      <w:r>
        <w:rPr>
          <w:snapToGrid w:val="0"/>
        </w:rPr>
        <w:t>.</w:t>
      </w:r>
      <w:r>
        <w:rPr>
          <w:snapToGrid w:val="0"/>
        </w:rPr>
        <w:tab/>
        <w:t>Conditions on treatment of drug addict</w:t>
      </w:r>
      <w:bookmarkEnd w:id="237"/>
      <w:bookmarkEnd w:id="238"/>
      <w:r>
        <w:rPr>
          <w:snapToGrid w:val="0"/>
        </w:rPr>
        <w:t xml:space="preserve"> </w:t>
      </w:r>
    </w:p>
    <w:p>
      <w:pPr>
        <w:pStyle w:val="Subsection"/>
        <w:rPr>
          <w:snapToGrid w:val="0"/>
        </w:rPr>
      </w:pPr>
      <w:r>
        <w:rPr>
          <w:snapToGrid w:val="0"/>
        </w:rPr>
        <w:tab/>
        <w:t>(1)</w:t>
      </w:r>
      <w:r>
        <w:rPr>
          <w:snapToGrid w:val="0"/>
        </w:rPr>
        <w:tab/>
        <w:t>In an authorisation given with respect to the treatment of a particular drug addict with methadone</w:t>
      </w:r>
      <w:r>
        <w:t xml:space="preserve"> or buprenorphine</w:t>
      </w:r>
      <w:r>
        <w:rPr>
          <w:snapToGrid w:val="0"/>
        </w:rPr>
        <w:t xml:space="preserve">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treatment administered by, a specified medical practitioner;</w:t>
      </w:r>
    </w:p>
    <w:p>
      <w:pPr>
        <w:pStyle w:val="Indenta"/>
        <w:rPr>
          <w:snapToGrid w:val="0"/>
        </w:rPr>
      </w:pPr>
      <w:r>
        <w:rPr>
          <w:snapToGrid w:val="0"/>
        </w:rPr>
        <w:tab/>
        <w:t>(b)</w:t>
      </w:r>
      <w:r>
        <w:rPr>
          <w:snapToGrid w:val="0"/>
        </w:rPr>
        <w:tab/>
        <w:t>that the type of methadone</w:t>
      </w:r>
      <w:r>
        <w:t xml:space="preserve"> or buprenorphine</w:t>
      </w:r>
      <w:r>
        <w:rPr>
          <w:snapToGrid w:val="0"/>
        </w:rPr>
        <w:t xml:space="preserve"> prescribed or administered be of the type specified;</w:t>
      </w:r>
    </w:p>
    <w:p>
      <w:pPr>
        <w:pStyle w:val="Indenta"/>
        <w:rPr>
          <w:snapToGrid w:val="0"/>
        </w:rPr>
      </w:pPr>
      <w:r>
        <w:rPr>
          <w:snapToGrid w:val="0"/>
        </w:rPr>
        <w:tab/>
        <w:t>(c)</w:t>
      </w:r>
      <w:r>
        <w:rPr>
          <w:snapToGrid w:val="0"/>
        </w:rPr>
        <w:tab/>
        <w:t>that the amount to be prescribed or used for treatment shall not exceed the amount specified;</w:t>
      </w:r>
    </w:p>
    <w:p>
      <w:pPr>
        <w:pStyle w:val="Indenta"/>
        <w:rPr>
          <w:snapToGrid w:val="0"/>
        </w:rPr>
      </w:pPr>
      <w:r>
        <w:rPr>
          <w:snapToGrid w:val="0"/>
        </w:rPr>
        <w:tab/>
        <w:t>(d)</w:t>
      </w:r>
      <w:r>
        <w:rPr>
          <w:snapToGrid w:val="0"/>
        </w:rPr>
        <w:tab/>
        <w:t>that the amount to be prescribed or used on any one day shall not exceed the amount specified;</w:t>
      </w:r>
    </w:p>
    <w:p>
      <w:pPr>
        <w:pStyle w:val="Indenta"/>
        <w:rPr>
          <w:snapToGrid w:val="0"/>
        </w:rPr>
      </w:pPr>
      <w:r>
        <w:rPr>
          <w:snapToGrid w:val="0"/>
        </w:rPr>
        <w:tab/>
        <w:t>(e)</w:t>
      </w:r>
      <w:r>
        <w:rPr>
          <w:snapToGrid w:val="0"/>
        </w:rPr>
        <w:tab/>
        <w:t>that the concentration to be prescribed or used shall not exceed the concentration specified;</w:t>
      </w:r>
    </w:p>
    <w:p>
      <w:pPr>
        <w:pStyle w:val="Indenta"/>
        <w:rPr>
          <w:snapToGrid w:val="0"/>
        </w:rPr>
      </w:pPr>
      <w:r>
        <w:rPr>
          <w:snapToGrid w:val="0"/>
        </w:rPr>
        <w:tab/>
        <w:t>(f)</w:t>
      </w:r>
      <w:r>
        <w:rPr>
          <w:snapToGrid w:val="0"/>
        </w:rPr>
        <w:tab/>
        <w:t>that the intervals between the issue of prescriptions or the administration of the treatment shall be such as are specified;</w:t>
      </w:r>
    </w:p>
    <w:p>
      <w:pPr>
        <w:pStyle w:val="Indenta"/>
        <w:rPr>
          <w:snapToGrid w:val="0"/>
        </w:rPr>
      </w:pPr>
      <w:r>
        <w:rPr>
          <w:snapToGrid w:val="0"/>
        </w:rPr>
        <w:tab/>
        <w:t>(g)</w:t>
      </w:r>
      <w:r>
        <w:rPr>
          <w:snapToGrid w:val="0"/>
        </w:rPr>
        <w:tab/>
        <w:t>that the prescription be supplied at the pharmacy or institution specified;</w:t>
      </w:r>
    </w:p>
    <w:p>
      <w:pPr>
        <w:pStyle w:val="Indenta"/>
        <w:rPr>
          <w:snapToGrid w:val="0"/>
        </w:rPr>
      </w:pPr>
      <w:r>
        <w:rPr>
          <w:snapToGrid w:val="0"/>
        </w:rPr>
        <w:tab/>
        <w:t>(h)</w:t>
      </w:r>
      <w:r>
        <w:rPr>
          <w:snapToGrid w:val="0"/>
        </w:rPr>
        <w:tab/>
        <w:t>that the amount dispensed on a single prescription form shall not exceed such amount as is specified;</w:t>
      </w:r>
    </w:p>
    <w:p>
      <w:pPr>
        <w:pStyle w:val="Indenta"/>
        <w:rPr>
          <w:snapToGrid w:val="0"/>
        </w:rPr>
      </w:pPr>
      <w:r>
        <w:rPr>
          <w:snapToGrid w:val="0"/>
        </w:rPr>
        <w:tab/>
        <w:t>(i)</w:t>
      </w:r>
      <w:r>
        <w:rPr>
          <w:snapToGrid w:val="0"/>
        </w:rPr>
        <w:tab/>
        <w:t>the amount that may be supplied on any one day shall not exceed such amount as is specified.</w:t>
      </w:r>
    </w:p>
    <w:p>
      <w:pPr>
        <w:pStyle w:val="Subsection"/>
        <w:rPr>
          <w:snapToGrid w:val="0"/>
        </w:rPr>
      </w:pPr>
      <w:r>
        <w:rPr>
          <w:snapToGrid w:val="0"/>
        </w:rPr>
        <w:tab/>
        <w:t>(2)</w:t>
      </w:r>
      <w:r>
        <w:rPr>
          <w:snapToGrid w:val="0"/>
        </w:rPr>
        <w:tab/>
        <w:t>Subject to subregulation (3) an authorisation under subregulation (1) is valid for a period of 12 months from the date of its issue or such earlier date (if any) as is specified.</w:t>
      </w:r>
    </w:p>
    <w:p>
      <w:pPr>
        <w:pStyle w:val="Subsection"/>
        <w:rPr>
          <w:snapToGrid w:val="0"/>
        </w:rPr>
      </w:pPr>
      <w:r>
        <w:rPr>
          <w:snapToGrid w:val="0"/>
        </w:rPr>
        <w:tab/>
        <w:t>(3)</w:t>
      </w:r>
      <w:r>
        <w:rPr>
          <w:snapToGrid w:val="0"/>
        </w:rPr>
        <w:tab/>
        <w:t xml:space="preserve">The </w:t>
      </w:r>
      <w:r>
        <w:t>CEO</w:t>
      </w:r>
      <w:r>
        <w:rPr>
          <w:snapToGrid w:val="0"/>
        </w:rPr>
        <w:t xml:space="preserve"> may at any time revoke an authorisation or if the period has not expired vary the period for which the authorisation is valid.</w:t>
      </w:r>
    </w:p>
    <w:p>
      <w:pPr>
        <w:pStyle w:val="Subsection"/>
        <w:rPr>
          <w:snapToGrid w:val="0"/>
        </w:rPr>
      </w:pPr>
      <w:r>
        <w:rPr>
          <w:snapToGrid w:val="0"/>
        </w:rPr>
        <w:tab/>
        <w:t>(4)</w:t>
      </w:r>
      <w:r>
        <w:rPr>
          <w:snapToGrid w:val="0"/>
        </w:rPr>
        <w:tab/>
        <w:t>A medical practitioner shall not write, issue or authorise a prescription or document prescribing the use, sale or supply of methadone</w:t>
      </w:r>
      <w:r>
        <w:t xml:space="preserve"> or buprenorphine</w:t>
      </w:r>
      <w:r>
        <w:rPr>
          <w:snapToGrid w:val="0"/>
        </w:rPr>
        <w:t xml:space="preserve"> or supply methadone</w:t>
      </w:r>
      <w:r>
        <w:t xml:space="preserve"> or buprenorphine</w:t>
      </w:r>
      <w:r>
        <w:rPr>
          <w:snapToGrid w:val="0"/>
        </w:rPr>
        <w:t xml:space="preserve"> contrary to such conditions and restrictions as are specified.</w:t>
      </w:r>
    </w:p>
    <w:p>
      <w:pPr>
        <w:pStyle w:val="Subsection"/>
        <w:rPr>
          <w:snapToGrid w:val="0"/>
        </w:rPr>
      </w:pPr>
      <w:r>
        <w:rPr>
          <w:snapToGrid w:val="0"/>
        </w:rPr>
        <w:tab/>
        <w:t>(5)</w:t>
      </w:r>
      <w:r>
        <w:rPr>
          <w:snapToGrid w:val="0"/>
        </w:rPr>
        <w:tab/>
        <w:t>A pharmaceutical chemist shall not sell or supply methadone</w:t>
      </w:r>
      <w:r>
        <w:t xml:space="preserve"> or buprenorphine</w:t>
      </w:r>
      <w:r>
        <w:rPr>
          <w:snapToGrid w:val="0"/>
        </w:rPr>
        <w:t xml:space="preserve"> otherwise than in accordance with such conditions and restrictions as are specified.</w:t>
      </w:r>
    </w:p>
    <w:p>
      <w:pPr>
        <w:pStyle w:val="Subsection"/>
        <w:rPr>
          <w:snapToGrid w:val="0"/>
        </w:rPr>
      </w:pPr>
      <w:r>
        <w:rPr>
          <w:snapToGrid w:val="0"/>
        </w:rPr>
        <w:tab/>
        <w:t>(6)</w:t>
      </w:r>
      <w:r>
        <w:rPr>
          <w:snapToGrid w:val="0"/>
        </w:rPr>
        <w:tab/>
        <w:t xml:space="preserve">An authorisation issued under these regulations prior to 1 October 1980 is valid until it is revoked by the </w:t>
      </w:r>
      <w:r>
        <w:t>CEO</w:t>
      </w:r>
      <w:r>
        <w:rPr>
          <w:snapToGrid w:val="0"/>
        </w:rPr>
        <w:t xml:space="preserve"> or until it expires whichever first occurs.</w:t>
      </w:r>
    </w:p>
    <w:p>
      <w:pPr>
        <w:pStyle w:val="Footnotesection"/>
      </w:pPr>
      <w:r>
        <w:tab/>
        <w:t>[Regulation 51E inserted in Gazette 29 Aug 1980 p. 3029; amended in Gazette 29 Jun 1984 p. 1784; 12 Apr 1991 p. 1609; 25 Jun 1993 p. 3085; 26 May 1994 p. 2201; 19 Mar 1996 p. 1230; 14 Aug 2001 p. 4253; 15 Dec 2006 p. 5630.]</w:t>
      </w:r>
    </w:p>
    <w:p>
      <w:pPr>
        <w:pStyle w:val="Heading5"/>
        <w:rPr>
          <w:snapToGrid w:val="0"/>
        </w:rPr>
      </w:pPr>
      <w:bookmarkStart w:id="239" w:name="_Toc389746398"/>
      <w:bookmarkStart w:id="240" w:name="_Toc389746573"/>
      <w:r>
        <w:rPr>
          <w:rStyle w:val="CharSectno"/>
        </w:rPr>
        <w:t>51F</w:t>
      </w:r>
      <w:r>
        <w:rPr>
          <w:snapToGrid w:val="0"/>
        </w:rPr>
        <w:t>.</w:t>
      </w:r>
      <w:r>
        <w:rPr>
          <w:snapToGrid w:val="0"/>
        </w:rPr>
        <w:tab/>
        <w:t xml:space="preserve">Treatment not to exceed 60 days unless authorised by </w:t>
      </w:r>
      <w:r>
        <w:t>CEO</w:t>
      </w:r>
      <w:bookmarkEnd w:id="239"/>
      <w:bookmarkEnd w:id="240"/>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241" w:name="_Toc389746399"/>
      <w:bookmarkStart w:id="242" w:name="_Toc389746574"/>
      <w:r>
        <w:t>Subdivision 3 — Supply and prescription of certain substances</w:t>
      </w:r>
      <w:bookmarkEnd w:id="241"/>
      <w:bookmarkEnd w:id="242"/>
    </w:p>
    <w:p>
      <w:pPr>
        <w:pStyle w:val="Footnoteheading"/>
      </w:pPr>
      <w:r>
        <w:tab/>
        <w:t>[Heading inserted in Gazette 12 Aug 2003 p. 3664.]</w:t>
      </w:r>
    </w:p>
    <w:p>
      <w:pPr>
        <w:pStyle w:val="Heading5"/>
        <w:spacing w:before="260"/>
      </w:pPr>
      <w:bookmarkStart w:id="243" w:name="_Toc389746400"/>
      <w:bookmarkStart w:id="244" w:name="_Toc389746575"/>
      <w:r>
        <w:rPr>
          <w:rStyle w:val="CharSectno"/>
        </w:rPr>
        <w:t>51G</w:t>
      </w:r>
      <w:r>
        <w:t>.</w:t>
      </w:r>
      <w:r>
        <w:tab/>
        <w:t>Interpretation</w:t>
      </w:r>
      <w:bookmarkEnd w:id="243"/>
      <w:bookmarkEnd w:id="244"/>
    </w:p>
    <w:p>
      <w:pPr>
        <w:pStyle w:val="Subsection"/>
        <w:spacing w:before="200"/>
      </w:pPr>
      <w:r>
        <w:tab/>
      </w:r>
      <w:r>
        <w:tab/>
        <w:t xml:space="preserve">In this Subdivision — </w:t>
      </w:r>
    </w:p>
    <w:p>
      <w:pPr>
        <w:pStyle w:val="Defstart"/>
      </w:pPr>
      <w:r>
        <w:tab/>
      </w:r>
      <w:r>
        <w:rPr>
          <w:b/>
        </w:rPr>
        <w:t>“</w:t>
      </w:r>
      <w:r>
        <w:rPr>
          <w:rStyle w:val="CharDefText"/>
        </w:rPr>
        <w:t>authorised practitioner</w:t>
      </w:r>
      <w:r>
        <w:rPr>
          <w:b/>
        </w:rPr>
        <w:t>”</w:t>
      </w:r>
      <w:r>
        <w:t xml:space="preserve"> means a medical practitioner who holds an authorisation under regulation 51GAB;</w:t>
      </w:r>
    </w:p>
    <w:p>
      <w:pPr>
        <w:pStyle w:val="Defstart"/>
        <w:keepLines/>
      </w:pPr>
      <w:r>
        <w:rPr>
          <w:b/>
        </w:rPr>
        <w:tab/>
        <w:t>“</w:t>
      </w:r>
      <w:r>
        <w:rPr>
          <w:rStyle w:val="CharDefText"/>
        </w:rPr>
        <w:t>stimulant</w:t>
      </w:r>
      <w:r>
        <w:rPr>
          <w:b/>
        </w:rPr>
        <w:t>”</w:t>
      </w:r>
      <w:r>
        <w:t xml:space="preserve"> means amphetamine, dexamphetamine, methylamphetamine, methylphenidate or phenmetrazine, or the salts of any of those substances and any preparation or admixture containing any of those substances, or the salts of any of those substances.</w:t>
      </w:r>
    </w:p>
    <w:p>
      <w:pPr>
        <w:pStyle w:val="Footnotesection"/>
      </w:pPr>
      <w:r>
        <w:tab/>
        <w:t>[Regulation 51G inserted in Gazette 12 Aug 2003 p. 3659.]</w:t>
      </w:r>
    </w:p>
    <w:p>
      <w:pPr>
        <w:pStyle w:val="Heading5"/>
        <w:spacing w:before="260"/>
      </w:pPr>
      <w:bookmarkStart w:id="245" w:name="_Toc389746401"/>
      <w:bookmarkStart w:id="246" w:name="_Toc389746576"/>
      <w:r>
        <w:rPr>
          <w:rStyle w:val="CharSectno"/>
        </w:rPr>
        <w:t>51GAA</w:t>
      </w:r>
      <w:r>
        <w:t>.</w:t>
      </w:r>
      <w:r>
        <w:tab/>
        <w:t>When a medical practitioner may supply or prescribe a stimulant</w:t>
      </w:r>
      <w:bookmarkEnd w:id="245"/>
      <w:bookmarkEnd w:id="246"/>
    </w:p>
    <w:p>
      <w:pPr>
        <w:pStyle w:val="Subsection"/>
      </w:pPr>
      <w:r>
        <w:tab/>
      </w:r>
      <w:r>
        <w:tab/>
        <w:t>Despite regulations 51B and 51F, a medical practitioner must not supply a stimulant or provide a prescription for a stimulant unless the medical practitioner —</w:t>
      </w:r>
    </w:p>
    <w:p>
      <w:pPr>
        <w:pStyle w:val="Indenta"/>
      </w:pPr>
      <w:r>
        <w:tab/>
        <w:t>(a)</w:t>
      </w:r>
      <w:r>
        <w:tab/>
        <w:t>is an authorised practitioner;</w:t>
      </w:r>
    </w:p>
    <w:p>
      <w:pPr>
        <w:pStyle w:val="Indenta"/>
      </w:pPr>
      <w:r>
        <w:tab/>
        <w:t>(b)</w:t>
      </w:r>
      <w:r>
        <w:tab/>
        <w:t>does so as a co</w:t>
      </w:r>
      <w:r>
        <w:noBreakHyphen/>
        <w:t>prescriber under regulation 51GAG;</w:t>
      </w:r>
    </w:p>
    <w:p>
      <w:pPr>
        <w:pStyle w:val="Indenta"/>
      </w:pPr>
      <w:r>
        <w:tab/>
        <w:t>(c)</w:t>
      </w:r>
      <w:r>
        <w:tab/>
        <w:t>does so in accordance with a special authorisation under regulation 51GAH; or</w:t>
      </w:r>
    </w:p>
    <w:p>
      <w:pPr>
        <w:pStyle w:val="Indenta"/>
      </w:pPr>
      <w:r>
        <w:tab/>
        <w:t>(d)</w:t>
      </w:r>
      <w:r>
        <w:tab/>
        <w:t>does so under regulation 51GAI.</w:t>
      </w:r>
    </w:p>
    <w:p>
      <w:pPr>
        <w:pStyle w:val="Footnotesection"/>
      </w:pPr>
      <w:r>
        <w:tab/>
        <w:t>[Regulation 51GAA inserted in Gazette 12 Aug 2003 p. 3659.]</w:t>
      </w:r>
    </w:p>
    <w:p>
      <w:pPr>
        <w:pStyle w:val="Heading5"/>
        <w:spacing w:before="260"/>
      </w:pPr>
      <w:bookmarkStart w:id="247" w:name="_Toc389746402"/>
      <w:bookmarkStart w:id="248" w:name="_Toc389746577"/>
      <w:r>
        <w:rPr>
          <w:rStyle w:val="CharSectno"/>
        </w:rPr>
        <w:t>51GAB</w:t>
      </w:r>
      <w:r>
        <w:t>.</w:t>
      </w:r>
      <w:r>
        <w:tab/>
        <w:t>Authorisation to supply or prescribe a stimulant</w:t>
      </w:r>
      <w:bookmarkEnd w:id="247"/>
      <w:bookmarkEnd w:id="248"/>
    </w:p>
    <w:p>
      <w:pPr>
        <w:pStyle w:val="Subsection"/>
      </w:pPr>
      <w:r>
        <w:tab/>
        <w:t>(1)</w:t>
      </w:r>
      <w:r>
        <w:tab/>
        <w:t>A medical practitioner may apply to the CEO for authorisation to supply a stimulant or to provide a prescription for a stimulant.</w:t>
      </w:r>
    </w:p>
    <w:p>
      <w:pPr>
        <w:pStyle w:val="Subsection"/>
      </w:pPr>
      <w:r>
        <w:tab/>
        <w:t>(2)</w:t>
      </w:r>
      <w:r>
        <w:tab/>
        <w:t>The application must be in a form approved by the CEO.</w:t>
      </w:r>
    </w:p>
    <w:p>
      <w:pPr>
        <w:pStyle w:val="Subsection"/>
      </w:pPr>
      <w:r>
        <w:tab/>
        <w:t>(3)</w:t>
      </w:r>
      <w:r>
        <w:tab/>
        <w:t>On receiving an application under subregulation (1) the CEO may grant the authorisation.</w:t>
      </w:r>
    </w:p>
    <w:p>
      <w:pPr>
        <w:pStyle w:val="Subsection"/>
      </w:pPr>
      <w:r>
        <w:tab/>
        <w:t>(4)</w:t>
      </w:r>
      <w:r>
        <w:tab/>
        <w:t>An authorisation remains in force until the applicant ceases to be a registered medical practitioner or the CEO revokes the authorisation.</w:t>
      </w:r>
    </w:p>
    <w:p>
      <w:pPr>
        <w:pStyle w:val="Subsection"/>
        <w:keepNext/>
      </w:pPr>
      <w:r>
        <w:tab/>
        <w:t>(5)</w:t>
      </w:r>
      <w:r>
        <w:tab/>
        <w:t>The CEO may by notice in writing cancel or vary the terms of an authorisation at any time.</w:t>
      </w:r>
    </w:p>
    <w:p>
      <w:pPr>
        <w:pStyle w:val="Footnotesection"/>
      </w:pPr>
      <w:r>
        <w:tab/>
        <w:t>[Regulation 51GAB inserted in Gazette 12 Aug 2003 p. 3659</w:t>
      </w:r>
      <w:r>
        <w:noBreakHyphen/>
        <w:t>60; amended in Gazette 15 Dec 2006 p. 5630.]</w:t>
      </w:r>
    </w:p>
    <w:p>
      <w:pPr>
        <w:pStyle w:val="Heading5"/>
      </w:pPr>
      <w:bookmarkStart w:id="249" w:name="_Toc389746403"/>
      <w:bookmarkStart w:id="250" w:name="_Toc389746578"/>
      <w:r>
        <w:rPr>
          <w:rStyle w:val="CharSectno"/>
        </w:rPr>
        <w:t>51GAC</w:t>
      </w:r>
      <w:r>
        <w:t>.</w:t>
      </w:r>
      <w:r>
        <w:tab/>
        <w:t>When an authorised practitioner may supply or prescribe a stimulant</w:t>
      </w:r>
      <w:bookmarkEnd w:id="249"/>
      <w:bookmarkEnd w:id="250"/>
    </w:p>
    <w:p>
      <w:pPr>
        <w:pStyle w:val="Subsection"/>
      </w:pPr>
      <w:r>
        <w:tab/>
      </w:r>
      <w:r>
        <w:tab/>
        <w:t xml:space="preserve">An authorised practitioner must not supply a stimulant or provide a prescription for a stimulant unless the patient is diagnosed as having — </w:t>
      </w:r>
    </w:p>
    <w:p>
      <w:pPr>
        <w:pStyle w:val="Indenta"/>
      </w:pPr>
      <w:r>
        <w:tab/>
        <w:t>(a)</w:t>
      </w:r>
      <w:r>
        <w:tab/>
        <w:t>attention deficit hyperactivity disorder;</w:t>
      </w:r>
    </w:p>
    <w:p>
      <w:pPr>
        <w:pStyle w:val="Indenta"/>
      </w:pPr>
      <w:r>
        <w:tab/>
        <w:t>(b)</w:t>
      </w:r>
      <w:r>
        <w:tab/>
        <w:t>brain damage;</w:t>
      </w:r>
    </w:p>
    <w:p>
      <w:pPr>
        <w:pStyle w:val="Indenta"/>
      </w:pPr>
      <w:r>
        <w:tab/>
        <w:t>(c)</w:t>
      </w:r>
      <w:r>
        <w:tab/>
        <w:t>depression; or</w:t>
      </w:r>
    </w:p>
    <w:p>
      <w:pPr>
        <w:pStyle w:val="Indenta"/>
      </w:pPr>
      <w:r>
        <w:tab/>
        <w:t>(d)</w:t>
      </w:r>
      <w:r>
        <w:tab/>
        <w:t>narcolepsy.</w:t>
      </w:r>
    </w:p>
    <w:p>
      <w:pPr>
        <w:pStyle w:val="Footnotesection"/>
      </w:pPr>
      <w:r>
        <w:tab/>
        <w:t>[Regulation 51GAC inserted in Gazette 12 Aug 2003 p. 3660.]</w:t>
      </w:r>
    </w:p>
    <w:p>
      <w:pPr>
        <w:pStyle w:val="Heading5"/>
      </w:pPr>
      <w:bookmarkStart w:id="251" w:name="_Toc389746404"/>
      <w:bookmarkStart w:id="252" w:name="_Toc389746579"/>
      <w:r>
        <w:rPr>
          <w:rStyle w:val="CharSectno"/>
        </w:rPr>
        <w:t>51GAD</w:t>
      </w:r>
      <w:r>
        <w:t>.</w:t>
      </w:r>
      <w:r>
        <w:tab/>
        <w:t>Treatment of attention deficit hyperactivity disorder with a stimulant</w:t>
      </w:r>
      <w:bookmarkEnd w:id="251"/>
      <w:bookmarkEnd w:id="252"/>
    </w:p>
    <w:p>
      <w:pPr>
        <w:pStyle w:val="Subsection"/>
      </w:pPr>
      <w:r>
        <w:tab/>
        <w:t>(1)</w:t>
      </w:r>
      <w:r>
        <w:tab/>
        <w:t>An authorised practitioner must not supply or prescribe a stimulant for treatment of attention deficit hyperactivity disorder to or for a patient who has not reached 2 years of age.</w:t>
      </w:r>
    </w:p>
    <w:p>
      <w:pPr>
        <w:pStyle w:val="Subsection"/>
      </w:pPr>
      <w:r>
        <w:tab/>
        <w:t>(2)</w:t>
      </w:r>
      <w:r>
        <w:tab/>
        <w:t>An authorised practitioner must not, without written permission from the CEO, supply or prescribe a stimulant for treatment of attention deficit hyperactivity disorder to or for a patient who has reached 2 years of age but has not reached 4 years of age.</w:t>
      </w:r>
    </w:p>
    <w:p>
      <w:pPr>
        <w:pStyle w:val="Subsection"/>
      </w:pPr>
      <w:r>
        <w:tab/>
        <w:t>(3)</w:t>
      </w:r>
      <w:r>
        <w:tab/>
        <w:t xml:space="preserve">An authorised practitioner must not supply or prescribe a stimulant for treatment of attention deficit hyperactivity disorder to or for a patient who has reached 4 years of age but has not reached 18 years of age unless the authorised practitioner is — </w:t>
      </w:r>
    </w:p>
    <w:p>
      <w:pPr>
        <w:pStyle w:val="Indenta"/>
      </w:pPr>
      <w:r>
        <w:tab/>
        <w:t>(a)</w:t>
      </w:r>
      <w:r>
        <w:tab/>
        <w:t>a paediatrician;</w:t>
      </w:r>
    </w:p>
    <w:p>
      <w:pPr>
        <w:pStyle w:val="Indenta"/>
      </w:pPr>
      <w:r>
        <w:tab/>
        <w:t>(b)</w:t>
      </w:r>
      <w:r>
        <w:tab/>
        <w:t>a paediatric neurologist; or</w:t>
      </w:r>
    </w:p>
    <w:p>
      <w:pPr>
        <w:pStyle w:val="Indenta"/>
      </w:pPr>
      <w:r>
        <w:tab/>
        <w:t>(c)</w:t>
      </w:r>
      <w:r>
        <w:tab/>
        <w:t>a child and adolescent psychiatrist.</w:t>
      </w:r>
    </w:p>
    <w:p>
      <w:pPr>
        <w:pStyle w:val="Subsection"/>
      </w:pPr>
      <w:r>
        <w:tab/>
        <w:t>(4)</w:t>
      </w:r>
      <w:r>
        <w:tab/>
        <w:t>An authorised practitioner must not supply or prescribe a stimulant for treatment of attention deficit hyperactivity disorder to or for a patient who has reached 18 years but has not reached 25 years unless the authorised practitioner is —</w:t>
      </w:r>
    </w:p>
    <w:p>
      <w:pPr>
        <w:pStyle w:val="Indenta"/>
      </w:pPr>
      <w:r>
        <w:tab/>
        <w:t>(a)</w:t>
      </w:r>
      <w:r>
        <w:tab/>
        <w:t>a neurologist or psychiatrist not referred to in subregulation (3); or</w:t>
      </w:r>
    </w:p>
    <w:p>
      <w:pPr>
        <w:pStyle w:val="Indenta"/>
      </w:pPr>
      <w:r>
        <w:tab/>
        <w:t>(b)</w:t>
      </w:r>
      <w:r>
        <w:tab/>
        <w:t>an authorised practitioner referred to in subregulation (3) who was treating the patient for attention deficit hyperactivity disorder before the patient reached 18 years of age.</w:t>
      </w:r>
    </w:p>
    <w:p>
      <w:pPr>
        <w:pStyle w:val="Subsection"/>
      </w:pPr>
      <w:r>
        <w:tab/>
        <w:t>(5)</w:t>
      </w:r>
      <w:r>
        <w:tab/>
        <w:t>An authorised practitioner must not supply or prescribe a stimulant for treatment of attention deficit hyperactivity disorder to or for a patient who has reached 25 years unless the authorised practitioner is a neurologist or psychiatrist not referred to in subregulation (3).</w:t>
      </w:r>
    </w:p>
    <w:p>
      <w:pPr>
        <w:pStyle w:val="Subsection"/>
      </w:pPr>
      <w:r>
        <w:tab/>
        <w:t>(6)</w:t>
      </w:r>
      <w:r>
        <w:tab/>
        <w:t>An authorised practitioner must not, without written permission from the CEO, supply or prescribe a stimulant for treatment of attention deficit hyperactivity disorder to or for a patient who has a history of psychosis, bipolar disorder, or sustained significant substance abuse.</w:t>
      </w:r>
    </w:p>
    <w:p>
      <w:pPr>
        <w:pStyle w:val="Footnotesection"/>
      </w:pPr>
      <w:r>
        <w:tab/>
        <w:t>[Regulation 51GAD inserted in Gazette 12 Aug 2003 p. 3660</w:t>
      </w:r>
      <w:r>
        <w:noBreakHyphen/>
        <w:t>1; amended in Gazette 15 Dec 2006 p. 5630.]</w:t>
      </w:r>
    </w:p>
    <w:p>
      <w:pPr>
        <w:pStyle w:val="Heading5"/>
      </w:pPr>
      <w:bookmarkStart w:id="253" w:name="_Toc389746405"/>
      <w:bookmarkStart w:id="254" w:name="_Toc389746580"/>
      <w:r>
        <w:rPr>
          <w:rStyle w:val="CharSectno"/>
        </w:rPr>
        <w:t>51GAE</w:t>
      </w:r>
      <w:r>
        <w:t>.</w:t>
      </w:r>
      <w:r>
        <w:tab/>
        <w:t>Dose for supply or prescription of a stimulant</w:t>
      </w:r>
      <w:bookmarkEnd w:id="253"/>
      <w:bookmarkEnd w:id="254"/>
    </w:p>
    <w:p>
      <w:pPr>
        <w:pStyle w:val="Subsection"/>
      </w:pPr>
      <w:r>
        <w:tab/>
        <w:t>(1)</w:t>
      </w:r>
      <w:r>
        <w:tab/>
        <w:t>If an authorised practitioner is treating a patient with a stimulant, the patient must be started on the lowest practicable dose that is then titrated according to the person’s response.</w:t>
      </w:r>
    </w:p>
    <w:p>
      <w:pPr>
        <w:pStyle w:val="Subsection"/>
      </w:pPr>
      <w:r>
        <w:tab/>
        <w:t>(2)</w:t>
      </w:r>
      <w:r>
        <w:tab/>
        <w:t xml:space="preserve">An authorised practitioner must not, without written permission from the CEO, treat a patient with a dose greater than — </w:t>
      </w:r>
    </w:p>
    <w:p>
      <w:pPr>
        <w:pStyle w:val="Indenta"/>
      </w:pPr>
      <w:r>
        <w:tab/>
        <w:t>(a)</w:t>
      </w:r>
      <w:r>
        <w:tab/>
        <w:t>1 mg/kg/day for dexamphetamine up to a maximum of 60 mg/day; and</w:t>
      </w:r>
    </w:p>
    <w:p>
      <w:pPr>
        <w:pStyle w:val="Indenta"/>
      </w:pPr>
      <w:r>
        <w:tab/>
        <w:t>(b)</w:t>
      </w:r>
      <w:r>
        <w:tab/>
        <w:t>2 mg/kg/day for methylphenidate up to a maximum of 120 mg/day.</w:t>
      </w:r>
    </w:p>
    <w:p>
      <w:pPr>
        <w:pStyle w:val="Subsection"/>
      </w:pPr>
      <w:r>
        <w:tab/>
        <w:t>(3)</w:t>
      </w:r>
      <w:r>
        <w:tab/>
        <w:t>If an authorised practitioner prescribes one or more stimulants for the same patient, the authorised practitioner must not, without written permission from the CEO, prescribe a total daily dosage exceeding 12 tablets/day for those stimulants.</w:t>
      </w:r>
    </w:p>
    <w:p>
      <w:pPr>
        <w:pStyle w:val="Footnotesection"/>
      </w:pPr>
      <w:r>
        <w:tab/>
        <w:t>[Regulation 51GAE inserted in Gazette 12 Aug 2003 p. 3661; amended in Gazette 15 Dec 2006 p. 5630.]</w:t>
      </w:r>
    </w:p>
    <w:p>
      <w:pPr>
        <w:pStyle w:val="Heading5"/>
      </w:pPr>
      <w:bookmarkStart w:id="255" w:name="_Toc389746406"/>
      <w:bookmarkStart w:id="256" w:name="_Toc389746581"/>
      <w:r>
        <w:rPr>
          <w:rStyle w:val="CharSectno"/>
        </w:rPr>
        <w:t>51GAF</w:t>
      </w:r>
      <w:r>
        <w:t>.</w:t>
      </w:r>
      <w:r>
        <w:tab/>
        <w:t>Notification to CEO of supply or prescription of a stimulant</w:t>
      </w:r>
      <w:bookmarkEnd w:id="255"/>
      <w:bookmarkEnd w:id="256"/>
    </w:p>
    <w:p>
      <w:pPr>
        <w:pStyle w:val="Subsection"/>
      </w:pPr>
      <w:r>
        <w:tab/>
        <w:t>(1)</w:t>
      </w:r>
      <w:r>
        <w:tab/>
        <w:t xml:space="preserve">An authorised practitioner must notify the CEO as soon as practicable after — </w:t>
      </w:r>
    </w:p>
    <w:p>
      <w:pPr>
        <w:pStyle w:val="Indenta"/>
      </w:pPr>
      <w:r>
        <w:tab/>
        <w:t>(a)</w:t>
      </w:r>
      <w:r>
        <w:tab/>
        <w:t>a stimulant has been supplied to or prescribed for a patient by the authorised practitioner for the first time;</w:t>
      </w:r>
    </w:p>
    <w:p>
      <w:pPr>
        <w:pStyle w:val="Indenta"/>
      </w:pPr>
      <w:r>
        <w:tab/>
        <w:t>(b)</w:t>
      </w:r>
      <w:r>
        <w:tab/>
        <w:t xml:space="preserve">there has been a change in — </w:t>
      </w:r>
    </w:p>
    <w:p>
      <w:pPr>
        <w:pStyle w:val="Indenti"/>
      </w:pPr>
      <w:r>
        <w:tab/>
        <w:t>(i)</w:t>
      </w:r>
      <w:r>
        <w:tab/>
        <w:t>the dose of a stimulant supplied to or prescribed for a patient by the authorised practitioner;</w:t>
      </w:r>
    </w:p>
    <w:p>
      <w:pPr>
        <w:pStyle w:val="Indenti"/>
      </w:pPr>
      <w:r>
        <w:tab/>
        <w:t>(ii)</w:t>
      </w:r>
      <w:r>
        <w:tab/>
        <w:t>the type of stimulant supplied to or prescribed for a patient by the authorised practitioner;</w:t>
      </w:r>
    </w:p>
    <w:p>
      <w:pPr>
        <w:pStyle w:val="Indenti"/>
      </w:pPr>
      <w:r>
        <w:tab/>
        <w:t>(iii)</w:t>
      </w:r>
      <w:r>
        <w:tab/>
        <w:t>the form of stimulant supplied to or prescribed for a patient by the authorised practitioner;</w:t>
      </w:r>
    </w:p>
    <w:p>
      <w:pPr>
        <w:pStyle w:val="Indenti"/>
      </w:pPr>
      <w:r>
        <w:tab/>
        <w:t>(iv)</w:t>
      </w:r>
      <w:r>
        <w:tab/>
        <w:t>the name or residential address of a patient who is being treated with a stimulant by the authorised practitioner; or</w:t>
      </w:r>
    </w:p>
    <w:p>
      <w:pPr>
        <w:pStyle w:val="Indenti"/>
      </w:pPr>
      <w:r>
        <w:tab/>
        <w:t>(v)</w:t>
      </w:r>
      <w:r>
        <w:tab/>
        <w:t>the co</w:t>
      </w:r>
      <w:r>
        <w:noBreakHyphen/>
        <w:t>prescribers (if any) of the authorised practitioner under regulation 51GAG;</w:t>
      </w:r>
    </w:p>
    <w:p>
      <w:pPr>
        <w:pStyle w:val="Indenta"/>
      </w:pPr>
      <w:r>
        <w:tab/>
      </w:r>
      <w:r>
        <w:tab/>
        <w:t>and</w:t>
      </w:r>
    </w:p>
    <w:p>
      <w:pPr>
        <w:pStyle w:val="Indenta"/>
      </w:pPr>
      <w:r>
        <w:tab/>
        <w:t>(c)</w:t>
      </w:r>
      <w:r>
        <w:tab/>
        <w:t>the supply or provision of prescriptions for a stimulant to a patient by the authorised practitioner has ceased.</w:t>
      </w:r>
    </w:p>
    <w:p>
      <w:pPr>
        <w:pStyle w:val="Subsection"/>
      </w:pPr>
      <w:r>
        <w:tab/>
        <w:t>(2)</w:t>
      </w:r>
      <w:r>
        <w:tab/>
        <w:t>The notification is to be in a form approved by the CEO.</w:t>
      </w:r>
    </w:p>
    <w:p>
      <w:pPr>
        <w:pStyle w:val="Subsection"/>
      </w:pPr>
      <w:r>
        <w:tab/>
        <w:t>(3)</w:t>
      </w:r>
      <w:r>
        <w:tab/>
        <w:t>Upon receiving notification under subregulation (1)(a) or (b), the CEO may by notice to the authorised practitioner order that the treatment be cancelled or varied.</w:t>
      </w:r>
    </w:p>
    <w:p>
      <w:pPr>
        <w:pStyle w:val="Subsection"/>
      </w:pPr>
      <w:r>
        <w:tab/>
        <w:t>(4)</w:t>
      </w:r>
      <w:r>
        <w:tab/>
        <w:t>An authorised practitioner receiving an order under subregulation (3) must comply with the order.</w:t>
      </w:r>
    </w:p>
    <w:p>
      <w:pPr>
        <w:pStyle w:val="Footnotesection"/>
      </w:pPr>
      <w:r>
        <w:tab/>
        <w:t>[Regulation 51GAF inserted in Gazette 12 Aug 2003 p. 3661</w:t>
      </w:r>
      <w:r>
        <w:noBreakHyphen/>
        <w:t>2; amended in Gazette 15 Dec 2006 p. 5630 and 5631.]</w:t>
      </w:r>
    </w:p>
    <w:p>
      <w:pPr>
        <w:pStyle w:val="Heading5"/>
      </w:pPr>
      <w:bookmarkStart w:id="257" w:name="_Toc389746407"/>
      <w:bookmarkStart w:id="258" w:name="_Toc389746582"/>
      <w:r>
        <w:rPr>
          <w:rStyle w:val="CharSectno"/>
        </w:rPr>
        <w:t>51GAG</w:t>
      </w:r>
      <w:r>
        <w:t>.</w:t>
      </w:r>
      <w:r>
        <w:tab/>
        <w:t>Co</w:t>
      </w:r>
      <w:r>
        <w:noBreakHyphen/>
        <w:t>prescriber for supply or prescription of a stimulant</w:t>
      </w:r>
      <w:bookmarkEnd w:id="257"/>
      <w:bookmarkEnd w:id="258"/>
    </w:p>
    <w:p>
      <w:pPr>
        <w:pStyle w:val="Subsection"/>
      </w:pPr>
      <w:r>
        <w:tab/>
        <w:t>(1)</w:t>
      </w:r>
      <w:r>
        <w:tab/>
        <w:t>An authorised practitioner may nominate another medical practitioner to be a co</w:t>
      </w:r>
      <w:r>
        <w:noBreakHyphen/>
        <w:t>prescriber of a stimulant in a notification to the CEO under regulation 51GAF.</w:t>
      </w:r>
    </w:p>
    <w:p>
      <w:pPr>
        <w:pStyle w:val="Subsection"/>
      </w:pPr>
      <w:r>
        <w:tab/>
        <w:t>(2)</w:t>
      </w:r>
      <w:r>
        <w:tab/>
        <w:t>A co</w:t>
      </w:r>
      <w:r>
        <w:noBreakHyphen/>
        <w:t>prescriber may on the same conditions as the authorised practitioner supply a stimulant or provide a prescription for a stimulant to the patient who is the subject of the notification.</w:t>
      </w:r>
    </w:p>
    <w:p>
      <w:pPr>
        <w:pStyle w:val="Footnotesection"/>
      </w:pPr>
      <w:r>
        <w:tab/>
        <w:t>[Regulation 51GAG inserted in Gazette 12 Aug 2003 p. 3662; amended in Gazette 15 Dec 2006 p. 5630.]</w:t>
      </w:r>
    </w:p>
    <w:p>
      <w:pPr>
        <w:pStyle w:val="Heading5"/>
      </w:pPr>
      <w:bookmarkStart w:id="259" w:name="_Toc389746408"/>
      <w:bookmarkStart w:id="260" w:name="_Toc389746583"/>
      <w:r>
        <w:rPr>
          <w:rStyle w:val="CharSectno"/>
        </w:rPr>
        <w:t>51GAH</w:t>
      </w:r>
      <w:r>
        <w:t>.</w:t>
      </w:r>
      <w:r>
        <w:tab/>
        <w:t>Special authorisation to supply or prescription of a stimulant</w:t>
      </w:r>
      <w:bookmarkEnd w:id="259"/>
      <w:bookmarkEnd w:id="260"/>
    </w:p>
    <w:p>
      <w:pPr>
        <w:pStyle w:val="Subsection"/>
      </w:pPr>
      <w:r>
        <w:tab/>
        <w:t>(1)</w:t>
      </w:r>
      <w:r>
        <w:tab/>
        <w:t>A medical practitioner may apply to the CEO for a special authorisation to supply or prescribe a stimulant to a particular patient in circumstances not set out in regulation 51GAC.</w:t>
      </w:r>
    </w:p>
    <w:p>
      <w:pPr>
        <w:pStyle w:val="Subsection"/>
      </w:pPr>
      <w:r>
        <w:tab/>
        <w:t>(2)</w:t>
      </w:r>
      <w:r>
        <w:tab/>
        <w:t>The application must be in a form approved by the CEO.</w:t>
      </w:r>
    </w:p>
    <w:p>
      <w:pPr>
        <w:pStyle w:val="Subsection"/>
      </w:pPr>
      <w:r>
        <w:tab/>
        <w:t>(3)</w:t>
      </w:r>
      <w:r>
        <w:tab/>
        <w:t>On an application under subregulation (1), the CEO may grant the special authorisation if the CEO considers that there are sound medical grounds for doing so.</w:t>
      </w:r>
    </w:p>
    <w:p>
      <w:pPr>
        <w:pStyle w:val="Subsection"/>
      </w:pPr>
      <w:r>
        <w:tab/>
        <w:t>(4)</w:t>
      </w:r>
      <w:r>
        <w:tab/>
        <w:t>The CEO may by notice in writing cancel or vary the terms of a special authorisation at any time.</w:t>
      </w:r>
    </w:p>
    <w:p>
      <w:pPr>
        <w:pStyle w:val="Footnotesection"/>
      </w:pPr>
      <w:r>
        <w:tab/>
        <w:t>[Regulation 51GAH inserted in Gazette 12 Aug 2003 p. 3662; amended in Gazette 15 Dec 2006 p. 5630.]</w:t>
      </w:r>
    </w:p>
    <w:p>
      <w:pPr>
        <w:pStyle w:val="Heading5"/>
      </w:pPr>
      <w:bookmarkStart w:id="261" w:name="_Toc389746409"/>
      <w:bookmarkStart w:id="262" w:name="_Toc389746584"/>
      <w:r>
        <w:rPr>
          <w:rStyle w:val="CharSectno"/>
        </w:rPr>
        <w:t>51GAI</w:t>
      </w:r>
      <w:r>
        <w:t>.</w:t>
      </w:r>
      <w:r>
        <w:tab/>
        <w:t>Supply or prescription of a stimulant in a public hospital or prison</w:t>
      </w:r>
      <w:bookmarkEnd w:id="261"/>
      <w:bookmarkEnd w:id="262"/>
    </w:p>
    <w:p>
      <w:pPr>
        <w:pStyle w:val="Subsection"/>
      </w:pPr>
      <w:r>
        <w:tab/>
      </w:r>
      <w:r>
        <w:tab/>
        <w:t>Where a person who is being treated with a stimulant under this Subdivision —</w:t>
      </w:r>
    </w:p>
    <w:p>
      <w:pPr>
        <w:pStyle w:val="Indenta"/>
      </w:pPr>
      <w:r>
        <w:tab/>
        <w:t>(a)</w:t>
      </w:r>
      <w:r>
        <w:tab/>
        <w:t>enters a public hospital for treatment as an in</w:t>
      </w:r>
      <w:r>
        <w:noBreakHyphen/>
        <w:t>patient; or</w:t>
      </w:r>
    </w:p>
    <w:p>
      <w:pPr>
        <w:pStyle w:val="Indenta"/>
      </w:pPr>
      <w:r>
        <w:tab/>
        <w:t>(b)</w:t>
      </w:r>
      <w:r>
        <w:tab/>
        <w:t xml:space="preserve">is placed in custody in a prison as defined in the </w:t>
      </w:r>
      <w:r>
        <w:rPr>
          <w:i/>
        </w:rPr>
        <w:t>Prisons Act 1981</w:t>
      </w:r>
      <w:r>
        <w:t>,</w:t>
      </w:r>
    </w:p>
    <w:p>
      <w:pPr>
        <w:pStyle w:val="Subsection"/>
      </w:pPr>
      <w:r>
        <w:tab/>
      </w:r>
      <w:r>
        <w:tab/>
        <w:t>and needs to continue treatment with the stimulant while in that hospital or prison, a medical practitioner attached to the hospital or prison may supply the stimulant or provide a prescription for the stimulant on the same conditions that the medical practitioner who initiated the treatment would be able to.</w:t>
      </w:r>
    </w:p>
    <w:p>
      <w:pPr>
        <w:pStyle w:val="Footnotesection"/>
      </w:pPr>
      <w:r>
        <w:tab/>
        <w:t>[Regulation 51GAI inserted in Gazette 12 Aug 2003 p. 3662</w:t>
      </w:r>
      <w:r>
        <w:noBreakHyphen/>
        <w:t>3.]</w:t>
      </w:r>
    </w:p>
    <w:p>
      <w:pPr>
        <w:pStyle w:val="Heading5"/>
        <w:spacing w:before="180"/>
        <w:rPr>
          <w:snapToGrid w:val="0"/>
        </w:rPr>
      </w:pPr>
      <w:bookmarkStart w:id="263" w:name="_Toc389746410"/>
      <w:bookmarkStart w:id="264" w:name="_Toc389746585"/>
      <w:r>
        <w:rPr>
          <w:rStyle w:val="CharSectno"/>
        </w:rPr>
        <w:t>51GA</w:t>
      </w:r>
      <w:r>
        <w:rPr>
          <w:snapToGrid w:val="0"/>
        </w:rPr>
        <w:t>.</w:t>
      </w:r>
      <w:r>
        <w:rPr>
          <w:snapToGrid w:val="0"/>
        </w:rPr>
        <w:tab/>
        <w:t>Supply of dronabinol</w:t>
      </w:r>
      <w:bookmarkEnd w:id="263"/>
      <w:bookmarkEnd w:id="264"/>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265" w:name="_Toc389746411"/>
      <w:bookmarkStart w:id="266" w:name="_Toc389746586"/>
      <w:r>
        <w:rPr>
          <w:rStyle w:val="CharSectno"/>
        </w:rPr>
        <w:t>51GB</w:t>
      </w:r>
      <w:r>
        <w:rPr>
          <w:snapToGrid w:val="0"/>
        </w:rPr>
        <w:t>.</w:t>
      </w:r>
      <w:r>
        <w:rPr>
          <w:snapToGrid w:val="0"/>
        </w:rPr>
        <w:tab/>
        <w:t>Supply of flunitrazepam</w:t>
      </w:r>
      <w:bookmarkEnd w:id="265"/>
      <w:bookmarkEnd w:id="266"/>
      <w:r>
        <w:rPr>
          <w:snapToGrid w:val="0"/>
        </w:rPr>
        <w:t xml:space="preserve"> </w:t>
      </w:r>
    </w:p>
    <w:p>
      <w:pPr>
        <w:pStyle w:val="Subsection"/>
        <w:rPr>
          <w:snapToGrid w:val="0"/>
        </w:rPr>
      </w:pPr>
      <w:r>
        <w:rPr>
          <w:snapToGrid w:val="0"/>
        </w:rPr>
        <w:tab/>
        <w:t>(1)</w:t>
      </w:r>
      <w:r>
        <w:rPr>
          <w:snapToGrid w:val="0"/>
        </w:rPr>
        <w:tab/>
        <w:t>Notwithstanding regulations 51B to 51F, 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b/>
          <w:snapToGrid w:val="0"/>
        </w:rPr>
        <w:t>“</w:t>
      </w:r>
      <w:r>
        <w:rPr>
          <w:rStyle w:val="CharDefText"/>
        </w:rPr>
        <w:t>the HDWA Authorisation No.</w:t>
      </w:r>
      <w:r>
        <w:rPr>
          <w:b/>
          <w:snapToGrid w:val="0"/>
        </w:rPr>
        <w:t>”</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w:t>
      </w:r>
    </w:p>
    <w:p>
      <w:pPr>
        <w:pStyle w:val="Heading5"/>
        <w:rPr>
          <w:snapToGrid w:val="0"/>
        </w:rPr>
      </w:pPr>
      <w:bookmarkStart w:id="267" w:name="_Toc389746412"/>
      <w:bookmarkStart w:id="268" w:name="_Toc389746587"/>
      <w:r>
        <w:rPr>
          <w:rStyle w:val="CharSectno"/>
        </w:rPr>
        <w:t>51H</w:t>
      </w:r>
      <w:r>
        <w:rPr>
          <w:snapToGrid w:val="0"/>
        </w:rPr>
        <w:t>.</w:t>
      </w:r>
      <w:r>
        <w:rPr>
          <w:snapToGrid w:val="0"/>
        </w:rPr>
        <w:tab/>
        <w:t>Dentists not to prescribe or supply certain drugs of addiction</w:t>
      </w:r>
      <w:bookmarkEnd w:id="267"/>
      <w:bookmarkEnd w:id="268"/>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Commonwealth Schedule</w:t>
      </w:r>
      <w:r>
        <w:rPr>
          <w:b/>
        </w:rPr>
        <w:t>”</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Repealed in Gazette 12 Apr 1991 p. 1609.] </w:t>
      </w:r>
    </w:p>
    <w:p>
      <w:pPr>
        <w:pStyle w:val="Ednotedivision"/>
      </w:pPr>
      <w:r>
        <w:t>[Heading deleted in Gazette 12 Aug 2003 p. 3663.]</w:t>
      </w:r>
    </w:p>
    <w:p>
      <w:pPr>
        <w:pStyle w:val="Heading3"/>
      </w:pPr>
      <w:bookmarkStart w:id="269" w:name="_Toc389746413"/>
      <w:bookmarkStart w:id="270" w:name="_Toc389746588"/>
      <w:r>
        <w:rPr>
          <w:rStyle w:val="CharDivNo"/>
        </w:rPr>
        <w:t>Division 3</w:t>
      </w:r>
      <w:r>
        <w:t xml:space="preserve"> — </w:t>
      </w:r>
      <w:r>
        <w:rPr>
          <w:rStyle w:val="CharDivText"/>
        </w:rPr>
        <w:t>Dispensing and delivery</w:t>
      </w:r>
      <w:bookmarkEnd w:id="269"/>
      <w:bookmarkEnd w:id="270"/>
    </w:p>
    <w:p>
      <w:pPr>
        <w:pStyle w:val="Footnoteheading"/>
      </w:pPr>
      <w:r>
        <w:tab/>
        <w:t>[Heading inserted in Gazette 12 Aug 2003 p. 3664.]</w:t>
      </w:r>
    </w:p>
    <w:p>
      <w:pPr>
        <w:pStyle w:val="Heading5"/>
        <w:rPr>
          <w:snapToGrid w:val="0"/>
        </w:rPr>
      </w:pPr>
      <w:bookmarkStart w:id="271" w:name="_Toc389746414"/>
      <w:bookmarkStart w:id="272" w:name="_Toc389746589"/>
      <w:r>
        <w:rPr>
          <w:rStyle w:val="CharSectno"/>
        </w:rPr>
        <w:t>52</w:t>
      </w:r>
      <w:r>
        <w:rPr>
          <w:snapToGrid w:val="0"/>
        </w:rPr>
        <w:t>.</w:t>
      </w:r>
      <w:r>
        <w:rPr>
          <w:snapToGrid w:val="0"/>
        </w:rPr>
        <w:tab/>
        <w:t>Dispensing drugs of addiction</w:t>
      </w:r>
      <w:bookmarkEnd w:id="271"/>
      <w:bookmarkEnd w:id="272"/>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signed the prescription is a medical practitioner, a dentist or a veterinary surgeon; and</w:t>
      </w:r>
    </w:p>
    <w:p>
      <w:pPr>
        <w:pStyle w:val="Indenti"/>
      </w:pPr>
      <w:r>
        <w:tab/>
        <w:t>(iii)</w:t>
      </w:r>
      <w:r>
        <w:tab/>
        <w:t>in accordance with subregulation (3a), that the prescription was signed by the prescriber whose name appears on the prescription;</w:t>
      </w:r>
    </w:p>
    <w:p>
      <w:pPr>
        <w:pStyle w:val="Indenta"/>
      </w:pPr>
      <w:r>
        <w:tab/>
        <w:t>(b)</w:t>
      </w:r>
      <w:r>
        <w:tab/>
        <w:t>the drug of addiction shall not be dispensed under the prescription more than the maximum number of times indicated on the prescription, or at intervals less than those indicated on the prescription;</w:t>
      </w:r>
    </w:p>
    <w:p>
      <w:pPr>
        <w:pStyle w:val="Indenta"/>
      </w:pPr>
      <w:r>
        <w:tab/>
        <w:t>(ba)</w:t>
      </w:r>
      <w:r>
        <w:tab/>
        <w:t xml:space="preserve">on each occasion on which the drug of addiction is dispensed under the prescription the dispenser shall — </w:t>
      </w:r>
    </w:p>
    <w:p>
      <w:pPr>
        <w:pStyle w:val="Indenti"/>
      </w:pPr>
      <w:r>
        <w:tab/>
        <w:t>(i)</w:t>
      </w:r>
      <w:r>
        <w:tab/>
        <w:t>sign the prescription clearly in ink using his or her usual signature; and</w:t>
      </w:r>
    </w:p>
    <w:p>
      <w:pPr>
        <w:pStyle w:val="Indenti"/>
      </w:pPr>
      <w:r>
        <w:tab/>
        <w:t>(ii)</w:t>
      </w:r>
      <w:r>
        <w:tab/>
        <w:t>stamp or otherwise mark the prescription clearly in ink with the date on which the drug is dispensed;</w:t>
      </w:r>
    </w:p>
    <w:p>
      <w:pPr>
        <w:pStyle w:val="Indenta"/>
      </w:pPr>
      <w:r>
        <w:tab/>
        <w:t>(bb)</w:t>
      </w:r>
      <w:r>
        <w:tab/>
        <w:t>on the first occasion on which the drug of addiction is dispensed under the prescription, the dispenser shall stamp or otherwise mark the prescription clearly in ink with the name and address of the dispensary;</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where the dispenser dispenses less than the prescribed amount of the drug of addiction on presentation of the prescription and dispenses or intends to dispense the remainder on another occasion or occasions, the dispenser shall on each occasion on which part of the prescribed amount is dispensed, note on the prescription clearly in ink the amount dispensed and the date on which it was dispensed;</w:t>
      </w:r>
    </w:p>
    <w:p>
      <w:pPr>
        <w:pStyle w:val="Indenta"/>
      </w:pPr>
      <w:r>
        <w:tab/>
        <w:t>(e)</w:t>
      </w:r>
      <w:r>
        <w:tab/>
        <w:t xml:space="preserve">after dispensing the drug of addiction as directed by the prescription the dispenser shall — </w:t>
      </w:r>
    </w:p>
    <w:p>
      <w:pPr>
        <w:pStyle w:val="Indenti"/>
      </w:pPr>
      <w:r>
        <w:tab/>
        <w:t>(i)</w:t>
      </w:r>
      <w:r>
        <w:tab/>
        <w:t>mark the prescription with the number of occasions remaining (if any) on which the drug of addiction is to be dispensed under the prescription; and</w:t>
      </w:r>
    </w:p>
    <w:p>
      <w:pPr>
        <w:pStyle w:val="Indenti"/>
      </w:pPr>
      <w:r>
        <w:tab/>
        <w:t>(ii)</w:t>
      </w:r>
      <w:r>
        <w:tab/>
        <w:t>subject to subregulation (7), retain the prescription in safe custody at the dispensary;</w:t>
      </w:r>
    </w:p>
    <w:p>
      <w:pPr>
        <w:pStyle w:val="Indenta"/>
      </w:pPr>
      <w:r>
        <w:tab/>
        <w:t>(f)</w:t>
      </w:r>
      <w:r>
        <w:tab/>
        <w:t xml:space="preserve">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full address and date of birth of the patient or, in the case of a prescription for veterinary use, the name and full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rPr>
          <w:snapToGrid w:val="0"/>
        </w:rPr>
      </w:pPr>
      <w:r>
        <w:rPr>
          <w:snapToGrid w:val="0"/>
        </w:rPr>
        <w:tab/>
        <w:t>(4)</w:t>
      </w:r>
      <w:r>
        <w:rPr>
          <w:snapToGrid w:val="0"/>
        </w:rPr>
        <w:tab/>
      </w:r>
      <w:r>
        <w:t>A person shall not dispense a drug of addiction under a prescription</w:t>
      </w:r>
      <w:r>
        <w:rPr>
          <w:snapToGrid w:val="0"/>
        </w:rPr>
        <w:t xml:space="preserve"> marked “cancelled” or that is more than 6 months old.</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to be for the purpose of enabling some unauthorised person to obtain a drug of addiction, or which does not appear to be genuine.</w:t>
      </w:r>
    </w:p>
    <w:p>
      <w:pPr>
        <w:pStyle w:val="Subsection"/>
        <w:spacing w:before="120"/>
        <w:rPr>
          <w:snapToGrid w:val="0"/>
        </w:rPr>
      </w:pPr>
      <w:r>
        <w:rPr>
          <w:snapToGrid w:val="0"/>
        </w:rPr>
        <w:tab/>
        <w:t>(6)</w:t>
      </w:r>
      <w:r>
        <w:rPr>
          <w:snapToGrid w:val="0"/>
        </w:rPr>
        <w:tab/>
        <w:t>A pharmaceutical chemist shall retain possession of any prescription prescribing a drug of addiction presented to him for dispensing and which he suspects of being false in any particular and hold the prescription for such reasonable period as will enable him to satisfy himself as to its genuineness and make enquiries concerning the bona fides of the person by whom it is presented or the identity of the individual by whom such prescription purports to have been written.</w:t>
      </w:r>
    </w:p>
    <w:p>
      <w:pPr>
        <w:pStyle w:val="Subsection"/>
        <w:spacing w:before="120"/>
        <w:rPr>
          <w:snapToGrid w:val="0"/>
        </w:rPr>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 regulations, he shall cancel it and endorse upon its face in ink in his own handwriting the date and his usual signature, together with the address of the dispensary either stamped or written and forward it to the </w:t>
      </w:r>
      <w:r>
        <w:t>CEO</w:t>
      </w:r>
      <w:r>
        <w:rPr>
          <w:snapToGrid w:val="0"/>
        </w:rPr>
        <w:t xml:space="preserve"> and inform the </w:t>
      </w:r>
      <w:r>
        <w:t>CEO</w:t>
      </w:r>
      <w:r>
        <w:rPr>
          <w:snapToGrid w:val="0"/>
        </w:rPr>
        <w:t xml:space="preserve"> of the relevant circumstances and the reasons for his refusal to dispense </w:t>
      </w:r>
      <w:r>
        <w:t>the drug of addiction under</w:t>
      </w:r>
      <w:r>
        <w:rPr>
          <w:snapToGrid w:val="0"/>
        </w:rPr>
        <w:t xml:space="preserve"> the prescription.</w:t>
      </w:r>
    </w:p>
    <w:p>
      <w:pPr>
        <w:pStyle w:val="Subsection"/>
        <w:spacing w:before="120"/>
      </w:pPr>
      <w:r>
        <w:tab/>
        <w:t>(7)</w:t>
      </w:r>
      <w:r>
        <w:tab/>
        <w:t>The dispenser of a drug of addiction may transfer a prescription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w:t>
      </w:r>
    </w:p>
    <w:p>
      <w:pPr>
        <w:pStyle w:val="Heading5"/>
        <w:rPr>
          <w:snapToGrid w:val="0"/>
        </w:rPr>
      </w:pPr>
      <w:bookmarkStart w:id="273" w:name="_Toc389746415"/>
      <w:bookmarkStart w:id="274" w:name="_Toc389746590"/>
      <w:r>
        <w:rPr>
          <w:rStyle w:val="CharSectno"/>
        </w:rPr>
        <w:t>52A</w:t>
      </w:r>
      <w:r>
        <w:rPr>
          <w:snapToGrid w:val="0"/>
        </w:rPr>
        <w:t>.</w:t>
      </w:r>
      <w:r>
        <w:rPr>
          <w:snapToGrid w:val="0"/>
        </w:rPr>
        <w:tab/>
        <w:t>Movement of drugs of addiction in other circumstances</w:t>
      </w:r>
      <w:bookmarkEnd w:id="273"/>
      <w:bookmarkEnd w:id="274"/>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275" w:name="_Toc389746416"/>
      <w:bookmarkStart w:id="276" w:name="_Toc389746591"/>
      <w:r>
        <w:rPr>
          <w:rStyle w:val="CharSectno"/>
        </w:rPr>
        <w:t>52B</w:t>
      </w:r>
      <w:r>
        <w:rPr>
          <w:snapToGrid w:val="0"/>
        </w:rPr>
        <w:t>.</w:t>
      </w:r>
      <w:r>
        <w:rPr>
          <w:snapToGrid w:val="0"/>
        </w:rPr>
        <w:tab/>
        <w:t>Manner of recording details</w:t>
      </w:r>
      <w:bookmarkEnd w:id="275"/>
      <w:bookmarkEnd w:id="276"/>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277" w:name="_Toc389746417"/>
      <w:bookmarkStart w:id="278" w:name="_Toc389746592"/>
      <w:r>
        <w:rPr>
          <w:rStyle w:val="CharSectno"/>
        </w:rPr>
        <w:t>52C</w:t>
      </w:r>
      <w:r>
        <w:rPr>
          <w:snapToGrid w:val="0"/>
        </w:rPr>
        <w:t>.</w:t>
      </w:r>
      <w:r>
        <w:rPr>
          <w:snapToGrid w:val="0"/>
        </w:rPr>
        <w:tab/>
        <w:t>Returns to department</w:t>
      </w:r>
      <w:bookmarkEnd w:id="277"/>
      <w:bookmarkEnd w:id="278"/>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279" w:name="_Toc389746418"/>
      <w:bookmarkStart w:id="280" w:name="_Toc389746593"/>
      <w:r>
        <w:rPr>
          <w:rStyle w:val="CharSectno"/>
        </w:rPr>
        <w:t>53</w:t>
      </w:r>
      <w:r>
        <w:rPr>
          <w:snapToGrid w:val="0"/>
        </w:rPr>
        <w:t>.</w:t>
      </w:r>
      <w:r>
        <w:rPr>
          <w:snapToGrid w:val="0"/>
        </w:rPr>
        <w:tab/>
        <w:t>Dispensing poisons included in Schedule 8 in case of emergency</w:t>
      </w:r>
      <w:bookmarkEnd w:id="279"/>
      <w:bookmarkEnd w:id="280"/>
      <w:r>
        <w:rPr>
          <w:snapToGrid w:val="0"/>
        </w:rPr>
        <w:t xml:space="preserve"> </w:t>
      </w:r>
    </w:p>
    <w:p>
      <w:pPr>
        <w:pStyle w:val="Subsection"/>
        <w:rPr>
          <w:snapToGrid w:val="0"/>
        </w:rPr>
      </w:pPr>
      <w:r>
        <w:rPr>
          <w:snapToGrid w:val="0"/>
        </w:rPr>
        <w:tab/>
        <w:t>(1)</w:t>
      </w:r>
      <w:r>
        <w:rPr>
          <w:snapToGrid w:val="0"/>
        </w:rPr>
        <w:tab/>
        <w:t>Where a medical practitioner, dentist or veterinary surgeon in a case of emergency orally or by telephone or telegram directs the dispensing of a poison included in Schedule 8, he shall forthwith write a prescription complying with the conditions prescribed in regulation 51, mark such prescription so as to show clearly that it is in confirmation of the directions given by him orally or by telephone or telegram, and dispatch such prescription within 24 hours to the person by whom the poison included in Schedule 8 was dispensed.</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 him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w:t>
      </w:r>
    </w:p>
    <w:p>
      <w:pPr>
        <w:pStyle w:val="Ednotedivision"/>
        <w:spacing w:before="120"/>
      </w:pPr>
      <w:r>
        <w:t>[Heading deleted in Gazette 12 Aug 2003 p. 3663.]</w:t>
      </w:r>
    </w:p>
    <w:p>
      <w:pPr>
        <w:pStyle w:val="Heading5"/>
        <w:spacing w:before="180"/>
        <w:rPr>
          <w:snapToGrid w:val="0"/>
        </w:rPr>
      </w:pPr>
      <w:bookmarkStart w:id="281" w:name="_Toc389746419"/>
      <w:bookmarkStart w:id="282" w:name="_Toc389746594"/>
      <w:r>
        <w:rPr>
          <w:rStyle w:val="CharSectno"/>
        </w:rPr>
        <w:t>53A</w:t>
      </w:r>
      <w:r>
        <w:rPr>
          <w:snapToGrid w:val="0"/>
        </w:rPr>
        <w:t>.</w:t>
      </w:r>
      <w:r>
        <w:rPr>
          <w:snapToGrid w:val="0"/>
        </w:rPr>
        <w:tab/>
        <w:t>Dispensing certain poisons included in Schedule 8</w:t>
      </w:r>
      <w:bookmarkEnd w:id="281"/>
      <w:bookmarkEnd w:id="282"/>
      <w:r>
        <w:rPr>
          <w:snapToGrid w:val="0"/>
        </w:rPr>
        <w:t xml:space="preserve"> </w:t>
      </w:r>
    </w:p>
    <w:p>
      <w:pPr>
        <w:pStyle w:val="Subsection"/>
        <w:spacing w:after="120"/>
        <w:rPr>
          <w:snapToGrid w:val="0"/>
        </w:rPr>
      </w:pPr>
      <w:r>
        <w:rPr>
          <w:snapToGrid w:val="0"/>
        </w:rPr>
        <w:tab/>
        <w:t>(1)</w:t>
      </w:r>
      <w:r>
        <w:rPr>
          <w:snapToGrid w:val="0"/>
        </w:rPr>
        <w:tab/>
        <w:t xml:space="preserve">A person shall not dispense a prescription for or supply upon a prescription any of the following poisons included in Schedule 8, namely — </w:t>
      </w:r>
    </w:p>
    <w:tbl>
      <w:tblPr>
        <w:tblW w:w="0" w:type="auto"/>
        <w:tblInd w:w="1134" w:type="dxa"/>
        <w:tblLayout w:type="fixed"/>
        <w:tblLook w:val="0000" w:firstRow="0" w:lastRow="0" w:firstColumn="0" w:lastColumn="0" w:noHBand="0" w:noVBand="0"/>
      </w:tblPr>
      <w:tblGrid>
        <w:gridCol w:w="2660"/>
      </w:tblGrid>
      <w:tr>
        <w:tc>
          <w:tcPr>
            <w:tcW w:w="2660" w:type="dxa"/>
          </w:tcPr>
          <w:p>
            <w:pPr>
              <w:pStyle w:val="Table"/>
              <w:spacing w:before="20" w:after="20"/>
            </w:pPr>
            <w:r>
              <w:t>Amphetamine</w:t>
            </w:r>
          </w:p>
        </w:tc>
      </w:tr>
      <w:tr>
        <w:tc>
          <w:tcPr>
            <w:tcW w:w="2660" w:type="dxa"/>
          </w:tcPr>
          <w:p>
            <w:pPr>
              <w:pStyle w:val="Table"/>
              <w:spacing w:before="20" w:after="20"/>
              <w:rPr>
                <w:snapToGrid w:val="0"/>
              </w:rPr>
            </w:pPr>
            <w:r>
              <w:t>Buprenorphine</w:t>
            </w:r>
            <w:r>
              <w:rPr>
                <w:snapToGrid w:val="0"/>
              </w:rPr>
              <w:t xml:space="preserve"> </w:t>
            </w:r>
          </w:p>
        </w:tc>
      </w:tr>
      <w:tr>
        <w:tc>
          <w:tcPr>
            <w:tcW w:w="2660" w:type="dxa"/>
          </w:tcPr>
          <w:p>
            <w:pPr>
              <w:pStyle w:val="Table"/>
              <w:spacing w:before="20" w:after="20"/>
            </w:pPr>
            <w:r>
              <w:t>Dexamphetamine</w:t>
            </w:r>
          </w:p>
        </w:tc>
      </w:tr>
      <w:tr>
        <w:tc>
          <w:tcPr>
            <w:tcW w:w="2660" w:type="dxa"/>
          </w:tcPr>
          <w:p>
            <w:pPr>
              <w:pStyle w:val="Table"/>
              <w:spacing w:before="20" w:after="20"/>
              <w:rPr>
                <w:snapToGrid w:val="0"/>
              </w:rPr>
            </w:pPr>
            <w:r>
              <w:rPr>
                <w:snapToGrid w:val="0"/>
              </w:rPr>
              <w:t>Dextromoramide</w:t>
            </w:r>
          </w:p>
        </w:tc>
      </w:tr>
      <w:tr>
        <w:tc>
          <w:tcPr>
            <w:tcW w:w="2660" w:type="dxa"/>
          </w:tcPr>
          <w:p>
            <w:pPr>
              <w:pStyle w:val="Table"/>
              <w:spacing w:before="20" w:after="20"/>
              <w:rPr>
                <w:snapToGrid w:val="0"/>
              </w:rPr>
            </w:pPr>
            <w:r>
              <w:rPr>
                <w:snapToGrid w:val="0"/>
              </w:rPr>
              <w:t>Flunitrazepam</w:t>
            </w:r>
          </w:p>
        </w:tc>
      </w:tr>
      <w:tr>
        <w:tc>
          <w:tcPr>
            <w:tcW w:w="2660" w:type="dxa"/>
          </w:tcPr>
          <w:p>
            <w:pPr>
              <w:pStyle w:val="Table"/>
              <w:spacing w:before="20" w:after="20"/>
              <w:rPr>
                <w:snapToGrid w:val="0"/>
              </w:rPr>
            </w:pPr>
            <w:r>
              <w:rPr>
                <w:snapToGrid w:val="0"/>
              </w:rPr>
              <w:t>Hydromorphone</w:t>
            </w:r>
          </w:p>
        </w:tc>
      </w:tr>
      <w:tr>
        <w:tc>
          <w:tcPr>
            <w:tcW w:w="2660" w:type="dxa"/>
          </w:tcPr>
          <w:p>
            <w:pPr>
              <w:pStyle w:val="Table"/>
              <w:spacing w:before="20" w:after="20"/>
              <w:rPr>
                <w:snapToGrid w:val="0"/>
              </w:rPr>
            </w:pPr>
            <w:r>
              <w:rPr>
                <w:snapToGrid w:val="0"/>
              </w:rPr>
              <w:t>Methadone</w:t>
            </w:r>
          </w:p>
        </w:tc>
      </w:tr>
      <w:tr>
        <w:tc>
          <w:tcPr>
            <w:tcW w:w="2660" w:type="dxa"/>
          </w:tcPr>
          <w:p>
            <w:pPr>
              <w:pStyle w:val="Table"/>
              <w:spacing w:before="20" w:after="20"/>
            </w:pPr>
            <w:r>
              <w:t>Methylamphetamine</w:t>
            </w:r>
          </w:p>
        </w:tc>
      </w:tr>
      <w:tr>
        <w:tc>
          <w:tcPr>
            <w:tcW w:w="2660" w:type="dxa"/>
          </w:tcPr>
          <w:p>
            <w:pPr>
              <w:pStyle w:val="Table"/>
              <w:spacing w:before="20" w:after="20"/>
            </w:pPr>
            <w:r>
              <w:t>Methylphenidate</w:t>
            </w:r>
          </w:p>
        </w:tc>
      </w:tr>
      <w:tr>
        <w:tc>
          <w:tcPr>
            <w:tcW w:w="2660" w:type="dxa"/>
          </w:tcPr>
          <w:p>
            <w:pPr>
              <w:pStyle w:val="Table"/>
              <w:spacing w:before="20" w:after="20"/>
              <w:rPr>
                <w:snapToGrid w:val="0"/>
              </w:rPr>
            </w:pPr>
            <w:r>
              <w:rPr>
                <w:snapToGrid w:val="0"/>
              </w:rPr>
              <w:t>Morphine</w:t>
            </w:r>
          </w:p>
        </w:tc>
      </w:tr>
      <w:tr>
        <w:tc>
          <w:tcPr>
            <w:tcW w:w="2660" w:type="dxa"/>
          </w:tcPr>
          <w:p>
            <w:pPr>
              <w:pStyle w:val="Table"/>
              <w:spacing w:before="20" w:after="20"/>
              <w:rPr>
                <w:snapToGrid w:val="0"/>
              </w:rPr>
            </w:pPr>
            <w:r>
              <w:t>Oxycodone</w:t>
            </w:r>
          </w:p>
        </w:tc>
      </w:tr>
      <w:tr>
        <w:tc>
          <w:tcPr>
            <w:tcW w:w="2660" w:type="dxa"/>
          </w:tcPr>
          <w:p>
            <w:pPr>
              <w:pStyle w:val="Table"/>
              <w:spacing w:before="20" w:after="20"/>
            </w:pPr>
            <w:r>
              <w:rPr>
                <w:snapToGrid w:val="0"/>
              </w:rPr>
              <w:t>Pethidine</w:t>
            </w:r>
            <w:r>
              <w:t xml:space="preserve"> </w:t>
            </w:r>
          </w:p>
        </w:tc>
      </w:tr>
      <w:tr>
        <w:tc>
          <w:tcPr>
            <w:tcW w:w="2660" w:type="dxa"/>
          </w:tcPr>
          <w:p>
            <w:pPr>
              <w:pStyle w:val="Table"/>
              <w:spacing w:before="20" w:after="2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he is familiar with the prescriber’s handwriting; or</w:t>
      </w:r>
    </w:p>
    <w:p>
      <w:pPr>
        <w:pStyle w:val="Indenta"/>
        <w:rPr>
          <w:snapToGrid w:val="0"/>
        </w:rPr>
      </w:pPr>
      <w:r>
        <w:rPr>
          <w:snapToGrid w:val="0"/>
        </w:rPr>
        <w:tab/>
        <w:t>(b)</w:t>
      </w:r>
      <w:r>
        <w:rPr>
          <w:snapToGrid w:val="0"/>
        </w:rPr>
        <w:tab/>
        <w:t>he has verified with the purported prescriber that the prescription was written by him.</w:t>
      </w:r>
    </w:p>
    <w:p>
      <w:pPr>
        <w:pStyle w:val="Subsection"/>
        <w:rPr>
          <w:snapToGrid w:val="0"/>
        </w:rPr>
      </w:pPr>
      <w:r>
        <w:rPr>
          <w:snapToGrid w:val="0"/>
        </w:rPr>
        <w:tab/>
        <w:t>(2)</w:t>
      </w:r>
      <w:r>
        <w:rPr>
          <w:snapToGrid w:val="0"/>
        </w:rPr>
        <w:tab/>
        <w:t>Where a person cannot comply with subregulation (1), for good cause, 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w:t>
      </w:r>
    </w:p>
    <w:p>
      <w:pPr>
        <w:pStyle w:val="Ednotedivision"/>
      </w:pPr>
      <w:r>
        <w:t>[Heading deleted in Gazette 12 Aug 2003 p. 3663.]</w:t>
      </w:r>
    </w:p>
    <w:p>
      <w:pPr>
        <w:pStyle w:val="Heading5"/>
        <w:rPr>
          <w:snapToGrid w:val="0"/>
        </w:rPr>
      </w:pPr>
      <w:bookmarkStart w:id="283" w:name="_Toc389746420"/>
      <w:bookmarkStart w:id="284" w:name="_Toc389746595"/>
      <w:r>
        <w:rPr>
          <w:rStyle w:val="CharSectno"/>
        </w:rPr>
        <w:t>54</w:t>
      </w:r>
      <w:r>
        <w:rPr>
          <w:snapToGrid w:val="0"/>
        </w:rPr>
        <w:t>.</w:t>
      </w:r>
      <w:r>
        <w:rPr>
          <w:snapToGrid w:val="0"/>
        </w:rPr>
        <w:tab/>
        <w:t>Delivery of poisons included in Schedule 8 on order</w:t>
      </w:r>
      <w:bookmarkEnd w:id="283"/>
      <w:bookmarkEnd w:id="284"/>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behalf, and unless the person supplying the poison included in Schedule 8 is satisfied that the authority is genuine.</w:t>
      </w:r>
    </w:p>
    <w:p>
      <w:pPr>
        <w:pStyle w:val="Subsection"/>
        <w:spacing w:before="20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w:t>
      </w:r>
    </w:p>
    <w:p>
      <w:pPr>
        <w:pStyle w:val="Heading5"/>
        <w:spacing w:before="260"/>
        <w:rPr>
          <w:snapToGrid w:val="0"/>
        </w:rPr>
      </w:pPr>
      <w:bookmarkStart w:id="285" w:name="_Toc389746421"/>
      <w:bookmarkStart w:id="286" w:name="_Toc389746596"/>
      <w:r>
        <w:rPr>
          <w:rStyle w:val="CharSectno"/>
        </w:rPr>
        <w:t>54A</w:t>
      </w:r>
      <w:r>
        <w:rPr>
          <w:snapToGrid w:val="0"/>
        </w:rPr>
        <w:t>.</w:t>
      </w:r>
      <w:r>
        <w:rPr>
          <w:snapToGrid w:val="0"/>
        </w:rPr>
        <w:tab/>
        <w:t>Packaging of drugs of addiction</w:t>
      </w:r>
      <w:bookmarkEnd w:id="285"/>
      <w:bookmarkEnd w:id="286"/>
      <w:r>
        <w:rPr>
          <w:snapToGrid w:val="0"/>
        </w:rPr>
        <w:t xml:space="preserve"> </w:t>
      </w:r>
    </w:p>
    <w:p>
      <w:pPr>
        <w:pStyle w:val="Subsection"/>
        <w:spacing w:before="20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260"/>
      </w:pPr>
      <w:r>
        <w:t>[Heading deleted in Gazette 12 Aug 2003 p. 3663.]</w:t>
      </w:r>
    </w:p>
    <w:p>
      <w:pPr>
        <w:pStyle w:val="Heading5"/>
        <w:spacing w:before="260"/>
        <w:rPr>
          <w:snapToGrid w:val="0"/>
        </w:rPr>
      </w:pPr>
      <w:bookmarkStart w:id="287" w:name="_Toc389746422"/>
      <w:bookmarkStart w:id="288" w:name="_Toc389746597"/>
      <w:r>
        <w:rPr>
          <w:rStyle w:val="CharSectno"/>
        </w:rPr>
        <w:t>55</w:t>
      </w:r>
      <w:r>
        <w:rPr>
          <w:snapToGrid w:val="0"/>
        </w:rPr>
        <w:t>.</w:t>
      </w:r>
      <w:r>
        <w:rPr>
          <w:snapToGrid w:val="0"/>
        </w:rPr>
        <w:tab/>
        <w:t>Common carrier protected</w:t>
      </w:r>
      <w:bookmarkEnd w:id="287"/>
      <w:bookmarkEnd w:id="288"/>
      <w:r>
        <w:rPr>
          <w:snapToGrid w:val="0"/>
        </w:rPr>
        <w:t xml:space="preserve"> </w:t>
      </w:r>
    </w:p>
    <w:p>
      <w:pPr>
        <w:pStyle w:val="Subsection"/>
        <w:spacing w:before="200"/>
        <w:rPr>
          <w:snapToGrid w:val="0"/>
        </w:rPr>
      </w:pPr>
      <w:r>
        <w:rPr>
          <w:snapToGrid w:val="0"/>
        </w:rPr>
        <w:tab/>
      </w:r>
      <w:r>
        <w:rPr>
          <w:snapToGrid w:val="0"/>
        </w:rPr>
        <w:tab/>
        <w:t>A common carrier or his employee is hereby authorised to be in possession of any drug of addiction so far only as the possession is necessary for the transport of the drug of addiction in the ordinary course of business.</w:t>
      </w:r>
    </w:p>
    <w:p>
      <w:pPr>
        <w:pStyle w:val="Ednotedivision"/>
        <w:spacing w:before="260"/>
      </w:pPr>
      <w:r>
        <w:t>[Heading deleted in Gazette 12 Aug 2003 p. 3663.]</w:t>
      </w:r>
    </w:p>
    <w:p>
      <w:pPr>
        <w:pStyle w:val="Heading3"/>
        <w:keepLines/>
      </w:pPr>
      <w:bookmarkStart w:id="289" w:name="_Toc389746423"/>
      <w:bookmarkStart w:id="290" w:name="_Toc389746598"/>
      <w:r>
        <w:rPr>
          <w:rStyle w:val="CharDivNo"/>
        </w:rPr>
        <w:t>Division 4</w:t>
      </w:r>
      <w:r>
        <w:t xml:space="preserve"> — </w:t>
      </w:r>
      <w:r>
        <w:rPr>
          <w:rStyle w:val="CharDivText"/>
        </w:rPr>
        <w:t>Safe custody</w:t>
      </w:r>
      <w:bookmarkEnd w:id="289"/>
      <w:bookmarkEnd w:id="290"/>
    </w:p>
    <w:p>
      <w:pPr>
        <w:pStyle w:val="Footnoteheading"/>
        <w:keepNext/>
        <w:keepLines/>
        <w:rPr>
          <w:i w:val="0"/>
        </w:rPr>
      </w:pPr>
      <w:r>
        <w:tab/>
        <w:t>[Heading inserted in Gazette 12 Aug 2003 p. 3665.]</w:t>
      </w:r>
    </w:p>
    <w:p>
      <w:pPr>
        <w:pStyle w:val="Heading5"/>
        <w:rPr>
          <w:snapToGrid w:val="0"/>
        </w:rPr>
      </w:pPr>
      <w:bookmarkStart w:id="291" w:name="_Toc389746424"/>
      <w:bookmarkStart w:id="292" w:name="_Toc389746599"/>
      <w:r>
        <w:rPr>
          <w:rStyle w:val="CharSectno"/>
        </w:rPr>
        <w:t>56</w:t>
      </w:r>
      <w:r>
        <w:rPr>
          <w:snapToGrid w:val="0"/>
        </w:rPr>
        <w:t>.</w:t>
      </w:r>
      <w:r>
        <w:rPr>
          <w:snapToGrid w:val="0"/>
        </w:rPr>
        <w:tab/>
        <w:t>Storing and securing drugs of addiction</w:t>
      </w:r>
      <w:bookmarkEnd w:id="291"/>
      <w:bookmarkEnd w:id="292"/>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293" w:name="_Toc389746425"/>
      <w:bookmarkStart w:id="294" w:name="_Toc389746600"/>
      <w:r>
        <w:rPr>
          <w:rStyle w:val="CharSectno"/>
        </w:rPr>
        <w:t>56A</w:t>
      </w:r>
      <w:r>
        <w:rPr>
          <w:snapToGrid w:val="0"/>
        </w:rPr>
        <w:t>.</w:t>
      </w:r>
      <w:r>
        <w:rPr>
          <w:snapToGrid w:val="0"/>
        </w:rPr>
        <w:tab/>
        <w:t>Prescribed amount of poisons included in Schedule 8</w:t>
      </w:r>
      <w:bookmarkEnd w:id="293"/>
      <w:bookmarkEnd w:id="294"/>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Repealed in Gazette 25 Jun 1993 p. 3081.] </w:t>
      </w:r>
    </w:p>
    <w:p>
      <w:pPr>
        <w:pStyle w:val="Heading5"/>
        <w:spacing w:before="260"/>
        <w:rPr>
          <w:snapToGrid w:val="0"/>
        </w:rPr>
      </w:pPr>
      <w:bookmarkStart w:id="295" w:name="_Toc389746426"/>
      <w:bookmarkStart w:id="296" w:name="_Toc389746601"/>
      <w:r>
        <w:rPr>
          <w:rStyle w:val="CharSectno"/>
        </w:rPr>
        <w:t>56B</w:t>
      </w:r>
      <w:r>
        <w:rPr>
          <w:snapToGrid w:val="0"/>
        </w:rPr>
        <w:t>.</w:t>
      </w:r>
      <w:r>
        <w:rPr>
          <w:snapToGrid w:val="0"/>
        </w:rPr>
        <w:tab/>
        <w:t>Location of safe in premises</w:t>
      </w:r>
      <w:bookmarkEnd w:id="295"/>
      <w:bookmarkEnd w:id="29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297" w:name="_Toc389746427"/>
      <w:bookmarkStart w:id="298" w:name="_Toc389746602"/>
      <w:r>
        <w:rPr>
          <w:rStyle w:val="CharSectno"/>
        </w:rPr>
        <w:t>56C</w:t>
      </w:r>
      <w:r>
        <w:rPr>
          <w:snapToGrid w:val="0"/>
        </w:rPr>
        <w:t>.</w:t>
      </w:r>
      <w:r>
        <w:rPr>
          <w:snapToGrid w:val="0"/>
        </w:rPr>
        <w:tab/>
        <w:t>Authorised persons to keep keys to safes</w:t>
      </w:r>
      <w:bookmarkEnd w:id="297"/>
      <w:bookmarkEnd w:id="298"/>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pPr>
      <w:r>
        <w:tab/>
        <w:t xml:space="preserve">[Regulation 56C inserted in Gazette 25 Jun 1993 p. 3082; amended in Gazette 26 May 1994 p. 2201; 15 Dec 2006 p. 5630-1.] </w:t>
      </w:r>
    </w:p>
    <w:p>
      <w:pPr>
        <w:pStyle w:val="Heading5"/>
        <w:rPr>
          <w:snapToGrid w:val="0"/>
        </w:rPr>
      </w:pPr>
      <w:bookmarkStart w:id="299" w:name="_Toc389746428"/>
      <w:bookmarkStart w:id="300" w:name="_Toc389746603"/>
      <w:r>
        <w:rPr>
          <w:rStyle w:val="CharSectno"/>
        </w:rPr>
        <w:t>56D</w:t>
      </w:r>
      <w:r>
        <w:rPr>
          <w:snapToGrid w:val="0"/>
        </w:rPr>
        <w:t>.</w:t>
      </w:r>
      <w:r>
        <w:rPr>
          <w:snapToGrid w:val="0"/>
        </w:rPr>
        <w:tab/>
        <w:t>Safes to be kept locked</w:t>
      </w:r>
      <w:bookmarkEnd w:id="299"/>
      <w:bookmarkEnd w:id="300"/>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301" w:name="_Toc389746429"/>
      <w:bookmarkStart w:id="302" w:name="_Toc389746604"/>
      <w:r>
        <w:rPr>
          <w:rStyle w:val="CharSectno"/>
        </w:rPr>
        <w:t>56E</w:t>
      </w:r>
      <w:r>
        <w:rPr>
          <w:snapToGrid w:val="0"/>
        </w:rPr>
        <w:t>.</w:t>
      </w:r>
      <w:r>
        <w:rPr>
          <w:snapToGrid w:val="0"/>
        </w:rPr>
        <w:tab/>
        <w:t>Pharmacist present on premises</w:t>
      </w:r>
      <w:bookmarkEnd w:id="301"/>
      <w:bookmarkEnd w:id="302"/>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303" w:name="_Toc389746430"/>
      <w:bookmarkStart w:id="304" w:name="_Toc389746605"/>
      <w:r>
        <w:rPr>
          <w:rStyle w:val="CharSectno"/>
        </w:rPr>
        <w:t>56F</w:t>
      </w:r>
      <w:r>
        <w:rPr>
          <w:snapToGrid w:val="0"/>
        </w:rPr>
        <w:t>.</w:t>
      </w:r>
      <w:r>
        <w:rPr>
          <w:snapToGrid w:val="0"/>
        </w:rPr>
        <w:tab/>
        <w:t>Keys to, and locking of, poisons cupboards and lockable drawers</w:t>
      </w:r>
      <w:bookmarkEnd w:id="303"/>
      <w:bookmarkEnd w:id="304"/>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305" w:name="_Toc389746431"/>
      <w:bookmarkStart w:id="306" w:name="_Toc389746606"/>
      <w:r>
        <w:rPr>
          <w:rStyle w:val="CharSectno"/>
        </w:rPr>
        <w:t>56G</w:t>
      </w:r>
      <w:r>
        <w:rPr>
          <w:snapToGrid w:val="0"/>
        </w:rPr>
        <w:t>.</w:t>
      </w:r>
      <w:r>
        <w:rPr>
          <w:snapToGrid w:val="0"/>
        </w:rPr>
        <w:tab/>
        <w:t>Poisons included in Schedule 8 in hospital ward</w:t>
      </w:r>
      <w:bookmarkEnd w:id="305"/>
      <w:bookmarkEnd w:id="306"/>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307" w:name="_Toc389746432"/>
      <w:bookmarkStart w:id="308" w:name="_Toc389746607"/>
      <w:r>
        <w:rPr>
          <w:rStyle w:val="CharSectno"/>
        </w:rPr>
        <w:t>56H</w:t>
      </w:r>
      <w:r>
        <w:rPr>
          <w:snapToGrid w:val="0"/>
        </w:rPr>
        <w:t>.</w:t>
      </w:r>
      <w:r>
        <w:rPr>
          <w:snapToGrid w:val="0"/>
        </w:rPr>
        <w:tab/>
        <w:t>Keys to, and locking of, cupboards in hospital wards</w:t>
      </w:r>
      <w:bookmarkEnd w:id="307"/>
      <w:bookmarkEnd w:id="308"/>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309" w:name="_Toc389746433"/>
      <w:bookmarkStart w:id="310" w:name="_Toc389746608"/>
      <w:r>
        <w:rPr>
          <w:rStyle w:val="CharDivNo"/>
        </w:rPr>
        <w:t>Division 5</w:t>
      </w:r>
      <w:r>
        <w:t xml:space="preserve"> — </w:t>
      </w:r>
      <w:r>
        <w:rPr>
          <w:rStyle w:val="CharDivText"/>
        </w:rPr>
        <w:t>Restrictions on supply</w:t>
      </w:r>
      <w:bookmarkEnd w:id="309"/>
      <w:bookmarkEnd w:id="310"/>
    </w:p>
    <w:p>
      <w:pPr>
        <w:pStyle w:val="Footnoteheading"/>
        <w:rPr>
          <w:i w:val="0"/>
        </w:rPr>
      </w:pPr>
      <w:r>
        <w:tab/>
        <w:t>[Heading inserted in Gazette 12 Aug 2003 p. 3665.]</w:t>
      </w:r>
    </w:p>
    <w:p>
      <w:pPr>
        <w:pStyle w:val="Heading5"/>
        <w:rPr>
          <w:snapToGrid w:val="0"/>
        </w:rPr>
      </w:pPr>
      <w:bookmarkStart w:id="311" w:name="_Toc389746434"/>
      <w:bookmarkStart w:id="312" w:name="_Toc389746609"/>
      <w:r>
        <w:rPr>
          <w:rStyle w:val="CharSectno"/>
        </w:rPr>
        <w:t>57</w:t>
      </w:r>
      <w:r>
        <w:rPr>
          <w:snapToGrid w:val="0"/>
        </w:rPr>
        <w:t>.</w:t>
      </w:r>
      <w:r>
        <w:rPr>
          <w:snapToGrid w:val="0"/>
        </w:rPr>
        <w:tab/>
        <w:t>Labelling</w:t>
      </w:r>
      <w:bookmarkEnd w:id="311"/>
      <w:bookmarkEnd w:id="312"/>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313" w:name="_Toc389746435"/>
      <w:bookmarkStart w:id="314" w:name="_Toc389746610"/>
      <w:r>
        <w:rPr>
          <w:rStyle w:val="CharSectno"/>
        </w:rPr>
        <w:t>58</w:t>
      </w:r>
      <w:r>
        <w:rPr>
          <w:snapToGrid w:val="0"/>
        </w:rPr>
        <w:t>.</w:t>
      </w:r>
      <w:r>
        <w:rPr>
          <w:snapToGrid w:val="0"/>
        </w:rPr>
        <w:tab/>
        <w:t>Improper prescribing or use of drugs of addiction</w:t>
      </w:r>
      <w:bookmarkEnd w:id="313"/>
      <w:bookmarkEnd w:id="314"/>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315" w:name="_Toc389746436"/>
      <w:bookmarkStart w:id="316" w:name="_Toc389746611"/>
      <w:r>
        <w:rPr>
          <w:rStyle w:val="CharPartNo"/>
        </w:rPr>
        <w:t>Part 7</w:t>
      </w:r>
      <w:r>
        <w:rPr>
          <w:rStyle w:val="CharDivNo"/>
        </w:rPr>
        <w:t> </w:t>
      </w:r>
      <w:r>
        <w:t>—</w:t>
      </w:r>
      <w:r>
        <w:rPr>
          <w:rStyle w:val="CharDivText"/>
        </w:rPr>
        <w:t> </w:t>
      </w:r>
      <w:r>
        <w:rPr>
          <w:rStyle w:val="CharPartText"/>
        </w:rPr>
        <w:t>Miscellaneous provisions</w:t>
      </w:r>
      <w:bookmarkEnd w:id="315"/>
      <w:bookmarkEnd w:id="316"/>
    </w:p>
    <w:p>
      <w:pPr>
        <w:pStyle w:val="Footnoteheading"/>
      </w:pPr>
      <w:r>
        <w:tab/>
        <w:t>[Heading inserted in Gazette 12 Aug 2003 p. 3665.]</w:t>
      </w:r>
    </w:p>
    <w:p>
      <w:pPr>
        <w:pStyle w:val="Heading5"/>
        <w:rPr>
          <w:snapToGrid w:val="0"/>
        </w:rPr>
      </w:pPr>
      <w:bookmarkStart w:id="317" w:name="_Toc389746437"/>
      <w:bookmarkStart w:id="318" w:name="_Toc389746612"/>
      <w:r>
        <w:rPr>
          <w:rStyle w:val="CharSectno"/>
        </w:rPr>
        <w:t>59</w:t>
      </w:r>
      <w:r>
        <w:rPr>
          <w:snapToGrid w:val="0"/>
        </w:rPr>
        <w:t>.</w:t>
      </w:r>
      <w:r>
        <w:rPr>
          <w:snapToGrid w:val="0"/>
        </w:rPr>
        <w:tab/>
        <w:t>Names of persons from whom licence or authority withdrawn to be published</w:t>
      </w:r>
      <w:bookmarkEnd w:id="317"/>
      <w:bookmarkEnd w:id="318"/>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Repealed in Gazette 30 Dec 2004 p. 6943.]</w:t>
      </w:r>
    </w:p>
    <w:p>
      <w:pPr>
        <w:pStyle w:val="Heading5"/>
        <w:rPr>
          <w:snapToGrid w:val="0"/>
        </w:rPr>
      </w:pPr>
      <w:bookmarkStart w:id="319" w:name="_Toc389746438"/>
      <w:bookmarkStart w:id="320" w:name="_Toc389746613"/>
      <w:r>
        <w:rPr>
          <w:rStyle w:val="CharSectno"/>
        </w:rPr>
        <w:t>64</w:t>
      </w:r>
      <w:r>
        <w:rPr>
          <w:snapToGrid w:val="0"/>
        </w:rPr>
        <w:t>.</w:t>
      </w:r>
      <w:r>
        <w:rPr>
          <w:snapToGrid w:val="0"/>
        </w:rPr>
        <w:tab/>
        <w:t>Substitution of one brand of a drug for another</w:t>
      </w:r>
      <w:bookmarkEnd w:id="319"/>
      <w:bookmarkEnd w:id="32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approved name</w:t>
      </w:r>
      <w:r>
        <w:rPr>
          <w:b/>
        </w:rPr>
        <w:t>”</w:t>
      </w:r>
      <w:r>
        <w:t>, in relation to a poison, means the name for the poison that is listed in the Australian Register of Therapeutic Goods, other than a brand of the poison;</w:t>
      </w:r>
    </w:p>
    <w:p>
      <w:pPr>
        <w:pStyle w:val="Defstart"/>
      </w:pPr>
      <w:r>
        <w:rPr>
          <w:b/>
        </w:rPr>
        <w:tab/>
        <w:t>“</w:t>
      </w:r>
      <w:r>
        <w:rPr>
          <w:rStyle w:val="CharDefText"/>
        </w:rPr>
        <w:t>Australian Register of Therapeutic Goods</w:t>
      </w:r>
      <w:r>
        <w:rPr>
          <w:b/>
        </w:rPr>
        <w:t>”</w:t>
      </w:r>
      <w:r>
        <w:t xml:space="preserve"> means the register of that name maintained under section 17 of the </w:t>
      </w:r>
      <w:r>
        <w:rPr>
          <w:i/>
        </w:rPr>
        <w:t>Therapeutic Goods Act 1989</w:t>
      </w:r>
      <w:r>
        <w:t xml:space="preserve"> of the Commonwealth;</w:t>
      </w:r>
    </w:p>
    <w:p>
      <w:pPr>
        <w:pStyle w:val="Defstart"/>
      </w:pPr>
      <w:r>
        <w:rPr>
          <w:b/>
        </w:rPr>
        <w:tab/>
        <w:t>“</w:t>
      </w:r>
      <w:r>
        <w:rPr>
          <w:rStyle w:val="CharDefText"/>
        </w:rPr>
        <w:t>brand</w:t>
      </w:r>
      <w:r>
        <w:rPr>
          <w:b/>
        </w:rPr>
        <w:t>”</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321" w:name="_Toc389746439"/>
      <w:bookmarkStart w:id="322" w:name="_Toc389746614"/>
      <w:r>
        <w:rPr>
          <w:rStyle w:val="CharSectno"/>
        </w:rPr>
        <w:t>65</w:t>
      </w:r>
      <w:r>
        <w:rPr>
          <w:snapToGrid w:val="0"/>
        </w:rPr>
        <w:t>.</w:t>
      </w:r>
      <w:r>
        <w:rPr>
          <w:snapToGrid w:val="0"/>
        </w:rPr>
        <w:tab/>
        <w:t>Form of warrant (section 55A)</w:t>
      </w:r>
      <w:bookmarkEnd w:id="321"/>
      <w:bookmarkEnd w:id="322"/>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23" w:name="_Toc389746440"/>
      <w:bookmarkStart w:id="324" w:name="_Toc389746615"/>
      <w:r>
        <w:rPr>
          <w:rStyle w:val="CharSchNo"/>
        </w:rPr>
        <w:t>Appendix A</w:t>
      </w:r>
      <w:bookmarkEnd w:id="323"/>
      <w:bookmarkEnd w:id="324"/>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Table"/>
        <w:pageBreakBefore/>
        <w:jc w:val="center"/>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Table"/>
        <w:pageBreakBefore/>
        <w:jc w:val="center"/>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Table"/>
        <w:pageBreakBefore/>
        <w:jc w:val="center"/>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Table"/>
        <w:pageBreakBefore/>
        <w:jc w:val="center"/>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(2)</w:t>
      </w:r>
      <w:r>
        <w:rPr>
          <w:snapToGrid w:val="0"/>
        </w:rPr>
        <w:tab/>
        <w:t>the poisons will not be resold;</w:t>
      </w:r>
    </w:p>
    <w:p>
      <w:pPr>
        <w:pStyle w:val="yTable"/>
        <w:tabs>
          <w:tab w:val="left" w:pos="567"/>
          <w:tab w:val="left" w:pos="1134"/>
        </w:tabs>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Table"/>
        <w:pageBreakBefore/>
        <w:jc w:val="center"/>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rPr>
          <w:snapToGrid w:val="0"/>
        </w:rPr>
      </w:pPr>
      <w: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Table"/>
        <w:keepNext/>
        <w:jc w:val="center"/>
        <w:rPr>
          <w:snapToGrid w:val="0"/>
        </w:rPr>
      </w:pPr>
      <w:r>
        <w:rPr>
          <w:b/>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ind w:right="736"/>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jc w:val="right"/>
        <w:rPr>
          <w:snapToGrid w:val="0"/>
        </w:rPr>
      </w:pPr>
      <w:r>
        <w:rPr>
          <w:snapToGrid w:val="0"/>
        </w:rPr>
        <w:tab/>
      </w:r>
      <w:r>
        <w:rPr>
          <w:snapToGrid w:val="0"/>
        </w:rPr>
        <w:tab/>
      </w:r>
      <w:r>
        <w:rPr>
          <w:snapToGrid w:val="0"/>
        </w:rPr>
        <w:tab/>
      </w:r>
      <w:r>
        <w:rPr>
          <w:snapToGrid w:val="0"/>
        </w:rPr>
        <w:tab/>
      </w:r>
      <w:r>
        <w:rPr>
          <w:snapToGrid w:val="0"/>
        </w:rPr>
        <w:tab/>
        <w:t>.........................................</w:t>
      </w:r>
    </w:p>
    <w:p>
      <w:pPr>
        <w:pStyle w:val="yTable"/>
        <w:ind w:right="16"/>
        <w:jc w:val="right"/>
        <w:rPr>
          <w:snapToGrid w:val="0"/>
        </w:rPr>
      </w:pPr>
      <w: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Table"/>
        <w:pageBreakBefore/>
        <w:jc w:val="center"/>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Table"/>
        <w:pageBreakBefore/>
        <w:jc w:val="center"/>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Table"/>
        <w:pageBreakBefore/>
        <w:jc w:val="center"/>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b/>
          <w:snapToGrid w:val="0"/>
        </w:rPr>
      </w:pPr>
      <w:r>
        <w:t>CEO</w:t>
      </w:r>
    </w:p>
    <w:p>
      <w:pPr>
        <w:pStyle w:val="yTable"/>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Table"/>
        <w:pageBreakBefore/>
        <w:jc w:val="center"/>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Table"/>
        <w:pageBreakBefore/>
        <w:jc w:val="center"/>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pPr>
      <w:r>
        <w:t>[Appendix B repealed in Gazette 1 Oct 1993 p. 5361.]</w:t>
      </w:r>
    </w:p>
    <w:p>
      <w:pPr>
        <w:pStyle w:val="yEdnoteschedule"/>
      </w:pPr>
      <w:r>
        <w:t xml:space="preserve">[Appendices C, D and E repealed in Gazette 11 Nov 1988 p. 4444.] </w:t>
      </w:r>
    </w:p>
    <w:p>
      <w:pPr>
        <w:pStyle w:val="yEdnoteschedule"/>
      </w:pPr>
      <w:r>
        <w:t>[Appendix F repealed in Gazette 1 Aug 1986 p. 2739.]</w:t>
      </w:r>
    </w:p>
    <w:p>
      <w:pPr>
        <w:pStyle w:val="yScheduleHeading"/>
      </w:pPr>
      <w:bookmarkStart w:id="325" w:name="_Toc389746441"/>
      <w:bookmarkStart w:id="326" w:name="_Toc389746616"/>
      <w:r>
        <w:rPr>
          <w:rStyle w:val="CharSchNo"/>
        </w:rPr>
        <w:t>Appendix G</w:t>
      </w:r>
      <w:bookmarkEnd w:id="325"/>
      <w:bookmarkEnd w:id="326"/>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sz w:val="18"/>
              </w:rPr>
            </w:pPr>
            <w:r>
              <w:rPr>
                <w:b/>
                <w:sz w:val="18"/>
              </w:rPr>
              <w:t>Form</w:t>
            </w:r>
            <w:r>
              <w:rPr>
                <w:b/>
                <w:sz w:val="18"/>
              </w:rPr>
              <w:tab/>
              <w:t>Description of</w:t>
            </w:r>
          </w:p>
          <w:p>
            <w:pPr>
              <w:pStyle w:val="yTable"/>
              <w:tabs>
                <w:tab w:val="left" w:pos="1049"/>
              </w:tabs>
              <w:spacing w:before="0"/>
              <w:rPr>
                <w:b/>
                <w:sz w:val="18"/>
              </w:rPr>
            </w:pPr>
            <w:r>
              <w:rPr>
                <w:b/>
                <w:sz w:val="18"/>
              </w:rPr>
              <w:t>No.</w:t>
            </w:r>
            <w:r>
              <w:rPr>
                <w:b/>
                <w:sz w:val="18"/>
              </w:rPr>
              <w:tab/>
              <w:t>Licence or Permit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(3 years)</w:t>
            </w:r>
          </w:p>
          <w:p>
            <w:pPr>
              <w:pStyle w:val="yTable"/>
              <w:spacing w:before="0"/>
              <w:jc w:val="center"/>
              <w:rPr>
                <w:b/>
                <w:sz w:val="18"/>
              </w:rPr>
            </w:pPr>
            <w:r>
              <w:rPr>
                <w:b/>
                <w:sz w:val="18"/>
              </w:rPr>
              <w:t>$</w:t>
            </w:r>
          </w:p>
        </w:tc>
        <w:tc>
          <w:tcPr>
            <w:tcW w:w="993" w:type="dxa"/>
          </w:tcPr>
          <w:p>
            <w:pPr>
              <w:pStyle w:val="yTable"/>
              <w:spacing w:before="0"/>
              <w:jc w:val="center"/>
              <w:rPr>
                <w:b/>
                <w:sz w:val="18"/>
              </w:rPr>
            </w:pPr>
            <w:r>
              <w:rPr>
                <w:b/>
                <w:sz w:val="18"/>
              </w:rPr>
              <w:t>Renewal</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Renewal</w:t>
            </w:r>
          </w:p>
          <w:p>
            <w:pPr>
              <w:pStyle w:val="yTable"/>
              <w:spacing w:before="0"/>
              <w:jc w:val="center"/>
              <w:rPr>
                <w:b/>
                <w:sz w:val="18"/>
              </w:rPr>
            </w:pPr>
            <w:r>
              <w:rPr>
                <w:b/>
                <w:sz w:val="18"/>
              </w:rPr>
              <w:t>(3 years)</w:t>
            </w:r>
          </w:p>
          <w:p>
            <w:pPr>
              <w:pStyle w:val="yTable"/>
              <w:spacing w:before="0"/>
              <w:jc w:val="center"/>
              <w:rPr>
                <w:b/>
                <w:sz w:val="18"/>
              </w:rPr>
            </w:pPr>
            <w:r>
              <w:rPr>
                <w:b/>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3"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3"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3"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(Educational, advisory or research)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8AA.</w:t>
            </w:r>
            <w:r>
              <w:rPr>
                <w:sz w:val="18"/>
              </w:rPr>
              <w:tab/>
              <w:t>Poisons permit (Health services)</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pPr>
      <w:bookmarkStart w:id="327" w:name="_Toc389746442"/>
      <w:bookmarkStart w:id="328" w:name="_Toc389746617"/>
      <w:r>
        <w:rPr>
          <w:rStyle w:val="CharSchNo"/>
        </w:rPr>
        <w:t>Appendix H</w:t>
      </w:r>
      <w:bookmarkEnd w:id="327"/>
      <w:bookmarkEnd w:id="328"/>
    </w:p>
    <w:p>
      <w:pPr>
        <w:pStyle w:val="yHeading2"/>
      </w:pPr>
      <w:bookmarkStart w:id="329" w:name="_Toc389746443"/>
      <w:bookmarkStart w:id="330" w:name="_Toc389746618"/>
      <w:r>
        <w:rPr>
          <w:rStyle w:val="CharSchText"/>
        </w:rPr>
        <w:t>Schedule 4 substances referred to in regulation 39(1)</w:t>
      </w:r>
      <w:bookmarkEnd w:id="329"/>
      <w:bookmarkEnd w:id="330"/>
    </w:p>
    <w:p>
      <w:pPr>
        <w:pStyle w:val="yFootnoteheading"/>
      </w:pPr>
      <w:r>
        <w:tab/>
        <w:t>[Heading inserted in Gazette 8 Feb 1985 p. 520; amended in Gazette 19 Mar 1996 p. 1239.]</w:t>
      </w:r>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repealed in Gazette 23 May 1986 p. 1720.]</w:t>
      </w:r>
    </w:p>
    <w:p>
      <w:pPr>
        <w:pStyle w:val="yScheduleHeading"/>
      </w:pPr>
      <w:bookmarkStart w:id="331" w:name="_Toc389746444"/>
      <w:bookmarkStart w:id="332" w:name="_Toc389746619"/>
      <w:r>
        <w:rPr>
          <w:rStyle w:val="CharSchNo"/>
        </w:rPr>
        <w:t>Appendix J</w:t>
      </w:r>
      <w:bookmarkEnd w:id="331"/>
      <w:bookmarkEnd w:id="332"/>
    </w:p>
    <w:p>
      <w:pPr>
        <w:pStyle w:val="yShoulderClause"/>
        <w:rPr>
          <w:snapToGrid w:val="0"/>
        </w:rPr>
      </w:pPr>
      <w:r>
        <w:rPr>
          <w:snapToGrid w:val="0"/>
        </w:rPr>
        <w:t>(reg. 35A)</w:t>
      </w:r>
    </w:p>
    <w:p>
      <w:pPr>
        <w:pStyle w:val="yHeading2"/>
      </w:pPr>
      <w:bookmarkStart w:id="333" w:name="_Toc389746445"/>
      <w:bookmarkStart w:id="334" w:name="_Toc389746620"/>
      <w:r>
        <w:rPr>
          <w:rStyle w:val="CharSchText"/>
        </w:rPr>
        <w:t>Schedule 3 poison sales to be recorded</w:t>
      </w:r>
      <w:bookmarkEnd w:id="333"/>
      <w:bookmarkEnd w:id="334"/>
    </w:p>
    <w:p>
      <w:pPr>
        <w:pStyle w:val="yFootnoteheading"/>
        <w:ind w:left="0" w:firstLine="0"/>
      </w:pPr>
      <w:r>
        <w:tab/>
        <w:t>[Heading inserted in Gazette 20 Sep 1985 p. 3743.]</w:t>
      </w:r>
    </w:p>
    <w:p>
      <w:pPr>
        <w:pStyle w:val="yScheduleHeading2"/>
        <w:outlineLvl w:val="9"/>
        <w:rPr>
          <w:sz w:val="22"/>
        </w:rPr>
      </w:pPr>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yNumberedItem"/>
        <w:rPr>
          <w:snapToGrid w:val="0"/>
        </w:rPr>
      </w:pPr>
      <w:r>
        <w:rPr>
          <w:snapToGrid w:val="0"/>
        </w:rPr>
        <w:tab/>
        <w:t>NICOTINE,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w:t>
      </w:r>
    </w:p>
    <w:p>
      <w:pPr>
        <w:pStyle w:val="yEdnotedivision"/>
      </w:pPr>
      <w:r>
        <w:t>[Appendix K deleted in Gazette 19 Mar 1996 p. 1239.]</w:t>
      </w:r>
    </w:p>
    <w:p>
      <w:pPr>
        <w:pStyle w:val="yScheduleHeading"/>
      </w:pPr>
      <w:bookmarkStart w:id="335" w:name="_Toc389746446"/>
      <w:bookmarkStart w:id="336" w:name="_Toc389746621"/>
      <w:r>
        <w:rPr>
          <w:rStyle w:val="CharSchNo"/>
        </w:rPr>
        <w:t>Appendix L</w:t>
      </w:r>
      <w:bookmarkEnd w:id="335"/>
      <w:bookmarkEnd w:id="336"/>
    </w:p>
    <w:p>
      <w:pPr>
        <w:pStyle w:val="yShoulderClause"/>
        <w:spacing w:before="0"/>
        <w:rPr>
          <w:snapToGrid w:val="0"/>
        </w:rPr>
      </w:pPr>
      <w:r>
        <w:rPr>
          <w:snapToGrid w:val="0"/>
        </w:rPr>
        <w:t>(Regulations 37 and 51)</w:t>
      </w:r>
    </w:p>
    <w:p>
      <w:pPr>
        <w:pStyle w:val="yHeading2"/>
      </w:pPr>
      <w:bookmarkStart w:id="337" w:name="_Toc389746447"/>
      <w:bookmarkStart w:id="338" w:name="_Toc389746622"/>
      <w:r>
        <w:rPr>
          <w:rStyle w:val="CharSchText"/>
        </w:rPr>
        <w:t>Specified criteria for the generation of prescriptions by computer</w:t>
      </w:r>
      <w:bookmarkEnd w:id="337"/>
      <w:bookmarkEnd w:id="338"/>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339" w:name="_Toc389746448"/>
      <w:bookmarkStart w:id="340" w:name="_Toc389746623"/>
      <w:r>
        <w:rPr>
          <w:rStyle w:val="CharSchNo"/>
        </w:rPr>
        <w:t>Appendix M</w:t>
      </w:r>
      <w:bookmarkEnd w:id="339"/>
      <w:bookmarkEnd w:id="340"/>
    </w:p>
    <w:p>
      <w:pPr>
        <w:pStyle w:val="yShoulderClause"/>
        <w:rPr>
          <w:snapToGrid w:val="0"/>
        </w:rPr>
      </w:pPr>
      <w:r>
        <w:rPr>
          <w:snapToGrid w:val="0"/>
        </w:rPr>
        <w:t>[Regulations 56(1) and (2)]</w:t>
      </w:r>
    </w:p>
    <w:p>
      <w:pPr>
        <w:pStyle w:val="yHeading2"/>
      </w:pPr>
      <w:bookmarkStart w:id="341" w:name="_Toc389746449"/>
      <w:bookmarkStart w:id="342" w:name="_Toc389746624"/>
      <w:r>
        <w:rPr>
          <w:rStyle w:val="CharSchText"/>
        </w:rPr>
        <w:t>Safes and additional security for storing drugs of addiction</w:t>
      </w:r>
      <w:bookmarkEnd w:id="341"/>
      <w:bookmarkEnd w:id="342"/>
    </w:p>
    <w:p>
      <w:pPr>
        <w:pStyle w:val="yFootnoteheading"/>
      </w:pPr>
      <w:r>
        <w:tab/>
        <w:t>[Heading inserted in Gazette 25 Jun 1993 p. 3084.]</w:t>
      </w:r>
    </w:p>
    <w:p>
      <w:pPr>
        <w:pStyle w:val="yHeading5"/>
        <w:outlineLvl w:val="9"/>
        <w:rPr>
          <w:snapToGrid w:val="0"/>
        </w:rPr>
      </w:pPr>
      <w:bookmarkStart w:id="343" w:name="_Toc389746450"/>
      <w:bookmarkStart w:id="344" w:name="_Toc389746625"/>
      <w:r>
        <w:rPr>
          <w:rStyle w:val="CharSClsNo"/>
        </w:rPr>
        <w:t>1</w:t>
      </w:r>
      <w:r>
        <w:rPr>
          <w:snapToGrid w:val="0"/>
        </w:rPr>
        <w:t>.</w:t>
      </w:r>
      <w:r>
        <w:rPr>
          <w:snapToGrid w:val="0"/>
        </w:rPr>
        <w:tab/>
        <w:t>Safes</w:t>
      </w:r>
      <w:bookmarkEnd w:id="343"/>
      <w:bookmarkEnd w:id="344"/>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keepNext/>
      </w:pPr>
      <w:r>
        <w:rPr>
          <w:snapToGrid/>
        </w:rPr>
        <w:tab/>
        <w:t>[Clause 1 inserted in Gazette 25 Jun 1993 p. 3084;</w:t>
      </w:r>
      <w:r>
        <w:t xml:space="preserve"> amended in Gazette 24 Jun 1994 p. 2870.]</w:t>
      </w:r>
    </w:p>
    <w:p>
      <w:pPr>
        <w:pStyle w:val="yHeading5"/>
        <w:outlineLvl w:val="9"/>
        <w:rPr>
          <w:snapToGrid w:val="0"/>
        </w:rPr>
      </w:pPr>
      <w:bookmarkStart w:id="345" w:name="_Toc389746451"/>
      <w:bookmarkStart w:id="346" w:name="_Toc389746626"/>
      <w:r>
        <w:rPr>
          <w:rStyle w:val="CharSClsNo"/>
        </w:rPr>
        <w:t>2</w:t>
      </w:r>
      <w:r>
        <w:rPr>
          <w:snapToGrid w:val="0"/>
        </w:rPr>
        <w:t>.</w:t>
      </w:r>
      <w:r>
        <w:rPr>
          <w:snapToGrid w:val="0"/>
        </w:rPr>
        <w:tab/>
        <w:t>Additional security requirements</w:t>
      </w:r>
      <w:bookmarkEnd w:id="345"/>
      <w:bookmarkEnd w:id="346"/>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5</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347" w:name="_Toc389746452"/>
      <w:bookmarkStart w:id="348" w:name="_Toc389746627"/>
      <w:r>
        <w:t>Notes</w:t>
      </w:r>
      <w:bookmarkEnd w:id="347"/>
      <w:bookmarkEnd w:id="348"/>
    </w:p>
    <w:p>
      <w:pPr>
        <w:pStyle w:val="nSubsection"/>
        <w:rPr>
          <w:snapToGrid w:val="0"/>
        </w:rPr>
      </w:pPr>
      <w:r>
        <w:rPr>
          <w:snapToGrid w:val="0"/>
          <w:vertAlign w:val="superscript"/>
        </w:rPr>
        <w:t>1</w:t>
      </w:r>
      <w:r>
        <w:rPr>
          <w:snapToGrid w:val="0"/>
        </w:rPr>
        <w:tab/>
        <w:t xml:space="preserve">This is a compilation as at 5 May 2006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rPr>
          <w:snapToGrid w:val="0"/>
        </w:rPr>
      </w:pPr>
      <w:bookmarkStart w:id="349" w:name="_Toc389746453"/>
      <w:bookmarkStart w:id="350" w:name="_Toc389746628"/>
      <w:r>
        <w:rPr>
          <w:snapToGrid w:val="0"/>
        </w:rPr>
        <w:t>Compilation table</w:t>
      </w:r>
      <w:bookmarkEnd w:id="349"/>
      <w:bookmarkEnd w:id="3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7</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 xml:space="preserve">Untitled regulations </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1996</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17 Jan 1996 p. 267</w:t>
            </w:r>
          </w:p>
        </w:tc>
        <w:tc>
          <w:tcPr>
            <w:tcW w:w="2693" w:type="dxa"/>
          </w:tcPr>
          <w:p>
            <w:pPr>
              <w:pStyle w:val="nTable"/>
              <w:spacing w:after="40"/>
              <w:rPr>
                <w:sz w:val="19"/>
              </w:rPr>
            </w:pPr>
            <w:r>
              <w:rPr>
                <w:sz w:val="19"/>
              </w:rPr>
              <w:t>17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8</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Poisons Amendment Regulations (No. 2) 2006</w:t>
            </w:r>
          </w:p>
        </w:tc>
        <w:tc>
          <w:tcPr>
            <w:tcW w:w="1276" w:type="dxa"/>
            <w:tcBorders>
              <w:bottom w:val="single" w:sz="4" w:space="0" w:color="auto"/>
            </w:tcBorders>
          </w:tcPr>
          <w:p>
            <w:pPr>
              <w:pStyle w:val="nTable"/>
              <w:spacing w:after="40"/>
              <w:rPr>
                <w:sz w:val="19"/>
              </w:rPr>
            </w:pPr>
            <w:r>
              <w:rPr>
                <w:sz w:val="19"/>
              </w:rPr>
              <w:t>15 Dec 2006 p. 5629-31</w:t>
            </w:r>
          </w:p>
        </w:tc>
        <w:tc>
          <w:tcPr>
            <w:tcW w:w="2693" w:type="dxa"/>
            <w:tcBorders>
              <w:bottom w:val="single" w:sz="4" w:space="0" w:color="auto"/>
            </w:tcBorders>
          </w:tcPr>
          <w:p>
            <w:pPr>
              <w:pStyle w:val="nTable"/>
              <w:spacing w:after="40"/>
              <w:rPr>
                <w:sz w:val="19"/>
              </w:rPr>
            </w:pPr>
            <w:r>
              <w:rPr>
                <w:sz w:val="19"/>
              </w:rPr>
              <w:t>15 Dec 2006</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rPr>
          <w:snapToGrid w:val="0"/>
          <w:spacing w:val="-4"/>
        </w:rPr>
      </w:pPr>
      <w:r>
        <w:rPr>
          <w:snapToGrid w:val="0"/>
          <w:vertAlign w:val="superscript"/>
        </w:rPr>
        <w:t>4</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rPr>
          <w:snapToGrid w:val="0"/>
          <w:vertAlign w:val="superscript"/>
        </w:rPr>
      </w:pPr>
      <w:r>
        <w:rPr>
          <w:snapToGrid w:val="0"/>
          <w:spacing w:val="-4"/>
          <w:vertAlign w:val="superscript"/>
        </w:rPr>
        <w:t>5</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rPr>
          <w:snapToGrid w:val="0"/>
        </w:rPr>
      </w:pPr>
      <w:r>
        <w:rPr>
          <w:snapToGrid w:val="0"/>
          <w:vertAlign w:val="superscript"/>
        </w:rPr>
        <w:t>6</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7</w:t>
      </w:r>
      <w:r>
        <w:tab/>
      </w:r>
      <w:r>
        <w:rPr>
          <w:snapToGrid w:val="0"/>
          <w:spacing w:val="-4"/>
        </w:rPr>
        <w:t>Now</w:t>
      </w:r>
      <w:r>
        <w:t xml:space="preserve"> known as the </w:t>
      </w:r>
      <w:r>
        <w:rPr>
          <w:i/>
        </w:rPr>
        <w:t>Poisons Regulations 1965</w:t>
      </w:r>
      <w:r>
        <w:t>; citation amended (see note to r. 1).</w:t>
      </w:r>
    </w:p>
    <w:p>
      <w:pPr>
        <w:pStyle w:val="nSubsection"/>
      </w:pPr>
      <w:r>
        <w:rPr>
          <w:vertAlign w:val="superscript"/>
        </w:rPr>
        <w:t>8</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p>
  <w:p>
    <w:pPr>
      <w:rPr>
        <w:sz w:val="16"/>
        <w:u w:val="words"/>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08-b0-05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51317"/>
    <w:docVar w:name="WAFER_20140605151304" w:val="RemoveTocBookmarks,RemoveUnusedBookmarks,RemoveLanguageTags,UsedStyles,ResetPageSize"/>
    <w:docVar w:name="WAFER_20140605151304_GUID" w:val="b153c102-bfc7-4e0c-86e7-579f7ebeb8b5"/>
    <w:docVar w:name="WAFER_20140605151317" w:val="RemoveTocBookmarks,RunningHeaders"/>
    <w:docVar w:name="WAFER_20140605151317_GUID" w:val="042e1ea9-b832-4e4d-9f24-cf40f86849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153</Pages>
  <Words>37855</Words>
  <Characters>193444</Characters>
  <Application>Microsoft Office Word</Application>
  <DocSecurity>0</DocSecurity>
  <Lines>5373</Lines>
  <Paragraphs>3168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1965 - 08-b0-05</dc:title>
  <dc:subject/>
  <dc:creator/>
  <cp:keywords/>
  <dc:description/>
  <cp:lastModifiedBy>svcMRProcess</cp:lastModifiedBy>
  <cp:revision>4</cp:revision>
  <cp:lastPrinted>2006-05-15T02:43:00Z</cp:lastPrinted>
  <dcterms:created xsi:type="dcterms:W3CDTF">2018-09-14T22:23:00Z</dcterms:created>
  <dcterms:modified xsi:type="dcterms:W3CDTF">2018-09-14T22:23:00Z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20061215</vt:lpwstr>
  </property>
  <property fmtid="{D5CDD505-2E9C-101B-9397-08002B2CF9AE}" pid="4" name="DocumentType">
    <vt:lpwstr>Reg</vt:lpwstr>
  </property>
  <property fmtid="{D5CDD505-2E9C-101B-9397-08002B2CF9AE}" pid="5" name="OwlsUID">
    <vt:i4>4701</vt:i4>
  </property>
  <property fmtid="{D5CDD505-2E9C-101B-9397-08002B2CF9AE}" pid="6" name="AsAtDate">
    <vt:lpwstr>15 Dec 2006</vt:lpwstr>
  </property>
  <property fmtid="{D5CDD505-2E9C-101B-9397-08002B2CF9AE}" pid="7" name="Suffix">
    <vt:lpwstr>08-b0-05</vt:lpwstr>
  </property>
</Properties>
</file>