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2"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Transfer of Land Act 1893</w:t>
      </w:r>
      <w:r>
        <w:fldChar w:fldCharType="end"/>
      </w:r>
    </w:p>
    <w:p>
      <w:pPr>
        <w:pStyle w:val="NameofActRegPage1"/>
        <w:spacing w:before="1200" w:after="4200"/>
        <w:ind w:left="851" w:right="86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Transfer of Land Regulations 2004</w:t>
      </w:r>
      <w:r>
        <w:rPr>
          <w:sz w:val="48"/>
        </w:rPr>
        <w:fldChar w:fldCharType="end"/>
      </w:r>
    </w:p>
    <w:p>
      <w:pPr>
        <w:pStyle w:val="ReprintNo"/>
      </w:pPr>
      <w:r>
        <w:t>Reprint 5:  The regulations as at 19 January 2018</w:t>
      </w:r>
    </w:p>
    <w:p>
      <w:pPr>
        <w:tabs>
          <w:tab w:val="left" w:pos="567"/>
          <w:tab w:val="left" w:pos="851"/>
        </w:tabs>
        <w:ind w:left="851" w:hanging="851"/>
        <w:rPr>
          <w:b/>
          <w:sz w:val="20"/>
        </w:rPr>
      </w:pPr>
      <w:r>
        <w:rPr>
          <w:b/>
          <w:sz w:val="22"/>
        </w:rPr>
        <w:br w:type="page"/>
      </w:r>
      <w:r>
        <w:rPr>
          <w:b/>
          <w:sz w:val="20"/>
        </w:rPr>
        <w:lastRenderedPageBreak/>
        <w:tab/>
      </w:r>
      <w:r>
        <w:rPr>
          <w:b/>
          <w:sz w:val="20"/>
        </w:rPr>
        <w:tab/>
        <w:t>Guide for using this reprint</w:t>
      </w:r>
    </w:p>
    <w:p>
      <w:pPr>
        <w:tabs>
          <w:tab w:val="left" w:pos="567"/>
          <w:tab w:val="left" w:pos="851"/>
        </w:tabs>
        <w:spacing w:before="120" w:after="60"/>
        <w:ind w:left="851" w:hanging="851"/>
        <w:rPr>
          <w:b/>
          <w:i/>
          <w:sz w:val="20"/>
        </w:rPr>
      </w:pPr>
      <w:r>
        <w:rPr>
          <w:b/>
          <w:i/>
          <w:sz w:val="20"/>
        </w:rPr>
        <w:tab/>
      </w:r>
      <w:r>
        <w:rPr>
          <w:b/>
          <w:i/>
          <w:sz w:val="20"/>
        </w:rPr>
        <w:tab/>
        <w:t>What the reprint includes</w:t>
      </w:r>
    </w:p>
    <w:p>
      <w:pPr>
        <w:ind w:left="567"/>
        <w:rPr>
          <w:sz w:val="20"/>
        </w:rPr>
      </w:pPr>
      <w:r>
        <w:rPr>
          <w:noProof/>
          <w:sz w:val="20"/>
        </w:rPr>
        <mc:AlternateContent>
          <mc:Choice Requires="wpg">
            <w:drawing>
              <wp:anchor distT="0" distB="0" distL="114300" distR="114300" simplePos="0" relativeHeight="251662336" behindDoc="0" locked="0" layoutInCell="1" allowOverlap="1">
                <wp:simplePos x="0" y="0"/>
                <wp:positionH relativeFrom="column">
                  <wp:posOffset>555625</wp:posOffset>
                </wp:positionH>
                <wp:positionV relativeFrom="paragraph">
                  <wp:posOffset>2540</wp:posOffset>
                </wp:positionV>
                <wp:extent cx="3987800" cy="342900"/>
                <wp:effectExtent l="0" t="0" r="12700" b="19050"/>
                <wp:wrapNone/>
                <wp:docPr id="24" name="Group 24"/>
                <wp:cNvGraphicFramePr/>
                <a:graphic xmlns:a="http://schemas.openxmlformats.org/drawingml/2006/main">
                  <a:graphicData uri="http://schemas.microsoft.com/office/word/2010/wordprocessingGroup">
                    <wpg:wgp>
                      <wpg:cNvGrpSpPr/>
                      <wpg:grpSpPr>
                        <a:xfrm>
                          <a:off x="0" y="0"/>
                          <a:ext cx="3987800" cy="342900"/>
                          <a:chOff x="0" y="0"/>
                          <a:chExt cx="3987800" cy="342900"/>
                        </a:xfrm>
                      </wpg:grpSpPr>
                      <wpg:grpSp>
                        <wpg:cNvPr id="38" name="Group 38"/>
                        <wpg:cNvGrpSpPr/>
                        <wpg:grpSpPr>
                          <a:xfrm>
                            <a:off x="819150" y="88900"/>
                            <a:ext cx="158115" cy="158115"/>
                            <a:chOff x="0" y="0"/>
                            <a:chExt cx="158115" cy="158115"/>
                          </a:xfrm>
                        </wpg:grpSpPr>
                        <wps:wsp>
                          <wps:cNvPr id="35" name="Straight Connector 35"/>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36" name="Straight Connector 36"/>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39" name="Group 39"/>
                        <wpg:cNvGrpSpPr/>
                        <wpg:grpSpPr>
                          <a:xfrm>
                            <a:off x="1828800" y="88900"/>
                            <a:ext cx="158115" cy="158115"/>
                            <a:chOff x="0" y="0"/>
                            <a:chExt cx="158115" cy="158115"/>
                          </a:xfrm>
                        </wpg:grpSpPr>
                        <wps:wsp>
                          <wps:cNvPr id="40" name="Straight Connector 40"/>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1" name="Straight Connector 41"/>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47" name="Group 47"/>
                        <wpg:cNvGrpSpPr/>
                        <wpg:grpSpPr>
                          <a:xfrm>
                            <a:off x="3079750" y="120650"/>
                            <a:ext cx="158115" cy="104140"/>
                            <a:chOff x="0" y="0"/>
                            <a:chExt cx="158115" cy="104140"/>
                          </a:xfrm>
                        </wpg:grpSpPr>
                        <wps:wsp>
                          <wps:cNvPr id="43" name="Straight Connector 43"/>
                          <wps:cNvCnPr/>
                          <wps:spPr>
                            <a:xfrm>
                              <a:off x="0" y="50800"/>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5" name="Straight Connector 45"/>
                          <wps:cNvCnPr/>
                          <wps:spPr>
                            <a:xfrm flipH="1" flipV="1">
                              <a:off x="76200" y="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6" name="Straight Connector 46"/>
                          <wps:cNvCnPr/>
                          <wps:spPr>
                            <a:xfrm rot="10800000" flipH="1">
                              <a:off x="76200" y="5715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s:wsp>
                        <wps:cNvPr id="25" name="Text Box 1"/>
                        <wps:cNvSpPr txBox="1"/>
                        <wps:spPr>
                          <a:xfrm>
                            <a:off x="0" y="0"/>
                            <a:ext cx="781050" cy="3416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Regulations as published</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32" name="Text Box 32"/>
                        <wps:cNvSpPr txBox="1"/>
                        <wps:spPr>
                          <a:xfrm>
                            <a:off x="1009650" y="0"/>
                            <a:ext cx="7810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legislative amendments</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33" name="Text Box 33"/>
                        <wps:cNvSpPr txBox="1"/>
                        <wps:spPr>
                          <a:xfrm>
                            <a:off x="2019300" y="0"/>
                            <a:ext cx="10096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i/>
                                  <w:sz w:val="18"/>
                                  <w:szCs w:val="18"/>
                                </w:rPr>
                              </w:pPr>
                              <w:r>
                                <w:rPr>
                                  <w:sz w:val="18"/>
                                  <w:szCs w:val="18"/>
                                </w:rPr>
                                <w:t>changes under the</w:t>
                              </w:r>
                              <w:r>
                                <w:rPr>
                                  <w:sz w:val="18"/>
                                  <w:szCs w:val="18"/>
                                </w:rPr>
                                <w:br/>
                              </w:r>
                              <w:r>
                                <w:rPr>
                                  <w:i/>
                                  <w:sz w:val="18"/>
                                  <w:szCs w:val="18"/>
                                </w:rPr>
                                <w:t>Reprints Act 1984</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34" name="Text Box 34"/>
                        <wps:cNvSpPr txBox="1"/>
                        <wps:spPr>
                          <a:xfrm>
                            <a:off x="3295650" y="0"/>
                            <a:ext cx="6921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this reprint</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g:wgp>
                  </a:graphicData>
                </a:graphic>
              </wp:anchor>
            </w:drawing>
          </mc:Choice>
          <mc:Fallback>
            <w:pict>
              <v:group id="Group 24" o:spid="_x0000_s1026" style="position:absolute;left:0;text-align:left;margin-left:43.75pt;margin-top:.2pt;width:314pt;height:27pt;z-index:251662336" coordsize="39878,3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">
                <v:group id="Group 38" o:spid="_x0000_s1027" style="position:absolute;left:8191;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Fj+knzCAAAA2wAAAA8A&#10;AAAAAAAAAAAAAAAAqgIAAGRycy9kb3ducmV2LnhtbFBLBQYAAAAABAAEAPoAAACZAwAAAAA=&#10;">
                  <v:line id="Straight Connector 35" o:spid="_x0000_s1028"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z4CYMQAAADbAAAADwAAAGRycy9kb3ducmV2LnhtbESPUWsCMRCE34X+h7AF3zRXRdHTKFIo&#10;iO1LbX/AelnvDi+ba7Lq6a9vCgUfh5n5hlmuO9eoC4VYezbwMsxAERfe1lwa+P56G8xARUG22Hgm&#10;AzeKsF499ZaYW3/lT7rspVQJwjFHA5VIm2sdi4ocxqFviZN39MGhJBlKbQNeE9w1epRlU+2w5rRQ&#10;YUuvFRWn/dkZ+Hn/2MbboRnJdHLfncJmNpdxNKb/3G0WoIQ6eYT/21trYDyBvy/pB+jV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LPgJgxAAAANsAAAAPAAAAAAAAAAAA&#10;AAAAAKECAABkcnMvZG93bnJldi54bWxQSwUGAAAAAAQABAD5AAAAkgMAAAAA&#10;" strokecolor="#4579b8 [3044]"/>
                  <v:line id="Straight Connector 36" o:spid="_x0000_s1029"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T3M9MYAAADbAAAADwAAAGRycy9kb3ducmV2LnhtbESPT2sCMRTE7wW/Q3iCl6LZtlZlNUor&#10;CvVU/HPw+Eyeu8tuXtZN1O23b4RCj8PM/IaZLVpbiRs1vnCs4GWQgCDWzhScKTjs1/0JCB+QDVaO&#10;ScEPeVjMO08zTI2785Zuu5CJCGGfooI8hDqV0uucLPqBq4mjd3aNxRBlk0nT4D3CbSVfk2QkLRYc&#10;F3KsaZmTLndXq6Ash5vDZZ+8r5+P7vuiV6dSf46V6nXbjymIQG34D/+1v4yCtxE8vsQfIO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E9zPTGAAAA2wAAAA8AAAAAAAAA&#10;AAAAAAAAoQIAAGRycy9kb3ducmV2LnhtbFBLBQYAAAAABAAEAPkAAACUAwAAAAA=&#10;" strokecolor="#4579b8 [3044]"/>
                </v:group>
                <v:group id="Group 39" o:spid="_x0000_s1030" style="position:absolute;left:18288;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7I358QAAADbAAAADwAAAGRycy9kb3ducmV2LnhtbESPT4vCMBTE7wt+h/AE&#10;b2taxUWrUURc8SCCf0C8PZpnW2xeSpNt67ffLAh7HGbmN8xi1ZlSNFS7wrKCeBiBIE6tLjhTcL18&#10;f05BOI+ssbRMCl7kYLXsfSww0bblEzVnn4kAYZeggtz7KpHSpTkZdENbEQfvYWuDPsg6k7rGNsBN&#10;KUdR9CUNFhwWcqxok1P6PP8YBbsW2/U43jaH52Pzul8mx9shJqUG/W49B+Gp8//hd3uvFYxn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N7I358QAAADbAAAA&#10;DwAAAAAAAAAAAAAAAACqAgAAZHJzL2Rvd25yZXYueG1sUEsFBgAAAAAEAAQA+gAAAJsDAAAAAA==&#10;">
                  <v:line id="Straight Connector 40" o:spid="_x0000_s1031"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0/ShcEAAADbAAAADwAAAGRycy9kb3ducmV2LnhtbERPzWoCMRC+C32HMAVvmq1/2K1RRCiI&#10;9aL2Aaab6e7iZrImU1379M2h4PHj+1+sOteoK4VYezbwMsxAERfe1lwa+Dy9D+agoiBbbDyTgTtF&#10;WC2fegvMrb/xga5HKVUK4ZijgUqkzbWORUUO49C3xIn79sGhJBhKbQPeUrhr9CjLZtphzamhwpY2&#10;FRXn448zcPnYb+P9qxnJbPq7O4f1/FXG0Zj+c7d+AyXUyUP8795aA5O0Pn1JP0Av/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DT9KFwQAAANsAAAAPAAAAAAAAAAAAAAAA&#10;AKECAABkcnMvZG93bnJldi54bWxQSwUGAAAAAAQABAD5AAAAjwMAAAAA&#10;" strokecolor="#4579b8 [3044]"/>
                  <v:line id="Straight Connector 41" o:spid="_x0000_s1032"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tIn/cYAAADbAAAADwAAAGRycy9kb3ducmV2LnhtbESPQWvCQBSE74L/YXlCL6VuUrQt0TXY&#10;UsGepOqhx+fuMwnJvo3ZrcZ/3xUKHoeZ+YaZ571txJk6XzlWkI4TEMTamYoLBfvd6ukNhA/IBhvH&#10;pOBKHvLFcDDHzLgLf9N5GwoRIewzVFCG0GZSel2SRT92LXH0jq6zGKLsCmk6vES4beRzkrxIixXH&#10;hRJb+ihJ19tfq6CuJ1/70y6Zrh5/3OakPw+1fn9V6mHUL2cgAvXhHv5vr42CSQq3L/EHyMU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bSJ/3GAAAA2wAAAA8AAAAAAAAA&#10;AAAAAAAAoQIAAGRycy9kb3ducmV2LnhtbFBLBQYAAAAABAAEAPkAAACUAwAAAAA=&#10;" strokecolor="#4579b8 [3044]"/>
                </v:group>
                <v:group id="Group 47" o:spid="_x0000_s1033" style="position:absolute;left:30797;top:1206;width:1581;height:1041" coordsize="158115,1041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xZ3VzxgAAANsA&#10;AAAPAAAAAAAAAAAAAAAAAKoCAABkcnMvZG93bnJldi54bWxQSwUGAAAAAAQABAD6AAAAnQMAAAAA&#10;">
                  <v:line id="Straight Connector 43" o:spid="_x0000_s1034" style="position:absolute;visibility:visible;mso-wrap-style:square" from="0,50800" to="158115,50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51M8sQAAADbAAAADwAAAGRycy9kb3ducmV2LnhtbESPzWoCQRCE74G8w9ABb3E2/qEbR5FA&#10;QEwuMT5Au9PuLu70bGY6uvr0mYDgsaiqr6j5snONOlGItWcDL/0MFHHhbc2lgd33+/MUVBRki41n&#10;MnChCMvF48Mcc+vP/EWnrZQqQTjmaKASaXOtY1GRw9j3LXHyDj44lCRDqW3Ac4K7Rg+ybKId1pwW&#10;KmzpraLiuP11Bn4+Ptfxsm8GMhlfN8ewms5kGI3pPXWrV1BCndzDt/baGhgN4f9L+gF68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nUzyxAAAANsAAAAPAAAAAAAAAAAA&#10;AAAAAKECAABkcnMvZG93bnJldi54bWxQSwUGAAAAAAQABAD5AAAAkgMAAAAA&#10;" strokecolor="#4579b8 [3044]"/>
                  <v:line id="Straight Connector 45" o:spid="_x0000_s1035" style="position:absolute;flip:x y;visibility:visible;mso-wrap-style:square" from="76200,0" to="158115,46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JaGsQAAADbAAAADwAAAGRycy9kb3ducmV2LnhtbESPQWvCQBSE74L/YXmCt7qpaJHoKlVU&#10;7KkYe+ntkX0mwezbuLvG2F/fLRQ8DjPzDbNYdaYWLTlfWVbwOkpAEOdWV1wo+DrtXmYgfEDWWFsm&#10;BQ/ysFr2ewtMtb3zkdosFCJC2KeooAyhSaX0eUkG/cg2xNE7W2cwROkKqR3eI9zUcpwkb9JgxXGh&#10;xIY2JeWX7GYU6O3Pvq2v+cXIj8d6+zmZolt/KzUcdO9zEIG68Az/tw9awWQKf1/iD5DL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34loaxAAAANsAAAAPAAAAAAAAAAAA&#10;AAAAAKECAABkcnMvZG93bnJldi54bWxQSwUGAAAAAAQABAD5AAAAkgMAAAAA&#10;" strokecolor="#4579b8 [3044]"/>
                  <v:line id="Straight Connector 46" o:spid="_x0000_s1036" style="position:absolute;rotation:180;flip:x;visibility:visible;mso-wrap-style:square" from="76200,57150" to="158115,104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dTxj8QAAADbAAAADwAAAGRycy9kb3ducmV2LnhtbESPT2vCQBTE7wW/w/KE3ppNQ0hKdJUq&#10;FFrpxfTP+ZF9JsHs25BdTfTTuwWhx2FmfsMs15PpxJkG11pW8BzFIIgrq1uuFXx/vT29gHAeWWNn&#10;mRRcyMF6NXtYYqHtyHs6l74WAcKuQAWN930hpasaMugi2xMH72AHgz7IoZZ6wDHATSeTOM6kwZbD&#10;QoM9bRuqjuXJKIivnatOycduk+dtmaQ/7pcPn0o9zqfXBQhPk/8P39vvWkGawd+X8APk6g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1PGPxAAAANsAAAAPAAAAAAAAAAAA&#10;AAAAAKECAABkcnMvZG93bnJldi54bWxQSwUGAAAAAAQABAD5AAAAkgMAAAAA&#10;" strokecolor="#4579b8 [3044]"/>
                </v:group>
                <v:shapetype id="_x0000_t202" coordsize="21600,21600" o:spt="202" path="m,l,21600r21600,l21600,xe">
                  <v:stroke joinstyle="miter"/>
                  <v:path gradientshapeok="t" o:connecttype="rect"/>
                </v:shapetype>
                <v:shape id="Text Box 1" o:spid="_x0000_s1037" type="#_x0000_t202" style="position:absolute;width:7810;height:3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YxY8UA&#10;AADbAAAADwAAAGRycy9kb3ducmV2LnhtbESPQWvCQBSE74X+h+UJvTUbhUqNriKFlLb2UqMHb8/s&#10;Mwlm34bdVaO/3i0Uehxm5htmtuhNK87kfGNZwTBJQRCXVjdcKdgU+fMrCB+QNbaWScGVPCzmjw8z&#10;zLS98A+d16ESEcI+QwV1CF0mpS9rMugT2xFH72CdwRClq6R2eIlw08pRmo6lwYbjQo0dvdVUHtcn&#10;oyD/uvF7MS6/t/1pstsWtHf550qpp0G/nIII1If/8F/7QysYvcDvl/gD5Pw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NjFjxQAAANsAAAAPAAAAAAAAAAAAAAAAAJgCAABkcnMv&#10;ZG93bnJldi54bWxQSwUGAAAAAAQABAD1AAAAigMAAAAA&#10;" fillcolor="white [3201]" strokeweight=".5pt">
                  <v:textbox inset="2mm,1mm,2mm,1mm">
                    <w:txbxContent>
                      <w:p w:rsidR="00DE6151" w:rsidRDefault="00DE6151">
                        <w:pPr>
                          <w:rPr>
                            <w:sz w:val="18"/>
                            <w:szCs w:val="18"/>
                          </w:rPr>
                        </w:pPr>
                        <w:r>
                          <w:rPr>
                            <w:sz w:val="18"/>
                            <w:szCs w:val="18"/>
                          </w:rPr>
                          <w:t>Regulations as published</w:t>
                        </w:r>
                      </w:p>
                    </w:txbxContent>
                  </v:textbox>
                </v:shape>
                <v:shape id="Text Box 32" o:spid="_x0000_s1038" type="#_x0000_t202" style="position:absolute;left:10096;width:7811;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Y/ysUA&#10;AADbAAAADwAAAGRycy9kb3ducmV2LnhtbESPQWvCQBSE74X+h+UJvTUbLUiNriKFlLb2UqMHb8/s&#10;Mwlm34bdVaO/3i0Uehxm5htmtuhNK87kfGNZwTBJQRCXVjdcKdgU+fMrCB+QNbaWScGVPCzmjw8z&#10;zLS98A+d16ESEcI+QwV1CF0mpS9rMugT2xFH72CdwRClq6R2eIlw08pRmo6lwYbjQo0dvdVUHtcn&#10;oyD/uvF7MS6/t/1pstsWtHf550qpp0G/nIII1If/8F/7Qyt4GcHvl/gD5Pw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Bj/KxQAAANsAAAAPAAAAAAAAAAAAAAAAAJgCAABkcnMv&#10;ZG93bnJldi54bWxQSwUGAAAAAAQABAD1AAAAigMAAAAA&#10;" fillcolor="white [3201]" strokeweight=".5pt">
                  <v:textbox inset="2mm,1mm,2mm,1mm">
                    <w:txbxContent>
                      <w:p w:rsidR="00DE6151" w:rsidRDefault="00DE6151">
                        <w:pPr>
                          <w:rPr>
                            <w:sz w:val="18"/>
                            <w:szCs w:val="18"/>
                          </w:rPr>
                        </w:pPr>
                        <w:r>
                          <w:rPr>
                            <w:sz w:val="18"/>
                            <w:szCs w:val="18"/>
                          </w:rPr>
                          <w:t>legislative amendments</w:t>
                        </w:r>
                      </w:p>
                    </w:txbxContent>
                  </v:textbox>
                </v:shape>
                <v:shape id="Text Box 33" o:spid="_x0000_s1039" type="#_x0000_t202" style="position:absolute;left:20193;width:10096;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qaUcUA&#10;AADbAAAADwAAAGRycy9kb3ducmV2LnhtbESPQWvCQBSE74L/YXkFb7qpgtjUVYoQUetFUw+9vWZf&#10;k9Ds27C7atpf3xUEj8PMfMPMl51pxIWcry0reB4lIIgLq2suFXzk2XAGwgdkjY1lUvBLHpaLfm+O&#10;qbZXPtDlGEoRIexTVFCF0KZS+qIig35kW+LofVtnMETpSqkdXiPcNHKcJFNpsOa4UGFLq4qKn+PZ&#10;KMh2f7zOp8X+1J1fPk85fbls+67U4Kl7ewURqAuP8L290QomE7h9iT9ALv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4SppRxQAAANsAAAAPAAAAAAAAAAAAAAAAAJgCAABkcnMv&#10;ZG93bnJldi54bWxQSwUGAAAAAAQABAD1AAAAigMAAAAA&#10;" fillcolor="white [3201]" strokeweight=".5pt">
                  <v:textbox inset="2mm,1mm,2mm,1mm">
                    <w:txbxContent>
                      <w:p w:rsidR="00DE6151" w:rsidRDefault="00DE6151">
                        <w:pPr>
                          <w:rPr>
                            <w:i/>
                            <w:sz w:val="18"/>
                            <w:szCs w:val="18"/>
                          </w:rPr>
                        </w:pPr>
                        <w:r>
                          <w:rPr>
                            <w:sz w:val="18"/>
                            <w:szCs w:val="18"/>
                          </w:rPr>
                          <w:t>changes under the</w:t>
                        </w:r>
                        <w:r>
                          <w:rPr>
                            <w:sz w:val="18"/>
                            <w:szCs w:val="18"/>
                          </w:rPr>
                          <w:br/>
                        </w:r>
                        <w:r>
                          <w:rPr>
                            <w:i/>
                            <w:sz w:val="18"/>
                            <w:szCs w:val="18"/>
                          </w:rPr>
                          <w:t>Reprints Act 1984</w:t>
                        </w:r>
                      </w:p>
                    </w:txbxContent>
                  </v:textbox>
                </v:shape>
                <v:shape id="Text Box 34" o:spid="_x0000_s1040" type="#_x0000_t202" style="position:absolute;left:32956;width:6922;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6MCJcUA&#10;AADbAAAADwAAAGRycy9kb3ducmV2LnhtbESPQWvCQBSE70L/w/IK3nRTLdJGVylCxNZeavTg7Zl9&#10;TUKzb8Puqml/fVcQPA4z8w0zW3SmEWdyvras4GmYgCAurK65VLDLs8ELCB+QNTaWScEveVjMH3oz&#10;TLW98Bedt6EUEcI+RQVVCG0qpS8qMuiHtiWO3rd1BkOUrpTa4SXCTSNHSTKRBmuOCxW2tKyo+Nme&#10;jILs449X+aT43Hen18M+p6PL3jdK9R+7tymIQF24h2/ttVYwfobrl/gD5Pw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3owIlxQAAANsAAAAPAAAAAAAAAAAAAAAAAJgCAABkcnMv&#10;ZG93bnJldi54bWxQSwUGAAAAAAQABAD1AAAAigMAAAAA&#10;" fillcolor="white [3201]" strokeweight=".5pt">
                  <v:textbox inset="2mm,1mm,2mm,1mm">
                    <w:txbxContent>
                      <w:p w:rsidR="00DE6151" w:rsidRDefault="00DE6151">
                        <w:pPr>
                          <w:rPr>
                            <w:sz w:val="18"/>
                            <w:szCs w:val="18"/>
                          </w:rPr>
                        </w:pPr>
                        <w:r>
                          <w:rPr>
                            <w:sz w:val="18"/>
                            <w:szCs w:val="18"/>
                          </w:rPr>
                          <w:t>this reprint</w:t>
                        </w:r>
                      </w:p>
                    </w:txbxContent>
                  </v:textbox>
                </v:shape>
              </v:group>
            </w:pict>
          </mc:Fallback>
        </mc:AlternateContent>
      </w:r>
    </w:p>
    <w:p>
      <w:pPr>
        <w:tabs>
          <w:tab w:val="left" w:pos="567"/>
          <w:tab w:val="left" w:pos="851"/>
        </w:tabs>
        <w:spacing w:before="44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regulations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regulations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sz w:val="20"/>
        </w:rPr>
        <w:tab/>
      </w:r>
      <w:r>
        <w:rPr>
          <w:b/>
          <w:sz w:val="20"/>
        </w:rPr>
        <w:tab/>
      </w:r>
      <w:r>
        <w:rPr>
          <w:b/>
          <w:i/>
          <w:sz w:val="20"/>
        </w:rPr>
        <w:t>Notes amongst text (italicised and within square brackets)</w:t>
      </w:r>
    </w:p>
    <w:p>
      <w:pPr>
        <w:tabs>
          <w:tab w:val="left" w:pos="567"/>
          <w:tab w:val="left" w:pos="851"/>
        </w:tabs>
        <w:ind w:left="851" w:hanging="851"/>
        <w:rPr>
          <w:sz w:val="20"/>
        </w:rPr>
      </w:pPr>
      <w:r>
        <w:rPr>
          <w:sz w:val="20"/>
        </w:rPr>
        <w:tab/>
        <w:t>1.</w:t>
      </w:r>
      <w:r>
        <w:rPr>
          <w:sz w:val="20"/>
        </w:rPr>
        <w:tab/>
        <w:t>If the reprint includes a regulation that was inserted, or has been amended, since the regulations being reprinted were made, editorial notes at the foot of the regulation give some history of how the regulation came to be as it is.  If the regulation replaced an earlier regulation, no history of the earlier regulation is given (the full history of the regulations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14"/>
        </w:numPr>
        <w:tabs>
          <w:tab w:val="num" w:pos="1197"/>
        </w:tabs>
        <w:ind w:left="1208" w:hanging="357"/>
        <w:rPr>
          <w:sz w:val="20"/>
        </w:rPr>
      </w:pPr>
      <w:r>
        <w:rPr>
          <w:sz w:val="20"/>
        </w:rPr>
        <w:t>removed (because it was repealed or deleted from the law); or</w:t>
      </w:r>
    </w:p>
    <w:p>
      <w:pPr>
        <w:numPr>
          <w:ilvl w:val="0"/>
          <w:numId w:val="14"/>
        </w:numPr>
        <w:tabs>
          <w:tab w:val="num" w:pos="1197"/>
        </w:tabs>
        <w:ind w:left="1208" w:hanging="357"/>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rPr>
          <w:b/>
          <w:i/>
          <w:sz w:val="20"/>
        </w:rPr>
      </w:pPr>
      <w:r>
        <w:rPr>
          <w:b/>
          <w:i/>
          <w:sz w:val="20"/>
        </w:rPr>
        <w:tab/>
      </w:r>
      <w:r>
        <w:rPr>
          <w:b/>
          <w:i/>
          <w:sz w:val="20"/>
        </w:rPr>
        <w:tab/>
        <w:t>Reprint numbering and date</w:t>
      </w:r>
    </w:p>
    <w:p>
      <w:pPr>
        <w:tabs>
          <w:tab w:val="left" w:pos="567"/>
          <w:tab w:val="left" w:pos="851"/>
        </w:tabs>
        <w:ind w:left="851" w:hanging="851"/>
        <w:rPr>
          <w:spacing w:val="-3"/>
          <w:sz w:val="20"/>
        </w:rPr>
      </w:pPr>
      <w:r>
        <w:rPr>
          <w:spacing w:val="-3"/>
          <w:sz w:val="20"/>
        </w:rPr>
        <w:tab/>
        <w:t>1.</w:t>
      </w:r>
      <w:r>
        <w:rPr>
          <w:spacing w:val="-3"/>
          <w:sz w:val="20"/>
        </w:rPr>
        <w:tab/>
        <w:t>The reprint number (in the footer of each page of the document) shows how many times the regulations have been reprinted.  For example, numbering a reprint as “Reprint 3” would mean that the reprint was the 3</w:t>
      </w:r>
      <w:r>
        <w:rPr>
          <w:spacing w:val="-3"/>
          <w:sz w:val="20"/>
          <w:vertAlign w:val="superscript"/>
        </w:rPr>
        <w:t>rd</w:t>
      </w:r>
      <w:r>
        <w:rPr>
          <w:spacing w:val="-3"/>
          <w:sz w:val="20"/>
        </w:rPr>
        <w:t xml:space="preserve"> reprint since the regulations were published.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regulations are reprinted.  That date is not the date when the reprint was published by the State Law Publisher and it is probably not the date when the most recent amendment had effect.</w:t>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19 January 2018</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Transfer of Land Regulations 2004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w:t>
      </w:r>
      <w:r>
        <w:rPr>
          <w:b w:val="0"/>
        </w:rPr>
        <w:t> </w:t>
      </w:r>
      <w:r>
        <w:t>—</w:t>
      </w:r>
      <w:r>
        <w:rPr>
          <w:b w:val="0"/>
        </w:rPr>
        <w:t> </w:t>
      </w:r>
      <w:r>
        <w:t>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_Toc504384210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_Toc504384211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w:t>
      </w:r>
      <w:r>
        <w:rPr>
          <w:b w:val="0"/>
        </w:rPr>
        <w:t> </w:t>
      </w:r>
      <w:r>
        <w:t>—</w:t>
      </w:r>
      <w:r>
        <w:rPr>
          <w:b w:val="0"/>
        </w:rPr>
        <w:t> </w:t>
      </w:r>
      <w:r>
        <w:t>General</w:t>
      </w:r>
    </w:p>
    <w:p>
      <w:pPr>
        <w:pStyle w:val="TOC8"/>
        <w:rPr>
          <w:rFonts w:asciiTheme="minorHAnsi" w:eastAsiaTheme="minorEastAsia" w:hAnsiTheme="minorHAnsi" w:cstheme="minorBidi"/>
          <w:szCs w:val="22"/>
        </w:rPr>
      </w:pPr>
      <w:r>
        <w:t>3A.</w:t>
      </w:r>
      <w:r>
        <w:tab/>
        <w:t>Immaterial differences between counterparts (Act s. 4(1CA)(b)(v))</w:t>
      </w:r>
      <w:r>
        <w:tab/>
      </w:r>
      <w:r>
        <w:fldChar w:fldCharType="begin"/>
      </w:r>
      <w:r>
        <w:instrText xml:space="preserve"> PAGEREF _Toc504384213 \h </w:instrText>
      </w:r>
      <w:r>
        <w:fldChar w:fldCharType="separate"/>
      </w:r>
      <w:r>
        <w:t>2</w:t>
      </w:r>
      <w:r>
        <w:fldChar w:fldCharType="end"/>
      </w:r>
    </w:p>
    <w:p>
      <w:pPr>
        <w:pStyle w:val="TOC8"/>
        <w:rPr>
          <w:rFonts w:asciiTheme="minorHAnsi" w:eastAsiaTheme="minorEastAsia" w:hAnsiTheme="minorHAnsi" w:cstheme="minorBidi"/>
          <w:szCs w:val="22"/>
        </w:rPr>
      </w:pPr>
      <w:r>
        <w:t>3.</w:t>
      </w:r>
      <w:r>
        <w:tab/>
        <w:t>Paper documents for lodgment, requirements for</w:t>
      </w:r>
      <w:r>
        <w:tab/>
      </w:r>
      <w:r>
        <w:fldChar w:fldCharType="begin"/>
      </w:r>
      <w:r>
        <w:instrText xml:space="preserve"> PAGEREF _Toc504384214 \h </w:instrText>
      </w:r>
      <w:r>
        <w:fldChar w:fldCharType="separate"/>
      </w:r>
      <w:r>
        <w:t>3</w:t>
      </w:r>
      <w:r>
        <w:fldChar w:fldCharType="end"/>
      </w:r>
    </w:p>
    <w:p>
      <w:pPr>
        <w:pStyle w:val="TOC8"/>
        <w:rPr>
          <w:rFonts w:asciiTheme="minorHAnsi" w:eastAsiaTheme="minorEastAsia" w:hAnsiTheme="minorHAnsi" w:cstheme="minorBidi"/>
          <w:szCs w:val="22"/>
        </w:rPr>
      </w:pPr>
      <w:r>
        <w:t>4.</w:t>
      </w:r>
      <w:r>
        <w:tab/>
      </w:r>
      <w:r>
        <w:rPr>
          <w:snapToGrid w:val="0"/>
        </w:rPr>
        <w:t>Certificates of title for land in existing certificate</w:t>
      </w:r>
      <w:r>
        <w:tab/>
      </w:r>
      <w:r>
        <w:fldChar w:fldCharType="begin"/>
      </w:r>
      <w:r>
        <w:instrText xml:space="preserve"> PAGEREF _Toc504384215 \h </w:instrText>
      </w:r>
      <w:r>
        <w:fldChar w:fldCharType="separate"/>
      </w:r>
      <w:r>
        <w:t>3</w:t>
      </w:r>
      <w:r>
        <w:fldChar w:fldCharType="end"/>
      </w:r>
    </w:p>
    <w:p>
      <w:pPr>
        <w:pStyle w:val="TOC8"/>
        <w:rPr>
          <w:rFonts w:asciiTheme="minorHAnsi" w:eastAsiaTheme="minorEastAsia" w:hAnsiTheme="minorHAnsi" w:cstheme="minorBidi"/>
          <w:szCs w:val="22"/>
        </w:rPr>
      </w:pPr>
      <w:r>
        <w:t>5.</w:t>
      </w:r>
      <w:r>
        <w:tab/>
      </w:r>
      <w:r>
        <w:rPr>
          <w:snapToGrid w:val="0"/>
        </w:rPr>
        <w:t>New certificate of title if old one too full for further endorsement</w:t>
      </w:r>
      <w:r>
        <w:tab/>
      </w:r>
      <w:r>
        <w:fldChar w:fldCharType="begin"/>
      </w:r>
      <w:r>
        <w:instrText xml:space="preserve"> PAGEREF _Toc504384216 \h </w:instrText>
      </w:r>
      <w:r>
        <w:fldChar w:fldCharType="separate"/>
      </w:r>
      <w:r>
        <w:t>4</w:t>
      </w:r>
      <w:r>
        <w:fldChar w:fldCharType="end"/>
      </w:r>
    </w:p>
    <w:p>
      <w:pPr>
        <w:pStyle w:val="TOC8"/>
        <w:rPr>
          <w:rFonts w:asciiTheme="minorHAnsi" w:eastAsiaTheme="minorEastAsia" w:hAnsiTheme="minorHAnsi" w:cstheme="minorBidi"/>
          <w:szCs w:val="22"/>
        </w:rPr>
      </w:pPr>
      <w:r>
        <w:t>8.</w:t>
      </w:r>
      <w:r>
        <w:tab/>
      </w:r>
      <w:r>
        <w:rPr>
          <w:snapToGrid w:val="0"/>
        </w:rPr>
        <w:t>Area prescribed (Act s. 129C(1a))</w:t>
      </w:r>
      <w:r>
        <w:tab/>
      </w:r>
      <w:r>
        <w:fldChar w:fldCharType="begin"/>
      </w:r>
      <w:r>
        <w:instrText xml:space="preserve"> PAGEREF _Toc504384217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3A — Provisions relating to </w:t>
      </w:r>
      <w:r>
        <w:rPr>
          <w:i/>
        </w:rPr>
        <w:t>Electronic Conveyancing Act 2014</w:t>
      </w:r>
    </w:p>
    <w:p>
      <w:pPr>
        <w:pStyle w:val="TOC4"/>
        <w:tabs>
          <w:tab w:val="right" w:leader="dot" w:pos="7077"/>
        </w:tabs>
        <w:rPr>
          <w:rFonts w:asciiTheme="minorHAnsi" w:eastAsiaTheme="minorEastAsia" w:hAnsiTheme="minorHAnsi" w:cstheme="minorBidi"/>
          <w:b w:val="0"/>
          <w:szCs w:val="22"/>
        </w:rPr>
      </w:pPr>
      <w:r>
        <w:t>Division 1 — Certain registry instruments must be lodged by means of an ELN</w:t>
      </w:r>
    </w:p>
    <w:p>
      <w:pPr>
        <w:pStyle w:val="TOC8"/>
        <w:rPr>
          <w:rFonts w:asciiTheme="minorHAnsi" w:eastAsiaTheme="minorEastAsia" w:hAnsiTheme="minorHAnsi" w:cstheme="minorBidi"/>
          <w:szCs w:val="22"/>
        </w:rPr>
      </w:pPr>
      <w:r>
        <w:t>8A.</w:t>
      </w:r>
      <w:r>
        <w:tab/>
        <w:t>Terms used</w:t>
      </w:r>
      <w:r>
        <w:tab/>
      </w:r>
      <w:r>
        <w:fldChar w:fldCharType="begin"/>
      </w:r>
      <w:r>
        <w:instrText xml:space="preserve"> PAGEREF _Toc504384220 \h </w:instrText>
      </w:r>
      <w:r>
        <w:fldChar w:fldCharType="separate"/>
      </w:r>
      <w:r>
        <w:t>6</w:t>
      </w:r>
      <w:r>
        <w:fldChar w:fldCharType="end"/>
      </w:r>
    </w:p>
    <w:p>
      <w:pPr>
        <w:pStyle w:val="TOC8"/>
        <w:rPr>
          <w:rFonts w:asciiTheme="minorHAnsi" w:eastAsiaTheme="minorEastAsia" w:hAnsiTheme="minorHAnsi" w:cstheme="minorBidi"/>
          <w:szCs w:val="22"/>
        </w:rPr>
      </w:pPr>
      <w:r>
        <w:t>8B.</w:t>
      </w:r>
      <w:r>
        <w:tab/>
        <w:t>Registry instruments to which this Division applies</w:t>
      </w:r>
      <w:r>
        <w:tab/>
      </w:r>
      <w:r>
        <w:fldChar w:fldCharType="begin"/>
      </w:r>
      <w:r>
        <w:instrText xml:space="preserve"> PAGEREF _Toc504384221 \h </w:instrText>
      </w:r>
      <w:r>
        <w:fldChar w:fldCharType="separate"/>
      </w:r>
      <w:r>
        <w:t>6</w:t>
      </w:r>
      <w:r>
        <w:fldChar w:fldCharType="end"/>
      </w:r>
    </w:p>
    <w:p>
      <w:pPr>
        <w:pStyle w:val="TOC8"/>
        <w:rPr>
          <w:rFonts w:asciiTheme="minorHAnsi" w:eastAsiaTheme="minorEastAsia" w:hAnsiTheme="minorHAnsi" w:cstheme="minorBidi"/>
          <w:szCs w:val="22"/>
        </w:rPr>
      </w:pPr>
      <w:r>
        <w:t>8C.</w:t>
      </w:r>
      <w:r>
        <w:tab/>
        <w:t>Certain registry instruments must be lodged by means of an ELN</w:t>
      </w:r>
      <w:r>
        <w:tab/>
      </w:r>
      <w:r>
        <w:fldChar w:fldCharType="begin"/>
      </w:r>
      <w:r>
        <w:instrText xml:space="preserve"> PAGEREF _Toc504384222 \h </w:instrText>
      </w:r>
      <w:r>
        <w:fldChar w:fldCharType="separate"/>
      </w:r>
      <w:r>
        <w:t>6</w:t>
      </w:r>
      <w:r>
        <w:fldChar w:fldCharType="end"/>
      </w:r>
    </w:p>
    <w:p>
      <w:pPr>
        <w:pStyle w:val="TOC8"/>
        <w:rPr>
          <w:rFonts w:asciiTheme="minorHAnsi" w:eastAsiaTheme="minorEastAsia" w:hAnsiTheme="minorHAnsi" w:cstheme="minorBidi"/>
          <w:szCs w:val="22"/>
        </w:rPr>
      </w:pPr>
      <w:r>
        <w:t>8D.</w:t>
      </w:r>
      <w:r>
        <w:tab/>
        <w:t>Where party to transaction is self</w:t>
      </w:r>
      <w:r>
        <w:noBreakHyphen/>
        <w:t>represented</w:t>
      </w:r>
      <w:r>
        <w:tab/>
      </w:r>
      <w:r>
        <w:fldChar w:fldCharType="begin"/>
      </w:r>
      <w:r>
        <w:instrText xml:space="preserve"> PAGEREF _Toc504384223 \h </w:instrText>
      </w:r>
      <w:r>
        <w:fldChar w:fldCharType="separate"/>
      </w:r>
      <w:r>
        <w:t>7</w:t>
      </w:r>
      <w:r>
        <w:fldChar w:fldCharType="end"/>
      </w:r>
    </w:p>
    <w:p>
      <w:pPr>
        <w:pStyle w:val="TOC8"/>
        <w:rPr>
          <w:rFonts w:asciiTheme="minorHAnsi" w:eastAsiaTheme="minorEastAsia" w:hAnsiTheme="minorHAnsi" w:cstheme="minorBidi"/>
          <w:szCs w:val="22"/>
        </w:rPr>
      </w:pPr>
      <w:r>
        <w:t>8E.</w:t>
      </w:r>
      <w:r>
        <w:tab/>
        <w:t>Where 2 or more registry instruments lodged simultaneously</w:t>
      </w:r>
      <w:r>
        <w:tab/>
      </w:r>
      <w:r>
        <w:fldChar w:fldCharType="begin"/>
      </w:r>
      <w:r>
        <w:instrText xml:space="preserve"> PAGEREF _Toc504384224 \h </w:instrText>
      </w:r>
      <w:r>
        <w:fldChar w:fldCharType="separate"/>
      </w:r>
      <w:r>
        <w:t>8</w:t>
      </w:r>
      <w:r>
        <w:fldChar w:fldCharType="end"/>
      </w:r>
    </w:p>
    <w:p>
      <w:pPr>
        <w:pStyle w:val="TOC8"/>
        <w:rPr>
          <w:rFonts w:asciiTheme="minorHAnsi" w:eastAsiaTheme="minorEastAsia" w:hAnsiTheme="minorHAnsi" w:cstheme="minorBidi"/>
          <w:szCs w:val="22"/>
        </w:rPr>
      </w:pPr>
      <w:r>
        <w:t>8F.</w:t>
      </w:r>
      <w:r>
        <w:tab/>
        <w:t>Registrar’s power to exempt</w:t>
      </w:r>
      <w:r>
        <w:tab/>
      </w:r>
      <w:r>
        <w:fldChar w:fldCharType="begin"/>
      </w:r>
      <w:r>
        <w:instrText xml:space="preserve"> PAGEREF _Toc504384225 \h </w:instrText>
      </w:r>
      <w:r>
        <w:fldChar w:fldCharType="separate"/>
      </w:r>
      <w:r>
        <w:t>8</w:t>
      </w:r>
      <w:r>
        <w:fldChar w:fldCharType="end"/>
      </w:r>
    </w:p>
    <w:p>
      <w:pPr>
        <w:pStyle w:val="TOC8"/>
        <w:rPr>
          <w:rFonts w:asciiTheme="minorHAnsi" w:eastAsiaTheme="minorEastAsia" w:hAnsiTheme="minorHAnsi" w:cstheme="minorBidi"/>
          <w:szCs w:val="22"/>
        </w:rPr>
      </w:pPr>
      <w:r>
        <w:t>8G.</w:t>
      </w:r>
      <w:r>
        <w:tab/>
        <w:t>When r. 8C(1) commences to apply to lodging certain registry instruments</w:t>
      </w:r>
      <w:r>
        <w:tab/>
      </w:r>
      <w:r>
        <w:fldChar w:fldCharType="begin"/>
      </w:r>
      <w:r>
        <w:instrText xml:space="preserve"> PAGEREF _Toc504384226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2 — General requirements</w:t>
      </w:r>
    </w:p>
    <w:p>
      <w:pPr>
        <w:pStyle w:val="TOC8"/>
        <w:rPr>
          <w:rFonts w:asciiTheme="minorHAnsi" w:eastAsiaTheme="minorEastAsia" w:hAnsiTheme="minorHAnsi" w:cstheme="minorBidi"/>
          <w:szCs w:val="22"/>
        </w:rPr>
      </w:pPr>
      <w:r>
        <w:t>9AA.</w:t>
      </w:r>
      <w:r>
        <w:tab/>
        <w:t>Requirements relating to electronic lodgment of mortgages</w:t>
      </w:r>
      <w:r>
        <w:tab/>
      </w:r>
      <w:r>
        <w:fldChar w:fldCharType="begin"/>
      </w:r>
      <w:r>
        <w:instrText xml:space="preserve"> PAGEREF _Toc504384228 \h </w:instrText>
      </w:r>
      <w:r>
        <w:fldChar w:fldCharType="separate"/>
      </w:r>
      <w:r>
        <w:t>9</w:t>
      </w:r>
      <w:r>
        <w:fldChar w:fldCharType="end"/>
      </w:r>
    </w:p>
    <w:p>
      <w:pPr>
        <w:pStyle w:val="TOC8"/>
        <w:rPr>
          <w:rFonts w:asciiTheme="minorHAnsi" w:eastAsiaTheme="minorEastAsia" w:hAnsiTheme="minorHAnsi" w:cstheme="minorBidi"/>
          <w:szCs w:val="22"/>
        </w:rPr>
      </w:pPr>
      <w:r>
        <w:t>9AB.</w:t>
      </w:r>
      <w:r>
        <w:tab/>
        <w:t>Duplicate certificates of title where documents lodged electronically</w:t>
      </w:r>
      <w:r>
        <w:tab/>
      </w:r>
      <w:r>
        <w:fldChar w:fldCharType="begin"/>
      </w:r>
      <w:r>
        <w:instrText xml:space="preserve"> PAGEREF _Toc504384229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3B — Provisions relating to electronic service</w:t>
      </w:r>
    </w:p>
    <w:p>
      <w:pPr>
        <w:pStyle w:val="TOC8"/>
        <w:rPr>
          <w:rFonts w:asciiTheme="minorHAnsi" w:eastAsiaTheme="minorEastAsia" w:hAnsiTheme="minorHAnsi" w:cstheme="minorBidi"/>
          <w:szCs w:val="22"/>
        </w:rPr>
      </w:pPr>
      <w:r>
        <w:t>9AC.</w:t>
      </w:r>
      <w:r>
        <w:tab/>
        <w:t>Electronic service of notices</w:t>
      </w:r>
      <w:r>
        <w:tab/>
      </w:r>
      <w:r>
        <w:fldChar w:fldCharType="begin"/>
      </w:r>
      <w:r>
        <w:instrText xml:space="preserve"> PAGEREF _Toc504384231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3 — Fees and forms</w:t>
      </w:r>
    </w:p>
    <w:p>
      <w:pPr>
        <w:pStyle w:val="TOC8"/>
        <w:rPr>
          <w:rFonts w:asciiTheme="minorHAnsi" w:eastAsiaTheme="minorEastAsia" w:hAnsiTheme="minorHAnsi" w:cstheme="minorBidi"/>
          <w:szCs w:val="22"/>
        </w:rPr>
      </w:pPr>
      <w:r>
        <w:t>9A.</w:t>
      </w:r>
      <w:r>
        <w:tab/>
        <w:t>Fees (Sch. 1)</w:t>
      </w:r>
      <w:r>
        <w:tab/>
      </w:r>
      <w:r>
        <w:fldChar w:fldCharType="begin"/>
      </w:r>
      <w:r>
        <w:instrText xml:space="preserve"> PAGEREF _Toc504384233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4</w:t>
      </w:r>
      <w:r>
        <w:rPr>
          <w:b w:val="0"/>
        </w:rPr>
        <w:t> </w:t>
      </w:r>
      <w:r>
        <w:t>—</w:t>
      </w:r>
      <w:r>
        <w:rPr>
          <w:b w:val="0"/>
        </w:rPr>
        <w:t> </w:t>
      </w:r>
      <w:r>
        <w:t>Inspection of Register</w:t>
      </w:r>
    </w:p>
    <w:p>
      <w:pPr>
        <w:pStyle w:val="TOC4"/>
        <w:tabs>
          <w:tab w:val="right" w:leader="dot" w:pos="7077"/>
        </w:tabs>
        <w:rPr>
          <w:rFonts w:asciiTheme="minorHAnsi" w:eastAsiaTheme="minorEastAsia" w:hAnsiTheme="minorHAnsi" w:cstheme="minorBidi"/>
          <w:b w:val="0"/>
          <w:szCs w:val="22"/>
        </w:rPr>
      </w:pPr>
      <w:r>
        <w:t>Division 1 — Times for inspection of Register and related documents</w:t>
      </w:r>
    </w:p>
    <w:p>
      <w:pPr>
        <w:pStyle w:val="TOC8"/>
        <w:rPr>
          <w:rFonts w:asciiTheme="minorHAnsi" w:eastAsiaTheme="minorEastAsia" w:hAnsiTheme="minorHAnsi" w:cstheme="minorBidi"/>
          <w:szCs w:val="22"/>
        </w:rPr>
      </w:pPr>
      <w:r>
        <w:t>10</w:t>
      </w:r>
      <w:r>
        <w:rPr>
          <w:snapToGrid w:val="0"/>
        </w:rPr>
        <w:t>.</w:t>
      </w:r>
      <w:r>
        <w:rPr>
          <w:snapToGrid w:val="0"/>
        </w:rPr>
        <w:tab/>
        <w:t>Times for inspection prescribed (Act s. 239(1))</w:t>
      </w:r>
      <w:r>
        <w:tab/>
      </w:r>
      <w:r>
        <w:fldChar w:fldCharType="begin"/>
      </w:r>
      <w:r>
        <w:instrText xml:space="preserve"> PAGEREF _Toc504384236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2 — Names index</w:t>
      </w:r>
    </w:p>
    <w:p>
      <w:pPr>
        <w:pStyle w:val="TOC8"/>
        <w:rPr>
          <w:rFonts w:asciiTheme="minorHAnsi" w:eastAsiaTheme="minorEastAsia" w:hAnsiTheme="minorHAnsi" w:cstheme="minorBidi"/>
          <w:szCs w:val="22"/>
        </w:rPr>
      </w:pPr>
      <w:r>
        <w:t>11.</w:t>
      </w:r>
      <w:r>
        <w:tab/>
        <w:t>Terms used</w:t>
      </w:r>
      <w:r>
        <w:tab/>
      </w:r>
      <w:r>
        <w:fldChar w:fldCharType="begin"/>
      </w:r>
      <w:r>
        <w:instrText xml:space="preserve"> PAGEREF _Toc504384238 \h </w:instrText>
      </w:r>
      <w:r>
        <w:fldChar w:fldCharType="separate"/>
      </w:r>
      <w:r>
        <w:t>15</w:t>
      </w:r>
      <w:r>
        <w:fldChar w:fldCharType="end"/>
      </w:r>
    </w:p>
    <w:p>
      <w:pPr>
        <w:pStyle w:val="TOC8"/>
        <w:rPr>
          <w:rFonts w:asciiTheme="minorHAnsi" w:eastAsiaTheme="minorEastAsia" w:hAnsiTheme="minorHAnsi" w:cstheme="minorBidi"/>
          <w:szCs w:val="22"/>
        </w:rPr>
      </w:pPr>
      <w:r>
        <w:t>12.</w:t>
      </w:r>
      <w:r>
        <w:tab/>
        <w:t>Names index prescribed (Act s. 239(1)(k))</w:t>
      </w:r>
      <w:r>
        <w:tab/>
      </w:r>
      <w:r>
        <w:fldChar w:fldCharType="begin"/>
      </w:r>
      <w:r>
        <w:instrText xml:space="preserve"> PAGEREF _Toc504384239 \h </w:instrText>
      </w:r>
      <w:r>
        <w:fldChar w:fldCharType="separate"/>
      </w:r>
      <w:r>
        <w:t>16</w:t>
      </w:r>
      <w:r>
        <w:fldChar w:fldCharType="end"/>
      </w:r>
    </w:p>
    <w:p>
      <w:pPr>
        <w:pStyle w:val="TOC8"/>
        <w:rPr>
          <w:rFonts w:asciiTheme="minorHAnsi" w:eastAsiaTheme="minorEastAsia" w:hAnsiTheme="minorHAnsi" w:cstheme="minorBidi"/>
          <w:szCs w:val="22"/>
        </w:rPr>
      </w:pPr>
      <w:r>
        <w:t>13.</w:t>
      </w:r>
      <w:r>
        <w:tab/>
      </w:r>
      <w:r>
        <w:rPr>
          <w:snapToGrid w:val="0"/>
        </w:rPr>
        <w:t>Application for information in names index to be excluded from inspections</w:t>
      </w:r>
      <w:r>
        <w:tab/>
      </w:r>
      <w:r>
        <w:fldChar w:fldCharType="begin"/>
      </w:r>
      <w:r>
        <w:instrText xml:space="preserve"> PAGEREF _Toc504384240 \h </w:instrText>
      </w:r>
      <w:r>
        <w:fldChar w:fldCharType="separate"/>
      </w:r>
      <w:r>
        <w:t>16</w:t>
      </w:r>
      <w:r>
        <w:fldChar w:fldCharType="end"/>
      </w:r>
    </w:p>
    <w:p>
      <w:pPr>
        <w:pStyle w:val="TOC8"/>
        <w:rPr>
          <w:rFonts w:asciiTheme="minorHAnsi" w:eastAsiaTheme="minorEastAsia" w:hAnsiTheme="minorHAnsi" w:cstheme="minorBidi"/>
          <w:szCs w:val="22"/>
        </w:rPr>
      </w:pPr>
      <w:r>
        <w:t>14.</w:t>
      </w:r>
      <w:r>
        <w:tab/>
        <w:t>Suppressed information, provision of to government organisations</w:t>
      </w:r>
      <w:r>
        <w:tab/>
      </w:r>
      <w:r>
        <w:fldChar w:fldCharType="begin"/>
      </w:r>
      <w:r>
        <w:instrText xml:space="preserve"> PAGEREF _Toc504384241 \h </w:instrText>
      </w:r>
      <w:r>
        <w:fldChar w:fldCharType="separate"/>
      </w:r>
      <w:r>
        <w:t>17</w:t>
      </w:r>
      <w:r>
        <w:fldChar w:fldCharType="end"/>
      </w:r>
    </w:p>
    <w:p>
      <w:pPr>
        <w:pStyle w:val="TOC8"/>
        <w:rPr>
          <w:rFonts w:asciiTheme="minorHAnsi" w:eastAsiaTheme="minorEastAsia" w:hAnsiTheme="minorHAnsi" w:cstheme="minorBidi"/>
          <w:szCs w:val="22"/>
        </w:rPr>
      </w:pPr>
      <w:r>
        <w:t>15.</w:t>
      </w:r>
      <w:r>
        <w:tab/>
        <w:t>Suppressed information, provision of to others</w:t>
      </w:r>
      <w:r>
        <w:tab/>
      </w:r>
      <w:r>
        <w:fldChar w:fldCharType="begin"/>
      </w:r>
      <w:r>
        <w:instrText xml:space="preserve"> PAGEREF _Toc504384242 \h </w:instrText>
      </w:r>
      <w:r>
        <w:fldChar w:fldCharType="separate"/>
      </w:r>
      <w:r>
        <w:t>18</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1 — Fees</w:t>
      </w:r>
    </w:p>
    <w:p>
      <w:pPr>
        <w:pStyle w:val="TOC4"/>
        <w:keepNext w:val="0"/>
        <w:tabs>
          <w:tab w:val="right" w:leader="dot" w:pos="7077"/>
        </w:tabs>
        <w:rPr>
          <w:rFonts w:asciiTheme="minorHAnsi" w:eastAsiaTheme="minorEastAsia" w:hAnsiTheme="minorHAnsi" w:cstheme="minorBidi"/>
          <w:b w:val="0"/>
          <w:szCs w:val="22"/>
        </w:rPr>
      </w:pPr>
      <w:r>
        <w:t>Division 1 </w:t>
      </w:r>
      <w:r>
        <w:rPr>
          <w:snapToGrid w:val="0"/>
        </w:rPr>
        <w:t>— </w:t>
      </w:r>
      <w:r>
        <w:t>Registrations and recordings</w:t>
      </w:r>
    </w:p>
    <w:p>
      <w:pPr>
        <w:pStyle w:val="TOC4"/>
        <w:keepNext w:val="0"/>
        <w:tabs>
          <w:tab w:val="right" w:leader="dot" w:pos="7077"/>
        </w:tabs>
        <w:rPr>
          <w:rFonts w:asciiTheme="minorHAnsi" w:eastAsiaTheme="minorEastAsia" w:hAnsiTheme="minorHAnsi" w:cstheme="minorBidi"/>
          <w:b w:val="0"/>
          <w:szCs w:val="22"/>
        </w:rPr>
      </w:pPr>
      <w:r>
        <w:t>Division 2 — Lodgments</w:t>
      </w:r>
    </w:p>
    <w:p>
      <w:pPr>
        <w:pStyle w:val="TOC4"/>
        <w:keepNext w:val="0"/>
        <w:tabs>
          <w:tab w:val="right" w:leader="dot" w:pos="7077"/>
        </w:tabs>
        <w:rPr>
          <w:rFonts w:asciiTheme="minorHAnsi" w:eastAsiaTheme="minorEastAsia" w:hAnsiTheme="minorHAnsi" w:cstheme="minorBidi"/>
          <w:b w:val="0"/>
          <w:szCs w:val="22"/>
        </w:rPr>
      </w:pPr>
      <w:r>
        <w:t>Division 3 — Withdrawals</w:t>
      </w:r>
    </w:p>
    <w:p>
      <w:pPr>
        <w:pStyle w:val="TOC4"/>
        <w:keepNext w:val="0"/>
        <w:tabs>
          <w:tab w:val="right" w:leader="dot" w:pos="7077"/>
        </w:tabs>
        <w:rPr>
          <w:rFonts w:asciiTheme="minorHAnsi" w:eastAsiaTheme="minorEastAsia" w:hAnsiTheme="minorHAnsi" w:cstheme="minorBidi"/>
          <w:b w:val="0"/>
          <w:szCs w:val="22"/>
        </w:rPr>
      </w:pPr>
      <w:r>
        <w:t>Division 4 — Applications</w:t>
      </w:r>
    </w:p>
    <w:p>
      <w:pPr>
        <w:pStyle w:val="TOC4"/>
        <w:keepNext w:val="0"/>
        <w:tabs>
          <w:tab w:val="right" w:leader="dot" w:pos="7077"/>
        </w:tabs>
        <w:rPr>
          <w:rFonts w:asciiTheme="minorHAnsi" w:eastAsiaTheme="minorEastAsia" w:hAnsiTheme="minorHAnsi" w:cstheme="minorBidi"/>
          <w:b w:val="0"/>
          <w:szCs w:val="22"/>
        </w:rPr>
      </w:pPr>
      <w:r>
        <w:t>Division 5 — Certificates</w:t>
      </w:r>
    </w:p>
    <w:p>
      <w:pPr>
        <w:pStyle w:val="TOC4"/>
        <w:keepNext w:val="0"/>
        <w:tabs>
          <w:tab w:val="right" w:leader="dot" w:pos="7077"/>
        </w:tabs>
        <w:rPr>
          <w:rFonts w:asciiTheme="minorHAnsi" w:eastAsiaTheme="minorEastAsia" w:hAnsiTheme="minorHAnsi" w:cstheme="minorBidi"/>
          <w:b w:val="0"/>
          <w:szCs w:val="22"/>
        </w:rPr>
      </w:pPr>
      <w:r>
        <w:t>Division 6 — Inspection and/or copies of documents</w:t>
      </w:r>
    </w:p>
    <w:p>
      <w:pPr>
        <w:pStyle w:val="TOC4"/>
        <w:tabs>
          <w:tab w:val="right" w:leader="dot" w:pos="7077"/>
        </w:tabs>
        <w:rPr>
          <w:rFonts w:asciiTheme="minorHAnsi" w:eastAsiaTheme="minorEastAsia" w:hAnsiTheme="minorHAnsi" w:cstheme="minorBidi"/>
          <w:b w:val="0"/>
          <w:szCs w:val="22"/>
        </w:rPr>
      </w:pPr>
      <w:r>
        <w:t>Division 7 — Miscellaneous</w:t>
      </w:r>
    </w:p>
    <w:p>
      <w:pPr>
        <w:pStyle w:val="TOC2"/>
        <w:tabs>
          <w:tab w:val="right" w:leader="dot" w:pos="7077"/>
        </w:tabs>
        <w:rPr>
          <w:rFonts w:asciiTheme="minorHAnsi" w:eastAsiaTheme="minorEastAsia" w:hAnsiTheme="minorHAnsi" w:cstheme="minorBidi"/>
          <w:b w:val="0"/>
          <w:sz w:val="22"/>
          <w:szCs w:val="22"/>
        </w:rPr>
      </w:pPr>
      <w:r>
        <w:t>Schedule 2 — Services and matters for which fees cannot be charged</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_Toc504384253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19 January 2018</w:t>
            </w:r>
          </w:p>
        </w:tc>
      </w:tr>
    </w:tbl>
    <w:p>
      <w:pPr>
        <w:pStyle w:val="WA"/>
        <w:spacing w:before="12"/>
      </w:pPr>
      <w:r>
        <w:t>Western Australia</w:t>
      </w:r>
    </w:p>
    <w:p>
      <w:pPr>
        <w:pStyle w:val="PrincipalActReg"/>
      </w:pPr>
      <w:r>
        <w:t>Transfer of Land Act 1893</w:t>
      </w:r>
    </w:p>
    <w:p>
      <w:pPr>
        <w:pStyle w:val="NameofActReg"/>
        <w:spacing w:before="720" w:after="840"/>
      </w:pPr>
      <w:r>
        <w:t>Transfer of Land Regulations 2004</w:t>
      </w:r>
    </w:p>
    <w:p>
      <w:pPr>
        <w:pStyle w:val="Heading2"/>
        <w:pageBreakBefore w:val="0"/>
        <w:spacing w:before="240"/>
        <w:rPr>
          <w:rStyle w:val="CharPartText"/>
        </w:rPr>
      </w:pPr>
      <w:bookmarkStart w:id="3" w:name="_Toc501370269"/>
      <w:bookmarkStart w:id="4" w:name="_Toc504384209"/>
      <w:r>
        <w:rPr>
          <w:rStyle w:val="CharPartNo"/>
        </w:rPr>
        <w:t>Part 1</w:t>
      </w:r>
      <w:r>
        <w:rPr>
          <w:b w:val="0"/>
        </w:rPr>
        <w:t> </w:t>
      </w:r>
      <w:r>
        <w:t>—</w:t>
      </w:r>
      <w:r>
        <w:rPr>
          <w:b w:val="0"/>
        </w:rPr>
        <w:t> </w:t>
      </w:r>
      <w:r>
        <w:rPr>
          <w:rStyle w:val="CharPartText"/>
        </w:rPr>
        <w:t>Preliminary</w:t>
      </w:r>
      <w:bookmarkEnd w:id="3"/>
      <w:bookmarkEnd w:id="4"/>
    </w:p>
    <w:p>
      <w:pPr>
        <w:pStyle w:val="Footnoteheading"/>
      </w:pPr>
      <w:r>
        <w:tab/>
        <w:t>[Heading inserted in Gazette 22 May 2009 p. 1700.]</w:t>
      </w:r>
    </w:p>
    <w:p>
      <w:pPr>
        <w:pStyle w:val="Heading5"/>
      </w:pPr>
      <w:bookmarkStart w:id="5" w:name="_Toc504384210"/>
      <w:r>
        <w:rPr>
          <w:rStyle w:val="CharSectno"/>
        </w:rPr>
        <w:t>1</w:t>
      </w:r>
      <w:r>
        <w:t>.</w:t>
      </w:r>
      <w:r>
        <w:tab/>
        <w:t>Citation</w:t>
      </w:r>
      <w:bookmarkEnd w:id="5"/>
    </w:p>
    <w:p>
      <w:pPr>
        <w:pStyle w:val="Subsection"/>
      </w:pPr>
      <w:r>
        <w:tab/>
      </w:r>
      <w:r>
        <w:tab/>
      </w:r>
      <w:r>
        <w:rPr>
          <w:spacing w:val="-2"/>
        </w:rPr>
        <w:t>These</w:t>
      </w:r>
      <w:r>
        <w:t xml:space="preserve"> </w:t>
      </w:r>
      <w:r>
        <w:rPr>
          <w:spacing w:val="-2"/>
        </w:rPr>
        <w:t>regulations</w:t>
      </w:r>
      <w:r>
        <w:t xml:space="preserve"> may be cited as the </w:t>
      </w:r>
      <w:r>
        <w:rPr>
          <w:i/>
        </w:rPr>
        <w:t>Transfer of Land Regulations 2004</w:t>
      </w:r>
      <w:r>
        <w:rPr>
          <w:vertAlign w:val="superscript"/>
        </w:rPr>
        <w:t> 1</w:t>
      </w:r>
      <w:r>
        <w:t>.</w:t>
      </w:r>
    </w:p>
    <w:p>
      <w:pPr>
        <w:pStyle w:val="Heading5"/>
        <w:rPr>
          <w:spacing w:val="-2"/>
        </w:rPr>
      </w:pPr>
      <w:bookmarkStart w:id="6" w:name="_Toc504384211"/>
      <w:r>
        <w:rPr>
          <w:rStyle w:val="CharSectno"/>
        </w:rPr>
        <w:t>2</w:t>
      </w:r>
      <w:r>
        <w:rPr>
          <w:spacing w:val="-2"/>
        </w:rPr>
        <w:t>.</w:t>
      </w:r>
      <w:r>
        <w:rPr>
          <w:spacing w:val="-2"/>
        </w:rPr>
        <w:tab/>
        <w:t>Commencement</w:t>
      </w:r>
      <w:bookmarkEnd w:id="6"/>
    </w:p>
    <w:p>
      <w:pPr>
        <w:pStyle w:val="Subsection"/>
        <w:rPr>
          <w:spacing w:val="-2"/>
        </w:rPr>
      </w:pPr>
      <w:r>
        <w:rPr>
          <w:spacing w:val="-2"/>
        </w:rPr>
        <w:tab/>
      </w:r>
      <w:r>
        <w:rPr>
          <w:spacing w:val="-2"/>
        </w:rPr>
        <w:tab/>
        <w:t>These regulations come into operation on 6 September 2004.</w:t>
      </w:r>
    </w:p>
    <w:p>
      <w:pPr>
        <w:pStyle w:val="Heading2"/>
      </w:pPr>
      <w:bookmarkStart w:id="7" w:name="_Toc501370272"/>
      <w:bookmarkStart w:id="8" w:name="_Toc504384212"/>
      <w:r>
        <w:rPr>
          <w:rStyle w:val="CharPartNo"/>
        </w:rPr>
        <w:t>Part 2</w:t>
      </w:r>
      <w:r>
        <w:rPr>
          <w:b w:val="0"/>
        </w:rPr>
        <w:t> </w:t>
      </w:r>
      <w:r>
        <w:t>—</w:t>
      </w:r>
      <w:r>
        <w:rPr>
          <w:b w:val="0"/>
        </w:rPr>
        <w:t> </w:t>
      </w:r>
      <w:r>
        <w:rPr>
          <w:rStyle w:val="CharPartText"/>
        </w:rPr>
        <w:t>General</w:t>
      </w:r>
      <w:bookmarkEnd w:id="7"/>
      <w:bookmarkEnd w:id="8"/>
    </w:p>
    <w:p>
      <w:pPr>
        <w:pStyle w:val="Footnoteheading"/>
      </w:pPr>
      <w:r>
        <w:tab/>
        <w:t>[Heading inserted in Gazette 22 May 2009 p. 1701.]</w:t>
      </w:r>
    </w:p>
    <w:p>
      <w:pPr>
        <w:pStyle w:val="Heading5"/>
      </w:pPr>
      <w:bookmarkStart w:id="9" w:name="_Toc504384213"/>
      <w:r>
        <w:rPr>
          <w:rStyle w:val="CharSectno"/>
        </w:rPr>
        <w:t>3A</w:t>
      </w:r>
      <w:r>
        <w:t>.</w:t>
      </w:r>
      <w:r>
        <w:tab/>
        <w:t>Immaterial differences between counterparts (Act s. 4(1CA)(b)(v))</w:t>
      </w:r>
      <w:bookmarkEnd w:id="9"/>
    </w:p>
    <w:p>
      <w:pPr>
        <w:pStyle w:val="Subsection"/>
      </w:pPr>
      <w:r>
        <w:tab/>
      </w:r>
      <w:r>
        <w:tab/>
        <w:t xml:space="preserve">For the purposes of section 4(1CA)(b)(v) of the Act, the following are prescribed — </w:t>
      </w:r>
    </w:p>
    <w:p>
      <w:pPr>
        <w:pStyle w:val="Indenta"/>
      </w:pPr>
      <w:r>
        <w:tab/>
        <w:t>(a)</w:t>
      </w:r>
      <w:r>
        <w:tab/>
        <w:t>any certification given in accordance with the participation rules;</w:t>
      </w:r>
    </w:p>
    <w:p>
      <w:pPr>
        <w:pStyle w:val="Indenta"/>
      </w:pPr>
      <w:r>
        <w:tab/>
        <w:t>(b)</w:t>
      </w:r>
      <w:r>
        <w:tab/>
        <w:t xml:space="preserve">any certification or statement required under — </w:t>
      </w:r>
    </w:p>
    <w:p>
      <w:pPr>
        <w:pStyle w:val="Indenti"/>
      </w:pPr>
      <w:r>
        <w:tab/>
        <w:t>(i)</w:t>
      </w:r>
      <w:r>
        <w:tab/>
        <w:t>these regulations; or</w:t>
      </w:r>
    </w:p>
    <w:p>
      <w:pPr>
        <w:pStyle w:val="Indenti"/>
      </w:pPr>
      <w:r>
        <w:tab/>
        <w:t>(ii)</w:t>
      </w:r>
      <w:r>
        <w:tab/>
        <w:t>any requirement determined under section 182A of the Act;</w:t>
      </w:r>
    </w:p>
    <w:p>
      <w:pPr>
        <w:pStyle w:val="Indenta"/>
      </w:pPr>
      <w:r>
        <w:tab/>
        <w:t>(c)</w:t>
      </w:r>
      <w:r>
        <w:tab/>
        <w:t>any certification or statement required by the Commissioner or the Registrar or an approved form;</w:t>
      </w:r>
    </w:p>
    <w:p>
      <w:pPr>
        <w:pStyle w:val="Indenta"/>
      </w:pPr>
      <w:r>
        <w:tab/>
        <w:t>(d)</w:t>
      </w:r>
      <w:r>
        <w:tab/>
        <w:t xml:space="preserve">any data or information of an administrative nature and that — </w:t>
      </w:r>
    </w:p>
    <w:p>
      <w:pPr>
        <w:pStyle w:val="Indenti"/>
      </w:pPr>
      <w:r>
        <w:tab/>
        <w:t>(i)</w:t>
      </w:r>
      <w:r>
        <w:tab/>
        <w:t>is required by an approved form; or</w:t>
      </w:r>
    </w:p>
    <w:p>
      <w:pPr>
        <w:pStyle w:val="Indenti"/>
      </w:pPr>
      <w:r>
        <w:tab/>
        <w:t>(ii)</w:t>
      </w:r>
      <w:r>
        <w:tab/>
        <w:t>is required for the purposes of lodging a document electronically; or</w:t>
      </w:r>
    </w:p>
    <w:p>
      <w:pPr>
        <w:pStyle w:val="Indenti"/>
      </w:pPr>
      <w:r>
        <w:tab/>
        <w:t>(iii)</w:t>
      </w:r>
      <w:r>
        <w:tab/>
        <w:t>is included in or on a document as part of the lodgment process, or in connection with processing, registering, noting, filing or recording the document or any other document;</w:t>
      </w:r>
    </w:p>
    <w:p>
      <w:pPr>
        <w:pStyle w:val="Indenta"/>
      </w:pPr>
      <w:r>
        <w:tab/>
        <w:t>(e)</w:t>
      </w:r>
      <w:r>
        <w:tab/>
        <w:t>headings to a document or part of a document;</w:t>
      </w:r>
    </w:p>
    <w:p>
      <w:pPr>
        <w:pStyle w:val="Indenta"/>
      </w:pPr>
      <w:r>
        <w:tab/>
        <w:t>(f)</w:t>
      </w:r>
      <w:r>
        <w:tab/>
        <w:t>any identifier allocated to a document, for example a form number or approval number;</w:t>
      </w:r>
    </w:p>
    <w:p>
      <w:pPr>
        <w:pStyle w:val="Indenta"/>
      </w:pPr>
      <w:r>
        <w:tab/>
        <w:t>(g)</w:t>
      </w:r>
      <w:r>
        <w:tab/>
        <w:t>abbreviations of terms;</w:t>
      </w:r>
    </w:p>
    <w:p>
      <w:pPr>
        <w:pStyle w:val="Indenta"/>
      </w:pPr>
      <w:r>
        <w:tab/>
        <w:t>(h)</w:t>
      </w:r>
      <w:r>
        <w:tab/>
        <w:t xml:space="preserve">the formatting of a document, including (without limitation) — </w:t>
      </w:r>
    </w:p>
    <w:p>
      <w:pPr>
        <w:pStyle w:val="Indenti"/>
      </w:pPr>
      <w:r>
        <w:tab/>
        <w:t>(i)</w:t>
      </w:r>
      <w:r>
        <w:tab/>
        <w:t>the capitalisation of words;</w:t>
      </w:r>
    </w:p>
    <w:p>
      <w:pPr>
        <w:pStyle w:val="Indenti"/>
      </w:pPr>
      <w:r>
        <w:tab/>
        <w:t>(ii)</w:t>
      </w:r>
      <w:r>
        <w:tab/>
        <w:t>the numbering of provisions;</w:t>
      </w:r>
    </w:p>
    <w:p>
      <w:pPr>
        <w:pStyle w:val="Indenti"/>
      </w:pPr>
      <w:r>
        <w:tab/>
        <w:t>(iii)</w:t>
      </w:r>
      <w:r>
        <w:tab/>
        <w:t>page numbering;</w:t>
      </w:r>
    </w:p>
    <w:p>
      <w:pPr>
        <w:pStyle w:val="Indenti"/>
      </w:pPr>
      <w:r>
        <w:tab/>
        <w:t>(iv)</w:t>
      </w:r>
      <w:r>
        <w:tab/>
        <w:t>the presence or absence of lines, boxes and other similar typographical devices;</w:t>
      </w:r>
    </w:p>
    <w:p>
      <w:pPr>
        <w:pStyle w:val="Indenta"/>
      </w:pPr>
      <w:r>
        <w:tab/>
        <w:t>(i)</w:t>
      </w:r>
      <w:r>
        <w:tab/>
        <w:t>a logo or other similar material that identifies a document with a particular person or organisation;</w:t>
      </w:r>
    </w:p>
    <w:p>
      <w:pPr>
        <w:pStyle w:val="Indenta"/>
        <w:rPr>
          <w:szCs w:val="24"/>
        </w:rPr>
      </w:pPr>
      <w:r>
        <w:tab/>
        <w:t>(j)</w:t>
      </w:r>
      <w:r>
        <w:tab/>
        <w:t>information or data that consists of instructions or notes to assist in the completion of a document.</w:t>
      </w:r>
    </w:p>
    <w:p>
      <w:pPr>
        <w:pStyle w:val="Footnotesection"/>
      </w:pPr>
      <w:r>
        <w:tab/>
        <w:t>[Regulation 3A inserted in Gazette 30 May 2014 p. 1684.]</w:t>
      </w:r>
    </w:p>
    <w:p>
      <w:pPr>
        <w:pStyle w:val="Heading5"/>
      </w:pPr>
      <w:bookmarkStart w:id="10" w:name="_Toc504384214"/>
      <w:r>
        <w:rPr>
          <w:rStyle w:val="CharSectno"/>
        </w:rPr>
        <w:t>3</w:t>
      </w:r>
      <w:r>
        <w:t>.</w:t>
      </w:r>
      <w:r>
        <w:tab/>
        <w:t>Paper documents for lodgment, requirements for</w:t>
      </w:r>
      <w:bookmarkEnd w:id="10"/>
    </w:p>
    <w:p>
      <w:pPr>
        <w:pStyle w:val="Subsection"/>
        <w:rPr>
          <w:snapToGrid w:val="0"/>
        </w:rPr>
      </w:pPr>
      <w:r>
        <w:rPr>
          <w:snapToGrid w:val="0"/>
        </w:rPr>
        <w:tab/>
        <w:t>(1)</w:t>
      </w:r>
      <w:r>
        <w:rPr>
          <w:snapToGrid w:val="0"/>
        </w:rPr>
        <w:tab/>
        <w:t>Each document presented in paper medium for lodgment with the Registrar or registration or entry in the Register —</w:t>
      </w:r>
    </w:p>
    <w:p>
      <w:pPr>
        <w:pStyle w:val="Indenta"/>
        <w:rPr>
          <w:snapToGrid w:val="0"/>
        </w:rPr>
      </w:pPr>
      <w:r>
        <w:tab/>
        <w:t>(a)</w:t>
      </w:r>
      <w:r>
        <w:tab/>
      </w:r>
      <w:r>
        <w:rPr>
          <w:snapToGrid w:val="0"/>
        </w:rPr>
        <w:t>is to be prepared on paper of a type and quality approved by the Registrar; and</w:t>
      </w:r>
    </w:p>
    <w:p>
      <w:pPr>
        <w:pStyle w:val="Indenta"/>
        <w:rPr>
          <w:snapToGrid w:val="0"/>
        </w:rPr>
      </w:pPr>
      <w:r>
        <w:tab/>
        <w:t>(b)</w:t>
      </w:r>
      <w:r>
        <w:tab/>
      </w:r>
      <w:r>
        <w:rPr>
          <w:snapToGrid w:val="0"/>
        </w:rPr>
        <w:t>is to be clearly and legibly handwritten in ink, printed, or typewritten; and</w:t>
      </w:r>
    </w:p>
    <w:p>
      <w:pPr>
        <w:pStyle w:val="Indenta"/>
        <w:rPr>
          <w:snapToGrid w:val="0"/>
        </w:rPr>
      </w:pPr>
      <w:r>
        <w:tab/>
        <w:t>(c)</w:t>
      </w:r>
      <w:r>
        <w:tab/>
      </w:r>
      <w:r>
        <w:rPr>
          <w:snapToGrid w:val="0"/>
        </w:rPr>
        <w:t>is to have the signature of any party to the document, and that of any witness to such signature, written in ink; and</w:t>
      </w:r>
    </w:p>
    <w:p>
      <w:pPr>
        <w:pStyle w:val="Indenta"/>
        <w:rPr>
          <w:snapToGrid w:val="0"/>
        </w:rPr>
      </w:pPr>
      <w:r>
        <w:tab/>
        <w:t>(d)</w:t>
      </w:r>
      <w:r>
        <w:tab/>
      </w:r>
      <w:r>
        <w:rPr>
          <w:snapToGrid w:val="0"/>
        </w:rPr>
        <w:t>consisting of more than one page is to be bound in a manner approved by the Registrar; and</w:t>
      </w:r>
    </w:p>
    <w:p>
      <w:pPr>
        <w:pStyle w:val="Indenta"/>
        <w:rPr>
          <w:snapToGrid w:val="0"/>
        </w:rPr>
      </w:pPr>
      <w:r>
        <w:tab/>
        <w:t>(e)</w:t>
      </w:r>
      <w:r>
        <w:tab/>
      </w:r>
      <w:r>
        <w:rPr>
          <w:snapToGrid w:val="0"/>
        </w:rPr>
        <w:t>on an approved form is to show the Registrar’s approval number for the form at the top of the first page.</w:t>
      </w:r>
    </w:p>
    <w:p>
      <w:pPr>
        <w:pStyle w:val="Ednotesubsection"/>
      </w:pPr>
      <w:r>
        <w:tab/>
        <w:t>[(2)</w:t>
      </w:r>
      <w:r>
        <w:tab/>
        <w:t>deleted]</w:t>
      </w:r>
    </w:p>
    <w:p>
      <w:pPr>
        <w:pStyle w:val="Footnotesection"/>
      </w:pPr>
      <w:r>
        <w:tab/>
        <w:t>[Regulation 3 amended in Gazette 29 Dec 2006 p. 5915; 30 May 2014 p. 1685.]</w:t>
      </w:r>
    </w:p>
    <w:p>
      <w:pPr>
        <w:pStyle w:val="Heading5"/>
        <w:rPr>
          <w:snapToGrid w:val="0"/>
        </w:rPr>
      </w:pPr>
      <w:bookmarkStart w:id="11" w:name="_Toc504384215"/>
      <w:r>
        <w:rPr>
          <w:rStyle w:val="CharSectno"/>
        </w:rPr>
        <w:t>4</w:t>
      </w:r>
      <w:r>
        <w:t>.</w:t>
      </w:r>
      <w:r>
        <w:tab/>
      </w:r>
      <w:r>
        <w:rPr>
          <w:snapToGrid w:val="0"/>
        </w:rPr>
        <w:t>Certificates of title for land in existing certificate</w:t>
      </w:r>
      <w:bookmarkEnd w:id="11"/>
    </w:p>
    <w:p>
      <w:pPr>
        <w:pStyle w:val="Subsection"/>
        <w:rPr>
          <w:snapToGrid w:val="0"/>
        </w:rPr>
      </w:pPr>
      <w:r>
        <w:rPr>
          <w:snapToGrid w:val="0"/>
        </w:rPr>
        <w:tab/>
      </w:r>
      <w:r>
        <w:rPr>
          <w:snapToGrid w:val="0"/>
        </w:rPr>
        <w:tab/>
        <w:t>Where an application is made for a certificate of title for the whole or part of the land the subject of any existing certificate or certificates of title the Registrar may, if the Registrar thinks fit, instead of creating the certificate of title so applied for, create and register a certificate of title for each lot or location or for any number of lots or locations included in that land.</w:t>
      </w:r>
    </w:p>
    <w:p>
      <w:pPr>
        <w:pStyle w:val="Heading5"/>
        <w:rPr>
          <w:snapToGrid w:val="0"/>
        </w:rPr>
      </w:pPr>
      <w:bookmarkStart w:id="12" w:name="_Toc504384216"/>
      <w:r>
        <w:rPr>
          <w:rStyle w:val="CharSectno"/>
        </w:rPr>
        <w:t>5</w:t>
      </w:r>
      <w:r>
        <w:t>.</w:t>
      </w:r>
      <w:r>
        <w:tab/>
      </w:r>
      <w:r>
        <w:rPr>
          <w:snapToGrid w:val="0"/>
        </w:rPr>
        <w:t>New certificate of title if old one too full for further endorsement</w:t>
      </w:r>
      <w:bookmarkEnd w:id="12"/>
    </w:p>
    <w:p>
      <w:pPr>
        <w:pStyle w:val="Subsection"/>
        <w:rPr>
          <w:snapToGrid w:val="0"/>
        </w:rPr>
      </w:pPr>
      <w:r>
        <w:rPr>
          <w:snapToGrid w:val="0"/>
        </w:rPr>
        <w:tab/>
      </w:r>
      <w:r>
        <w:rPr>
          <w:snapToGrid w:val="0"/>
        </w:rPr>
        <w:tab/>
        <w:t>If the Registrar is satisfied that a certificate of title in paper medium is too full for further endorsement then the Registrar may create and register a new certificate of title.</w:t>
      </w:r>
    </w:p>
    <w:p>
      <w:pPr>
        <w:pStyle w:val="Ednotesection"/>
      </w:pPr>
      <w:r>
        <w:t>[</w:t>
      </w:r>
      <w:r>
        <w:rPr>
          <w:b/>
          <w:bCs/>
        </w:rPr>
        <w:t>5A.</w:t>
      </w:r>
      <w:r>
        <w:tab/>
        <w:t>Deleted in Gazette 22 Mar 2016 p. 835.]</w:t>
      </w:r>
    </w:p>
    <w:p>
      <w:pPr>
        <w:pStyle w:val="Ednotesection"/>
      </w:pPr>
      <w:r>
        <w:t>[</w:t>
      </w:r>
      <w:r>
        <w:rPr>
          <w:b/>
          <w:bCs/>
        </w:rPr>
        <w:t>6, 7.</w:t>
      </w:r>
      <w:r>
        <w:tab/>
        <w:t>Deleted in Gazette 22 May 2009 p. 1701.]</w:t>
      </w:r>
    </w:p>
    <w:p>
      <w:pPr>
        <w:pStyle w:val="Heading5"/>
        <w:rPr>
          <w:snapToGrid w:val="0"/>
        </w:rPr>
      </w:pPr>
      <w:bookmarkStart w:id="13" w:name="_Toc504384217"/>
      <w:r>
        <w:rPr>
          <w:rStyle w:val="CharSectno"/>
        </w:rPr>
        <w:t>8</w:t>
      </w:r>
      <w:r>
        <w:t>.</w:t>
      </w:r>
      <w:r>
        <w:tab/>
      </w:r>
      <w:r>
        <w:rPr>
          <w:snapToGrid w:val="0"/>
        </w:rPr>
        <w:t>Area prescribed (Act s. 129C(1a))</w:t>
      </w:r>
      <w:bookmarkEnd w:id="13"/>
    </w:p>
    <w:p>
      <w:pPr>
        <w:pStyle w:val="Subsection"/>
      </w:pPr>
      <w:r>
        <w:tab/>
        <w:t>(1)</w:t>
      </w:r>
      <w:r>
        <w:tab/>
        <w:t>In this regulation —</w:t>
      </w:r>
    </w:p>
    <w:p>
      <w:pPr>
        <w:pStyle w:val="Defstart"/>
      </w:pPr>
      <w:r>
        <w:rPr>
          <w:b/>
        </w:rPr>
        <w:tab/>
      </w:r>
      <w:r>
        <w:rPr>
          <w:rStyle w:val="CharDefText"/>
        </w:rPr>
        <w:t>benefited lot</w:t>
      </w:r>
      <w:r>
        <w:t xml:space="preserve"> means a lot that is benefited by —</w:t>
      </w:r>
    </w:p>
    <w:p>
      <w:pPr>
        <w:pStyle w:val="Defpara"/>
      </w:pPr>
      <w:r>
        <w:tab/>
        <w:t>(a)</w:t>
      </w:r>
      <w:r>
        <w:tab/>
        <w:t>the single dwelling covenant the subject of the application; or</w:t>
      </w:r>
    </w:p>
    <w:p>
      <w:pPr>
        <w:pStyle w:val="Defpara"/>
      </w:pPr>
      <w:r>
        <w:tab/>
        <w:t>(b)</w:t>
      </w:r>
      <w:r>
        <w:tab/>
        <w:t>any other single dwelling covenant;</w:t>
      </w:r>
    </w:p>
    <w:p>
      <w:pPr>
        <w:pStyle w:val="Defstart"/>
      </w:pPr>
      <w:r>
        <w:tab/>
      </w:r>
      <w:r>
        <w:rPr>
          <w:rStyle w:val="CharDefText"/>
        </w:rPr>
        <w:t>circle</w:t>
      </w:r>
      <w:r>
        <w:t xml:space="preserve"> means a notional circle that has its centre at the centre of the lot the subject of the application;</w:t>
      </w:r>
    </w:p>
    <w:p>
      <w:pPr>
        <w:pStyle w:val="Defstart"/>
      </w:pPr>
      <w:r>
        <w:tab/>
      </w:r>
      <w:r>
        <w:rPr>
          <w:rStyle w:val="CharDefText"/>
        </w:rPr>
        <w:t>lot</w:t>
      </w:r>
      <w:r>
        <w:t xml:space="preserve"> and </w:t>
      </w:r>
      <w:r>
        <w:rPr>
          <w:rStyle w:val="CharDefText"/>
        </w:rPr>
        <w:t>single dwelling covenant</w:t>
      </w:r>
      <w:r>
        <w:t xml:space="preserve"> have the same meanings as in section 129C of the Act.</w:t>
      </w:r>
    </w:p>
    <w:p>
      <w:pPr>
        <w:pStyle w:val="Subsection"/>
      </w:pPr>
      <w:r>
        <w:tab/>
        <w:t>(2)</w:t>
      </w:r>
      <w:r>
        <w:tab/>
        <w:t>If there are 200 or more benefited lots inside a circle with a radius of 250 m, the prescribed area for the purposes of section 129C(1a)(a)(i) of the Act is the area within that circle.</w:t>
      </w:r>
    </w:p>
    <w:p>
      <w:pPr>
        <w:pStyle w:val="Subsection"/>
      </w:pPr>
      <w:r>
        <w:tab/>
        <w:t>(3)</w:t>
      </w:r>
      <w:r>
        <w:tab/>
        <w:t>If there are —</w:t>
      </w:r>
    </w:p>
    <w:p>
      <w:pPr>
        <w:pStyle w:val="Indenta"/>
      </w:pPr>
      <w:r>
        <w:tab/>
        <w:t>(a)</w:t>
      </w:r>
      <w:r>
        <w:tab/>
        <w:t>less than 200 benefited lots within a circle with a radius of 250 m; and</w:t>
      </w:r>
    </w:p>
    <w:p>
      <w:pPr>
        <w:pStyle w:val="Indenta"/>
      </w:pPr>
      <w:r>
        <w:tab/>
        <w:t>(b)</w:t>
      </w:r>
      <w:r>
        <w:tab/>
        <w:t>no benefited lots in the area between that circle and a circle with a radius of 230 m,</w:t>
      </w:r>
    </w:p>
    <w:p>
      <w:pPr>
        <w:pStyle w:val="Subsection"/>
      </w:pPr>
      <w:r>
        <w:tab/>
      </w:r>
      <w:r>
        <w:tab/>
        <w:t>the prescribed area for the purposes of section 129C(1a)(a)(i) of the Act is the area within the circle with a radius of 250 m.</w:t>
      </w:r>
    </w:p>
    <w:p>
      <w:pPr>
        <w:pStyle w:val="Subsection"/>
      </w:pPr>
      <w:r>
        <w:tab/>
        <w:t>(4)</w:t>
      </w:r>
      <w:r>
        <w:tab/>
        <w:t>If subregulation (3) does not apply and there are 200 or more benefited lots inside a circle with a radius of 260 m, the prescribed area for the purposes of section 129C(1a)(a)(i) of the Act is the area within that circle.</w:t>
      </w:r>
    </w:p>
    <w:p>
      <w:pPr>
        <w:pStyle w:val="Subsection"/>
      </w:pPr>
      <w:r>
        <w:tab/>
        <w:t>(5)</w:t>
      </w:r>
      <w:r>
        <w:tab/>
        <w:t>If there are —</w:t>
      </w:r>
    </w:p>
    <w:p>
      <w:pPr>
        <w:pStyle w:val="Indenta"/>
      </w:pPr>
      <w:r>
        <w:tab/>
        <w:t>(a)</w:t>
      </w:r>
      <w:r>
        <w:tab/>
        <w:t>less than 200 benefited lots within a circle with a radius of 260 m; and</w:t>
      </w:r>
    </w:p>
    <w:p>
      <w:pPr>
        <w:pStyle w:val="Indenta"/>
        <w:keepNext/>
        <w:keepLines/>
      </w:pPr>
      <w:r>
        <w:tab/>
        <w:t>(b)</w:t>
      </w:r>
      <w:r>
        <w:tab/>
        <w:t>no benefited lots in the area between that circle and a circle with a radius of 240 m,</w:t>
      </w:r>
    </w:p>
    <w:p>
      <w:pPr>
        <w:pStyle w:val="Subsection"/>
      </w:pPr>
      <w:r>
        <w:tab/>
      </w:r>
      <w:r>
        <w:tab/>
        <w:t>the prescribed area for the purposes of section 129C(1a)(a)(i) of the Act is the area within a circle with a radius of 260 m.</w:t>
      </w:r>
    </w:p>
    <w:p>
      <w:pPr>
        <w:pStyle w:val="Subsection"/>
      </w:pPr>
      <w:r>
        <w:tab/>
        <w:t>(6)</w:t>
      </w:r>
      <w:r>
        <w:tab/>
        <w:t>If none of subregulations (2), (3), (4) and (5) apply, the prescribed area for the purposes of section 129C(1a)(a)(i) of the Act is the area within a circle with a radius of 270 m.</w:t>
      </w:r>
    </w:p>
    <w:p>
      <w:pPr>
        <w:pStyle w:val="Subsection"/>
      </w:pPr>
      <w:r>
        <w:tab/>
        <w:t>(7)</w:t>
      </w:r>
      <w:r>
        <w:tab/>
        <w:t>For the purposes of this regulation —</w:t>
      </w:r>
    </w:p>
    <w:p>
      <w:pPr>
        <w:pStyle w:val="Indenta"/>
      </w:pPr>
      <w:r>
        <w:tab/>
        <w:t>(a)</w:t>
      </w:r>
      <w:r>
        <w:tab/>
        <w:t xml:space="preserve">the position of the centre and boundary of a circle is to be determined by a licensed surveyor (as defined in the </w:t>
      </w:r>
      <w:r>
        <w:rPr>
          <w:i/>
        </w:rPr>
        <w:t>Licensed Surveyors Act 1909</w:t>
      </w:r>
      <w:r>
        <w:rPr>
          <w:iCs/>
        </w:rPr>
        <w:t xml:space="preserve"> section 3(1)</w:t>
      </w:r>
      <w:r>
        <w:t>) who holds a current practising certificate under that Act; and</w:t>
      </w:r>
    </w:p>
    <w:p>
      <w:pPr>
        <w:pStyle w:val="Indenta"/>
      </w:pPr>
      <w:r>
        <w:tab/>
        <w:t>(b)</w:t>
      </w:r>
      <w:r>
        <w:tab/>
        <w:t>a lot is inside a circle if any part of the lot is inside the circle.</w:t>
      </w:r>
    </w:p>
    <w:p>
      <w:pPr>
        <w:pStyle w:val="Heading2"/>
      </w:pPr>
      <w:bookmarkStart w:id="14" w:name="_Toc501370278"/>
      <w:bookmarkStart w:id="15" w:name="_Toc504384218"/>
      <w:r>
        <w:rPr>
          <w:rStyle w:val="CharPartNo"/>
        </w:rPr>
        <w:t>Part 3A</w:t>
      </w:r>
      <w:r>
        <w:t> — </w:t>
      </w:r>
      <w:r>
        <w:rPr>
          <w:rStyle w:val="CharPartText"/>
        </w:rPr>
        <w:t xml:space="preserve">Provisions relating to </w:t>
      </w:r>
      <w:r>
        <w:rPr>
          <w:rStyle w:val="CharPartText"/>
          <w:i/>
        </w:rPr>
        <w:t>Electronic Conveyancing Act 2014</w:t>
      </w:r>
      <w:bookmarkEnd w:id="14"/>
      <w:bookmarkEnd w:id="15"/>
    </w:p>
    <w:p>
      <w:pPr>
        <w:pStyle w:val="Footnoteheading"/>
      </w:pPr>
      <w:r>
        <w:tab/>
        <w:t>[Heading inserted in Gazette 30 May 2014 p. 1685.]</w:t>
      </w:r>
    </w:p>
    <w:p>
      <w:pPr>
        <w:pStyle w:val="Heading3"/>
      </w:pPr>
      <w:bookmarkStart w:id="16" w:name="_Toc501370279"/>
      <w:bookmarkStart w:id="17" w:name="_Toc504384219"/>
      <w:r>
        <w:rPr>
          <w:rStyle w:val="CharDivNo"/>
        </w:rPr>
        <w:t>Division 1</w:t>
      </w:r>
      <w:r>
        <w:t> — </w:t>
      </w:r>
      <w:r>
        <w:rPr>
          <w:rStyle w:val="CharDivText"/>
        </w:rPr>
        <w:t>Certain registry instruments must be lodged by means of an ELN</w:t>
      </w:r>
      <w:bookmarkEnd w:id="16"/>
      <w:bookmarkEnd w:id="17"/>
    </w:p>
    <w:p>
      <w:pPr>
        <w:pStyle w:val="Footnoteheading"/>
      </w:pPr>
      <w:r>
        <w:tab/>
        <w:t>[Heading inserted in Gazette 24 Nov 2017 p. 5680.]</w:t>
      </w:r>
    </w:p>
    <w:p>
      <w:pPr>
        <w:pStyle w:val="Heading5"/>
      </w:pPr>
      <w:bookmarkStart w:id="18" w:name="_Toc504384220"/>
      <w:r>
        <w:rPr>
          <w:rStyle w:val="CharSectno"/>
        </w:rPr>
        <w:t>8A</w:t>
      </w:r>
      <w:r>
        <w:t>.</w:t>
      </w:r>
      <w:r>
        <w:tab/>
        <w:t>Terms used</w:t>
      </w:r>
      <w:bookmarkEnd w:id="18"/>
    </w:p>
    <w:p>
      <w:pPr>
        <w:pStyle w:val="Subsection"/>
      </w:pPr>
      <w:r>
        <w:tab/>
        <w:t>(1)</w:t>
      </w:r>
      <w:r>
        <w:tab/>
        <w:t xml:space="preserve">In this Division — </w:t>
      </w:r>
    </w:p>
    <w:p>
      <w:pPr>
        <w:pStyle w:val="Defstart"/>
      </w:pPr>
      <w:r>
        <w:tab/>
      </w:r>
      <w:r>
        <w:rPr>
          <w:rStyle w:val="CharDefText"/>
        </w:rPr>
        <w:t>ELN</w:t>
      </w:r>
      <w:r>
        <w:t xml:space="preserve"> means an ELN provided and operated under the </w:t>
      </w:r>
      <w:r>
        <w:rPr>
          <w:i/>
        </w:rPr>
        <w:t>Electronic Conveyancing Act 2014</w:t>
      </w:r>
      <w:r>
        <w:t>.</w:t>
      </w:r>
    </w:p>
    <w:p>
      <w:pPr>
        <w:pStyle w:val="Subsection"/>
      </w:pPr>
      <w:r>
        <w:tab/>
        <w:t>(2)</w:t>
      </w:r>
      <w:r>
        <w:tab/>
        <w:t xml:space="preserve">If a term is given a meaning in the </w:t>
      </w:r>
      <w:r>
        <w:rPr>
          <w:i/>
        </w:rPr>
        <w:t>Electronic Conveyancing Act 2014</w:t>
      </w:r>
      <w:r>
        <w:t>, it has the same meaning in this Division unless the contrary intention appears in this Division.</w:t>
      </w:r>
    </w:p>
    <w:p>
      <w:pPr>
        <w:pStyle w:val="Footnotesection"/>
      </w:pPr>
      <w:r>
        <w:tab/>
        <w:t>[Regulation 8A inserted in Gazette 24 Nov 2017 p. 5680.]</w:t>
      </w:r>
    </w:p>
    <w:p>
      <w:pPr>
        <w:pStyle w:val="Heading5"/>
      </w:pPr>
      <w:bookmarkStart w:id="19" w:name="_Toc504384221"/>
      <w:r>
        <w:rPr>
          <w:rStyle w:val="CharSectno"/>
        </w:rPr>
        <w:t>8B</w:t>
      </w:r>
      <w:r>
        <w:t>.</w:t>
      </w:r>
      <w:r>
        <w:tab/>
        <w:t>Registry instruments to which this Division applies</w:t>
      </w:r>
      <w:bookmarkEnd w:id="19"/>
    </w:p>
    <w:p>
      <w:pPr>
        <w:pStyle w:val="Subsection"/>
      </w:pPr>
      <w:r>
        <w:tab/>
      </w:r>
      <w:r>
        <w:tab/>
        <w:t>This Division applies to a registry instrument that may be lodged under the Act for the purpose of —</w:t>
      </w:r>
    </w:p>
    <w:p>
      <w:pPr>
        <w:pStyle w:val="Indenta"/>
      </w:pPr>
      <w:r>
        <w:tab/>
        <w:t>(a)</w:t>
      </w:r>
      <w:r>
        <w:tab/>
        <w:t>mortgaging an estate or interest in land or discharging the mortgage of an estate or interest in land; or</w:t>
      </w:r>
    </w:p>
    <w:p>
      <w:pPr>
        <w:pStyle w:val="Indenta"/>
      </w:pPr>
      <w:r>
        <w:tab/>
        <w:t>(b)</w:t>
      </w:r>
      <w:r>
        <w:tab/>
        <w:t>transferring an estate or interest in land; or</w:t>
      </w:r>
    </w:p>
    <w:p>
      <w:pPr>
        <w:pStyle w:val="Indenta"/>
      </w:pPr>
      <w:r>
        <w:tab/>
        <w:t>(c)</w:t>
      </w:r>
      <w:r>
        <w:tab/>
        <w:t>getting a caveat noted or its noting withdrawn.</w:t>
      </w:r>
    </w:p>
    <w:p>
      <w:pPr>
        <w:pStyle w:val="Footnotesection"/>
      </w:pPr>
      <w:r>
        <w:tab/>
        <w:t>[Regulation 8B inserted in Gazette 24 Nov 2017 p. 5680.]</w:t>
      </w:r>
    </w:p>
    <w:p>
      <w:pPr>
        <w:pStyle w:val="Heading5"/>
      </w:pPr>
      <w:bookmarkStart w:id="20" w:name="_Toc504384222"/>
      <w:r>
        <w:rPr>
          <w:rStyle w:val="CharSectno"/>
        </w:rPr>
        <w:t>8C</w:t>
      </w:r>
      <w:r>
        <w:t>.</w:t>
      </w:r>
      <w:r>
        <w:tab/>
        <w:t>Certain registry instruments must be lodged by means of an ELN</w:t>
      </w:r>
      <w:bookmarkEnd w:id="20"/>
    </w:p>
    <w:p>
      <w:pPr>
        <w:pStyle w:val="Subsection"/>
      </w:pPr>
      <w:r>
        <w:tab/>
        <w:t>(1)</w:t>
      </w:r>
      <w:r>
        <w:tab/>
        <w:t>If a registry instrument can be lodged by means of an ELN, it must not be lodged otherwise than by means of an ELN.</w:t>
      </w:r>
    </w:p>
    <w:p>
      <w:pPr>
        <w:pStyle w:val="Subsection"/>
      </w:pPr>
      <w:r>
        <w:tab/>
        <w:t>(2)</w:t>
      </w:r>
      <w:r>
        <w:tab/>
        <w:t xml:space="preserve">For the purposes of subregulation (1), a registry instrument can be lodged by means of an ELN if — </w:t>
      </w:r>
    </w:p>
    <w:p>
      <w:pPr>
        <w:pStyle w:val="Indenta"/>
      </w:pPr>
      <w:r>
        <w:tab/>
        <w:t>(a)</w:t>
      </w:r>
      <w:r>
        <w:tab/>
        <w:t xml:space="preserve">the instrument can be lodged electronically under the Act, the </w:t>
      </w:r>
      <w:r>
        <w:rPr>
          <w:i/>
        </w:rPr>
        <w:t>Electronic Conveyancing Act 2014</w:t>
      </w:r>
      <w:r>
        <w:t xml:space="preserve"> and these regulations; and</w:t>
      </w:r>
    </w:p>
    <w:p>
      <w:pPr>
        <w:pStyle w:val="Indenta"/>
      </w:pPr>
      <w:r>
        <w:tab/>
        <w:t>(b)</w:t>
      </w:r>
      <w:r>
        <w:tab/>
        <w:t>the ELN provides for the lodgment of that type of registry instrument.</w:t>
      </w:r>
    </w:p>
    <w:p>
      <w:pPr>
        <w:pStyle w:val="Subsection"/>
      </w:pPr>
      <w:r>
        <w:tab/>
        <w:t>(3)</w:t>
      </w:r>
      <w:r>
        <w:tab/>
        <w:t>A failure to comply with subregulation (1) does not affect the validity of any registration, noting or withdrawal of noting under the Act.</w:t>
      </w:r>
    </w:p>
    <w:p>
      <w:pPr>
        <w:pStyle w:val="Subsection"/>
      </w:pPr>
      <w:r>
        <w:tab/>
        <w:t>(4)</w:t>
      </w:r>
      <w:r>
        <w:tab/>
        <w:t>Subregulation (1) has effect subject to the rest of this Division.</w:t>
      </w:r>
    </w:p>
    <w:p>
      <w:pPr>
        <w:pStyle w:val="Footnotesection"/>
      </w:pPr>
      <w:r>
        <w:tab/>
        <w:t>[Regulation 8C inserted in Gazette 24 Nov 2017 p. 5680.]</w:t>
      </w:r>
    </w:p>
    <w:p>
      <w:pPr>
        <w:pStyle w:val="Heading5"/>
      </w:pPr>
      <w:bookmarkStart w:id="21" w:name="_Toc504384223"/>
      <w:r>
        <w:rPr>
          <w:rStyle w:val="CharSectno"/>
        </w:rPr>
        <w:t>8D</w:t>
      </w:r>
      <w:r>
        <w:t>.</w:t>
      </w:r>
      <w:r>
        <w:tab/>
        <w:t>Where party to transaction is self</w:t>
      </w:r>
      <w:r>
        <w:noBreakHyphen/>
        <w:t>represented</w:t>
      </w:r>
      <w:bookmarkEnd w:id="21"/>
    </w:p>
    <w:p>
      <w:pPr>
        <w:pStyle w:val="Subsection"/>
      </w:pPr>
      <w:r>
        <w:tab/>
        <w:t>(1)</w:t>
      </w:r>
      <w:r>
        <w:tab/>
        <w:t>Subject to subregulation (3), regulation 8C(1) does not apply to a registry instrument if a person required to sign the instrument is self</w:t>
      </w:r>
      <w:r>
        <w:noBreakHyphen/>
        <w:t>represented and not a subscriber.</w:t>
      </w:r>
    </w:p>
    <w:p>
      <w:pPr>
        <w:pStyle w:val="Subsection"/>
      </w:pPr>
      <w:r>
        <w:tab/>
        <w:t>(2)</w:t>
      </w:r>
      <w:r>
        <w:tab/>
        <w:t>A person is self</w:t>
      </w:r>
      <w:r>
        <w:noBreakHyphen/>
        <w:t>represented, in relation to a registry instrument, if the person has not engaged another person, on a commercial basis, to assist in the completion of the conveyancing transaction for the purposes of which the instrument may be lodged.</w:t>
      </w:r>
    </w:p>
    <w:p>
      <w:pPr>
        <w:pStyle w:val="Subsection"/>
      </w:pPr>
      <w:r>
        <w:tab/>
        <w:t>(3)</w:t>
      </w:r>
      <w:r>
        <w:tab/>
        <w:t>If the purpose for which a registry instrument may be lodged is the mortgaging of an estate or interest in land or the discharging of the mortgage of an estate or interest in land, subregulation (1) has effect without reference to the mortgagor.</w:t>
      </w:r>
    </w:p>
    <w:p>
      <w:pPr>
        <w:pStyle w:val="Subsection"/>
      </w:pPr>
      <w:r>
        <w:tab/>
        <w:t>(4)</w:t>
      </w:r>
      <w:r>
        <w:tab/>
        <w:t>A person cannot use the exception in subregulation (1) in relation to more than 10 registry instruments in a 12 month period.</w:t>
      </w:r>
    </w:p>
    <w:p>
      <w:pPr>
        <w:pStyle w:val="Subsection"/>
        <w:keepNext/>
      </w:pPr>
      <w:r>
        <w:tab/>
        <w:t>(5)</w:t>
      </w:r>
      <w:r>
        <w:tab/>
        <w:t>A person uses the exception in subregulation (1) if they lodge, or a person on their behalf lodges, a registry instrument, other than by means of an ELN, in reliance on subregulation (1).</w:t>
      </w:r>
    </w:p>
    <w:p>
      <w:pPr>
        <w:pStyle w:val="Footnotesection"/>
      </w:pPr>
      <w:r>
        <w:tab/>
        <w:t>[Regulation 8D inserted in Gazette 24 Nov 2017 p. 5680-1.]</w:t>
      </w:r>
    </w:p>
    <w:p>
      <w:pPr>
        <w:pStyle w:val="Heading5"/>
      </w:pPr>
      <w:bookmarkStart w:id="22" w:name="_Toc504384224"/>
      <w:r>
        <w:rPr>
          <w:rStyle w:val="CharSectno"/>
        </w:rPr>
        <w:t>8E</w:t>
      </w:r>
      <w:r>
        <w:t>.</w:t>
      </w:r>
      <w:r>
        <w:tab/>
        <w:t>Where 2 or more registry instruments lodged simultaneously</w:t>
      </w:r>
      <w:bookmarkEnd w:id="22"/>
    </w:p>
    <w:p>
      <w:pPr>
        <w:pStyle w:val="Subsection"/>
      </w:pPr>
      <w:r>
        <w:tab/>
      </w:r>
      <w:r>
        <w:tab/>
        <w:t xml:space="preserve">Regulation 8C(1) does not apply to a registry instrument if — </w:t>
      </w:r>
    </w:p>
    <w:p>
      <w:pPr>
        <w:pStyle w:val="Indenta"/>
      </w:pPr>
      <w:r>
        <w:tab/>
        <w:t>(a)</w:t>
      </w:r>
      <w:r>
        <w:tab/>
        <w:t>the instrument is 1 of 2 or more registry instruments that are lodged at the same time; and</w:t>
      </w:r>
    </w:p>
    <w:p>
      <w:pPr>
        <w:pStyle w:val="Indenta"/>
      </w:pPr>
      <w:r>
        <w:tab/>
        <w:t>(b)</w:t>
      </w:r>
      <w:r>
        <w:tab/>
        <w:t>the Registrar is satisfied that the instruments are related; and</w:t>
      </w:r>
    </w:p>
    <w:p>
      <w:pPr>
        <w:pStyle w:val="Indenta"/>
      </w:pPr>
      <w:r>
        <w:tab/>
        <w:t>(c)</w:t>
      </w:r>
      <w:r>
        <w:tab/>
        <w:t xml:space="preserve">either — </w:t>
      </w:r>
    </w:p>
    <w:p>
      <w:pPr>
        <w:pStyle w:val="Indenti"/>
      </w:pPr>
      <w:r>
        <w:tab/>
        <w:t>(i)</w:t>
      </w:r>
      <w:r>
        <w:tab/>
        <w:t>there is no ELN by means of which all of the instruments may be lodged; or</w:t>
      </w:r>
    </w:p>
    <w:p>
      <w:pPr>
        <w:pStyle w:val="Indenti"/>
      </w:pPr>
      <w:r>
        <w:tab/>
        <w:t>(ii)</w:t>
      </w:r>
      <w:r>
        <w:tab/>
        <w:t>regulation 8C(1) does not apply to at least 1 of the instruments because of another provision of this Division.</w:t>
      </w:r>
    </w:p>
    <w:p>
      <w:pPr>
        <w:pStyle w:val="Footnotesection"/>
      </w:pPr>
      <w:r>
        <w:tab/>
        <w:t>[Regulation 8E inserted in Gazette 24 Nov 2017 p. 5681.]</w:t>
      </w:r>
    </w:p>
    <w:p>
      <w:pPr>
        <w:pStyle w:val="Heading5"/>
      </w:pPr>
      <w:bookmarkStart w:id="23" w:name="_Toc504384225"/>
      <w:r>
        <w:rPr>
          <w:rStyle w:val="CharSectno"/>
        </w:rPr>
        <w:t>8F</w:t>
      </w:r>
      <w:r>
        <w:t>.</w:t>
      </w:r>
      <w:r>
        <w:tab/>
        <w:t>Registrar’s power to exempt</w:t>
      </w:r>
      <w:bookmarkEnd w:id="23"/>
    </w:p>
    <w:p>
      <w:pPr>
        <w:pStyle w:val="Subsection"/>
      </w:pPr>
      <w:r>
        <w:tab/>
        <w:t>(1)</w:t>
      </w:r>
      <w:r>
        <w:tab/>
        <w:t xml:space="preserve">The Registrar may exempt a person or a class of person from complying with regulation 8C(1) if satisfied that — </w:t>
      </w:r>
    </w:p>
    <w:p>
      <w:pPr>
        <w:pStyle w:val="Indenta"/>
      </w:pPr>
      <w:r>
        <w:tab/>
        <w:t>(a)</w:t>
      </w:r>
      <w:r>
        <w:tab/>
        <w:t>it is in the public interest to do so; and</w:t>
      </w:r>
    </w:p>
    <w:p>
      <w:pPr>
        <w:pStyle w:val="Indenta"/>
      </w:pPr>
      <w:r>
        <w:tab/>
        <w:t>(b)</w:t>
      </w:r>
      <w:r>
        <w:tab/>
        <w:t>not to do so would result in 1 or more persons suffering hardship, undue inconvenience or undue expense.</w:t>
      </w:r>
    </w:p>
    <w:p>
      <w:pPr>
        <w:pStyle w:val="Subsection"/>
      </w:pPr>
      <w:r>
        <w:tab/>
        <w:t>(2)</w:t>
      </w:r>
      <w:r>
        <w:tab/>
        <w:t>The Registrar may grant an exemption by reference to a registry instrument or conveyancing transaction, a class of registry instrument or conveyancing transaction, all registry instruments or conveyancing transactions, or on some other basis.</w:t>
      </w:r>
    </w:p>
    <w:p>
      <w:pPr>
        <w:pStyle w:val="Footnotesection"/>
      </w:pPr>
      <w:r>
        <w:tab/>
        <w:t>[Regulation 8F inserted in Gazette 24 Nov 2017 p. 5681</w:t>
      </w:r>
      <w:r>
        <w:noBreakHyphen/>
        <w:t>2.]</w:t>
      </w:r>
    </w:p>
    <w:p>
      <w:pPr>
        <w:pStyle w:val="Heading5"/>
      </w:pPr>
      <w:bookmarkStart w:id="24" w:name="_Toc504384226"/>
      <w:r>
        <w:rPr>
          <w:rStyle w:val="CharSectno"/>
        </w:rPr>
        <w:t>8G</w:t>
      </w:r>
      <w:r>
        <w:t>.</w:t>
      </w:r>
      <w:r>
        <w:tab/>
        <w:t>When r. 8C(1) commences to apply to lodging certain registry instruments</w:t>
      </w:r>
      <w:bookmarkEnd w:id="24"/>
    </w:p>
    <w:p>
      <w:pPr>
        <w:pStyle w:val="Subsection"/>
      </w:pPr>
      <w:r>
        <w:tab/>
        <w:t>(1)</w:t>
      </w:r>
      <w:r>
        <w:tab/>
        <w:t xml:space="preserve">Regulation 8C(1) does not apply — </w:t>
      </w:r>
    </w:p>
    <w:p>
      <w:pPr>
        <w:pStyle w:val="Indenta"/>
      </w:pPr>
      <w:r>
        <w:tab/>
        <w:t>(a)</w:t>
      </w:r>
      <w:r>
        <w:tab/>
        <w:t>to lodging a registry instrument before the effective date for the instrument; or</w:t>
      </w:r>
    </w:p>
    <w:p>
      <w:pPr>
        <w:pStyle w:val="Indenta"/>
      </w:pPr>
      <w:r>
        <w:tab/>
        <w:t>(b)</w:t>
      </w:r>
      <w:r>
        <w:tab/>
        <w:t>to lodging a registry instrument if the instrument is signed, by at least 1 of the persons required to sign it, before the effective date for the instrument.</w:t>
      </w:r>
    </w:p>
    <w:p>
      <w:pPr>
        <w:pStyle w:val="Subsection"/>
      </w:pPr>
      <w:r>
        <w:tab/>
        <w:t>(2)</w:t>
      </w:r>
      <w:r>
        <w:tab/>
        <w:t xml:space="preserve">The effective date for a registry instrument is — </w:t>
      </w:r>
    </w:p>
    <w:p>
      <w:pPr>
        <w:pStyle w:val="Indenta"/>
      </w:pPr>
      <w:r>
        <w:tab/>
        <w:t>(a)</w:t>
      </w:r>
      <w:r>
        <w:tab/>
        <w:t>for an instrument that may be lodged for the purpose of mortgaging an estate or interest in land or discharging the mortgage of an estate or interest in land — 1 December 2017;</w:t>
      </w:r>
    </w:p>
    <w:p>
      <w:pPr>
        <w:pStyle w:val="Indenta"/>
      </w:pPr>
      <w:r>
        <w:tab/>
        <w:t>(b)</w:t>
      </w:r>
      <w:r>
        <w:tab/>
        <w:t>for an instrument that may be lodged for the purpose of transferring an estate or interest in land or getting a caveat noted or its noting withdrawn — 1 May 2018.</w:t>
      </w:r>
    </w:p>
    <w:p>
      <w:pPr>
        <w:pStyle w:val="Footnotesection"/>
      </w:pPr>
      <w:r>
        <w:tab/>
        <w:t>[Regulation 8G inserted in Gazette 24 Nov 2017 p. 5682.]</w:t>
      </w:r>
    </w:p>
    <w:p>
      <w:pPr>
        <w:pStyle w:val="Heading3"/>
      </w:pPr>
      <w:bookmarkStart w:id="25" w:name="_Toc501370287"/>
      <w:bookmarkStart w:id="26" w:name="_Toc504384227"/>
      <w:r>
        <w:rPr>
          <w:rStyle w:val="CharDivNo"/>
        </w:rPr>
        <w:t>Division 2</w:t>
      </w:r>
      <w:r>
        <w:t> — </w:t>
      </w:r>
      <w:r>
        <w:rPr>
          <w:rStyle w:val="CharDivText"/>
        </w:rPr>
        <w:t>General requirements</w:t>
      </w:r>
      <w:bookmarkEnd w:id="25"/>
      <w:bookmarkEnd w:id="26"/>
    </w:p>
    <w:p>
      <w:pPr>
        <w:pStyle w:val="Footnoteheading"/>
      </w:pPr>
      <w:r>
        <w:tab/>
        <w:t>[Heading inserted in Gazette 24 Nov 2017 p. 5682.]</w:t>
      </w:r>
    </w:p>
    <w:p>
      <w:pPr>
        <w:pStyle w:val="Heading5"/>
      </w:pPr>
      <w:bookmarkStart w:id="27" w:name="_Toc504384228"/>
      <w:r>
        <w:rPr>
          <w:rStyle w:val="CharSectno"/>
        </w:rPr>
        <w:t>9AA</w:t>
      </w:r>
      <w:r>
        <w:t>.</w:t>
      </w:r>
      <w:r>
        <w:tab/>
        <w:t>Requirements relating to electronic lodgment of mortgages</w:t>
      </w:r>
      <w:bookmarkEnd w:id="27"/>
    </w:p>
    <w:p>
      <w:pPr>
        <w:pStyle w:val="Subsection"/>
      </w:pPr>
      <w:r>
        <w:tab/>
      </w:r>
      <w:r>
        <w:tab/>
        <w:t xml:space="preserve">An instrument for the registration of a mortgage over land can be lodged electronically under the </w:t>
      </w:r>
      <w:r>
        <w:rPr>
          <w:i/>
        </w:rPr>
        <w:t>Electronic Conveyancing Act 2014</w:t>
      </w:r>
      <w:r>
        <w:t xml:space="preserve"> section 7(1) only if — </w:t>
      </w:r>
    </w:p>
    <w:p>
      <w:pPr>
        <w:pStyle w:val="Indenta"/>
      </w:pPr>
      <w:r>
        <w:tab/>
        <w:t>(a)</w:t>
      </w:r>
      <w:r>
        <w:tab/>
        <w:t xml:space="preserve">the instrument — </w:t>
      </w:r>
    </w:p>
    <w:p>
      <w:pPr>
        <w:pStyle w:val="Indenti"/>
      </w:pPr>
      <w:r>
        <w:tab/>
        <w:t>(i)</w:t>
      </w:r>
      <w:r>
        <w:tab/>
        <w:t>is a counterpart, in electronic form, of the instrument purporting to mortgage the land; and</w:t>
      </w:r>
    </w:p>
    <w:p>
      <w:pPr>
        <w:pStyle w:val="Indenti"/>
      </w:pPr>
      <w:r>
        <w:tab/>
        <w:t>(ii)</w:t>
      </w:r>
      <w:r>
        <w:tab/>
        <w:t>purports to be digitally signed by or on behalf of the person who, on registration of the mortgage, will become the proprietor of the mortgage; and</w:t>
      </w:r>
    </w:p>
    <w:p>
      <w:pPr>
        <w:pStyle w:val="Indenti"/>
      </w:pPr>
      <w:r>
        <w:tab/>
        <w:t>(iii)</w:t>
      </w:r>
      <w:r>
        <w:tab/>
        <w:t>does not purport to be signed by or on behalf of the proprietor of the land;</w:t>
      </w:r>
    </w:p>
    <w:p>
      <w:pPr>
        <w:pStyle w:val="Indenta"/>
      </w:pPr>
      <w:r>
        <w:tab/>
      </w:r>
      <w:r>
        <w:tab/>
        <w:t>and</w:t>
      </w:r>
    </w:p>
    <w:p>
      <w:pPr>
        <w:pStyle w:val="Indenta"/>
      </w:pPr>
      <w:r>
        <w:tab/>
        <w:t>(b)</w:t>
      </w:r>
      <w:r>
        <w:tab/>
        <w:t>the subscriber who digitally signs the instrument provides the specific certification required by the participation rules in relation to the lodging of an instrument for the registration of a mortgage over land; and</w:t>
      </w:r>
    </w:p>
    <w:p>
      <w:pPr>
        <w:pStyle w:val="Indenta"/>
      </w:pPr>
      <w:r>
        <w:tab/>
        <w:t>(c)</w:t>
      </w:r>
      <w:r>
        <w:tab/>
        <w:t xml:space="preserve">the instrument to be lodged otherwise complies with — </w:t>
      </w:r>
    </w:p>
    <w:p>
      <w:pPr>
        <w:pStyle w:val="Indenti"/>
      </w:pPr>
      <w:r>
        <w:tab/>
        <w:t>(i)</w:t>
      </w:r>
      <w:r>
        <w:tab/>
        <w:t>the requirements of the Act and these regulations; and</w:t>
      </w:r>
    </w:p>
    <w:p>
      <w:pPr>
        <w:pStyle w:val="Indenti"/>
      </w:pPr>
      <w:r>
        <w:tab/>
        <w:t>(ii)</w:t>
      </w:r>
      <w:r>
        <w:tab/>
        <w:t>any requirements determined under section 182A of the Act; and</w:t>
      </w:r>
    </w:p>
    <w:p>
      <w:pPr>
        <w:pStyle w:val="Indenti"/>
      </w:pPr>
      <w:r>
        <w:tab/>
        <w:t>(iii)</w:t>
      </w:r>
      <w:r>
        <w:tab/>
        <w:t xml:space="preserve">the requirements of the </w:t>
      </w:r>
      <w:r>
        <w:rPr>
          <w:i/>
        </w:rPr>
        <w:t>Electronic Conveyancing Act 2014</w:t>
      </w:r>
      <w:r>
        <w:t xml:space="preserve"> and the participation rules;</w:t>
      </w:r>
    </w:p>
    <w:p>
      <w:pPr>
        <w:pStyle w:val="Indenta"/>
      </w:pPr>
      <w:r>
        <w:tab/>
      </w:r>
      <w:r>
        <w:tab/>
        <w:t>and</w:t>
      </w:r>
    </w:p>
    <w:p>
      <w:pPr>
        <w:pStyle w:val="Indenta"/>
      </w:pPr>
      <w:r>
        <w:tab/>
        <w:t>(d)</w:t>
      </w:r>
      <w:r>
        <w:tab/>
        <w:t>any requirement mentioned in paragraph (c)(i) to (iii) that relates to the lodging of the instrument is complied with.</w:t>
      </w:r>
    </w:p>
    <w:p>
      <w:pPr>
        <w:pStyle w:val="Footnotesection"/>
      </w:pPr>
      <w:r>
        <w:tab/>
        <w:t>[Regulation 9AA inserted in Gazette 30 May 2014 p. 1685.]</w:t>
      </w:r>
    </w:p>
    <w:p>
      <w:pPr>
        <w:pStyle w:val="Heading5"/>
      </w:pPr>
      <w:bookmarkStart w:id="28" w:name="_Toc504384229"/>
      <w:r>
        <w:rPr>
          <w:rStyle w:val="CharSectno"/>
        </w:rPr>
        <w:t>9AB</w:t>
      </w:r>
      <w:r>
        <w:t>.</w:t>
      </w:r>
      <w:r>
        <w:tab/>
        <w:t>Duplicate certificates of title where documents lodged electronically</w:t>
      </w:r>
      <w:bookmarkEnd w:id="28"/>
    </w:p>
    <w:p>
      <w:pPr>
        <w:pStyle w:val="Subsection"/>
      </w:pPr>
      <w:r>
        <w:tab/>
        <w:t>(1)</w:t>
      </w:r>
      <w:r>
        <w:tab/>
        <w:t xml:space="preserve">This regulation applies if — </w:t>
      </w:r>
    </w:p>
    <w:p>
      <w:pPr>
        <w:pStyle w:val="Indenta"/>
      </w:pPr>
      <w:r>
        <w:tab/>
        <w:t>(a)</w:t>
      </w:r>
      <w:r>
        <w:tab/>
        <w:t xml:space="preserve">a document can be lodged electronically under the </w:t>
      </w:r>
      <w:r>
        <w:rPr>
          <w:i/>
        </w:rPr>
        <w:t>Electronic Conveyancing Act 2014</w:t>
      </w:r>
      <w:r>
        <w:t xml:space="preserve"> section 7(1); and</w:t>
      </w:r>
    </w:p>
    <w:p>
      <w:pPr>
        <w:pStyle w:val="Indenta"/>
      </w:pPr>
      <w:r>
        <w:tab/>
        <w:t>(b)</w:t>
      </w:r>
      <w:r>
        <w:tab/>
        <w:t>in connection with the lodging of that document, the Act would otherwise require a duplicate certificate of title to be produced, presented or delivered up to the Registrar or to be brought in or lodged.</w:t>
      </w:r>
    </w:p>
    <w:p>
      <w:pPr>
        <w:pStyle w:val="Subsection"/>
      </w:pPr>
      <w:r>
        <w:tab/>
        <w:t>(2)</w:t>
      </w:r>
      <w:r>
        <w:tab/>
        <w:t xml:space="preserve">If this regulation applies — </w:t>
      </w:r>
    </w:p>
    <w:p>
      <w:pPr>
        <w:pStyle w:val="Indenta"/>
      </w:pPr>
      <w:r>
        <w:tab/>
        <w:t>(a)</w:t>
      </w:r>
      <w:r>
        <w:tab/>
        <w:t>the requirement to produce, present or deliver up to the Registrar, or to bring in or lodge, the duplicate certificate of title in connection with the lodging of the document is dispensed with; and</w:t>
      </w:r>
    </w:p>
    <w:p>
      <w:pPr>
        <w:pStyle w:val="Indenta"/>
      </w:pPr>
      <w:r>
        <w:tab/>
        <w:t>(b)</w:t>
      </w:r>
      <w:r>
        <w:tab/>
        <w:t xml:space="preserve">instead, the subscriber who digitally signs the document to be lodged electronically — </w:t>
      </w:r>
    </w:p>
    <w:p>
      <w:pPr>
        <w:pStyle w:val="Indenti"/>
      </w:pPr>
      <w:r>
        <w:tab/>
        <w:t>(i)</w:t>
      </w:r>
      <w:r>
        <w:tab/>
        <w:t>must have obtained possession of the duplicate certificate of title; and</w:t>
      </w:r>
    </w:p>
    <w:p>
      <w:pPr>
        <w:pStyle w:val="Indenti"/>
      </w:pPr>
      <w:r>
        <w:tab/>
        <w:t>(ii)</w:t>
      </w:r>
      <w:r>
        <w:tab/>
        <w:t>must have destroyed or invalidated the duplicate certificate of title; and</w:t>
      </w:r>
    </w:p>
    <w:p>
      <w:pPr>
        <w:pStyle w:val="Indenti"/>
      </w:pPr>
      <w:r>
        <w:tab/>
        <w:t>(iii)</w:t>
      </w:r>
      <w:r>
        <w:tab/>
        <w:t>must provide a certification, in accordance with the participation rules, that the duplicate certificate of title has been destroyed or invalidated.</w:t>
      </w:r>
    </w:p>
    <w:p>
      <w:pPr>
        <w:pStyle w:val="Footnotesection"/>
      </w:pPr>
      <w:r>
        <w:tab/>
        <w:t>[Regulation 9AB inserted in Gazette 30 May 2014 p. 1686.]</w:t>
      </w:r>
    </w:p>
    <w:p>
      <w:pPr>
        <w:pStyle w:val="Heading2"/>
      </w:pPr>
      <w:bookmarkStart w:id="29" w:name="_Toc501370290"/>
      <w:bookmarkStart w:id="30" w:name="_Toc504384230"/>
      <w:r>
        <w:rPr>
          <w:rStyle w:val="CharPartNo"/>
        </w:rPr>
        <w:t>Part 3B</w:t>
      </w:r>
      <w:r>
        <w:rPr>
          <w:rStyle w:val="CharDivNo"/>
        </w:rPr>
        <w:t> </w:t>
      </w:r>
      <w:r>
        <w:t>—</w:t>
      </w:r>
      <w:r>
        <w:rPr>
          <w:rStyle w:val="CharDivText"/>
        </w:rPr>
        <w:t> </w:t>
      </w:r>
      <w:r>
        <w:rPr>
          <w:rStyle w:val="CharPartText"/>
        </w:rPr>
        <w:t>Provisions relating to electronic service</w:t>
      </w:r>
      <w:bookmarkEnd w:id="29"/>
      <w:bookmarkEnd w:id="30"/>
    </w:p>
    <w:p>
      <w:pPr>
        <w:pStyle w:val="Footnoteheading"/>
      </w:pPr>
      <w:r>
        <w:tab/>
        <w:t>[Heading inserted in Gazette 22 Mar 2016 p. 835.]</w:t>
      </w:r>
    </w:p>
    <w:p>
      <w:pPr>
        <w:pStyle w:val="Heading5"/>
      </w:pPr>
      <w:bookmarkStart w:id="31" w:name="_Toc504384231"/>
      <w:r>
        <w:rPr>
          <w:rStyle w:val="CharSectno"/>
        </w:rPr>
        <w:t>9AC</w:t>
      </w:r>
      <w:r>
        <w:t>.</w:t>
      </w:r>
      <w:r>
        <w:tab/>
        <w:t>Electronic service of notices</w:t>
      </w:r>
      <w:bookmarkEnd w:id="31"/>
    </w:p>
    <w:p>
      <w:pPr>
        <w:pStyle w:val="Subsection"/>
      </w:pPr>
      <w:r>
        <w:tab/>
        <w:t>(1)</w:t>
      </w:r>
      <w:r>
        <w:tab/>
        <w:t>For the purposes of section 240(1)(d) of the Act, where a person has specified in a caveat or an approved form that notices under this Act may be served on the person by sending the notice to an email address specified by the person, service is effected by sending the notice to that email address.</w:t>
      </w:r>
    </w:p>
    <w:p>
      <w:pPr>
        <w:pStyle w:val="Subsection"/>
      </w:pPr>
      <w:r>
        <w:tab/>
        <w:t>(2)</w:t>
      </w:r>
      <w:r>
        <w:tab/>
        <w:t>For the purposes of section 240(3)(c) of the Act, service of a notice that is sent by or on behalf of the Registrar or the Commissioner under subregulation (1) is deemed to be effected 24 hours after the notice is sent, unless within that 24 hour period the sender receives a notice of failure of delivery of the email.</w:t>
      </w:r>
    </w:p>
    <w:p>
      <w:pPr>
        <w:pStyle w:val="Subsection"/>
      </w:pPr>
      <w:r>
        <w:tab/>
        <w:t>(3)</w:t>
      </w:r>
      <w:r>
        <w:tab/>
        <w:t>Where the Commissioner or Registrar attempts to serve a notice by sending it to an email address but receives a notice of failure of delivery of the email, the Commissioner or Registrar may direct that the notice be resent to the email address or served on the person by any other means specified in section 240(1) of the Act.</w:t>
      </w:r>
    </w:p>
    <w:p>
      <w:pPr>
        <w:pStyle w:val="Footnotesection"/>
      </w:pPr>
      <w:r>
        <w:tab/>
        <w:t>[Regulation 9AC inserted in Gazette 22 Mar 2016 p. 835-6]</w:t>
      </w:r>
    </w:p>
    <w:p>
      <w:pPr>
        <w:pStyle w:val="Heading2"/>
      </w:pPr>
      <w:bookmarkStart w:id="32" w:name="_Toc501370292"/>
      <w:bookmarkStart w:id="33" w:name="_Toc504384232"/>
      <w:r>
        <w:rPr>
          <w:rStyle w:val="CharPartNo"/>
        </w:rPr>
        <w:t>Part 3</w:t>
      </w:r>
      <w:r>
        <w:t> — </w:t>
      </w:r>
      <w:r>
        <w:rPr>
          <w:rStyle w:val="CharPartText"/>
        </w:rPr>
        <w:t>Fees and forms</w:t>
      </w:r>
      <w:bookmarkEnd w:id="32"/>
      <w:bookmarkEnd w:id="33"/>
    </w:p>
    <w:p>
      <w:pPr>
        <w:pStyle w:val="Footnoteheading"/>
      </w:pPr>
      <w:r>
        <w:tab/>
        <w:t>[Heading inserted in Gazette 22 May 2009 p. 1701.]</w:t>
      </w:r>
    </w:p>
    <w:p>
      <w:pPr>
        <w:pStyle w:val="Heading5"/>
      </w:pPr>
      <w:bookmarkStart w:id="34" w:name="_Toc504384233"/>
      <w:r>
        <w:rPr>
          <w:rStyle w:val="CharSectno"/>
        </w:rPr>
        <w:t>9A</w:t>
      </w:r>
      <w:r>
        <w:t>.</w:t>
      </w:r>
      <w:r>
        <w:tab/>
        <w:t>Fees (Sch. 1)</w:t>
      </w:r>
      <w:bookmarkEnd w:id="34"/>
    </w:p>
    <w:p>
      <w:pPr>
        <w:pStyle w:val="Subsection"/>
      </w:pPr>
      <w:r>
        <w:tab/>
        <w:t>(1)</w:t>
      </w:r>
      <w:r>
        <w:tab/>
        <w:t>The fee for the registration or recording of an instrument, order or other document of a kind mentioned in an item of Schedule 1 Division 1 is the fee specified in that item in relation to that instrument, order or other document.</w:t>
      </w:r>
    </w:p>
    <w:p>
      <w:pPr>
        <w:pStyle w:val="Subsection"/>
      </w:pPr>
      <w:r>
        <w:tab/>
        <w:t>(2)</w:t>
      </w:r>
      <w:r>
        <w:tab/>
        <w:t>The fee for the lodgment of a duplicate certificate of title, instrument, plan or other document of a kind mentioned in an item of Schedule 1 Division 2 is the fee specified in that item in relation to that duplicate certificate of title, instrument, plan or other document.</w:t>
      </w:r>
    </w:p>
    <w:p>
      <w:pPr>
        <w:pStyle w:val="Subsection"/>
      </w:pPr>
      <w:r>
        <w:tab/>
        <w:t>(3)</w:t>
      </w:r>
      <w:r>
        <w:tab/>
        <w:t xml:space="preserve">The fee for the withdrawal of a document — </w:t>
      </w:r>
    </w:p>
    <w:p>
      <w:pPr>
        <w:pStyle w:val="Indenta"/>
      </w:pPr>
      <w:r>
        <w:tab/>
        <w:t>(a)</w:t>
      </w:r>
      <w:r>
        <w:tab/>
        <w:t>of a kind mentioned in Schedule 1 Division 3 item 1 is the fee specified in that item;</w:t>
      </w:r>
    </w:p>
    <w:p>
      <w:pPr>
        <w:pStyle w:val="Indenta"/>
      </w:pPr>
      <w:r>
        <w:tab/>
        <w:t>(b)</w:t>
      </w:r>
      <w:r>
        <w:tab/>
        <w:t>from registration or recording is the fee specified in Schedule 1 Division 3 item 2.</w:t>
      </w:r>
    </w:p>
    <w:p>
      <w:pPr>
        <w:pStyle w:val="Subsection"/>
      </w:pPr>
      <w:r>
        <w:tab/>
        <w:t>(4)</w:t>
      </w:r>
      <w:r>
        <w:tab/>
        <w:t>The fee for an application of a kind mentioned in an item of Schedule 1 Division 4 is the fee specified in that item in relation to that application.</w:t>
      </w:r>
    </w:p>
    <w:p>
      <w:pPr>
        <w:pStyle w:val="Subsection"/>
      </w:pPr>
      <w:r>
        <w:tab/>
        <w:t>(5)</w:t>
      </w:r>
      <w:r>
        <w:tab/>
        <w:t xml:space="preserve">The fee for — </w:t>
      </w:r>
    </w:p>
    <w:p>
      <w:pPr>
        <w:pStyle w:val="Indenta"/>
      </w:pPr>
      <w:r>
        <w:tab/>
        <w:t>(a)</w:t>
      </w:r>
      <w:r>
        <w:tab/>
        <w:t>the issue of a certificate of title under Schedule 1 Division 5 item 1 is the fee specified in that item;</w:t>
      </w:r>
    </w:p>
    <w:p>
      <w:pPr>
        <w:pStyle w:val="Indenta"/>
      </w:pPr>
      <w:r>
        <w:tab/>
        <w:t>(b)</w:t>
      </w:r>
      <w:r>
        <w:tab/>
        <w:t>a certificate of a kind mentioned in Schedule 1 Division 5 item 2 is the fee specified in that item;</w:t>
      </w:r>
    </w:p>
    <w:p>
      <w:pPr>
        <w:pStyle w:val="Indenta"/>
      </w:pPr>
      <w:r>
        <w:tab/>
        <w:t>(c)</w:t>
      </w:r>
      <w:r>
        <w:tab/>
        <w:t>a certification under Schedule 1 Division 5 item 3 is the fee specified in that item;</w:t>
      </w:r>
    </w:p>
    <w:p>
      <w:pPr>
        <w:pStyle w:val="Indenta"/>
      </w:pPr>
      <w:r>
        <w:tab/>
        <w:t>(d)</w:t>
      </w:r>
      <w:r>
        <w:tab/>
        <w:t>the issue of a certified and sealed document under Schedule 1 Division 5 item 4 is the fee specified in that item.</w:t>
      </w:r>
    </w:p>
    <w:p>
      <w:pPr>
        <w:pStyle w:val="Subsection"/>
      </w:pPr>
      <w:r>
        <w:tab/>
        <w:t>(6)</w:t>
      </w:r>
      <w:r>
        <w:tab/>
        <w:t>The fee for providing a service relating to a search, an inspection or the provision of a copy mentioned in an item of Schedule 1 Division 6 is the fee specified in that item in relation to that search, inspection or provision.</w:t>
      </w:r>
    </w:p>
    <w:p>
      <w:pPr>
        <w:pStyle w:val="Subsection"/>
      </w:pPr>
      <w:r>
        <w:tab/>
        <w:t>(7)</w:t>
      </w:r>
      <w:r>
        <w:tab/>
        <w:t>The fee for providing a service or performing a function mentioned in an item of Schedule 1 Division 7 is the fee specified in that item.</w:t>
      </w:r>
    </w:p>
    <w:p>
      <w:pPr>
        <w:pStyle w:val="Subsection"/>
      </w:pPr>
      <w:r>
        <w:tab/>
        <w:t>(8)</w:t>
      </w:r>
      <w:r>
        <w:tab/>
        <w:t>Despite subregulations (1) to (7), fees are not to be charged for the provision of a service, performance of a function or other matter specified in Schedule 2.</w:t>
      </w:r>
    </w:p>
    <w:p>
      <w:pPr>
        <w:pStyle w:val="Subsection"/>
        <w:rPr>
          <w:snapToGrid w:val="0"/>
        </w:rPr>
      </w:pPr>
      <w:r>
        <w:tab/>
        <w:t>(9)</w:t>
      </w:r>
      <w:r>
        <w:tab/>
      </w:r>
      <w:r>
        <w:rPr>
          <w:snapToGrid w:val="0"/>
        </w:rPr>
        <w:t>If the Registrar is satisfied in a particular case that it is appropriate to do so, the Registrar may waive or refund a fee payable under — </w:t>
      </w:r>
    </w:p>
    <w:p>
      <w:pPr>
        <w:pStyle w:val="Indenta"/>
        <w:rPr>
          <w:snapToGrid w:val="0"/>
        </w:rPr>
      </w:pPr>
      <w:r>
        <w:tab/>
        <w:t>(a)</w:t>
      </w:r>
      <w:r>
        <w:tab/>
      </w:r>
      <w:r>
        <w:rPr>
          <w:snapToGrid w:val="0"/>
        </w:rPr>
        <w:t>Schedule 1 Division 2 item 2; or</w:t>
      </w:r>
    </w:p>
    <w:p>
      <w:pPr>
        <w:pStyle w:val="Indenta"/>
      </w:pPr>
      <w:r>
        <w:tab/>
        <w:t>(b)</w:t>
      </w:r>
      <w:r>
        <w:tab/>
        <w:t>Schedule 1 Division 4 item 7 if the matter relates to an application to bring land under the Act; or</w:t>
      </w:r>
    </w:p>
    <w:p>
      <w:pPr>
        <w:pStyle w:val="Ednotepara"/>
      </w:pPr>
      <w:r>
        <w:tab/>
        <w:t>[(c)</w:t>
      </w:r>
      <w:r>
        <w:tab/>
        <w:t>deleted]</w:t>
      </w:r>
    </w:p>
    <w:p>
      <w:pPr>
        <w:pStyle w:val="Indenta"/>
      </w:pPr>
      <w:r>
        <w:tab/>
        <w:t>(d)</w:t>
      </w:r>
      <w:r>
        <w:tab/>
        <w:t>Schedule 1 Division 7 item 1 if the matter relates to an application to bring land under the Act; or</w:t>
      </w:r>
    </w:p>
    <w:p>
      <w:pPr>
        <w:pStyle w:val="Indenta"/>
      </w:pPr>
      <w:r>
        <w:tab/>
        <w:t>(e)</w:t>
      </w:r>
      <w:r>
        <w:tab/>
        <w:t>Schedule </w:t>
      </w:r>
      <w:r>
        <w:rPr>
          <w:snapToGrid w:val="0"/>
        </w:rPr>
        <w:t>1</w:t>
      </w:r>
      <w:r>
        <w:t xml:space="preserve"> Division 7 item 6.</w:t>
      </w:r>
    </w:p>
    <w:p>
      <w:pPr>
        <w:pStyle w:val="Footnotesection"/>
      </w:pPr>
      <w:r>
        <w:tab/>
        <w:t>[Regulation 9A inserted in Gazette 22 May 2009 p. 1701-2; amended in Gazette 22 Jun 2012 p. 2782; 23 Jun 2017 p. 3182.]</w:t>
      </w:r>
    </w:p>
    <w:p>
      <w:pPr>
        <w:pStyle w:val="Ednotesection"/>
      </w:pPr>
      <w:r>
        <w:t>[</w:t>
      </w:r>
      <w:r>
        <w:rPr>
          <w:b/>
          <w:bCs/>
        </w:rPr>
        <w:t>9.</w:t>
      </w:r>
      <w:r>
        <w:rPr>
          <w:b/>
          <w:bCs/>
        </w:rPr>
        <w:tab/>
      </w:r>
      <w:r>
        <w:t>Deleted in Gazette 19 Jun 2009 p. 2236.]</w:t>
      </w:r>
    </w:p>
    <w:p>
      <w:pPr>
        <w:pStyle w:val="Heading2"/>
      </w:pPr>
      <w:bookmarkStart w:id="35" w:name="_Toc501370294"/>
      <w:bookmarkStart w:id="36" w:name="_Toc504384234"/>
      <w:r>
        <w:rPr>
          <w:rStyle w:val="CharPartNo"/>
        </w:rPr>
        <w:t>Part 4</w:t>
      </w:r>
      <w:r>
        <w:rPr>
          <w:b w:val="0"/>
        </w:rPr>
        <w:t> </w:t>
      </w:r>
      <w:r>
        <w:t>—</w:t>
      </w:r>
      <w:r>
        <w:rPr>
          <w:b w:val="0"/>
        </w:rPr>
        <w:t> </w:t>
      </w:r>
      <w:r>
        <w:rPr>
          <w:rStyle w:val="CharPartText"/>
        </w:rPr>
        <w:t>Inspection of Register</w:t>
      </w:r>
      <w:bookmarkEnd w:id="35"/>
      <w:bookmarkEnd w:id="36"/>
    </w:p>
    <w:p>
      <w:pPr>
        <w:pStyle w:val="Footnoteheading"/>
      </w:pPr>
      <w:r>
        <w:tab/>
        <w:t>[Heading inserted in Gazette 22 May 2009 p. 1702.]</w:t>
      </w:r>
    </w:p>
    <w:p>
      <w:pPr>
        <w:pStyle w:val="Heading3"/>
      </w:pPr>
      <w:bookmarkStart w:id="37" w:name="_Toc501370295"/>
      <w:bookmarkStart w:id="38" w:name="_Toc504384235"/>
      <w:r>
        <w:rPr>
          <w:rStyle w:val="CharDivNo"/>
        </w:rPr>
        <w:t>Division 1</w:t>
      </w:r>
      <w:r>
        <w:t> — </w:t>
      </w:r>
      <w:r>
        <w:rPr>
          <w:rStyle w:val="CharDivText"/>
        </w:rPr>
        <w:t>Times for inspection of Register and related documents</w:t>
      </w:r>
      <w:bookmarkEnd w:id="37"/>
      <w:bookmarkEnd w:id="38"/>
    </w:p>
    <w:p>
      <w:pPr>
        <w:pStyle w:val="Footnoteheading"/>
      </w:pPr>
      <w:r>
        <w:tab/>
        <w:t>[Heading inserted in Gazette 22 May 2009 p. 1702.]</w:t>
      </w:r>
    </w:p>
    <w:p>
      <w:pPr>
        <w:pStyle w:val="Heading5"/>
        <w:rPr>
          <w:snapToGrid w:val="0"/>
        </w:rPr>
      </w:pPr>
      <w:bookmarkStart w:id="39" w:name="_Toc504384236"/>
      <w:r>
        <w:rPr>
          <w:rStyle w:val="CharSectno"/>
        </w:rPr>
        <w:t>10</w:t>
      </w:r>
      <w:r>
        <w:rPr>
          <w:snapToGrid w:val="0"/>
        </w:rPr>
        <w:t>.</w:t>
      </w:r>
      <w:r>
        <w:rPr>
          <w:snapToGrid w:val="0"/>
        </w:rPr>
        <w:tab/>
        <w:t>Times for inspection prescribed (Act s. 239(1))</w:t>
      </w:r>
      <w:bookmarkEnd w:id="39"/>
    </w:p>
    <w:p>
      <w:pPr>
        <w:pStyle w:val="Subsection"/>
        <w:rPr>
          <w:snapToGrid w:val="0"/>
        </w:rPr>
      </w:pPr>
      <w:r>
        <w:rPr>
          <w:snapToGrid w:val="0"/>
        </w:rPr>
        <w:tab/>
        <w:t>(1)</w:t>
      </w:r>
      <w:r>
        <w:rPr>
          <w:snapToGrid w:val="0"/>
        </w:rPr>
        <w:tab/>
        <w:t>The inspection times prescribed for the purposes of section 239(1) of the Act are Mondays to Fridays (other than bank holidays or public service holidays) 8.00 a.m. to 4.30 p.m.</w:t>
      </w:r>
    </w:p>
    <w:p>
      <w:pPr>
        <w:pStyle w:val="Subsection"/>
      </w:pPr>
      <w:r>
        <w:tab/>
        <w:t>(2)</w:t>
      </w:r>
      <w:r>
        <w:tab/>
        <w:t>Subregulation (1) does not prevent any of the information referred to in section 239(1) of the Act that can be inspected by means of a computer from outside the business premises of the Registrar from being inspected by those means at any time.</w:t>
      </w:r>
    </w:p>
    <w:p>
      <w:pPr>
        <w:pStyle w:val="Footnotesection"/>
      </w:pPr>
      <w:r>
        <w:tab/>
        <w:t>[Regulation 10 inserted in Gazette 22 May 2009 p. 1702-3; amended in Gazette 19 Jun 2009 p. 2236.]</w:t>
      </w:r>
    </w:p>
    <w:p>
      <w:pPr>
        <w:pStyle w:val="Heading3"/>
      </w:pPr>
      <w:bookmarkStart w:id="40" w:name="_Toc501370297"/>
      <w:bookmarkStart w:id="41" w:name="_Toc504384237"/>
      <w:r>
        <w:rPr>
          <w:rStyle w:val="CharDivNo"/>
        </w:rPr>
        <w:t>Division 2</w:t>
      </w:r>
      <w:r>
        <w:t> — </w:t>
      </w:r>
      <w:r>
        <w:rPr>
          <w:rStyle w:val="CharDivText"/>
        </w:rPr>
        <w:t>Names index</w:t>
      </w:r>
      <w:bookmarkEnd w:id="40"/>
      <w:bookmarkEnd w:id="41"/>
    </w:p>
    <w:p>
      <w:pPr>
        <w:pStyle w:val="Footnoteheading"/>
      </w:pPr>
      <w:r>
        <w:tab/>
        <w:t>[Heading inserted in Gazette 22 May 2009 p. 1703.]</w:t>
      </w:r>
    </w:p>
    <w:p>
      <w:pPr>
        <w:pStyle w:val="Heading5"/>
      </w:pPr>
      <w:bookmarkStart w:id="42" w:name="_Toc504384238"/>
      <w:r>
        <w:rPr>
          <w:rStyle w:val="CharSectno"/>
        </w:rPr>
        <w:t>11</w:t>
      </w:r>
      <w:r>
        <w:t>.</w:t>
      </w:r>
      <w:r>
        <w:tab/>
        <w:t>Terms used</w:t>
      </w:r>
      <w:bookmarkEnd w:id="42"/>
    </w:p>
    <w:p>
      <w:pPr>
        <w:pStyle w:val="Subsection"/>
      </w:pPr>
      <w:r>
        <w:tab/>
      </w:r>
      <w:r>
        <w:tab/>
        <w:t xml:space="preserve">In this Division — </w:t>
      </w:r>
    </w:p>
    <w:p>
      <w:pPr>
        <w:pStyle w:val="Defstart"/>
      </w:pPr>
      <w:r>
        <w:tab/>
      </w:r>
      <w:r>
        <w:rPr>
          <w:rStyle w:val="CharDefText"/>
        </w:rPr>
        <w:t>department</w:t>
      </w:r>
      <w:r>
        <w:t xml:space="preserve"> has the meaning given in the </w:t>
      </w:r>
      <w:r>
        <w:rPr>
          <w:i/>
        </w:rPr>
        <w:t>Public Sector Management Act </w:t>
      </w:r>
      <w:r>
        <w:rPr>
          <w:i/>
          <w:iCs/>
        </w:rPr>
        <w:t>1994</w:t>
      </w:r>
      <w:r>
        <w:t xml:space="preserve"> section 3(1);</w:t>
      </w:r>
    </w:p>
    <w:p>
      <w:pPr>
        <w:pStyle w:val="Defstart"/>
      </w:pPr>
      <w:r>
        <w:tab/>
      </w:r>
      <w:r>
        <w:rPr>
          <w:rStyle w:val="CharDefText"/>
        </w:rPr>
        <w:t>names index</w:t>
      </w:r>
      <w:r>
        <w:t xml:space="preserve"> means information derived from — </w:t>
      </w:r>
    </w:p>
    <w:p>
      <w:pPr>
        <w:pStyle w:val="Defpara"/>
      </w:pPr>
      <w:r>
        <w:tab/>
        <w:t>(a)</w:t>
      </w:r>
      <w:r>
        <w:tab/>
        <w:t>the Register as to —</w:t>
      </w:r>
    </w:p>
    <w:p>
      <w:pPr>
        <w:pStyle w:val="Defsubpara"/>
        <w:keepLines w:val="0"/>
      </w:pPr>
      <w:r>
        <w:tab/>
        <w:t>(i)</w:t>
      </w:r>
      <w:r>
        <w:tab/>
        <w:t>the name of each person who is a proprietor; and</w:t>
      </w:r>
    </w:p>
    <w:p>
      <w:pPr>
        <w:pStyle w:val="Defsubpara"/>
        <w:keepLines w:val="0"/>
      </w:pPr>
      <w:r>
        <w:tab/>
        <w:t>(ii)</w:t>
      </w:r>
      <w:r>
        <w:tab/>
        <w:t>each interest that a proprietor has;</w:t>
      </w:r>
    </w:p>
    <w:p>
      <w:pPr>
        <w:pStyle w:val="Defpara"/>
      </w:pPr>
      <w:r>
        <w:tab/>
      </w:r>
      <w:r>
        <w:tab/>
        <w:t>and</w:t>
      </w:r>
    </w:p>
    <w:p>
      <w:pPr>
        <w:pStyle w:val="Defpara"/>
        <w:keepNext/>
      </w:pPr>
      <w:r>
        <w:tab/>
        <w:t>(b)</w:t>
      </w:r>
      <w:r>
        <w:tab/>
        <w:t xml:space="preserve">the book referred to in section 143(1) of the Act as to — </w:t>
      </w:r>
    </w:p>
    <w:p>
      <w:pPr>
        <w:pStyle w:val="Defsubpara"/>
        <w:keepLines w:val="0"/>
      </w:pPr>
      <w:r>
        <w:tab/>
        <w:t>(i)</w:t>
      </w:r>
      <w:r>
        <w:tab/>
        <w:t>the name of each person who is a proprietor; and</w:t>
      </w:r>
    </w:p>
    <w:p>
      <w:pPr>
        <w:pStyle w:val="Defsubpara"/>
        <w:keepLines w:val="0"/>
      </w:pPr>
      <w:r>
        <w:tab/>
        <w:t>(ii)</w:t>
      </w:r>
      <w:r>
        <w:tab/>
        <w:t>each interest a proprietor has; and</w:t>
      </w:r>
    </w:p>
    <w:p>
      <w:pPr>
        <w:pStyle w:val="Defsubpara"/>
        <w:keepLines w:val="0"/>
      </w:pPr>
      <w:r>
        <w:tab/>
        <w:t>(iii)</w:t>
      </w:r>
      <w:r>
        <w:tab/>
        <w:t>the name and address of each person appointed to act for a proprietor,</w:t>
      </w:r>
    </w:p>
    <w:p>
      <w:pPr>
        <w:pStyle w:val="Defstart"/>
      </w:pPr>
      <w:r>
        <w:rPr>
          <w:b/>
        </w:rPr>
        <w:tab/>
      </w:r>
      <w:r>
        <w:rPr>
          <w:bCs/>
        </w:rPr>
        <w:t>but does not include</w:t>
      </w:r>
      <w:r>
        <w:rPr>
          <w:b/>
        </w:rPr>
        <w:t xml:space="preserve"> </w:t>
      </w:r>
      <w:r>
        <w:t>suppressed information;</w:t>
      </w:r>
    </w:p>
    <w:p>
      <w:pPr>
        <w:pStyle w:val="Defstart"/>
      </w:pPr>
      <w:r>
        <w:tab/>
      </w:r>
      <w:r>
        <w:rPr>
          <w:rStyle w:val="CharDefText"/>
        </w:rPr>
        <w:t>organisation</w:t>
      </w:r>
      <w:r>
        <w:t xml:space="preserve"> has the meaning given in the </w:t>
      </w:r>
      <w:r>
        <w:rPr>
          <w:i/>
        </w:rPr>
        <w:t>Public Sector Management Act </w:t>
      </w:r>
      <w:r>
        <w:rPr>
          <w:i/>
          <w:iCs/>
        </w:rPr>
        <w:t>1994</w:t>
      </w:r>
      <w:r>
        <w:t xml:space="preserve"> section 3(1);</w:t>
      </w:r>
    </w:p>
    <w:p>
      <w:pPr>
        <w:pStyle w:val="Defstart"/>
      </w:pPr>
      <w:r>
        <w:tab/>
      </w:r>
      <w:r>
        <w:rPr>
          <w:rStyle w:val="CharDefText"/>
        </w:rPr>
        <w:t>suppressed information</w:t>
      </w:r>
      <w:r>
        <w:t xml:space="preserve"> means information that is not to be inspected as part of the names index by operation of regulation 13.</w:t>
      </w:r>
    </w:p>
    <w:p>
      <w:pPr>
        <w:pStyle w:val="Footnotesection"/>
      </w:pPr>
      <w:r>
        <w:tab/>
        <w:t>[Regulation 11 inserted in Gazette 22 May 2009 p. 1703.]</w:t>
      </w:r>
    </w:p>
    <w:p>
      <w:pPr>
        <w:pStyle w:val="Heading5"/>
      </w:pPr>
      <w:bookmarkStart w:id="43" w:name="_Toc504384239"/>
      <w:r>
        <w:rPr>
          <w:rStyle w:val="CharSectno"/>
        </w:rPr>
        <w:t>12</w:t>
      </w:r>
      <w:r>
        <w:t>.</w:t>
      </w:r>
      <w:r>
        <w:tab/>
        <w:t>Names index prescribed (Act s. 239(1)(k))</w:t>
      </w:r>
      <w:bookmarkEnd w:id="43"/>
    </w:p>
    <w:p>
      <w:pPr>
        <w:pStyle w:val="Subsection"/>
      </w:pPr>
      <w:r>
        <w:tab/>
      </w:r>
      <w:r>
        <w:tab/>
        <w:t>The names index is prescribed for the purposes of section 239(1)(k) of the Act.</w:t>
      </w:r>
    </w:p>
    <w:p>
      <w:pPr>
        <w:pStyle w:val="Footnotesection"/>
      </w:pPr>
      <w:r>
        <w:tab/>
        <w:t>[Regulation 12 inserted in Gazette 22 May 2009 p. 1703.]</w:t>
      </w:r>
    </w:p>
    <w:p>
      <w:pPr>
        <w:pStyle w:val="Heading5"/>
        <w:rPr>
          <w:snapToGrid w:val="0"/>
        </w:rPr>
      </w:pPr>
      <w:bookmarkStart w:id="44" w:name="_Toc504384240"/>
      <w:r>
        <w:rPr>
          <w:rStyle w:val="CharSectno"/>
        </w:rPr>
        <w:t>13</w:t>
      </w:r>
      <w:r>
        <w:t>.</w:t>
      </w:r>
      <w:r>
        <w:tab/>
      </w:r>
      <w:r>
        <w:rPr>
          <w:snapToGrid w:val="0"/>
        </w:rPr>
        <w:t>Application for information in names index to be excluded from inspections</w:t>
      </w:r>
      <w:bookmarkEnd w:id="44"/>
    </w:p>
    <w:p>
      <w:pPr>
        <w:pStyle w:val="Subsection"/>
        <w:rPr>
          <w:snapToGrid w:val="0"/>
        </w:rPr>
      </w:pPr>
      <w:r>
        <w:rPr>
          <w:snapToGrid w:val="0"/>
        </w:rPr>
        <w:tab/>
        <w:t>(1)</w:t>
      </w:r>
      <w:r>
        <w:rPr>
          <w:snapToGrid w:val="0"/>
        </w:rPr>
        <w:tab/>
        <w:t xml:space="preserve">A person may apply, in an approved form, for information not to be inspected as part of the names index. </w:t>
      </w:r>
    </w:p>
    <w:p>
      <w:pPr>
        <w:pStyle w:val="Subsection"/>
      </w:pPr>
      <w:r>
        <w:tab/>
        <w:t>(2)</w:t>
      </w:r>
      <w:r>
        <w:tab/>
        <w:t xml:space="preserve">An application is to be accompanied by — </w:t>
      </w:r>
    </w:p>
    <w:p>
      <w:pPr>
        <w:pStyle w:val="Indenta"/>
      </w:pPr>
      <w:r>
        <w:tab/>
        <w:t>(a)</w:t>
      </w:r>
      <w:r>
        <w:tab/>
        <w:t>particulars of the information in respect of which the application is made; and</w:t>
      </w:r>
    </w:p>
    <w:p>
      <w:pPr>
        <w:pStyle w:val="Indenta"/>
      </w:pPr>
      <w:r>
        <w:tab/>
        <w:t>(b)</w:t>
      </w:r>
      <w:r>
        <w:tab/>
        <w:t>evidence, in a statutory declaration or other manner approved by the Registrar, to the effect that inspection of the information is likely to place at risk the personal safety of a proprietor or a member of the family of a proprietor.</w:t>
      </w:r>
    </w:p>
    <w:p>
      <w:pPr>
        <w:pStyle w:val="Subsection"/>
        <w:rPr>
          <w:snapToGrid w:val="0"/>
        </w:rPr>
      </w:pPr>
      <w:r>
        <w:rPr>
          <w:snapToGrid w:val="0"/>
        </w:rPr>
        <w:tab/>
        <w:t>(3)</w:t>
      </w:r>
      <w:r>
        <w:rPr>
          <w:snapToGrid w:val="0"/>
        </w:rPr>
        <w:tab/>
        <w:t>From the time when the Registrar receives an application made under subregulation (1), the information in respect of which the application is made is not to be inspected as part of the names index.</w:t>
      </w:r>
    </w:p>
    <w:p>
      <w:pPr>
        <w:pStyle w:val="Subsection"/>
        <w:rPr>
          <w:snapToGrid w:val="0"/>
        </w:rPr>
      </w:pPr>
      <w:r>
        <w:rPr>
          <w:snapToGrid w:val="0"/>
        </w:rPr>
        <w:tab/>
        <w:t>(4)</w:t>
      </w:r>
      <w:r>
        <w:rPr>
          <w:snapToGrid w:val="0"/>
        </w:rPr>
        <w:tab/>
        <w:t>The Registrar may direct that all or part of the information in respect of which an application under subregulation (1) is made may be inspected as part of the names register if the Registrar is not satisfied that inspection of the information is likely to place at risk the personal safety of a proprietor or a member of the family of a proprietor.</w:t>
      </w:r>
    </w:p>
    <w:p>
      <w:pPr>
        <w:pStyle w:val="Subsection"/>
        <w:rPr>
          <w:snapToGrid w:val="0"/>
        </w:rPr>
      </w:pPr>
      <w:r>
        <w:rPr>
          <w:snapToGrid w:val="0"/>
        </w:rPr>
        <w:tab/>
        <w:t>(5)</w:t>
      </w:r>
      <w:r>
        <w:rPr>
          <w:snapToGrid w:val="0"/>
        </w:rPr>
        <w:tab/>
        <w:t>The Registrar is to notify the applicant of a decision to make a direction under subregulation (4).</w:t>
      </w:r>
    </w:p>
    <w:p>
      <w:pPr>
        <w:pStyle w:val="Subsection"/>
      </w:pPr>
      <w:r>
        <w:tab/>
        <w:t>(6)</w:t>
      </w:r>
      <w:r>
        <w:tab/>
        <w:t>A person who is not satisfied with a decision of the Registrar may apply to the State Administrative Tribunal for a review of the decision.</w:t>
      </w:r>
    </w:p>
    <w:p>
      <w:pPr>
        <w:pStyle w:val="Subsection"/>
      </w:pPr>
      <w:r>
        <w:tab/>
        <w:t>(7)</w:t>
      </w:r>
      <w:r>
        <w:tab/>
      </w:r>
      <w:r>
        <w:rPr>
          <w:snapToGrid w:val="0"/>
        </w:rPr>
        <w:t xml:space="preserve">The Registrar is to direct that all or part of the information in respect of which an application under subregulation (1) is made </w:t>
      </w:r>
      <w:r>
        <w:t xml:space="preserve">may be inspected as part of the names index — </w:t>
      </w:r>
    </w:p>
    <w:p>
      <w:pPr>
        <w:pStyle w:val="Indenta"/>
      </w:pPr>
      <w:r>
        <w:tab/>
        <w:t>(a)</w:t>
      </w:r>
      <w:r>
        <w:tab/>
        <w:t>on the written request of a person to whom the information relates; and</w:t>
      </w:r>
    </w:p>
    <w:p>
      <w:pPr>
        <w:pStyle w:val="Indenta"/>
      </w:pPr>
      <w:r>
        <w:tab/>
        <w:t>(b)</w:t>
      </w:r>
      <w:r>
        <w:tab/>
        <w:t>immediately or at such later time as requested by the person.</w:t>
      </w:r>
    </w:p>
    <w:p>
      <w:pPr>
        <w:pStyle w:val="Footnotesection"/>
      </w:pPr>
      <w:r>
        <w:tab/>
        <w:t>[Regulation 13 inserted in Gazette 22 May 2009 p. 1703-4; amended in Gazette 23 Jun 2017 p. 3182.]</w:t>
      </w:r>
    </w:p>
    <w:p>
      <w:pPr>
        <w:pStyle w:val="Heading5"/>
        <w:spacing w:before="240"/>
      </w:pPr>
      <w:bookmarkStart w:id="45" w:name="_Toc504384241"/>
      <w:r>
        <w:rPr>
          <w:rStyle w:val="CharSectno"/>
        </w:rPr>
        <w:t>14</w:t>
      </w:r>
      <w:r>
        <w:t>.</w:t>
      </w:r>
      <w:r>
        <w:tab/>
        <w:t>Suppressed information, provision of to government organisations</w:t>
      </w:r>
      <w:bookmarkEnd w:id="45"/>
    </w:p>
    <w:p>
      <w:pPr>
        <w:pStyle w:val="Subsection"/>
      </w:pPr>
      <w:r>
        <w:tab/>
        <w:t>(1)</w:t>
      </w:r>
      <w:r>
        <w:tab/>
        <w:t>The Registrar may provide suppressed information to a department or organisation by arrangement with its chief executive officer or chief employee.</w:t>
      </w:r>
    </w:p>
    <w:p>
      <w:pPr>
        <w:pStyle w:val="Subsection"/>
      </w:pPr>
      <w:r>
        <w:tab/>
        <w:t>(2)</w:t>
      </w:r>
      <w:r>
        <w:tab/>
        <w:t>A person who is provided with suppressed information under subregulation (1) must not use or disclose the information except for a purpose relevant to the functions of the department or organisation.</w:t>
      </w:r>
    </w:p>
    <w:p>
      <w:pPr>
        <w:pStyle w:val="Footnotesection"/>
        <w:spacing w:before="80"/>
        <w:ind w:left="890" w:hanging="890"/>
      </w:pPr>
      <w:r>
        <w:tab/>
        <w:t>[Regulation 14 inserted in Gazette 22 May 2009 p. 1704.]</w:t>
      </w:r>
    </w:p>
    <w:p>
      <w:pPr>
        <w:pStyle w:val="Heading5"/>
      </w:pPr>
      <w:bookmarkStart w:id="46" w:name="_Toc504384242"/>
      <w:r>
        <w:rPr>
          <w:rStyle w:val="CharSectno"/>
        </w:rPr>
        <w:t>15</w:t>
      </w:r>
      <w:r>
        <w:t>.</w:t>
      </w:r>
      <w:r>
        <w:tab/>
        <w:t>Suppressed information, provision of to others</w:t>
      </w:r>
      <w:bookmarkEnd w:id="46"/>
    </w:p>
    <w:p>
      <w:pPr>
        <w:pStyle w:val="Subsection"/>
      </w:pPr>
      <w:r>
        <w:tab/>
        <w:t>(1)</w:t>
      </w:r>
      <w:r>
        <w:tab/>
        <w:t>The Registrar may, on the request of a person, provide suppressed information to the person for a purpose approved by the Registrar.</w:t>
      </w:r>
    </w:p>
    <w:p>
      <w:pPr>
        <w:pStyle w:val="Subsection"/>
      </w:pPr>
      <w:r>
        <w:tab/>
        <w:t>(2)</w:t>
      </w:r>
      <w:r>
        <w:tab/>
        <w:t xml:space="preserve">The Registrar is not to provide suppressed information to a person unless — </w:t>
      </w:r>
    </w:p>
    <w:p>
      <w:pPr>
        <w:pStyle w:val="Indenta"/>
      </w:pPr>
      <w:r>
        <w:tab/>
        <w:t>(a)</w:t>
      </w:r>
      <w:r>
        <w:tab/>
        <w:t>the Registrar is satisfied that the provision of the information is not likely to place at risk the personal safety of a proprietor or a member of the family of a proprietor; and</w:t>
      </w:r>
    </w:p>
    <w:p>
      <w:pPr>
        <w:pStyle w:val="Indenta"/>
      </w:pPr>
      <w:r>
        <w:tab/>
        <w:t>(b)</w:t>
      </w:r>
      <w:r>
        <w:tab/>
        <w:t xml:space="preserve">the person gives an undertaking that the person — </w:t>
      </w:r>
    </w:p>
    <w:p>
      <w:pPr>
        <w:pStyle w:val="Indenti"/>
      </w:pPr>
      <w:r>
        <w:tab/>
        <w:t>(i)</w:t>
      </w:r>
      <w:r>
        <w:tab/>
        <w:t>will use the information only for the purpose approved by the Registrar; and</w:t>
      </w:r>
    </w:p>
    <w:p>
      <w:pPr>
        <w:pStyle w:val="Indenti"/>
      </w:pPr>
      <w:r>
        <w:tab/>
        <w:t>(ii)</w:t>
      </w:r>
      <w:r>
        <w:tab/>
        <w:t>will not copy the information or give it to any other person; and</w:t>
      </w:r>
    </w:p>
    <w:p>
      <w:pPr>
        <w:pStyle w:val="Indenti"/>
      </w:pPr>
      <w:r>
        <w:tab/>
        <w:t>(iii)</w:t>
      </w:r>
      <w:r>
        <w:tab/>
        <w:t>will return the information to the Registrar or destroy the information after using it for the approved purpose.</w:t>
      </w:r>
    </w:p>
    <w:p>
      <w:pPr>
        <w:pStyle w:val="Footnotesection"/>
      </w:pPr>
      <w:r>
        <w:tab/>
        <w:t>[Regulation 15 inserted in Gazette 22 May 2009 p. 1704-5.]</w:t>
      </w:r>
    </w:p>
    <w:p>
      <w:pPr>
        <w:sectPr>
          <w:headerReference w:type="even" r:id="rId22"/>
          <w:headerReference w:type="default" r:id="rId23"/>
          <w:footerReference w:type="default" r:id="rId24"/>
          <w:headerReference w:type="first" r:id="rId25"/>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47" w:name="_Toc501370303"/>
      <w:bookmarkStart w:id="48" w:name="_Toc504384243"/>
      <w:r>
        <w:rPr>
          <w:rStyle w:val="CharSchNo"/>
        </w:rPr>
        <w:t>Schedule 1</w:t>
      </w:r>
      <w:r>
        <w:t xml:space="preserve"> — </w:t>
      </w:r>
      <w:r>
        <w:rPr>
          <w:rStyle w:val="CharSchText"/>
        </w:rPr>
        <w:t>Fees</w:t>
      </w:r>
      <w:bookmarkEnd w:id="47"/>
      <w:bookmarkEnd w:id="48"/>
    </w:p>
    <w:p>
      <w:pPr>
        <w:pStyle w:val="yShoulderClause"/>
      </w:pPr>
      <w:r>
        <w:t>[r. 9A(1), (2), (3), (4), (5), (6), (7)]</w:t>
      </w:r>
    </w:p>
    <w:p>
      <w:pPr>
        <w:pStyle w:val="yFootnoteheading"/>
      </w:pPr>
      <w:r>
        <w:tab/>
        <w:t>[Heading inserted in Gazette 9 Jan 2009 p. 30; amended in Gazette 22 May 2009 p. 1705.]</w:t>
      </w:r>
    </w:p>
    <w:p>
      <w:pPr>
        <w:pStyle w:val="yHeading3"/>
      </w:pPr>
      <w:bookmarkStart w:id="49" w:name="_Toc501370304"/>
      <w:bookmarkStart w:id="50" w:name="_Toc504384244"/>
      <w:r>
        <w:rPr>
          <w:rStyle w:val="CharSDivNo"/>
        </w:rPr>
        <w:t>Division 1</w:t>
      </w:r>
      <w:r>
        <w:t> </w:t>
      </w:r>
      <w:r>
        <w:rPr>
          <w:snapToGrid w:val="0"/>
        </w:rPr>
        <w:t>— </w:t>
      </w:r>
      <w:r>
        <w:rPr>
          <w:rStyle w:val="CharSDivText"/>
        </w:rPr>
        <w:t>Registrations and recordings</w:t>
      </w:r>
      <w:bookmarkEnd w:id="49"/>
      <w:bookmarkEnd w:id="50"/>
    </w:p>
    <w:p>
      <w:pPr>
        <w:pStyle w:val="yFootnoteheading"/>
        <w:spacing w:after="120"/>
        <w:rPr>
          <w:snapToGrid w:val="0"/>
        </w:rPr>
      </w:pPr>
      <w:r>
        <w:tab/>
        <w:t>[Heading inserted in Gazette 9 Jan 2009 p. 30.]</w:t>
      </w:r>
    </w:p>
    <w:tbl>
      <w:tblPr>
        <w:tblW w:w="7080" w:type="dxa"/>
        <w:tblInd w:w="108" w:type="dxa"/>
        <w:tblLayout w:type="fixed"/>
        <w:tblLook w:val="0000" w:firstRow="0" w:lastRow="0" w:firstColumn="0" w:lastColumn="0" w:noHBand="0" w:noVBand="0"/>
      </w:tblPr>
      <w:tblGrid>
        <w:gridCol w:w="623"/>
        <w:gridCol w:w="4902"/>
        <w:gridCol w:w="1555"/>
      </w:tblGrid>
      <w:tr>
        <w:trPr>
          <w:cantSplit/>
        </w:trPr>
        <w:tc>
          <w:tcPr>
            <w:tcW w:w="624" w:type="dxa"/>
          </w:tcPr>
          <w:p>
            <w:pPr>
              <w:pStyle w:val="yTableNAm"/>
              <w:rPr>
                <w:snapToGrid w:val="0"/>
              </w:rPr>
            </w:pPr>
            <w:r>
              <w:rPr>
                <w:snapToGrid w:val="0"/>
              </w:rPr>
              <w:t>1.</w:t>
            </w:r>
          </w:p>
        </w:tc>
        <w:tc>
          <w:tcPr>
            <w:tcW w:w="4920" w:type="dxa"/>
          </w:tcPr>
          <w:p>
            <w:pPr>
              <w:pStyle w:val="yTableNAm"/>
            </w:pPr>
            <w:r>
              <w:t>Of a transfer of a mortgage or charge —</w:t>
            </w:r>
          </w:p>
        </w:tc>
        <w:tc>
          <w:tcPr>
            <w:tcW w:w="1560" w:type="dxa"/>
          </w:tcPr>
          <w:p>
            <w:pPr>
              <w:pStyle w:val="yTableNAm"/>
              <w:rPr>
                <w:snapToGrid w:val="0"/>
              </w:rPr>
            </w:pPr>
          </w:p>
        </w:tc>
      </w:tr>
      <w:tr>
        <w:trPr>
          <w:cantSplit/>
        </w:trPr>
        <w:tc>
          <w:tcPr>
            <w:tcW w:w="624" w:type="dxa"/>
          </w:tcPr>
          <w:p>
            <w:pPr>
              <w:pStyle w:val="yTableNAm"/>
              <w:rPr>
                <w:snapToGrid w:val="0"/>
              </w:rPr>
            </w:pPr>
          </w:p>
        </w:tc>
        <w:tc>
          <w:tcPr>
            <w:tcW w:w="4920" w:type="dxa"/>
          </w:tcPr>
          <w:p>
            <w:pPr>
              <w:pStyle w:val="yTableNAm"/>
              <w:tabs>
                <w:tab w:val="clear" w:pos="567"/>
                <w:tab w:val="left" w:pos="318"/>
                <w:tab w:val="right" w:leader="dot" w:pos="4821"/>
              </w:tabs>
            </w:pPr>
            <w:r>
              <w:tab/>
              <w:t xml:space="preserve">first mortgage or charge </w:t>
            </w:r>
            <w:r>
              <w:tab/>
            </w:r>
          </w:p>
        </w:tc>
        <w:tc>
          <w:tcPr>
            <w:tcW w:w="1560" w:type="dxa"/>
          </w:tcPr>
          <w:p>
            <w:pPr>
              <w:pStyle w:val="yTableNAm"/>
              <w:rPr>
                <w:snapToGrid w:val="0"/>
              </w:rPr>
            </w:pPr>
            <w:r>
              <w:t>$168.70</w:t>
            </w:r>
          </w:p>
        </w:tc>
      </w:tr>
      <w:tr>
        <w:trPr>
          <w:cantSplit/>
        </w:trPr>
        <w:tc>
          <w:tcPr>
            <w:tcW w:w="624" w:type="dxa"/>
          </w:tcPr>
          <w:p>
            <w:pPr>
              <w:pStyle w:val="yTableNAm"/>
              <w:rPr>
                <w:snapToGrid w:val="0"/>
              </w:rPr>
            </w:pPr>
          </w:p>
        </w:tc>
        <w:tc>
          <w:tcPr>
            <w:tcW w:w="4920" w:type="dxa"/>
          </w:tcPr>
          <w:p>
            <w:pPr>
              <w:pStyle w:val="yTableNAm"/>
              <w:tabs>
                <w:tab w:val="clear" w:pos="567"/>
                <w:tab w:val="left" w:pos="318"/>
                <w:tab w:val="right" w:leader="dot" w:pos="4821"/>
              </w:tabs>
            </w:pPr>
            <w:r>
              <w:tab/>
              <w:t xml:space="preserve">subsequent mortgage or charge </w:t>
            </w:r>
            <w:r>
              <w:tab/>
            </w:r>
          </w:p>
        </w:tc>
        <w:tc>
          <w:tcPr>
            <w:tcW w:w="1560" w:type="dxa"/>
          </w:tcPr>
          <w:p>
            <w:pPr>
              <w:pStyle w:val="yTableNAm"/>
              <w:rPr>
                <w:snapToGrid w:val="0"/>
              </w:rPr>
            </w:pPr>
            <w:r>
              <w:t>$13.20</w:t>
            </w:r>
          </w:p>
        </w:tc>
      </w:tr>
      <w:tr>
        <w:trPr>
          <w:cantSplit/>
        </w:trPr>
        <w:tc>
          <w:tcPr>
            <w:tcW w:w="624" w:type="dxa"/>
          </w:tcPr>
          <w:p>
            <w:pPr>
              <w:pStyle w:val="yTableNAm"/>
              <w:rPr>
                <w:snapToGrid w:val="0"/>
              </w:rPr>
            </w:pPr>
            <w:r>
              <w:rPr>
                <w:snapToGrid w:val="0"/>
              </w:rPr>
              <w:t>2.</w:t>
            </w:r>
          </w:p>
        </w:tc>
        <w:tc>
          <w:tcPr>
            <w:tcW w:w="4920" w:type="dxa"/>
          </w:tcPr>
          <w:p>
            <w:pPr>
              <w:pStyle w:val="yTableNAm"/>
            </w:pPr>
            <w:r>
              <w:t>Of a transfer —</w:t>
            </w:r>
          </w:p>
        </w:tc>
        <w:tc>
          <w:tcPr>
            <w:tcW w:w="1560" w:type="dxa"/>
          </w:tcPr>
          <w:p>
            <w:pPr>
              <w:pStyle w:val="yTableNAm"/>
              <w:rPr>
                <w:snapToGrid w:val="0"/>
              </w:rPr>
            </w:pP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pPr>
            <w:r>
              <w:tab/>
              <w:t>(a)</w:t>
            </w:r>
            <w:r>
              <w:tab/>
              <w:t xml:space="preserve">that is exempt from duty under the </w:t>
            </w:r>
            <w:r>
              <w:rPr>
                <w:i/>
                <w:iCs/>
              </w:rPr>
              <w:t>Stamp Act 1921</w:t>
            </w:r>
            <w:r>
              <w:t xml:space="preserve"> or the </w:t>
            </w:r>
            <w:r>
              <w:rPr>
                <w:i/>
                <w:iCs/>
              </w:rPr>
              <w:t>Duties Act 2008</w:t>
            </w:r>
            <w:r>
              <w:t>; or</w:t>
            </w:r>
          </w:p>
        </w:tc>
        <w:tc>
          <w:tcPr>
            <w:tcW w:w="1560" w:type="dxa"/>
          </w:tcPr>
          <w:p>
            <w:pPr>
              <w:pStyle w:val="yTableNAm"/>
              <w:rPr>
                <w:snapToGrid w:val="0"/>
              </w:rPr>
            </w:pP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pPr>
            <w:r>
              <w:tab/>
              <w:t>(b)</w:t>
            </w:r>
            <w:r>
              <w:tab/>
              <w:t xml:space="preserve">on which nominal duty is chargeable under the </w:t>
            </w:r>
            <w:r>
              <w:rPr>
                <w:i/>
              </w:rPr>
              <w:t>Duties Act 2008</w:t>
            </w:r>
            <w:r>
              <w:t>; or</w:t>
            </w:r>
          </w:p>
        </w:tc>
        <w:tc>
          <w:tcPr>
            <w:tcW w:w="1560" w:type="dxa"/>
          </w:tcPr>
          <w:p>
            <w:pPr>
              <w:pStyle w:val="yTableNAm"/>
              <w:rPr>
                <w:snapToGrid w:val="0"/>
              </w:rPr>
            </w:pP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(c)</w:t>
            </w:r>
            <w:r>
              <w:tab/>
              <w:t xml:space="preserve">on which duty is chargeable under the </w:t>
            </w:r>
            <w:r>
              <w:rPr>
                <w:i/>
                <w:iCs/>
              </w:rPr>
              <w:t>Stamp Act 1921</w:t>
            </w:r>
            <w:r>
              <w:t xml:space="preserve"> Second Schedule item 6 </w:t>
            </w:r>
            <w:r>
              <w:tab/>
            </w:r>
          </w:p>
        </w:tc>
        <w:tc>
          <w:tcPr>
            <w:tcW w:w="1560" w:type="dxa"/>
          </w:tcPr>
          <w:p>
            <w:pPr>
              <w:pStyle w:val="yTableNAm"/>
              <w:rPr>
                <w:snapToGrid w:val="0"/>
              </w:rPr>
            </w:pPr>
            <w:r>
              <w:rPr>
                <w:snapToGrid w:val="0"/>
              </w:rPr>
              <w:br/>
            </w:r>
            <w:r>
              <w:t>$168.70</w:t>
            </w:r>
          </w:p>
        </w:tc>
      </w:tr>
      <w:tr>
        <w:trPr>
          <w:cantSplit/>
        </w:trPr>
        <w:tc>
          <w:tcPr>
            <w:tcW w:w="624" w:type="dxa"/>
          </w:tcPr>
          <w:p>
            <w:pPr>
              <w:pStyle w:val="yTableNAm"/>
              <w:rPr>
                <w:snapToGrid w:val="0"/>
              </w:rPr>
            </w:pPr>
            <w:r>
              <w:rPr>
                <w:snapToGrid w:val="0"/>
              </w:rPr>
              <w:t>3.</w:t>
            </w:r>
          </w:p>
        </w:tc>
        <w:tc>
          <w:tcPr>
            <w:tcW w:w="4920" w:type="dxa"/>
          </w:tcPr>
          <w:p>
            <w:pPr>
              <w:pStyle w:val="yTableNAm"/>
              <w:tabs>
                <w:tab w:val="right" w:leader="dot" w:pos="4821"/>
              </w:tabs>
            </w:pPr>
            <w:r>
              <w:t xml:space="preserve">Of a transfer of a lease, surrender, easement or restrictive covenant </w:t>
            </w:r>
            <w:r>
              <w:tab/>
            </w:r>
          </w:p>
        </w:tc>
        <w:tc>
          <w:tcPr>
            <w:tcW w:w="1560" w:type="dxa"/>
          </w:tcPr>
          <w:p>
            <w:pPr>
              <w:pStyle w:val="yTableNAm"/>
              <w:rPr>
                <w:snapToGrid w:val="0"/>
              </w:rPr>
            </w:pPr>
            <w:r>
              <w:rPr>
                <w:snapToGrid w:val="0"/>
              </w:rPr>
              <w:br/>
            </w:r>
            <w:r>
              <w:t>$168.70</w:t>
            </w:r>
          </w:p>
        </w:tc>
      </w:tr>
      <w:tr>
        <w:trPr>
          <w:cantSplit/>
        </w:trPr>
        <w:tc>
          <w:tcPr>
            <w:tcW w:w="624" w:type="dxa"/>
          </w:tcPr>
          <w:p>
            <w:pPr>
              <w:pStyle w:val="yTableNAm"/>
              <w:rPr>
                <w:snapToGrid w:val="0"/>
              </w:rPr>
            </w:pPr>
            <w:r>
              <w:rPr>
                <w:snapToGrid w:val="0"/>
              </w:rPr>
              <w:t>4.</w:t>
            </w:r>
          </w:p>
        </w:tc>
        <w:tc>
          <w:tcPr>
            <w:tcW w:w="4920" w:type="dxa"/>
          </w:tcPr>
          <w:p>
            <w:pPr>
              <w:pStyle w:val="yTableNAm"/>
              <w:rPr>
                <w:sz w:val="18"/>
              </w:rPr>
            </w:pPr>
            <w:r>
              <w:t xml:space="preserve">Of any other transfer where the value of the consideration in respect of the land or the value of the land as assessed under the </w:t>
            </w:r>
            <w:r>
              <w:rPr>
                <w:i/>
              </w:rPr>
              <w:t>Stamp Act 1921</w:t>
            </w:r>
            <w:r>
              <w:t xml:space="preserve"> or the </w:t>
            </w:r>
            <w:r>
              <w:rPr>
                <w:i/>
              </w:rPr>
              <w:t>Duties Act 2008</w:t>
            </w:r>
            <w:r>
              <w:t>, whichever is the greater — </w:t>
            </w:r>
          </w:p>
        </w:tc>
        <w:tc>
          <w:tcPr>
            <w:tcW w:w="1560" w:type="dxa"/>
          </w:tcPr>
          <w:p>
            <w:pPr>
              <w:pStyle w:val="yTableNAm"/>
              <w:rPr>
                <w:snapToGrid w:val="0"/>
                <w:sz w:val="18"/>
              </w:rPr>
            </w:pPr>
          </w:p>
        </w:tc>
      </w:tr>
      <w:tr>
        <w:trPr>
          <w:cantSplit/>
        </w:trPr>
        <w:tc>
          <w:tcPr>
            <w:tcW w:w="624" w:type="dxa"/>
          </w:tcPr>
          <w:p>
            <w:pPr>
              <w:pStyle w:val="yTableNAm"/>
              <w:rPr>
                <w:snapToGrid w:val="0"/>
              </w:rPr>
            </w:pPr>
          </w:p>
        </w:tc>
        <w:tc>
          <w:tcPr>
            <w:tcW w:w="4920" w:type="dxa"/>
          </w:tcPr>
          <w:p>
            <w:pPr>
              <w:pStyle w:val="yTableNAm"/>
              <w:tabs>
                <w:tab w:val="clear" w:pos="567"/>
                <w:tab w:val="left" w:pos="318"/>
                <w:tab w:val="right" w:leader="dot" w:pos="4821"/>
              </w:tabs>
            </w:pPr>
            <w:r>
              <w:tab/>
              <w:t xml:space="preserve">does not exceed $85 000 </w:t>
            </w:r>
            <w:r>
              <w:tab/>
            </w:r>
          </w:p>
        </w:tc>
        <w:tc>
          <w:tcPr>
            <w:tcW w:w="1560" w:type="dxa"/>
          </w:tcPr>
          <w:p>
            <w:pPr>
              <w:pStyle w:val="yTableNAm"/>
              <w:rPr>
                <w:snapToGrid w:val="0"/>
              </w:rPr>
            </w:pPr>
            <w:r>
              <w:t>$168.70</w:t>
            </w:r>
          </w:p>
        </w:tc>
      </w:tr>
      <w:tr>
        <w:trPr>
          <w:cantSplit/>
        </w:trPr>
        <w:tc>
          <w:tcPr>
            <w:tcW w:w="624" w:type="dxa"/>
          </w:tcPr>
          <w:p>
            <w:pPr>
              <w:pStyle w:val="yTableNAm"/>
              <w:rPr>
                <w:snapToGrid w:val="0"/>
              </w:rPr>
            </w:pPr>
          </w:p>
        </w:tc>
        <w:tc>
          <w:tcPr>
            <w:tcW w:w="4920" w:type="dxa"/>
          </w:tcPr>
          <w:p>
            <w:pPr>
              <w:pStyle w:val="yTableNAm"/>
              <w:tabs>
                <w:tab w:val="clear" w:pos="567"/>
                <w:tab w:val="left" w:pos="318"/>
                <w:tab w:val="right" w:leader="dot" w:pos="4821"/>
              </w:tabs>
            </w:pPr>
            <w:r>
              <w:tab/>
              <w:t xml:space="preserve">exceeds $85 000 but does not exceed $120 000 </w:t>
            </w:r>
            <w:r>
              <w:tab/>
            </w:r>
          </w:p>
        </w:tc>
        <w:tc>
          <w:tcPr>
            <w:tcW w:w="1560" w:type="dxa"/>
          </w:tcPr>
          <w:p>
            <w:pPr>
              <w:pStyle w:val="TableAm"/>
              <w:rPr>
                <w:sz w:val="22"/>
                <w:szCs w:val="22"/>
              </w:rPr>
            </w:pPr>
            <w:r>
              <w:rPr>
                <w:sz w:val="22"/>
              </w:rPr>
              <w:t>$178.70</w:t>
            </w:r>
          </w:p>
        </w:tc>
      </w:tr>
      <w:tr>
        <w:trPr>
          <w:cantSplit/>
        </w:trPr>
        <w:tc>
          <w:tcPr>
            <w:tcW w:w="624" w:type="dxa"/>
          </w:tcPr>
          <w:p>
            <w:pPr>
              <w:pStyle w:val="yTableNAm"/>
              <w:rPr>
                <w:snapToGrid w:val="0"/>
              </w:rPr>
            </w:pPr>
          </w:p>
        </w:tc>
        <w:tc>
          <w:tcPr>
            <w:tcW w:w="4920" w:type="dxa"/>
          </w:tcPr>
          <w:p>
            <w:pPr>
              <w:pStyle w:val="yTableNAm"/>
              <w:tabs>
                <w:tab w:val="clear" w:pos="567"/>
                <w:tab w:val="left" w:pos="318"/>
                <w:tab w:val="right" w:leader="dot" w:pos="4821"/>
              </w:tabs>
            </w:pPr>
            <w:r>
              <w:tab/>
              <w:t xml:space="preserve">exceeds $120 000 but does not exceed $200 000 </w:t>
            </w:r>
            <w:r>
              <w:tab/>
            </w:r>
          </w:p>
        </w:tc>
        <w:tc>
          <w:tcPr>
            <w:tcW w:w="1560" w:type="dxa"/>
          </w:tcPr>
          <w:p>
            <w:pPr>
              <w:pStyle w:val="yTableNAm"/>
              <w:rPr>
                <w:snapToGrid w:val="0"/>
              </w:rPr>
            </w:pPr>
            <w:r>
              <w:t>$198.70</w:t>
            </w:r>
          </w:p>
        </w:tc>
      </w:tr>
      <w:tr>
        <w:trPr>
          <w:cantSplit/>
        </w:trPr>
        <w:tc>
          <w:tcPr>
            <w:tcW w:w="624" w:type="dxa"/>
          </w:tcPr>
          <w:p>
            <w:pPr>
              <w:pStyle w:val="yTableNAm"/>
              <w:rPr>
                <w:snapToGrid w:val="0"/>
              </w:rPr>
            </w:pPr>
          </w:p>
        </w:tc>
        <w:tc>
          <w:tcPr>
            <w:tcW w:w="4920" w:type="dxa"/>
          </w:tcPr>
          <w:p>
            <w:pPr>
              <w:pStyle w:val="yTableNAm"/>
              <w:tabs>
                <w:tab w:val="right" w:leader="dot" w:pos="4821"/>
              </w:tabs>
            </w:pPr>
            <w:r>
              <w:t xml:space="preserve">plus, for each whole or part of $100 000 above </w:t>
            </w:r>
            <w:r>
              <w:br/>
              <w:t xml:space="preserve">$200 000 </w:t>
            </w:r>
            <w:r>
              <w:tab/>
            </w:r>
          </w:p>
        </w:tc>
        <w:tc>
          <w:tcPr>
            <w:tcW w:w="1560" w:type="dxa"/>
          </w:tcPr>
          <w:p>
            <w:pPr>
              <w:pStyle w:val="yTableNAm"/>
              <w:rPr>
                <w:snapToGrid w:val="0"/>
              </w:rPr>
            </w:pPr>
            <w:r>
              <w:rPr>
                <w:snapToGrid w:val="0"/>
              </w:rPr>
              <w:br/>
              <w:t>$20.00</w:t>
            </w:r>
          </w:p>
        </w:tc>
      </w:tr>
      <w:tr>
        <w:trPr>
          <w:cantSplit/>
        </w:trPr>
        <w:tc>
          <w:tcPr>
            <w:tcW w:w="624" w:type="dxa"/>
          </w:tcPr>
          <w:p>
            <w:pPr>
              <w:pStyle w:val="yTableNAm"/>
              <w:rPr>
                <w:snapToGrid w:val="0"/>
              </w:rPr>
            </w:pPr>
          </w:p>
        </w:tc>
        <w:tc>
          <w:tcPr>
            <w:tcW w:w="4920" w:type="dxa"/>
          </w:tcPr>
          <w:p>
            <w:pPr>
              <w:pStyle w:val="yTableNAm"/>
              <w:tabs>
                <w:tab w:val="clear" w:pos="567"/>
                <w:tab w:val="left" w:pos="546"/>
              </w:tabs>
              <w:rPr>
                <w:sz w:val="18"/>
              </w:rPr>
            </w:pPr>
            <w:r>
              <w:rPr>
                <w:sz w:val="18"/>
              </w:rPr>
              <w:t>Note:</w:t>
            </w:r>
            <w:r>
              <w:rPr>
                <w:sz w:val="18"/>
              </w:rPr>
              <w:tab/>
              <w:t>Where —</w:t>
            </w:r>
          </w:p>
          <w:p>
            <w:pPr>
              <w:pStyle w:val="yTableNAm"/>
              <w:rPr>
                <w:sz w:val="18"/>
              </w:rPr>
            </w:pPr>
            <w:r>
              <w:rPr>
                <w:sz w:val="18"/>
              </w:rPr>
              <w:tab/>
              <w:t>(a)</w:t>
            </w:r>
            <w:r>
              <w:rPr>
                <w:sz w:val="18"/>
              </w:rPr>
              <w:tab/>
              <w:t>stamp duty is assessed on a parcel of land; and</w:t>
            </w:r>
          </w:p>
          <w:p>
            <w:pPr>
              <w:pStyle w:val="yTableNAm"/>
              <w:rPr>
                <w:sz w:val="18"/>
              </w:rPr>
            </w:pPr>
            <w:r>
              <w:rPr>
                <w:sz w:val="18"/>
              </w:rPr>
              <w:tab/>
              <w:t>(b)</w:t>
            </w:r>
            <w:r>
              <w:rPr>
                <w:sz w:val="18"/>
              </w:rPr>
              <w:tab/>
              <w:t>transfers are lodged for parts of that parcel; and</w:t>
            </w:r>
          </w:p>
          <w:p>
            <w:pPr>
              <w:pStyle w:val="yTableNAm"/>
              <w:ind w:left="1134" w:hanging="1134"/>
            </w:pPr>
            <w:r>
              <w:rPr>
                <w:sz w:val="18"/>
              </w:rPr>
              <w:tab/>
              <w:t>(c)</w:t>
            </w:r>
            <w:r>
              <w:rPr>
                <w:sz w:val="18"/>
              </w:rPr>
              <w:tab/>
              <w:t>a separate value for each part is not allocated in the contract,</w:t>
            </w:r>
          </w:p>
        </w:tc>
        <w:tc>
          <w:tcPr>
            <w:tcW w:w="1560" w:type="dxa"/>
          </w:tcPr>
          <w:p>
            <w:pPr>
              <w:pStyle w:val="yTableNAm"/>
              <w:rPr>
                <w:snapToGrid w:val="0"/>
              </w:rPr>
            </w:pPr>
          </w:p>
        </w:tc>
      </w:tr>
      <w:tr>
        <w:trPr>
          <w:cantSplit/>
        </w:trPr>
        <w:tc>
          <w:tcPr>
            <w:tcW w:w="624" w:type="dxa"/>
          </w:tcPr>
          <w:p>
            <w:pPr>
              <w:pStyle w:val="yTableNAm"/>
              <w:rPr>
                <w:snapToGrid w:val="0"/>
              </w:rPr>
            </w:pPr>
          </w:p>
        </w:tc>
        <w:tc>
          <w:tcPr>
            <w:tcW w:w="4920" w:type="dxa"/>
          </w:tcPr>
          <w:p>
            <w:pPr>
              <w:pStyle w:val="yTableNAm"/>
              <w:tabs>
                <w:tab w:val="clear" w:pos="567"/>
                <w:tab w:val="left" w:pos="546"/>
                <w:tab w:val="right" w:leader="dot" w:pos="4821"/>
              </w:tabs>
              <w:ind w:left="546"/>
              <w:rPr>
                <w:sz w:val="18"/>
              </w:rPr>
            </w:pPr>
            <w:r>
              <w:rPr>
                <w:sz w:val="18"/>
              </w:rPr>
              <w:t xml:space="preserve">the fee for registering and recording the first of the transfers lodged for registration is to be assessed under item 4 on the value as assessed under the </w:t>
            </w:r>
            <w:r>
              <w:rPr>
                <w:i/>
                <w:sz w:val="18"/>
              </w:rPr>
              <w:t>Stamp Act 1921</w:t>
            </w:r>
            <w:r>
              <w:rPr>
                <w:sz w:val="18"/>
              </w:rPr>
              <w:t xml:space="preserve"> or the </w:t>
            </w:r>
            <w:r>
              <w:rPr>
                <w:i/>
                <w:iCs/>
                <w:sz w:val="18"/>
              </w:rPr>
              <w:t>Duties Act 2008</w:t>
            </w:r>
            <w:r>
              <w:rPr>
                <w:sz w:val="18"/>
              </w:rPr>
              <w:t xml:space="preserve"> of the parcel and, subject to proof of the payment of that fee, the fee for registering and recording each of the second and subsequent of the transfers is </w:t>
            </w:r>
            <w:r>
              <w:rPr>
                <w:sz w:val="18"/>
              </w:rPr>
              <w:tab/>
            </w:r>
          </w:p>
        </w:tc>
        <w:tc>
          <w:tcPr>
            <w:tcW w:w="1560" w:type="dxa"/>
            <w:vAlign w:val="bottom"/>
          </w:tcPr>
          <w:p>
            <w:pPr>
              <w:pStyle w:val="yTableNAm"/>
              <w:rPr>
                <w:sz w:val="18"/>
              </w:rPr>
            </w:pPr>
          </w:p>
          <w:p>
            <w:pPr>
              <w:pStyle w:val="yTableNAm"/>
              <w:rPr>
                <w:sz w:val="18"/>
              </w:rPr>
            </w:pPr>
          </w:p>
          <w:p>
            <w:pPr>
              <w:pStyle w:val="yTableNAm"/>
              <w:rPr>
                <w:sz w:val="18"/>
              </w:rPr>
            </w:pPr>
          </w:p>
          <w:p>
            <w:pPr>
              <w:pStyle w:val="yTableNAm"/>
              <w:rPr>
                <w:sz w:val="18"/>
              </w:rPr>
            </w:pPr>
          </w:p>
          <w:p>
            <w:pPr>
              <w:pStyle w:val="yTableNAm"/>
              <w:rPr>
                <w:snapToGrid w:val="0"/>
              </w:rPr>
            </w:pPr>
            <w:r>
              <w:t>$168.70</w:t>
            </w:r>
          </w:p>
        </w:tc>
      </w:tr>
      <w:tr>
        <w:trPr>
          <w:cantSplit/>
        </w:trPr>
        <w:tc>
          <w:tcPr>
            <w:tcW w:w="624" w:type="dxa"/>
            <w:gridSpan w:val="2"/>
          </w:tcPr>
          <w:p>
            <w:pPr>
              <w:pStyle w:val="yTableNAm"/>
              <w:ind w:left="567" w:hanging="567"/>
              <w:rPr>
                <w:sz w:val="18"/>
              </w:rPr>
            </w:pPr>
            <w:r>
              <w:rPr>
                <w:sz w:val="18"/>
              </w:rPr>
              <w:t>Note:</w:t>
            </w:r>
            <w:r>
              <w:rPr>
                <w:sz w:val="18"/>
              </w:rPr>
              <w:tab/>
              <w:t>The fees specified in items 1 to 4 include the creation and registration of a new certificate of title where such certificate is required by the Registrar.</w:t>
            </w:r>
          </w:p>
        </w:tc>
        <w:tc>
          <w:tcPr>
            <w:tcW w:w="1560" w:type="dxa"/>
          </w:tcPr>
          <w:p>
            <w:pPr>
              <w:pStyle w:val="yTableNAm"/>
              <w:rPr>
                <w:snapToGrid w:val="0"/>
              </w:rPr>
            </w:pPr>
          </w:p>
        </w:tc>
      </w:tr>
      <w:tr>
        <w:trPr>
          <w:cantSplit/>
        </w:trPr>
        <w:tc>
          <w:tcPr>
            <w:tcW w:w="624" w:type="dxa"/>
          </w:tcPr>
          <w:p>
            <w:pPr>
              <w:pStyle w:val="yTableNAm"/>
              <w:rPr>
                <w:snapToGrid w:val="0"/>
              </w:rPr>
            </w:pPr>
            <w:r>
              <w:rPr>
                <w:snapToGrid w:val="0"/>
              </w:rPr>
              <w:t>5.</w:t>
            </w:r>
          </w:p>
        </w:tc>
        <w:tc>
          <w:tcPr>
            <w:tcW w:w="4920" w:type="dxa"/>
          </w:tcPr>
          <w:p>
            <w:pPr>
              <w:pStyle w:val="yTableNAm"/>
              <w:tabs>
                <w:tab w:val="right" w:leader="dot" w:pos="4821"/>
              </w:tabs>
            </w:pPr>
            <w:r>
              <w:t>Of a mortgage or charge or of a whole or partial discharge of a mortgage or charge — for each interest</w:t>
            </w:r>
            <w:r>
              <w:rPr>
                <w:snapToGrid w:val="0"/>
                <w:sz w:val="24"/>
              </w:rPr>
              <w:t> </w:t>
            </w:r>
            <w:r>
              <w:tab/>
            </w:r>
          </w:p>
        </w:tc>
        <w:tc>
          <w:tcPr>
            <w:tcW w:w="1560" w:type="dxa"/>
          </w:tcPr>
          <w:p>
            <w:pPr>
              <w:pStyle w:val="yTableNAm"/>
              <w:rPr>
                <w:snapToGrid w:val="0"/>
              </w:rPr>
            </w:pPr>
            <w:r>
              <w:rPr>
                <w:snapToGrid w:val="0"/>
              </w:rPr>
              <w:br/>
            </w:r>
            <w:r>
              <w:rPr>
                <w:snapToGrid w:val="0"/>
              </w:rPr>
              <w:br/>
            </w:r>
            <w:r>
              <w:t>$168.70</w:t>
            </w:r>
          </w:p>
        </w:tc>
      </w:tr>
      <w:tr>
        <w:trPr>
          <w:cantSplit/>
        </w:trPr>
        <w:tc>
          <w:tcPr>
            <w:tcW w:w="624" w:type="dxa"/>
          </w:tcPr>
          <w:p>
            <w:pPr>
              <w:pStyle w:val="yTableNAm"/>
              <w:rPr>
                <w:snapToGrid w:val="0"/>
              </w:rPr>
            </w:pPr>
            <w:r>
              <w:rPr>
                <w:snapToGrid w:val="0"/>
              </w:rPr>
              <w:t>6.</w:t>
            </w:r>
          </w:p>
        </w:tc>
        <w:tc>
          <w:tcPr>
            <w:tcW w:w="4920" w:type="dxa"/>
          </w:tcPr>
          <w:p>
            <w:pPr>
              <w:pStyle w:val="yTableNAm"/>
              <w:tabs>
                <w:tab w:val="right" w:leader="dot" w:pos="4821"/>
              </w:tabs>
            </w:pPr>
            <w:r>
              <w:t xml:space="preserve">Of an extension of a mortgage or charge — for each interest </w:t>
            </w:r>
            <w:r>
              <w:tab/>
            </w:r>
          </w:p>
        </w:tc>
        <w:tc>
          <w:tcPr>
            <w:tcW w:w="1560" w:type="dxa"/>
          </w:tcPr>
          <w:p>
            <w:pPr>
              <w:pStyle w:val="yTableNAm"/>
              <w:rPr>
                <w:snapToGrid w:val="0"/>
              </w:rPr>
            </w:pPr>
            <w:r>
              <w:rPr>
                <w:snapToGrid w:val="0"/>
              </w:rPr>
              <w:br/>
            </w:r>
            <w:r>
              <w:t>$168.70</w:t>
            </w:r>
          </w:p>
        </w:tc>
      </w:tr>
      <w:tr>
        <w:trPr>
          <w:cantSplit/>
        </w:trPr>
        <w:tc>
          <w:tcPr>
            <w:tcW w:w="624" w:type="dxa"/>
          </w:tcPr>
          <w:p>
            <w:pPr>
              <w:pStyle w:val="yTableNAm"/>
              <w:rPr>
                <w:snapToGrid w:val="0"/>
              </w:rPr>
            </w:pPr>
            <w:r>
              <w:rPr>
                <w:snapToGrid w:val="0"/>
              </w:rPr>
              <w:t>7.</w:t>
            </w:r>
          </w:p>
        </w:tc>
        <w:tc>
          <w:tcPr>
            <w:tcW w:w="4920" w:type="dxa"/>
          </w:tcPr>
          <w:p>
            <w:pPr>
              <w:pStyle w:val="yTableNAm"/>
              <w:tabs>
                <w:tab w:val="right" w:leader="dot" w:pos="4821"/>
              </w:tabs>
            </w:pPr>
            <w:r>
              <w:t>Of a Crown lease or of a freehold lease or sub</w:t>
            </w:r>
            <w:r>
              <w:noBreakHyphen/>
              <w:t xml:space="preserve">lease or extension of a freehold lease </w:t>
            </w:r>
            <w:r>
              <w:tab/>
            </w:r>
          </w:p>
        </w:tc>
        <w:tc>
          <w:tcPr>
            <w:tcW w:w="1560" w:type="dxa"/>
          </w:tcPr>
          <w:p>
            <w:pPr>
              <w:pStyle w:val="yTableNAm"/>
              <w:rPr>
                <w:snapToGrid w:val="0"/>
              </w:rPr>
            </w:pPr>
            <w:r>
              <w:rPr>
                <w:snapToGrid w:val="0"/>
              </w:rPr>
              <w:br/>
            </w:r>
            <w:r>
              <w:t>$168.70</w:t>
            </w:r>
          </w:p>
        </w:tc>
      </w:tr>
      <w:tr>
        <w:trPr>
          <w:cantSplit/>
        </w:trPr>
        <w:tc>
          <w:tcPr>
            <w:tcW w:w="624" w:type="dxa"/>
          </w:tcPr>
          <w:p>
            <w:pPr>
              <w:pStyle w:val="yTableNAm"/>
              <w:rPr>
                <w:snapToGrid w:val="0"/>
              </w:rPr>
            </w:pPr>
            <w:r>
              <w:rPr>
                <w:snapToGrid w:val="0"/>
              </w:rPr>
              <w:t>8.</w:t>
            </w:r>
          </w:p>
        </w:tc>
        <w:tc>
          <w:tcPr>
            <w:tcW w:w="4920" w:type="dxa"/>
          </w:tcPr>
          <w:p>
            <w:pPr>
              <w:pStyle w:val="yTableNAm"/>
              <w:tabs>
                <w:tab w:val="right" w:leader="dot" w:pos="4821"/>
              </w:tabs>
            </w:pPr>
            <w:r>
              <w:t xml:space="preserve">Of a memorial or notification under any State or Commonwealth Act (unless exempted from payment under that Act) </w:t>
            </w:r>
            <w:r>
              <w:tab/>
            </w:r>
          </w:p>
        </w:tc>
        <w:tc>
          <w:tcPr>
            <w:tcW w:w="1560" w:type="dxa"/>
          </w:tcPr>
          <w:p>
            <w:pPr>
              <w:pStyle w:val="yTableNAm"/>
              <w:rPr>
                <w:snapToGrid w:val="0"/>
              </w:rPr>
            </w:pPr>
            <w:r>
              <w:rPr>
                <w:snapToGrid w:val="0"/>
              </w:rPr>
              <w:br/>
            </w:r>
            <w:r>
              <w:rPr>
                <w:snapToGrid w:val="0"/>
              </w:rPr>
              <w:br/>
            </w:r>
            <w:r>
              <w:t>$168.70</w:t>
            </w:r>
          </w:p>
        </w:tc>
      </w:tr>
      <w:tr>
        <w:trPr>
          <w:cantSplit/>
        </w:trPr>
        <w:tc>
          <w:tcPr>
            <w:tcW w:w="624" w:type="dxa"/>
          </w:tcPr>
          <w:p>
            <w:pPr>
              <w:pStyle w:val="yTableNAm"/>
              <w:rPr>
                <w:snapToGrid w:val="0"/>
              </w:rPr>
            </w:pPr>
            <w:r>
              <w:rPr>
                <w:snapToGrid w:val="0"/>
              </w:rPr>
              <w:t>9.</w:t>
            </w:r>
          </w:p>
        </w:tc>
        <w:tc>
          <w:tcPr>
            <w:tcW w:w="4920" w:type="dxa"/>
          </w:tcPr>
          <w:p>
            <w:pPr>
              <w:pStyle w:val="yTableNAm"/>
              <w:tabs>
                <w:tab w:val="right" w:leader="dot" w:pos="4821"/>
              </w:tabs>
            </w:pPr>
            <w:r>
              <w:t xml:space="preserve">Of an order of the Supreme Court, the District Court or the </w:t>
            </w:r>
            <w:smartTag w:uri="urn:schemas-microsoft-com:office:smarttags" w:element="Street">
              <w:r>
                <w:t>Magistrates Court</w:t>
              </w:r>
            </w:smartTag>
            <w:r>
              <w:t xml:space="preserve"> </w:t>
            </w:r>
            <w:r>
              <w:tab/>
            </w:r>
          </w:p>
        </w:tc>
        <w:tc>
          <w:tcPr>
            <w:tcW w:w="1560" w:type="dxa"/>
          </w:tcPr>
          <w:p>
            <w:pPr>
              <w:pStyle w:val="yTableNAm"/>
              <w:rPr>
                <w:snapToGrid w:val="0"/>
              </w:rPr>
            </w:pPr>
            <w:r>
              <w:rPr>
                <w:snapToGrid w:val="0"/>
              </w:rPr>
              <w:br/>
            </w:r>
            <w:r>
              <w:t>$168.70</w:t>
            </w:r>
          </w:p>
        </w:tc>
      </w:tr>
      <w:tr>
        <w:trPr>
          <w:cantSplit/>
        </w:trPr>
        <w:tc>
          <w:tcPr>
            <w:tcW w:w="624" w:type="dxa"/>
          </w:tcPr>
          <w:p>
            <w:pPr>
              <w:pStyle w:val="yTableNAm"/>
              <w:rPr>
                <w:snapToGrid w:val="0"/>
              </w:rPr>
            </w:pPr>
            <w:r>
              <w:rPr>
                <w:snapToGrid w:val="0"/>
              </w:rPr>
              <w:t>10.</w:t>
            </w:r>
          </w:p>
        </w:tc>
        <w:tc>
          <w:tcPr>
            <w:tcW w:w="4920" w:type="dxa"/>
          </w:tcPr>
          <w:p>
            <w:pPr>
              <w:pStyle w:val="yTableNAm"/>
              <w:tabs>
                <w:tab w:val="right" w:leader="dot" w:pos="4821"/>
              </w:tabs>
            </w:pPr>
            <w:r>
              <w:t xml:space="preserve">Of revocation of a power of attorney </w:t>
            </w:r>
            <w:r>
              <w:tab/>
            </w:r>
          </w:p>
        </w:tc>
        <w:tc>
          <w:tcPr>
            <w:tcW w:w="1560" w:type="dxa"/>
          </w:tcPr>
          <w:p>
            <w:pPr>
              <w:pStyle w:val="yTableNAm"/>
              <w:rPr>
                <w:snapToGrid w:val="0"/>
              </w:rPr>
            </w:pPr>
            <w:r>
              <w:t>$168.70</w:t>
            </w:r>
          </w:p>
        </w:tc>
      </w:tr>
      <w:tr>
        <w:trPr>
          <w:cantSplit/>
        </w:trPr>
        <w:tc>
          <w:tcPr>
            <w:tcW w:w="624" w:type="dxa"/>
          </w:tcPr>
          <w:p>
            <w:pPr>
              <w:pStyle w:val="yTableNAm"/>
              <w:rPr>
                <w:snapToGrid w:val="0"/>
              </w:rPr>
            </w:pPr>
            <w:r>
              <w:rPr>
                <w:snapToGrid w:val="0"/>
              </w:rPr>
              <w:t>11.</w:t>
            </w:r>
          </w:p>
        </w:tc>
        <w:tc>
          <w:tcPr>
            <w:tcW w:w="4920" w:type="dxa"/>
          </w:tcPr>
          <w:p>
            <w:pPr>
              <w:pStyle w:val="yTableNAm"/>
              <w:tabs>
                <w:tab w:val="right" w:leader="dot" w:pos="4821"/>
              </w:tabs>
            </w:pPr>
            <w:r>
              <w:t xml:space="preserve">Of an instrument not specifically provided for in this Division </w:t>
            </w:r>
            <w:r>
              <w:tab/>
            </w:r>
          </w:p>
        </w:tc>
        <w:tc>
          <w:tcPr>
            <w:tcW w:w="1560" w:type="dxa"/>
          </w:tcPr>
          <w:p>
            <w:pPr>
              <w:pStyle w:val="yTableNAm"/>
              <w:rPr>
                <w:snapToGrid w:val="0"/>
              </w:rPr>
            </w:pPr>
            <w:r>
              <w:rPr>
                <w:snapToGrid w:val="0"/>
              </w:rPr>
              <w:br/>
            </w:r>
            <w:r>
              <w:t>$168.70</w:t>
            </w:r>
          </w:p>
        </w:tc>
      </w:tr>
    </w:tbl>
    <w:p>
      <w:pPr>
        <w:pStyle w:val="yFootnotesection"/>
      </w:pPr>
      <w:r>
        <w:tab/>
        <w:t>[Division 1 inserted in Gazette 9 Jan 2009 p. 30-1; amended in Gazette 19 Jun 2009 p. 2236</w:t>
      </w:r>
      <w:r>
        <w:noBreakHyphen/>
        <w:t>7 and 2238</w:t>
      </w:r>
      <w:r>
        <w:noBreakHyphen/>
        <w:t>9; 18 Jun 2010 p. 2679-80; 14 Jun 2011 p. 2133</w:t>
      </w:r>
      <w:r>
        <w:noBreakHyphen/>
        <w:t>4; 19 Jun 2015 p. 2137; 24 Jun 2016 p. 2322; 23 Jun 2017 p. 3183.]</w:t>
      </w:r>
    </w:p>
    <w:p>
      <w:pPr>
        <w:pStyle w:val="yHeading3"/>
        <w:pageBreakBefore/>
        <w:spacing w:before="0"/>
      </w:pPr>
      <w:bookmarkStart w:id="51" w:name="_Toc501370305"/>
      <w:bookmarkStart w:id="52" w:name="_Toc504384245"/>
      <w:r>
        <w:rPr>
          <w:rStyle w:val="CharSDivNo"/>
        </w:rPr>
        <w:t>Division 2</w:t>
      </w:r>
      <w:r>
        <w:t> — </w:t>
      </w:r>
      <w:r>
        <w:rPr>
          <w:rStyle w:val="CharSDivText"/>
        </w:rPr>
        <w:t>Lodgments</w:t>
      </w:r>
      <w:bookmarkEnd w:id="51"/>
      <w:bookmarkEnd w:id="52"/>
    </w:p>
    <w:p>
      <w:pPr>
        <w:pStyle w:val="yFootnoteheading"/>
        <w:spacing w:after="120"/>
      </w:pPr>
      <w:r>
        <w:tab/>
        <w:t>[Heading inserted in Gazette 9 Jan 2009 p. 31.]</w:t>
      </w:r>
    </w:p>
    <w:tbl>
      <w:tblPr>
        <w:tblW w:w="7080" w:type="dxa"/>
        <w:tblInd w:w="108" w:type="dxa"/>
        <w:tblLayout w:type="fixed"/>
        <w:tblLook w:val="0000" w:firstRow="0" w:lastRow="0" w:firstColumn="0" w:lastColumn="0" w:noHBand="0" w:noVBand="0"/>
      </w:tblPr>
      <w:tblGrid>
        <w:gridCol w:w="623"/>
        <w:gridCol w:w="4902"/>
        <w:gridCol w:w="1555"/>
      </w:tblGrid>
      <w:tr>
        <w:trPr>
          <w:cantSplit/>
        </w:trPr>
        <w:tc>
          <w:tcPr>
            <w:tcW w:w="624" w:type="dxa"/>
          </w:tcPr>
          <w:p>
            <w:pPr>
              <w:pStyle w:val="yTableNAm"/>
              <w:rPr>
                <w:snapToGrid w:val="0"/>
              </w:rPr>
            </w:pPr>
            <w:r>
              <w:rPr>
                <w:snapToGrid w:val="0"/>
              </w:rPr>
              <w:t>1.</w:t>
            </w:r>
          </w:p>
        </w:tc>
        <w:tc>
          <w:tcPr>
            <w:tcW w:w="4920" w:type="dxa"/>
          </w:tcPr>
          <w:p>
            <w:pPr>
              <w:pStyle w:val="yTableNAm"/>
              <w:tabs>
                <w:tab w:val="clear" w:pos="567"/>
                <w:tab w:val="right" w:leader="dot" w:pos="4821"/>
              </w:tabs>
            </w:pPr>
            <w:r>
              <w:t xml:space="preserve">Of a caveat, a power of attorney or a declaration of trust </w:t>
            </w:r>
            <w:r>
              <w:tab/>
            </w:r>
          </w:p>
        </w:tc>
        <w:tc>
          <w:tcPr>
            <w:tcW w:w="1560" w:type="dxa"/>
          </w:tcPr>
          <w:p>
            <w:pPr>
              <w:pStyle w:val="yTableNAm"/>
              <w:rPr>
                <w:snapToGrid w:val="0"/>
              </w:rPr>
            </w:pPr>
            <w:r>
              <w:rPr>
                <w:snapToGrid w:val="0"/>
              </w:rPr>
              <w:br/>
            </w:r>
            <w:r>
              <w:t>$168.70</w:t>
            </w:r>
          </w:p>
        </w:tc>
      </w:tr>
      <w:tr>
        <w:trPr>
          <w:cantSplit/>
        </w:trPr>
        <w:tc>
          <w:tcPr>
            <w:tcW w:w="624" w:type="dxa"/>
          </w:tcPr>
          <w:p>
            <w:pPr>
              <w:pStyle w:val="yTableNAm"/>
              <w:rPr>
                <w:snapToGrid w:val="0"/>
              </w:rPr>
            </w:pPr>
            <w:r>
              <w:rPr>
                <w:snapToGrid w:val="0"/>
              </w:rPr>
              <w:t>2.</w:t>
            </w:r>
          </w:p>
        </w:tc>
        <w:tc>
          <w:tcPr>
            <w:tcW w:w="4920" w:type="dxa"/>
          </w:tcPr>
          <w:p>
            <w:pPr>
              <w:pStyle w:val="yTableNAm"/>
            </w:pPr>
            <w:r>
              <w:t>Of a deposited plan of Crown land that is not a subdivision — </w:t>
            </w:r>
          </w:p>
        </w:tc>
        <w:tc>
          <w:tcPr>
            <w:tcW w:w="1560" w:type="dxa"/>
          </w:tcPr>
          <w:p>
            <w:pPr>
              <w:pStyle w:val="yTableNAm"/>
              <w:rPr>
                <w:snapToGrid w:val="0"/>
              </w:rPr>
            </w:pP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(a)</w:t>
            </w:r>
            <w:r>
              <w:tab/>
              <w:t xml:space="preserve">general fee </w:t>
            </w:r>
            <w:r>
              <w:tab/>
            </w:r>
          </w:p>
        </w:tc>
        <w:tc>
          <w:tcPr>
            <w:tcW w:w="1560" w:type="dxa"/>
          </w:tcPr>
          <w:p>
            <w:pPr>
              <w:pStyle w:val="yTableNAm"/>
              <w:rPr>
                <w:snapToGrid w:val="0"/>
              </w:rPr>
            </w:pPr>
            <w:r>
              <w:t>$273.00</w:t>
            </w: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(b)</w:t>
            </w:r>
            <w:r>
              <w:tab/>
              <w:t xml:space="preserve">for each lot </w:t>
            </w:r>
            <w:r>
              <w:tab/>
            </w:r>
          </w:p>
        </w:tc>
        <w:tc>
          <w:tcPr>
            <w:tcW w:w="1560" w:type="dxa"/>
          </w:tcPr>
          <w:p>
            <w:pPr>
              <w:pStyle w:val="yTableNAm"/>
              <w:rPr>
                <w:snapToGrid w:val="0"/>
              </w:rPr>
            </w:pPr>
            <w:r>
              <w:t>$72.00</w:t>
            </w: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(c)</w:t>
            </w:r>
            <w:r>
              <w:tab/>
              <w:t xml:space="preserve">for each sheet in addition to the first sheet </w:t>
            </w:r>
            <w:r>
              <w:tab/>
            </w:r>
          </w:p>
        </w:tc>
        <w:tc>
          <w:tcPr>
            <w:tcW w:w="1560" w:type="dxa"/>
            <w:vAlign w:val="bottom"/>
          </w:tcPr>
          <w:p>
            <w:pPr>
              <w:pStyle w:val="yTableNAm"/>
              <w:rPr>
                <w:snapToGrid w:val="0"/>
              </w:rPr>
            </w:pPr>
            <w:r>
              <w:t>$273.00</w:t>
            </w:r>
          </w:p>
        </w:tc>
      </w:tr>
      <w:tr>
        <w:trPr>
          <w:cantSplit/>
        </w:trPr>
        <w:tc>
          <w:tcPr>
            <w:tcW w:w="624" w:type="dxa"/>
          </w:tcPr>
          <w:p>
            <w:pPr>
              <w:pStyle w:val="yTableNAm"/>
              <w:rPr>
                <w:snapToGrid w:val="0"/>
              </w:rPr>
            </w:pPr>
            <w:r>
              <w:rPr>
                <w:snapToGrid w:val="0"/>
              </w:rPr>
              <w:t>3.</w:t>
            </w:r>
          </w:p>
        </w:tc>
        <w:tc>
          <w:tcPr>
            <w:tcW w:w="4920" w:type="dxa"/>
          </w:tcPr>
          <w:p>
            <w:pPr>
              <w:pStyle w:val="yTableNAm"/>
            </w:pPr>
            <w:r>
              <w:t>Of any other deposited plan — </w:t>
            </w:r>
          </w:p>
        </w:tc>
        <w:tc>
          <w:tcPr>
            <w:tcW w:w="1560" w:type="dxa"/>
          </w:tcPr>
          <w:p>
            <w:pPr>
              <w:pStyle w:val="yTableNAm"/>
              <w:rPr>
                <w:snapToGrid w:val="0"/>
              </w:rPr>
            </w:pP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(a)</w:t>
            </w:r>
            <w:r>
              <w:tab/>
              <w:t xml:space="preserve">general fee </w:t>
            </w:r>
            <w:r>
              <w:tab/>
            </w:r>
          </w:p>
        </w:tc>
        <w:tc>
          <w:tcPr>
            <w:tcW w:w="1560" w:type="dxa"/>
          </w:tcPr>
          <w:p>
            <w:pPr>
              <w:pStyle w:val="yTableNAm"/>
              <w:rPr>
                <w:snapToGrid w:val="0"/>
              </w:rPr>
            </w:pPr>
            <w:r>
              <w:t>$273.00</w:t>
            </w: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(b)</w:t>
            </w:r>
            <w:r>
              <w:tab/>
              <w:t xml:space="preserve">for each lot (including any lot shown on an inset on the plan) other than a lot vesting in the Crown under the </w:t>
            </w:r>
            <w:r>
              <w:rPr>
                <w:i/>
                <w:iCs/>
              </w:rPr>
              <w:t>Planning and Development Act 2005</w:t>
            </w:r>
            <w:r>
              <w:t xml:space="preserve"> section 152 </w:t>
            </w:r>
            <w:r>
              <w:tab/>
            </w:r>
          </w:p>
        </w:tc>
        <w:tc>
          <w:tcPr>
            <w:tcW w:w="1560" w:type="dxa"/>
          </w:tcPr>
          <w:p>
            <w:pPr>
              <w:pStyle w:val="yTableNAm"/>
              <w:rPr>
                <w:snapToGrid w:val="0"/>
              </w:rPr>
            </w:pPr>
            <w:r>
              <w:rPr>
                <w:snapToGrid w:val="0"/>
              </w:rPr>
              <w:br/>
            </w:r>
            <w:r>
              <w:rPr>
                <w:snapToGrid w:val="0"/>
              </w:rPr>
              <w:br/>
            </w:r>
            <w:r>
              <w:rPr>
                <w:snapToGrid w:val="0"/>
              </w:rPr>
              <w:br/>
            </w:r>
            <w:r>
              <w:t>$72.00</w:t>
            </w:r>
          </w:p>
        </w:tc>
      </w:tr>
      <w:tr>
        <w:trPr>
          <w:cantSplit/>
        </w:trPr>
        <w:tc>
          <w:tcPr>
            <w:tcW w:w="624" w:type="dxa"/>
          </w:tcPr>
          <w:p>
            <w:pPr>
              <w:pStyle w:val="yTableNAm"/>
              <w:rPr>
                <w:snapToGrid w:val="0"/>
              </w:rPr>
            </w:pPr>
            <w:r>
              <w:rPr>
                <w:snapToGrid w:val="0"/>
              </w:rPr>
              <w:t>4.</w:t>
            </w:r>
          </w:p>
        </w:tc>
        <w:tc>
          <w:tcPr>
            <w:tcW w:w="4920" w:type="dxa"/>
          </w:tcPr>
          <w:p>
            <w:pPr>
              <w:pStyle w:val="yTableNAm"/>
              <w:tabs>
                <w:tab w:val="clear" w:pos="567"/>
                <w:tab w:val="right" w:leader="dot" w:pos="4821"/>
              </w:tabs>
            </w:pPr>
            <w:r>
              <w:t xml:space="preserve">Of a replacement plan </w:t>
            </w:r>
            <w:r>
              <w:tab/>
            </w:r>
          </w:p>
        </w:tc>
        <w:tc>
          <w:tcPr>
            <w:tcW w:w="1560" w:type="dxa"/>
          </w:tcPr>
          <w:p>
            <w:pPr>
              <w:pStyle w:val="yTableNAm"/>
              <w:rPr>
                <w:snapToGrid w:val="0"/>
              </w:rPr>
            </w:pPr>
            <w:r>
              <w:t>$273.00</w:t>
            </w:r>
          </w:p>
        </w:tc>
      </w:tr>
      <w:tr>
        <w:trPr>
          <w:cantSplit/>
        </w:trPr>
        <w:tc>
          <w:tcPr>
            <w:tcW w:w="624" w:type="dxa"/>
          </w:tcPr>
          <w:p>
            <w:pPr>
              <w:pStyle w:val="yTableNAm"/>
              <w:rPr>
                <w:snapToGrid w:val="0"/>
              </w:rPr>
            </w:pPr>
            <w:r>
              <w:rPr>
                <w:snapToGrid w:val="0"/>
              </w:rPr>
              <w:t>5.</w:t>
            </w:r>
          </w:p>
        </w:tc>
        <w:tc>
          <w:tcPr>
            <w:tcW w:w="4920" w:type="dxa"/>
          </w:tcPr>
          <w:p>
            <w:pPr>
              <w:pStyle w:val="yTableNAm"/>
            </w:pPr>
            <w:r>
              <w:t>Of a duplicate certificate of title or lease for the registration or recording of a dealing lodged by a third party — </w:t>
            </w:r>
          </w:p>
        </w:tc>
        <w:tc>
          <w:tcPr>
            <w:tcW w:w="1560" w:type="dxa"/>
          </w:tcPr>
          <w:p>
            <w:pPr>
              <w:pStyle w:val="yTableNAm"/>
              <w:rPr>
                <w:snapToGrid w:val="0"/>
              </w:rPr>
            </w:pP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(a)</w:t>
            </w:r>
            <w:r>
              <w:tab/>
              <w:t xml:space="preserve">for the first certificate of title or lease </w:t>
            </w:r>
            <w:r>
              <w:tab/>
            </w:r>
          </w:p>
        </w:tc>
        <w:tc>
          <w:tcPr>
            <w:tcW w:w="1560" w:type="dxa"/>
          </w:tcPr>
          <w:p>
            <w:pPr>
              <w:pStyle w:val="yTableNAm"/>
              <w:rPr>
                <w:snapToGrid w:val="0"/>
              </w:rPr>
            </w:pPr>
            <w:r>
              <w:t>$84.35</w:t>
            </w: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(b)</w:t>
            </w:r>
            <w:r>
              <w:tab/>
              <w:t>for each subsequent certificate of title or lease </w:t>
            </w:r>
            <w:r>
              <w:tab/>
            </w:r>
          </w:p>
        </w:tc>
        <w:tc>
          <w:tcPr>
            <w:tcW w:w="1560" w:type="dxa"/>
          </w:tcPr>
          <w:p>
            <w:pPr>
              <w:pStyle w:val="yTableNAm"/>
              <w:rPr>
                <w:snapToGrid w:val="0"/>
              </w:rPr>
            </w:pPr>
            <w:r>
              <w:rPr>
                <w:snapToGrid w:val="0"/>
              </w:rPr>
              <w:br/>
            </w:r>
            <w:r>
              <w:t>$6.10</w:t>
            </w:r>
          </w:p>
        </w:tc>
      </w:tr>
      <w:tr>
        <w:trPr>
          <w:cantSplit/>
        </w:trPr>
        <w:tc>
          <w:tcPr>
            <w:tcW w:w="624" w:type="dxa"/>
          </w:tcPr>
          <w:p>
            <w:pPr>
              <w:pStyle w:val="yTableNAm"/>
              <w:rPr>
                <w:snapToGrid w:val="0"/>
              </w:rPr>
            </w:pPr>
            <w:r>
              <w:rPr>
                <w:snapToGrid w:val="0"/>
              </w:rPr>
              <w:t>6.</w:t>
            </w:r>
          </w:p>
        </w:tc>
        <w:tc>
          <w:tcPr>
            <w:tcW w:w="4920" w:type="dxa"/>
          </w:tcPr>
          <w:p>
            <w:pPr>
              <w:pStyle w:val="yTableNAm"/>
              <w:tabs>
                <w:tab w:val="clear" w:pos="567"/>
                <w:tab w:val="right" w:leader="dot" w:pos="4821"/>
              </w:tabs>
            </w:pPr>
            <w:r>
              <w:t xml:space="preserve">Of a memorandum within the meaning of section 54(1) of the Act — section 54(2) of the Act </w:t>
            </w:r>
            <w:r>
              <w:tab/>
            </w:r>
          </w:p>
        </w:tc>
        <w:tc>
          <w:tcPr>
            <w:tcW w:w="1560" w:type="dxa"/>
          </w:tcPr>
          <w:p>
            <w:pPr>
              <w:pStyle w:val="yTableNAm"/>
              <w:rPr>
                <w:snapToGrid w:val="0"/>
              </w:rPr>
            </w:pPr>
            <w:r>
              <w:rPr>
                <w:snapToGrid w:val="0"/>
              </w:rPr>
              <w:br/>
            </w:r>
            <w:r>
              <w:t>$168.70</w:t>
            </w:r>
          </w:p>
        </w:tc>
      </w:tr>
      <w:tr>
        <w:trPr>
          <w:cantSplit/>
        </w:trPr>
        <w:tc>
          <w:tcPr>
            <w:tcW w:w="624" w:type="dxa"/>
          </w:tcPr>
          <w:p>
            <w:pPr>
              <w:pStyle w:val="yTableNAm"/>
              <w:rPr>
                <w:snapToGrid w:val="0"/>
              </w:rPr>
            </w:pPr>
            <w:r>
              <w:rPr>
                <w:snapToGrid w:val="0"/>
              </w:rPr>
              <w:t>7.</w:t>
            </w:r>
          </w:p>
        </w:tc>
        <w:tc>
          <w:tcPr>
            <w:tcW w:w="4920" w:type="dxa"/>
          </w:tcPr>
          <w:p>
            <w:pPr>
              <w:pStyle w:val="yTableNAm"/>
              <w:tabs>
                <w:tab w:val="clear" w:pos="567"/>
                <w:tab w:val="right" w:leader="dot" w:pos="4821"/>
              </w:tabs>
            </w:pPr>
            <w:r>
              <w:t xml:space="preserve">Of a form for the notification of a factor affecting the use or enjoyment of land — section 70A(1) of the Act </w:t>
            </w:r>
            <w:r>
              <w:tab/>
            </w:r>
          </w:p>
        </w:tc>
        <w:tc>
          <w:tcPr>
            <w:tcW w:w="1560" w:type="dxa"/>
          </w:tcPr>
          <w:p>
            <w:pPr>
              <w:pStyle w:val="yTableNAm"/>
              <w:rPr>
                <w:snapToGrid w:val="0"/>
              </w:rPr>
            </w:pPr>
            <w:r>
              <w:rPr>
                <w:snapToGrid w:val="0"/>
              </w:rPr>
              <w:br/>
            </w:r>
            <w:r>
              <w:rPr>
                <w:snapToGrid w:val="0"/>
              </w:rPr>
              <w:br/>
            </w:r>
            <w:r>
              <w:t>$168.70</w:t>
            </w:r>
          </w:p>
        </w:tc>
      </w:tr>
      <w:tr>
        <w:trPr>
          <w:cantSplit/>
        </w:trPr>
        <w:tc>
          <w:tcPr>
            <w:tcW w:w="624" w:type="dxa"/>
          </w:tcPr>
          <w:p>
            <w:pPr>
              <w:pStyle w:val="yTableNAm"/>
              <w:rPr>
                <w:snapToGrid w:val="0"/>
              </w:rPr>
            </w:pPr>
            <w:r>
              <w:rPr>
                <w:snapToGrid w:val="0"/>
              </w:rPr>
              <w:t>8.</w:t>
            </w:r>
          </w:p>
        </w:tc>
        <w:tc>
          <w:tcPr>
            <w:tcW w:w="4920" w:type="dxa"/>
          </w:tcPr>
          <w:p>
            <w:pPr>
              <w:pStyle w:val="yTableNAm"/>
              <w:tabs>
                <w:tab w:val="clear" w:pos="567"/>
                <w:tab w:val="right" w:leader="dot" w:pos="4821"/>
              </w:tabs>
            </w:pPr>
            <w:r>
              <w:t>Of an instrument for a restrictive covenant created under section 129BA of the Act — section 129BA(2)(b) of the Act</w:t>
            </w:r>
            <w:r>
              <w:tab/>
            </w:r>
          </w:p>
        </w:tc>
        <w:tc>
          <w:tcPr>
            <w:tcW w:w="1560" w:type="dxa"/>
          </w:tcPr>
          <w:p>
            <w:pPr>
              <w:pStyle w:val="yTableNAm"/>
              <w:rPr>
                <w:snapToGrid w:val="0"/>
              </w:rPr>
            </w:pPr>
            <w:r>
              <w:rPr>
                <w:snapToGrid w:val="0"/>
              </w:rPr>
              <w:br/>
            </w:r>
            <w:r>
              <w:rPr>
                <w:snapToGrid w:val="0"/>
              </w:rPr>
              <w:br/>
            </w:r>
            <w:r>
              <w:t>$168.70</w:t>
            </w:r>
          </w:p>
        </w:tc>
      </w:tr>
      <w:tr>
        <w:trPr>
          <w:cantSplit/>
        </w:trPr>
        <w:tc>
          <w:tcPr>
            <w:tcW w:w="624" w:type="dxa"/>
          </w:tcPr>
          <w:p>
            <w:pPr>
              <w:pStyle w:val="yTableNAm"/>
              <w:rPr>
                <w:snapToGrid w:val="0"/>
              </w:rPr>
            </w:pPr>
            <w:r>
              <w:rPr>
                <w:snapToGrid w:val="0"/>
              </w:rPr>
              <w:t>9.</w:t>
            </w:r>
          </w:p>
        </w:tc>
        <w:tc>
          <w:tcPr>
            <w:tcW w:w="4920" w:type="dxa"/>
          </w:tcPr>
          <w:p>
            <w:pPr>
              <w:pStyle w:val="yTableNAm"/>
              <w:tabs>
                <w:tab w:val="clear" w:pos="567"/>
                <w:tab w:val="right" w:leader="dot" w:pos="4821"/>
              </w:tabs>
            </w:pPr>
            <w:r>
              <w:t xml:space="preserve">Of an instrument for an easement created under Part IVA of the Act — section 136C(4) of the Act </w:t>
            </w:r>
            <w:r>
              <w:tab/>
            </w:r>
          </w:p>
        </w:tc>
        <w:tc>
          <w:tcPr>
            <w:tcW w:w="1560" w:type="dxa"/>
          </w:tcPr>
          <w:p>
            <w:pPr>
              <w:pStyle w:val="yTableNAm"/>
              <w:rPr>
                <w:snapToGrid w:val="0"/>
              </w:rPr>
            </w:pPr>
            <w:r>
              <w:rPr>
                <w:snapToGrid w:val="0"/>
              </w:rPr>
              <w:br/>
            </w:r>
            <w:r>
              <w:t>$168.70</w:t>
            </w:r>
          </w:p>
        </w:tc>
      </w:tr>
      <w:tr>
        <w:trPr>
          <w:cantSplit/>
        </w:trPr>
        <w:tc>
          <w:tcPr>
            <w:tcW w:w="624" w:type="dxa"/>
          </w:tcPr>
          <w:p>
            <w:pPr>
              <w:pStyle w:val="yTableNAm"/>
              <w:rPr>
                <w:snapToGrid w:val="0"/>
              </w:rPr>
            </w:pPr>
            <w:r>
              <w:rPr>
                <w:snapToGrid w:val="0"/>
              </w:rPr>
              <w:t>10.</w:t>
            </w:r>
          </w:p>
        </w:tc>
        <w:tc>
          <w:tcPr>
            <w:tcW w:w="4920" w:type="dxa"/>
          </w:tcPr>
          <w:p>
            <w:pPr>
              <w:pStyle w:val="yTableNAm"/>
              <w:tabs>
                <w:tab w:val="clear" w:pos="567"/>
                <w:tab w:val="right" w:leader="dot" w:pos="4821"/>
              </w:tabs>
            </w:pPr>
            <w:r>
              <w:t xml:space="preserve">Of an instrument for a restrictive covenant created under Part IVA of the Act — section 136D(3) of the Act </w:t>
            </w:r>
            <w:r>
              <w:tab/>
            </w:r>
          </w:p>
        </w:tc>
        <w:tc>
          <w:tcPr>
            <w:tcW w:w="1560" w:type="dxa"/>
          </w:tcPr>
          <w:p>
            <w:pPr>
              <w:pStyle w:val="yTableNAm"/>
              <w:rPr>
                <w:snapToGrid w:val="0"/>
              </w:rPr>
            </w:pPr>
            <w:r>
              <w:rPr>
                <w:snapToGrid w:val="0"/>
              </w:rPr>
              <w:br/>
            </w:r>
            <w:r>
              <w:rPr>
                <w:snapToGrid w:val="0"/>
              </w:rPr>
              <w:br/>
            </w:r>
            <w:r>
              <w:t>$168.70</w:t>
            </w:r>
          </w:p>
        </w:tc>
      </w:tr>
    </w:tbl>
    <w:p>
      <w:pPr>
        <w:pStyle w:val="yFootnotesection"/>
      </w:pPr>
      <w:r>
        <w:tab/>
        <w:t>[Division 2 inserted in Gazette 9 Jan 2009 p. 31; amended in Gazette 19 Jun 2009 p. 2237</w:t>
      </w:r>
      <w:r>
        <w:noBreakHyphen/>
        <w:t>8 and 2239; 18 Jun 2010 p. 2680; 14 Jun 2011 p. 2134; 22 Jun 2012 p. 2783; 26 Jul 2013 p. 3348; 19 Jun 2015 p. 2137</w:t>
      </w:r>
      <w:r>
        <w:noBreakHyphen/>
        <w:t>8; 24 Jun 2016 p. 2323; 23 Jun 2017 p. 3183</w:t>
      </w:r>
      <w:r>
        <w:noBreakHyphen/>
        <w:t>4.]</w:t>
      </w:r>
    </w:p>
    <w:p>
      <w:pPr>
        <w:pStyle w:val="yHeading3"/>
      </w:pPr>
      <w:bookmarkStart w:id="53" w:name="_Toc501370306"/>
      <w:bookmarkStart w:id="54" w:name="_Toc504384246"/>
      <w:r>
        <w:rPr>
          <w:rStyle w:val="CharSDivNo"/>
        </w:rPr>
        <w:t>Division 3</w:t>
      </w:r>
      <w:r>
        <w:t> — </w:t>
      </w:r>
      <w:r>
        <w:rPr>
          <w:rStyle w:val="CharSDivText"/>
        </w:rPr>
        <w:t>Withdrawals</w:t>
      </w:r>
      <w:bookmarkEnd w:id="53"/>
      <w:bookmarkEnd w:id="54"/>
    </w:p>
    <w:p>
      <w:pPr>
        <w:pStyle w:val="yFootnoteheading"/>
        <w:spacing w:after="120"/>
      </w:pPr>
      <w:r>
        <w:tab/>
        <w:t>[Heading inserted in Gazette 9 Jan 2009 p. 31.]</w:t>
      </w:r>
    </w:p>
    <w:tbl>
      <w:tblPr>
        <w:tblW w:w="0" w:type="auto"/>
        <w:tblInd w:w="108" w:type="dxa"/>
        <w:tblLayout w:type="fixed"/>
        <w:tblLook w:val="0000" w:firstRow="0" w:lastRow="0" w:firstColumn="0" w:lastColumn="0" w:noHBand="0" w:noVBand="0"/>
      </w:tblPr>
      <w:tblGrid>
        <w:gridCol w:w="624"/>
        <w:gridCol w:w="4920"/>
        <w:gridCol w:w="1560"/>
      </w:tblGrid>
      <w:tr>
        <w:tc>
          <w:tcPr>
            <w:tcW w:w="624" w:type="dxa"/>
          </w:tcPr>
          <w:p>
            <w:pPr>
              <w:pStyle w:val="yTableNAm"/>
              <w:rPr>
                <w:snapToGrid w:val="0"/>
              </w:rPr>
            </w:pPr>
            <w:r>
              <w:rPr>
                <w:snapToGrid w:val="0"/>
              </w:rPr>
              <w:t>1.</w:t>
            </w:r>
          </w:p>
        </w:tc>
        <w:tc>
          <w:tcPr>
            <w:tcW w:w="4920" w:type="dxa"/>
          </w:tcPr>
          <w:p>
            <w:pPr>
              <w:pStyle w:val="yTableNAm"/>
              <w:tabs>
                <w:tab w:val="clear" w:pos="567"/>
                <w:tab w:val="right" w:leader="dot" w:pos="4821"/>
              </w:tabs>
            </w:pPr>
            <w:r>
              <w:t xml:space="preserve">Of a caveat, order of the Supreme Court, the District Court or the Magistrates Court, a memorial under the </w:t>
            </w:r>
            <w:r>
              <w:rPr>
                <w:i/>
              </w:rPr>
              <w:t>Taxation Administration Act 2003</w:t>
            </w:r>
            <w:r>
              <w:t xml:space="preserve"> Part 6 Division 2 or a memorial under the </w:t>
            </w:r>
            <w:r>
              <w:rPr>
                <w:i/>
              </w:rPr>
              <w:t>Land Tax Assessment Act </w:t>
            </w:r>
            <w:r>
              <w:rPr>
                <w:i/>
                <w:iCs/>
              </w:rPr>
              <w:t>1976</w:t>
            </w:r>
            <w:r>
              <w:t xml:space="preserve"> section 46 that was registered before that Act was repealed </w:t>
            </w:r>
            <w:r>
              <w:rPr>
                <w:vertAlign w:val="superscript"/>
              </w:rPr>
              <w:t>2</w:t>
            </w:r>
            <w:r>
              <w:t xml:space="preserve">, or any other Act or Commonwealth Act (unless exempted from payment under that Act) </w:t>
            </w:r>
            <w:r>
              <w:tab/>
            </w:r>
          </w:p>
        </w:tc>
        <w:tc>
          <w:tcPr>
            <w:tcW w:w="1560" w:type="dxa"/>
          </w:tcPr>
          <w:p>
            <w:pPr>
              <w:pStyle w:val="yTableNAm"/>
              <w:rPr>
                <w:snapToGrid w:val="0"/>
              </w:rPr>
            </w:pPr>
            <w:r>
              <w:rPr>
                <w:snapToGrid w:val="0"/>
              </w:rPr>
              <w:br/>
            </w:r>
            <w:r>
              <w:rPr>
                <w:snapToGrid w:val="0"/>
              </w:rPr>
              <w:br/>
            </w:r>
            <w:r>
              <w:rPr>
                <w:snapToGrid w:val="0"/>
              </w:rPr>
              <w:br/>
            </w:r>
            <w:r>
              <w:rPr>
                <w:snapToGrid w:val="0"/>
              </w:rPr>
              <w:br/>
            </w:r>
            <w:r>
              <w:rPr>
                <w:snapToGrid w:val="0"/>
              </w:rPr>
              <w:br/>
            </w:r>
            <w:r>
              <w:rPr>
                <w:snapToGrid w:val="0"/>
              </w:rPr>
              <w:br/>
            </w:r>
            <w:r>
              <w:rPr>
                <w:snapToGrid w:val="0"/>
              </w:rPr>
              <w:br/>
            </w:r>
            <w:r>
              <w:t>$168.70</w:t>
            </w:r>
          </w:p>
        </w:tc>
      </w:tr>
      <w:tr>
        <w:tc>
          <w:tcPr>
            <w:tcW w:w="624" w:type="dxa"/>
          </w:tcPr>
          <w:p>
            <w:pPr>
              <w:pStyle w:val="yTableNAm"/>
              <w:rPr>
                <w:snapToGrid w:val="0"/>
              </w:rPr>
            </w:pPr>
            <w:r>
              <w:rPr>
                <w:snapToGrid w:val="0"/>
              </w:rPr>
              <w:t>2A.</w:t>
            </w:r>
          </w:p>
        </w:tc>
        <w:tc>
          <w:tcPr>
            <w:tcW w:w="4920" w:type="dxa"/>
          </w:tcPr>
          <w:p>
            <w:pPr>
              <w:pStyle w:val="yTableNAm"/>
              <w:tabs>
                <w:tab w:val="clear" w:pos="567"/>
                <w:tab w:val="right" w:leader="dot" w:pos="4821"/>
              </w:tabs>
            </w:pPr>
            <w:r>
              <w:t xml:space="preserve">Of a memorial or notification under the </w:t>
            </w:r>
            <w:r>
              <w:rPr>
                <w:i/>
              </w:rPr>
              <w:t>Water Services Act 2012</w:t>
            </w:r>
            <w:r>
              <w:t xml:space="preserve"> </w:t>
            </w:r>
            <w:r>
              <w:tab/>
            </w:r>
          </w:p>
        </w:tc>
        <w:tc>
          <w:tcPr>
            <w:tcW w:w="1560" w:type="dxa"/>
          </w:tcPr>
          <w:p>
            <w:pPr>
              <w:pStyle w:val="yTableNAm"/>
              <w:rPr>
                <w:snapToGrid w:val="0"/>
              </w:rPr>
            </w:pPr>
            <w:r>
              <w:rPr>
                <w:snapToGrid w:val="0"/>
              </w:rPr>
              <w:br/>
            </w:r>
            <w:r>
              <w:t>$168.70</w:t>
            </w:r>
          </w:p>
        </w:tc>
      </w:tr>
      <w:tr>
        <w:tc>
          <w:tcPr>
            <w:tcW w:w="624" w:type="dxa"/>
          </w:tcPr>
          <w:p>
            <w:pPr>
              <w:pStyle w:val="yTableNAm"/>
              <w:rPr>
                <w:snapToGrid w:val="0"/>
              </w:rPr>
            </w:pPr>
            <w:r>
              <w:rPr>
                <w:snapToGrid w:val="0"/>
              </w:rPr>
              <w:t>2.</w:t>
            </w:r>
          </w:p>
        </w:tc>
        <w:tc>
          <w:tcPr>
            <w:tcW w:w="4920" w:type="dxa"/>
          </w:tcPr>
          <w:p>
            <w:pPr>
              <w:pStyle w:val="yTableNAm"/>
              <w:tabs>
                <w:tab w:val="clear" w:pos="567"/>
                <w:tab w:val="right" w:leader="dot" w:pos="4821"/>
              </w:tabs>
            </w:pPr>
            <w:r>
              <w:t xml:space="preserve">Of a document from registration or recording </w:t>
            </w:r>
            <w:r>
              <w:tab/>
            </w:r>
          </w:p>
        </w:tc>
        <w:tc>
          <w:tcPr>
            <w:tcW w:w="1560" w:type="dxa"/>
          </w:tcPr>
          <w:p>
            <w:pPr>
              <w:pStyle w:val="yTableNAm"/>
              <w:rPr>
                <w:snapToGrid w:val="0"/>
              </w:rPr>
            </w:pPr>
            <w:r>
              <w:t>$84.35</w:t>
            </w:r>
          </w:p>
        </w:tc>
      </w:tr>
    </w:tbl>
    <w:p>
      <w:pPr>
        <w:pStyle w:val="yFootnotesection"/>
      </w:pPr>
      <w:r>
        <w:tab/>
        <w:t>[Division 3 inserted in Gazette 9 Jan 2009 p. 31-2; amended in Gazette 19 Jun 2009 p. 2239; 18 Jun 2010 p. 2680; 14 Jun 2011 p. 2134; 14 Nov 2013 p. 5079; 19 Jun 2015 p. 2138; 24 Jun 2016 p. 2323; 23 Jun 2017 p. 3184.]</w:t>
      </w:r>
    </w:p>
    <w:p>
      <w:pPr>
        <w:pStyle w:val="yHeading3"/>
      </w:pPr>
      <w:bookmarkStart w:id="55" w:name="_Toc501370307"/>
      <w:bookmarkStart w:id="56" w:name="_Toc504384247"/>
      <w:r>
        <w:rPr>
          <w:rStyle w:val="CharSDivNo"/>
        </w:rPr>
        <w:t>Division 4</w:t>
      </w:r>
      <w:r>
        <w:t> — </w:t>
      </w:r>
      <w:r>
        <w:rPr>
          <w:rStyle w:val="CharSDivText"/>
        </w:rPr>
        <w:t>Applications</w:t>
      </w:r>
      <w:bookmarkEnd w:id="55"/>
      <w:bookmarkEnd w:id="56"/>
    </w:p>
    <w:p>
      <w:pPr>
        <w:pStyle w:val="yFootnoteheading"/>
        <w:spacing w:after="120"/>
      </w:pPr>
      <w:r>
        <w:tab/>
        <w:t>[Heading inserted in Gazette 9 Jan 2009 p. 32.]</w:t>
      </w:r>
    </w:p>
    <w:tbl>
      <w:tblPr>
        <w:tblW w:w="0" w:type="auto"/>
        <w:tblInd w:w="108" w:type="dxa"/>
        <w:tblLayout w:type="fixed"/>
        <w:tblLook w:val="0000" w:firstRow="0" w:lastRow="0" w:firstColumn="0" w:lastColumn="0" w:noHBand="0" w:noVBand="0"/>
      </w:tblPr>
      <w:tblGrid>
        <w:gridCol w:w="624"/>
        <w:gridCol w:w="4920"/>
        <w:gridCol w:w="1560"/>
      </w:tblGrid>
      <w:tr>
        <w:trPr>
          <w:cantSplit/>
        </w:trPr>
        <w:tc>
          <w:tcPr>
            <w:tcW w:w="624" w:type="dxa"/>
          </w:tcPr>
          <w:p>
            <w:pPr>
              <w:pStyle w:val="yTableNAm"/>
              <w:rPr>
                <w:snapToGrid w:val="0"/>
              </w:rPr>
            </w:pPr>
            <w:r>
              <w:rPr>
                <w:snapToGrid w:val="0"/>
              </w:rPr>
              <w:t>1.</w:t>
            </w:r>
          </w:p>
        </w:tc>
        <w:tc>
          <w:tcPr>
            <w:tcW w:w="4920" w:type="dxa"/>
          </w:tcPr>
          <w:p>
            <w:pPr>
              <w:pStyle w:val="yTableNAm"/>
            </w:pPr>
            <w:r>
              <w:t>For a new certificate of title in respect of undivided shares in land — </w:t>
            </w:r>
          </w:p>
        </w:tc>
        <w:tc>
          <w:tcPr>
            <w:tcW w:w="1560" w:type="dxa"/>
          </w:tcPr>
          <w:p>
            <w:pPr>
              <w:pStyle w:val="yTableNAm"/>
              <w:rPr>
                <w:snapToGrid w:val="0"/>
              </w:rPr>
            </w:pP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(a)</w:t>
            </w:r>
            <w:r>
              <w:tab/>
              <w:t xml:space="preserve">for one certificate </w:t>
            </w:r>
            <w:r>
              <w:tab/>
            </w:r>
          </w:p>
        </w:tc>
        <w:tc>
          <w:tcPr>
            <w:tcW w:w="1560" w:type="dxa"/>
          </w:tcPr>
          <w:p>
            <w:pPr>
              <w:pStyle w:val="yTableNAm"/>
              <w:rPr>
                <w:snapToGrid w:val="0"/>
              </w:rPr>
            </w:pPr>
            <w:r>
              <w:t>$168.70</w:t>
            </w: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(b)</w:t>
            </w:r>
            <w:r>
              <w:tab/>
              <w:t xml:space="preserve">for each additional certificate </w:t>
            </w:r>
            <w:r>
              <w:tab/>
            </w:r>
          </w:p>
        </w:tc>
        <w:tc>
          <w:tcPr>
            <w:tcW w:w="1560" w:type="dxa"/>
          </w:tcPr>
          <w:p>
            <w:pPr>
              <w:pStyle w:val="yTableNAm"/>
              <w:rPr>
                <w:snapToGrid w:val="0"/>
              </w:rPr>
            </w:pPr>
            <w:r>
              <w:t>$6.10</w:t>
            </w:r>
          </w:p>
        </w:tc>
      </w:tr>
      <w:tr>
        <w:trPr>
          <w:cantSplit/>
        </w:trPr>
        <w:tc>
          <w:tcPr>
            <w:tcW w:w="624" w:type="dxa"/>
          </w:tcPr>
          <w:p>
            <w:pPr>
              <w:pStyle w:val="yTableNAm"/>
              <w:keepNext/>
              <w:rPr>
                <w:snapToGrid w:val="0"/>
              </w:rPr>
            </w:pPr>
            <w:r>
              <w:rPr>
                <w:snapToGrid w:val="0"/>
              </w:rPr>
              <w:t>2.</w:t>
            </w:r>
          </w:p>
        </w:tc>
        <w:tc>
          <w:tcPr>
            <w:tcW w:w="4920" w:type="dxa"/>
          </w:tcPr>
          <w:p>
            <w:pPr>
              <w:pStyle w:val="yTableNAm"/>
              <w:keepNext/>
              <w:tabs>
                <w:tab w:val="clear" w:pos="567"/>
                <w:tab w:val="right" w:leader="dot" w:pos="4821"/>
              </w:tabs>
            </w:pPr>
            <w:r>
              <w:t xml:space="preserve">For a new certificate of title the subject of a deposited plan </w:t>
            </w:r>
            <w:r>
              <w:tab/>
            </w:r>
          </w:p>
        </w:tc>
        <w:tc>
          <w:tcPr>
            <w:tcW w:w="1560" w:type="dxa"/>
          </w:tcPr>
          <w:p>
            <w:pPr>
              <w:pStyle w:val="yTableNAm"/>
              <w:keepNext/>
              <w:rPr>
                <w:snapToGrid w:val="0"/>
              </w:rPr>
            </w:pPr>
            <w:r>
              <w:rPr>
                <w:snapToGrid w:val="0"/>
              </w:rPr>
              <w:br/>
            </w:r>
            <w:r>
              <w:t>$168.70</w:t>
            </w:r>
          </w:p>
        </w:tc>
      </w:tr>
      <w:tr>
        <w:trPr>
          <w:cantSplit/>
        </w:trPr>
        <w:tc>
          <w:tcPr>
            <w:tcW w:w="624" w:type="dxa"/>
          </w:tcPr>
          <w:p>
            <w:pPr>
              <w:pStyle w:val="yTableNAm"/>
              <w:rPr>
                <w:snapToGrid w:val="0"/>
              </w:rPr>
            </w:pPr>
          </w:p>
        </w:tc>
        <w:tc>
          <w:tcPr>
            <w:tcW w:w="4920" w:type="dxa"/>
          </w:tcPr>
          <w:p>
            <w:pPr>
              <w:pStyle w:val="yTableNAm"/>
              <w:tabs>
                <w:tab w:val="clear" w:pos="567"/>
                <w:tab w:val="right" w:leader="dot" w:pos="4821"/>
              </w:tabs>
            </w:pPr>
            <w:r>
              <w:t>plus, for each lot shown on the deposited plan, other than a lot that is proposed to be vested in the Crown under the</w:t>
            </w:r>
            <w:r>
              <w:rPr>
                <w:i/>
                <w:iCs/>
              </w:rPr>
              <w:t xml:space="preserve"> Planning and Development Act 2005</w:t>
            </w:r>
            <w:r>
              <w:t xml:space="preserve"> section 152 </w:t>
            </w:r>
            <w:r>
              <w:tab/>
            </w:r>
          </w:p>
        </w:tc>
        <w:tc>
          <w:tcPr>
            <w:tcW w:w="1560" w:type="dxa"/>
          </w:tcPr>
          <w:p>
            <w:pPr>
              <w:pStyle w:val="yTableNAm"/>
              <w:rPr>
                <w:snapToGrid w:val="0"/>
              </w:rPr>
            </w:pPr>
            <w:r>
              <w:rPr>
                <w:snapToGrid w:val="0"/>
              </w:rPr>
              <w:br/>
            </w:r>
            <w:r>
              <w:rPr>
                <w:snapToGrid w:val="0"/>
              </w:rPr>
              <w:br/>
            </w:r>
            <w:r>
              <w:rPr>
                <w:snapToGrid w:val="0"/>
              </w:rPr>
              <w:br/>
            </w:r>
            <w:r>
              <w:t>$6.10</w:t>
            </w:r>
          </w:p>
        </w:tc>
      </w:tr>
      <w:tr>
        <w:trPr>
          <w:cantSplit/>
        </w:trPr>
        <w:tc>
          <w:tcPr>
            <w:tcW w:w="624" w:type="dxa"/>
          </w:tcPr>
          <w:p>
            <w:pPr>
              <w:pStyle w:val="yTableNAm"/>
              <w:rPr>
                <w:snapToGrid w:val="0"/>
              </w:rPr>
            </w:pPr>
            <w:r>
              <w:rPr>
                <w:snapToGrid w:val="0"/>
              </w:rPr>
              <w:t>3.</w:t>
            </w:r>
          </w:p>
        </w:tc>
        <w:tc>
          <w:tcPr>
            <w:tcW w:w="4920" w:type="dxa"/>
          </w:tcPr>
          <w:p>
            <w:pPr>
              <w:pStyle w:val="yTableNAm"/>
              <w:tabs>
                <w:tab w:val="clear" w:pos="567"/>
                <w:tab w:val="right" w:leader="dot" w:pos="4821"/>
              </w:tabs>
            </w:pPr>
            <w:r>
              <w:t xml:space="preserve">For a new certificate of title in any other case </w:t>
            </w:r>
            <w:r>
              <w:tab/>
            </w:r>
          </w:p>
        </w:tc>
        <w:tc>
          <w:tcPr>
            <w:tcW w:w="1560" w:type="dxa"/>
          </w:tcPr>
          <w:p>
            <w:pPr>
              <w:pStyle w:val="yTableNAm"/>
              <w:rPr>
                <w:snapToGrid w:val="0"/>
              </w:rPr>
            </w:pPr>
            <w:r>
              <w:t>$168.70</w:t>
            </w:r>
          </w:p>
        </w:tc>
      </w:tr>
      <w:tr>
        <w:trPr>
          <w:cantSplit/>
        </w:trPr>
        <w:tc>
          <w:tcPr>
            <w:tcW w:w="624" w:type="dxa"/>
          </w:tcPr>
          <w:p>
            <w:pPr>
              <w:pStyle w:val="yTableNAm"/>
              <w:rPr>
                <w:snapToGrid w:val="0"/>
              </w:rPr>
            </w:pPr>
            <w:r>
              <w:rPr>
                <w:snapToGrid w:val="0"/>
              </w:rPr>
              <w:t>4.</w:t>
            </w:r>
          </w:p>
        </w:tc>
        <w:tc>
          <w:tcPr>
            <w:tcW w:w="4920" w:type="dxa"/>
          </w:tcPr>
          <w:p>
            <w:pPr>
              <w:pStyle w:val="yTableNAm"/>
              <w:tabs>
                <w:tab w:val="clear" w:pos="567"/>
                <w:tab w:val="right" w:leader="dot" w:pos="4821"/>
              </w:tabs>
            </w:pPr>
            <w:r>
              <w:t xml:space="preserve">To amend certificates of title of other owners affected by section 170 of the Act — for each certificate of title affected </w:t>
            </w:r>
            <w:r>
              <w:tab/>
            </w:r>
          </w:p>
        </w:tc>
        <w:tc>
          <w:tcPr>
            <w:tcW w:w="1560" w:type="dxa"/>
          </w:tcPr>
          <w:p>
            <w:pPr>
              <w:pStyle w:val="yTableNAm"/>
              <w:rPr>
                <w:snapToGrid w:val="0"/>
              </w:rPr>
            </w:pPr>
            <w:r>
              <w:rPr>
                <w:snapToGrid w:val="0"/>
              </w:rPr>
              <w:br/>
            </w:r>
            <w:r>
              <w:rPr>
                <w:snapToGrid w:val="0"/>
              </w:rPr>
              <w:br/>
            </w:r>
            <w:r>
              <w:t>$168.70</w:t>
            </w:r>
          </w:p>
        </w:tc>
      </w:tr>
      <w:tr>
        <w:trPr>
          <w:cantSplit/>
        </w:trPr>
        <w:tc>
          <w:tcPr>
            <w:tcW w:w="624" w:type="dxa"/>
          </w:tcPr>
          <w:p>
            <w:pPr>
              <w:pStyle w:val="yTableNAm"/>
              <w:rPr>
                <w:snapToGrid w:val="0"/>
              </w:rPr>
            </w:pPr>
            <w:r>
              <w:rPr>
                <w:snapToGrid w:val="0"/>
              </w:rPr>
              <w:t>5.</w:t>
            </w:r>
          </w:p>
        </w:tc>
        <w:tc>
          <w:tcPr>
            <w:tcW w:w="4920" w:type="dxa"/>
          </w:tcPr>
          <w:p>
            <w:pPr>
              <w:pStyle w:val="yTableNAm"/>
              <w:tabs>
                <w:tab w:val="clear" w:pos="567"/>
                <w:tab w:val="right" w:leader="dot" w:pos="4821"/>
              </w:tabs>
            </w:pPr>
            <w:r>
              <w:t xml:space="preserve">To serve a section 138A caveator with notice under section 138B of the Act </w:t>
            </w:r>
            <w:r>
              <w:tab/>
            </w:r>
          </w:p>
        </w:tc>
        <w:tc>
          <w:tcPr>
            <w:tcW w:w="1560" w:type="dxa"/>
            <w:vAlign w:val="bottom"/>
          </w:tcPr>
          <w:p>
            <w:pPr>
              <w:pStyle w:val="yTableNAm"/>
              <w:rPr>
                <w:snapToGrid w:val="0"/>
              </w:rPr>
            </w:pPr>
            <w:r>
              <w:br/>
              <w:t>$315.70</w:t>
            </w:r>
          </w:p>
        </w:tc>
      </w:tr>
      <w:tr>
        <w:trPr>
          <w:cantSplit/>
        </w:trPr>
        <w:tc>
          <w:tcPr>
            <w:tcW w:w="624" w:type="dxa"/>
          </w:tcPr>
          <w:p>
            <w:pPr>
              <w:pStyle w:val="yTableNAm"/>
              <w:rPr>
                <w:snapToGrid w:val="0"/>
              </w:rPr>
            </w:pPr>
            <w:r>
              <w:rPr>
                <w:snapToGrid w:val="0"/>
              </w:rPr>
              <w:t>6.</w:t>
            </w:r>
          </w:p>
        </w:tc>
        <w:tc>
          <w:tcPr>
            <w:tcW w:w="4920" w:type="dxa"/>
          </w:tcPr>
          <w:p>
            <w:pPr>
              <w:pStyle w:val="yTableNAm"/>
              <w:tabs>
                <w:tab w:val="clear" w:pos="567"/>
                <w:tab w:val="right" w:leader="dot" w:pos="4821"/>
              </w:tabs>
            </w:pPr>
            <w:r>
              <w:t xml:space="preserve">For each replacement edition of a duplicate certificate of title where a duplicate certificate of title was issued on the registration of the certificate of title </w:t>
            </w:r>
            <w:r>
              <w:tab/>
            </w:r>
          </w:p>
        </w:tc>
        <w:tc>
          <w:tcPr>
            <w:tcW w:w="1560" w:type="dxa"/>
          </w:tcPr>
          <w:p>
            <w:pPr>
              <w:pStyle w:val="yTableNAm"/>
              <w:rPr>
                <w:snapToGrid w:val="0"/>
              </w:rPr>
            </w:pPr>
            <w:r>
              <w:rPr>
                <w:snapToGrid w:val="0"/>
              </w:rPr>
              <w:br/>
            </w:r>
            <w:r>
              <w:rPr>
                <w:snapToGrid w:val="0"/>
              </w:rPr>
              <w:br/>
            </w:r>
            <w:r>
              <w:rPr>
                <w:snapToGrid w:val="0"/>
              </w:rPr>
              <w:br/>
            </w:r>
            <w:r>
              <w:t>$168.70</w:t>
            </w:r>
          </w:p>
        </w:tc>
      </w:tr>
      <w:tr>
        <w:trPr>
          <w:cantSplit/>
        </w:trPr>
        <w:tc>
          <w:tcPr>
            <w:tcW w:w="624" w:type="dxa"/>
          </w:tcPr>
          <w:p>
            <w:pPr>
              <w:pStyle w:val="yTableNAm"/>
              <w:rPr>
                <w:snapToGrid w:val="0"/>
              </w:rPr>
            </w:pPr>
            <w:r>
              <w:rPr>
                <w:snapToGrid w:val="0"/>
              </w:rPr>
              <w:t>7.</w:t>
            </w:r>
          </w:p>
        </w:tc>
        <w:tc>
          <w:tcPr>
            <w:tcW w:w="4920" w:type="dxa"/>
          </w:tcPr>
          <w:p>
            <w:pPr>
              <w:pStyle w:val="yTableNAm"/>
              <w:tabs>
                <w:tab w:val="clear" w:pos="567"/>
                <w:tab w:val="right" w:leader="dot" w:pos="4821"/>
              </w:tabs>
            </w:pPr>
            <w:r>
              <w:t xml:space="preserve">An application in respect of any matter not specifically provided for in this Division </w:t>
            </w:r>
            <w:r>
              <w:tab/>
            </w:r>
          </w:p>
        </w:tc>
        <w:tc>
          <w:tcPr>
            <w:tcW w:w="1560" w:type="dxa"/>
          </w:tcPr>
          <w:p>
            <w:pPr>
              <w:pStyle w:val="yTableNAm"/>
              <w:rPr>
                <w:snapToGrid w:val="0"/>
              </w:rPr>
            </w:pPr>
            <w:r>
              <w:rPr>
                <w:snapToGrid w:val="0"/>
              </w:rPr>
              <w:br/>
            </w:r>
            <w:r>
              <w:t>$168.70</w:t>
            </w:r>
          </w:p>
        </w:tc>
      </w:tr>
    </w:tbl>
    <w:p>
      <w:pPr>
        <w:pStyle w:val="yFootnotesection"/>
      </w:pPr>
      <w:r>
        <w:tab/>
        <w:t>[Division 4 inserted in Gazette 9 Jan 2009 p. 32; amended in Gazette 22 May 2009 p. 1705; 19 Jun 2009 p. 2239; 18 Jun 2010 p. 2680-1; 14 Jun 2011 p. 2134</w:t>
      </w:r>
      <w:r>
        <w:noBreakHyphen/>
        <w:t>5; 19 Jun 2015 p. 2138; 24 Jun 2016 p. 2322 and 2323; 23 Jun 2017 p. 3184.]</w:t>
      </w:r>
    </w:p>
    <w:p>
      <w:pPr>
        <w:pStyle w:val="yHeading3"/>
        <w:pageBreakBefore/>
        <w:spacing w:before="0"/>
      </w:pPr>
      <w:bookmarkStart w:id="57" w:name="_Toc501370308"/>
      <w:bookmarkStart w:id="58" w:name="_Toc504384248"/>
      <w:r>
        <w:rPr>
          <w:rStyle w:val="CharSDivNo"/>
        </w:rPr>
        <w:t>Division 5</w:t>
      </w:r>
      <w:r>
        <w:t> — </w:t>
      </w:r>
      <w:r>
        <w:rPr>
          <w:rStyle w:val="CharSDivText"/>
        </w:rPr>
        <w:t>Certificates</w:t>
      </w:r>
      <w:bookmarkEnd w:id="57"/>
      <w:bookmarkEnd w:id="58"/>
    </w:p>
    <w:p>
      <w:pPr>
        <w:pStyle w:val="yFootnoteheading"/>
        <w:spacing w:after="120"/>
      </w:pPr>
      <w:r>
        <w:tab/>
        <w:t>[Heading inserted in Gazette 9 Jan 2009 p. 32.]</w:t>
      </w:r>
    </w:p>
    <w:tbl>
      <w:tblPr>
        <w:tblW w:w="7080" w:type="dxa"/>
        <w:tblInd w:w="108" w:type="dxa"/>
        <w:tblLayout w:type="fixed"/>
        <w:tblLook w:val="0000" w:firstRow="0" w:lastRow="0" w:firstColumn="0" w:lastColumn="0" w:noHBand="0" w:noVBand="0"/>
      </w:tblPr>
      <w:tblGrid>
        <w:gridCol w:w="623"/>
        <w:gridCol w:w="4902"/>
        <w:gridCol w:w="1555"/>
      </w:tblGrid>
      <w:tr>
        <w:trPr>
          <w:cantSplit/>
        </w:trPr>
        <w:tc>
          <w:tcPr>
            <w:tcW w:w="624" w:type="dxa"/>
          </w:tcPr>
          <w:p>
            <w:pPr>
              <w:pStyle w:val="yTableNAm"/>
              <w:rPr>
                <w:snapToGrid w:val="0"/>
              </w:rPr>
            </w:pPr>
            <w:r>
              <w:rPr>
                <w:snapToGrid w:val="0"/>
              </w:rPr>
              <w:t>1.</w:t>
            </w:r>
          </w:p>
        </w:tc>
        <w:tc>
          <w:tcPr>
            <w:tcW w:w="4920" w:type="dxa"/>
          </w:tcPr>
          <w:p>
            <w:pPr>
              <w:pStyle w:val="yTableNAm"/>
              <w:tabs>
                <w:tab w:val="clear" w:pos="567"/>
                <w:tab w:val="right" w:leader="dot" w:pos="4821"/>
              </w:tabs>
            </w:pPr>
            <w:r>
              <w:t xml:space="preserve">For the issue of a certificate of title, either on request or where necessary in connection with an application or process (except where this service is included in another fee) </w:t>
            </w:r>
            <w:r>
              <w:tab/>
            </w:r>
          </w:p>
        </w:tc>
        <w:tc>
          <w:tcPr>
            <w:tcW w:w="1560" w:type="dxa"/>
          </w:tcPr>
          <w:p>
            <w:pPr>
              <w:pStyle w:val="yTableNAm"/>
              <w:rPr>
                <w:snapToGrid w:val="0"/>
              </w:rPr>
            </w:pPr>
            <w:r>
              <w:rPr>
                <w:snapToGrid w:val="0"/>
              </w:rPr>
              <w:br/>
            </w:r>
            <w:r>
              <w:rPr>
                <w:snapToGrid w:val="0"/>
              </w:rPr>
              <w:br/>
            </w:r>
            <w:r>
              <w:rPr>
                <w:snapToGrid w:val="0"/>
              </w:rPr>
              <w:br/>
            </w:r>
            <w:r>
              <w:t>$168.70</w:t>
            </w:r>
          </w:p>
        </w:tc>
      </w:tr>
      <w:tr>
        <w:trPr>
          <w:cantSplit/>
        </w:trPr>
        <w:tc>
          <w:tcPr>
            <w:tcW w:w="624" w:type="dxa"/>
          </w:tcPr>
          <w:p>
            <w:pPr>
              <w:pStyle w:val="yTableNAm"/>
              <w:rPr>
                <w:snapToGrid w:val="0"/>
              </w:rPr>
            </w:pPr>
            <w:r>
              <w:rPr>
                <w:snapToGrid w:val="0"/>
              </w:rPr>
              <w:t>2.</w:t>
            </w:r>
          </w:p>
        </w:tc>
        <w:tc>
          <w:tcPr>
            <w:tcW w:w="4920" w:type="dxa"/>
          </w:tcPr>
          <w:p>
            <w:pPr>
              <w:pStyle w:val="yTableNAm"/>
              <w:tabs>
                <w:tab w:val="clear" w:pos="567"/>
                <w:tab w:val="right" w:leader="dot" w:pos="4821"/>
              </w:tabs>
            </w:pPr>
            <w:r>
              <w:t xml:space="preserve">For a certificate of ownership issued under the </w:t>
            </w:r>
            <w:r>
              <w:rPr>
                <w:i/>
              </w:rPr>
              <w:t>Local Government Act 1995</w:t>
            </w:r>
            <w:r>
              <w:t xml:space="preserve"> section 9.41 </w:t>
            </w:r>
            <w:r>
              <w:tab/>
            </w:r>
          </w:p>
        </w:tc>
        <w:tc>
          <w:tcPr>
            <w:tcW w:w="1560" w:type="dxa"/>
          </w:tcPr>
          <w:p>
            <w:pPr>
              <w:pStyle w:val="yTableNAm"/>
              <w:rPr>
                <w:snapToGrid w:val="0"/>
              </w:rPr>
            </w:pPr>
            <w:r>
              <w:rPr>
                <w:snapToGrid w:val="0"/>
              </w:rPr>
              <w:br/>
            </w:r>
            <w:r>
              <w:t>$61.00</w:t>
            </w:r>
          </w:p>
        </w:tc>
      </w:tr>
      <w:tr>
        <w:trPr>
          <w:cantSplit/>
        </w:trPr>
        <w:tc>
          <w:tcPr>
            <w:tcW w:w="624" w:type="dxa"/>
          </w:tcPr>
          <w:p>
            <w:pPr>
              <w:pStyle w:val="yTableNAm"/>
              <w:rPr>
                <w:snapToGrid w:val="0"/>
              </w:rPr>
            </w:pPr>
            <w:r>
              <w:rPr>
                <w:snapToGrid w:val="0"/>
              </w:rPr>
              <w:t>3.</w:t>
            </w:r>
          </w:p>
        </w:tc>
        <w:tc>
          <w:tcPr>
            <w:tcW w:w="4920" w:type="dxa"/>
          </w:tcPr>
          <w:p>
            <w:pPr>
              <w:pStyle w:val="yTableNAm"/>
              <w:tabs>
                <w:tab w:val="clear" w:pos="567"/>
                <w:tab w:val="right" w:leader="dot" w:pos="4821"/>
              </w:tabs>
            </w:pPr>
            <w:r>
              <w:t xml:space="preserve">For certification by the Registrar of a certificate of title, Crown lease, deposited plan, plan, diagram or other document </w:t>
            </w:r>
            <w:r>
              <w:tab/>
            </w:r>
          </w:p>
        </w:tc>
        <w:tc>
          <w:tcPr>
            <w:tcW w:w="1560" w:type="dxa"/>
          </w:tcPr>
          <w:p>
            <w:pPr>
              <w:pStyle w:val="yTableNAm"/>
              <w:rPr>
                <w:snapToGrid w:val="0"/>
              </w:rPr>
            </w:pPr>
            <w:r>
              <w:rPr>
                <w:snapToGrid w:val="0"/>
              </w:rPr>
              <w:br/>
            </w:r>
            <w:r>
              <w:rPr>
                <w:snapToGrid w:val="0"/>
              </w:rPr>
              <w:br/>
              <w:t>$61.00</w:t>
            </w:r>
          </w:p>
        </w:tc>
      </w:tr>
      <w:tr>
        <w:trPr>
          <w:cantSplit/>
        </w:trPr>
        <w:tc>
          <w:tcPr>
            <w:tcW w:w="624" w:type="dxa"/>
          </w:tcPr>
          <w:p>
            <w:pPr>
              <w:pStyle w:val="yTableNAm"/>
              <w:rPr>
                <w:snapToGrid w:val="0"/>
              </w:rPr>
            </w:pPr>
            <w:r>
              <w:rPr>
                <w:snapToGrid w:val="0"/>
              </w:rPr>
              <w:t>4.</w:t>
            </w:r>
          </w:p>
        </w:tc>
        <w:tc>
          <w:tcPr>
            <w:tcW w:w="4920" w:type="dxa"/>
          </w:tcPr>
          <w:p>
            <w:pPr>
              <w:pStyle w:val="yTableNAm"/>
              <w:tabs>
                <w:tab w:val="clear" w:pos="567"/>
                <w:tab w:val="right" w:leader="dot" w:pos="4821"/>
              </w:tabs>
            </w:pPr>
            <w:r>
              <w:t xml:space="preserve">For the issue of a certified and sealed document for the purposes of section 239B(1)(b) of the Act </w:t>
            </w:r>
            <w:r>
              <w:tab/>
            </w:r>
          </w:p>
        </w:tc>
        <w:tc>
          <w:tcPr>
            <w:tcW w:w="1560" w:type="dxa"/>
          </w:tcPr>
          <w:p>
            <w:pPr>
              <w:pStyle w:val="yTableNAm"/>
              <w:rPr>
                <w:snapToGrid w:val="0"/>
              </w:rPr>
            </w:pPr>
            <w:r>
              <w:br/>
              <w:t>fee as assessed by the Registrar, not exceeding actual cost</w:t>
            </w:r>
          </w:p>
        </w:tc>
      </w:tr>
    </w:tbl>
    <w:p>
      <w:pPr>
        <w:pStyle w:val="yFootnotesection"/>
      </w:pPr>
      <w:r>
        <w:tab/>
        <w:t>[Division 5 inserted in Gazette 9 Jan 2009 p. 32; amended in Gazette 19 Jun 2009 p. 2239; 18 Jun 2010 p. 2681; 14 Jun 2011 p. 2135; 19 Jun 2015 p. 2138; 24 Jun 2016 p. 2323; 23 Jun 2017 p. 3184.]</w:t>
      </w:r>
    </w:p>
    <w:p>
      <w:pPr>
        <w:pStyle w:val="yHeading3"/>
      </w:pPr>
      <w:bookmarkStart w:id="59" w:name="_Toc501370309"/>
      <w:bookmarkStart w:id="60" w:name="_Toc504384249"/>
      <w:r>
        <w:rPr>
          <w:rStyle w:val="CharSDivNo"/>
        </w:rPr>
        <w:t>Division 6</w:t>
      </w:r>
      <w:r>
        <w:t> — </w:t>
      </w:r>
      <w:r>
        <w:rPr>
          <w:rStyle w:val="CharSDivText"/>
        </w:rPr>
        <w:t>Inspection and/or copies of documents</w:t>
      </w:r>
      <w:bookmarkEnd w:id="59"/>
      <w:bookmarkEnd w:id="60"/>
    </w:p>
    <w:p>
      <w:pPr>
        <w:pStyle w:val="yFootnoteheading"/>
        <w:spacing w:after="120"/>
      </w:pPr>
      <w:r>
        <w:tab/>
        <w:t>[Heading inserted in Gazette 9 Jan 2009 p. 32.]</w:t>
      </w:r>
    </w:p>
    <w:tbl>
      <w:tblPr>
        <w:tblW w:w="7080" w:type="dxa"/>
        <w:tblInd w:w="108" w:type="dxa"/>
        <w:tblLayout w:type="fixed"/>
        <w:tblLook w:val="0000" w:firstRow="0" w:lastRow="0" w:firstColumn="0" w:lastColumn="0" w:noHBand="0" w:noVBand="0"/>
      </w:tblPr>
      <w:tblGrid>
        <w:gridCol w:w="621"/>
        <w:gridCol w:w="4911"/>
        <w:gridCol w:w="1548"/>
      </w:tblGrid>
      <w:tr>
        <w:trPr>
          <w:cantSplit/>
        </w:trPr>
        <w:tc>
          <w:tcPr>
            <w:tcW w:w="621" w:type="dxa"/>
          </w:tcPr>
          <w:p>
            <w:pPr>
              <w:pStyle w:val="yTableNAm"/>
              <w:rPr>
                <w:snapToGrid w:val="0"/>
              </w:rPr>
            </w:pPr>
            <w:r>
              <w:rPr>
                <w:snapToGrid w:val="0"/>
              </w:rPr>
              <w:t>1.</w:t>
            </w:r>
          </w:p>
        </w:tc>
        <w:tc>
          <w:tcPr>
            <w:tcW w:w="4911" w:type="dxa"/>
          </w:tcPr>
          <w:p>
            <w:pPr>
              <w:pStyle w:val="yTableNAm"/>
              <w:tabs>
                <w:tab w:val="clear" w:pos="567"/>
                <w:tab w:val="right" w:leader="dot" w:pos="4800"/>
              </w:tabs>
            </w:pPr>
            <w:r>
              <w:t xml:space="preserve">Inspection of a Crown lease, Crown title, permit or licence </w:t>
            </w:r>
            <w:r>
              <w:tab/>
            </w:r>
          </w:p>
        </w:tc>
        <w:tc>
          <w:tcPr>
            <w:tcW w:w="1548" w:type="dxa"/>
          </w:tcPr>
          <w:p>
            <w:pPr>
              <w:pStyle w:val="yTableNAm"/>
              <w:rPr>
                <w:snapToGrid w:val="0"/>
              </w:rPr>
            </w:pPr>
            <w:r>
              <w:rPr>
                <w:snapToGrid w:val="0"/>
              </w:rPr>
              <w:br/>
            </w:r>
            <w:r>
              <w:t>$25.30</w:t>
            </w:r>
          </w:p>
        </w:tc>
      </w:tr>
      <w:tr>
        <w:trPr>
          <w:cantSplit/>
        </w:trPr>
        <w:tc>
          <w:tcPr>
            <w:tcW w:w="621" w:type="dxa"/>
          </w:tcPr>
          <w:p>
            <w:pPr>
              <w:pStyle w:val="yTableNAm"/>
              <w:rPr>
                <w:snapToGrid w:val="0"/>
              </w:rPr>
            </w:pPr>
            <w:r>
              <w:rPr>
                <w:snapToGrid w:val="0"/>
              </w:rPr>
              <w:t>2.</w:t>
            </w:r>
          </w:p>
        </w:tc>
        <w:tc>
          <w:tcPr>
            <w:tcW w:w="4911" w:type="dxa"/>
          </w:tcPr>
          <w:p>
            <w:pPr>
              <w:pStyle w:val="yTableNAm"/>
              <w:tabs>
                <w:tab w:val="clear" w:pos="567"/>
                <w:tab w:val="right" w:leader="dot" w:pos="4800"/>
              </w:tabs>
            </w:pPr>
            <w:r>
              <w:t xml:space="preserve">Copy of a Crown lease, Crown title, permit or licence </w:t>
            </w:r>
            <w:r>
              <w:tab/>
            </w:r>
          </w:p>
        </w:tc>
        <w:tc>
          <w:tcPr>
            <w:tcW w:w="1548" w:type="dxa"/>
          </w:tcPr>
          <w:p>
            <w:pPr>
              <w:pStyle w:val="yTableNAm"/>
              <w:rPr>
                <w:snapToGrid w:val="0"/>
              </w:rPr>
            </w:pPr>
            <w:r>
              <w:rPr>
                <w:snapToGrid w:val="0"/>
              </w:rPr>
              <w:br/>
            </w:r>
            <w:r>
              <w:t>$25.30</w:t>
            </w:r>
          </w:p>
        </w:tc>
      </w:tr>
      <w:tr>
        <w:trPr>
          <w:cantSplit/>
        </w:trPr>
        <w:tc>
          <w:tcPr>
            <w:tcW w:w="621" w:type="dxa"/>
          </w:tcPr>
          <w:p>
            <w:pPr>
              <w:pStyle w:val="yTableNAm"/>
              <w:rPr>
                <w:snapToGrid w:val="0"/>
              </w:rPr>
            </w:pPr>
            <w:r>
              <w:rPr>
                <w:snapToGrid w:val="0"/>
              </w:rPr>
              <w:t>3.</w:t>
            </w:r>
          </w:p>
        </w:tc>
        <w:tc>
          <w:tcPr>
            <w:tcW w:w="4911" w:type="dxa"/>
          </w:tcPr>
          <w:p>
            <w:pPr>
              <w:pStyle w:val="yTableNAm"/>
              <w:tabs>
                <w:tab w:val="clear" w:pos="567"/>
                <w:tab w:val="right" w:leader="dot" w:pos="4800"/>
              </w:tabs>
            </w:pPr>
            <w:r>
              <w:t xml:space="preserve">Inspection of a Crown land lease </w:t>
            </w:r>
            <w:r>
              <w:tab/>
            </w:r>
          </w:p>
        </w:tc>
        <w:tc>
          <w:tcPr>
            <w:tcW w:w="1548" w:type="dxa"/>
          </w:tcPr>
          <w:p>
            <w:pPr>
              <w:pStyle w:val="yTableNAm"/>
              <w:rPr>
                <w:snapToGrid w:val="0"/>
              </w:rPr>
            </w:pPr>
            <w:r>
              <w:t>$25.30</w:t>
            </w:r>
          </w:p>
        </w:tc>
      </w:tr>
      <w:tr>
        <w:trPr>
          <w:cantSplit/>
        </w:trPr>
        <w:tc>
          <w:tcPr>
            <w:tcW w:w="621" w:type="dxa"/>
          </w:tcPr>
          <w:p>
            <w:pPr>
              <w:pStyle w:val="yTableNAm"/>
              <w:rPr>
                <w:snapToGrid w:val="0"/>
              </w:rPr>
            </w:pPr>
            <w:r>
              <w:rPr>
                <w:snapToGrid w:val="0"/>
              </w:rPr>
              <w:t>4.</w:t>
            </w:r>
          </w:p>
        </w:tc>
        <w:tc>
          <w:tcPr>
            <w:tcW w:w="4911" w:type="dxa"/>
          </w:tcPr>
          <w:p>
            <w:pPr>
              <w:pStyle w:val="yTableNAm"/>
              <w:tabs>
                <w:tab w:val="clear" w:pos="567"/>
                <w:tab w:val="right" w:leader="dot" w:pos="4800"/>
              </w:tabs>
            </w:pPr>
            <w:r>
              <w:t xml:space="preserve">Copy of a Crown land lease </w:t>
            </w:r>
            <w:r>
              <w:tab/>
            </w:r>
          </w:p>
        </w:tc>
        <w:tc>
          <w:tcPr>
            <w:tcW w:w="1548" w:type="dxa"/>
          </w:tcPr>
          <w:p>
            <w:pPr>
              <w:pStyle w:val="yTableNAm"/>
              <w:rPr>
                <w:snapToGrid w:val="0"/>
              </w:rPr>
            </w:pPr>
            <w:r>
              <w:t>$25.30</w:t>
            </w:r>
          </w:p>
        </w:tc>
      </w:tr>
      <w:tr>
        <w:trPr>
          <w:cantSplit/>
        </w:trPr>
        <w:tc>
          <w:tcPr>
            <w:tcW w:w="621" w:type="dxa"/>
          </w:tcPr>
          <w:p>
            <w:pPr>
              <w:pStyle w:val="yTableNAm"/>
              <w:rPr>
                <w:snapToGrid w:val="0"/>
              </w:rPr>
            </w:pPr>
            <w:r>
              <w:rPr>
                <w:snapToGrid w:val="0"/>
              </w:rPr>
              <w:t>5.</w:t>
            </w:r>
          </w:p>
        </w:tc>
        <w:tc>
          <w:tcPr>
            <w:tcW w:w="4911" w:type="dxa"/>
          </w:tcPr>
          <w:p>
            <w:pPr>
              <w:pStyle w:val="yTableNAm"/>
            </w:pPr>
            <w:r>
              <w:t>Inspection of a certificate of title — </w:t>
            </w:r>
          </w:p>
        </w:tc>
        <w:tc>
          <w:tcPr>
            <w:tcW w:w="1548" w:type="dxa"/>
          </w:tcPr>
          <w:p>
            <w:pPr>
              <w:pStyle w:val="yTableNAm"/>
              <w:rPr>
                <w:snapToGrid w:val="0"/>
              </w:rPr>
            </w:pPr>
          </w:p>
        </w:tc>
      </w:tr>
      <w:tr>
        <w:trPr>
          <w:cantSplit/>
        </w:trPr>
        <w:tc>
          <w:tcPr>
            <w:tcW w:w="621" w:type="dxa"/>
          </w:tcPr>
          <w:p>
            <w:pPr>
              <w:pStyle w:val="yTableNAm"/>
              <w:rPr>
                <w:snapToGrid w:val="0"/>
              </w:rPr>
            </w:pPr>
          </w:p>
        </w:tc>
        <w:tc>
          <w:tcPr>
            <w:tcW w:w="4911" w:type="dxa"/>
          </w:tcPr>
          <w:p>
            <w:pPr>
              <w:pStyle w:val="yTableNAm"/>
              <w:tabs>
                <w:tab w:val="clear" w:pos="567"/>
                <w:tab w:val="left" w:pos="261"/>
                <w:tab w:val="right" w:leader="dot" w:pos="4800"/>
              </w:tabs>
              <w:ind w:left="774" w:hanging="774"/>
            </w:pPr>
            <w:r>
              <w:tab/>
              <w:t>(a)</w:t>
            </w:r>
            <w:r>
              <w:tab/>
              <w:t xml:space="preserve">where required as a result of a check search </w:t>
            </w:r>
            <w:r>
              <w:tab/>
            </w:r>
          </w:p>
        </w:tc>
        <w:tc>
          <w:tcPr>
            <w:tcW w:w="1548" w:type="dxa"/>
            <w:vAlign w:val="bottom"/>
          </w:tcPr>
          <w:p>
            <w:pPr>
              <w:pStyle w:val="yTableNAm"/>
              <w:rPr>
                <w:snapToGrid w:val="0"/>
              </w:rPr>
            </w:pPr>
            <w:r>
              <w:t>$12.65</w:t>
            </w:r>
          </w:p>
        </w:tc>
      </w:tr>
      <w:tr>
        <w:trPr>
          <w:cantSplit/>
        </w:trPr>
        <w:tc>
          <w:tcPr>
            <w:tcW w:w="621" w:type="dxa"/>
          </w:tcPr>
          <w:p>
            <w:pPr>
              <w:pStyle w:val="yTableNAm"/>
              <w:rPr>
                <w:snapToGrid w:val="0"/>
              </w:rPr>
            </w:pPr>
          </w:p>
        </w:tc>
        <w:tc>
          <w:tcPr>
            <w:tcW w:w="4911" w:type="dxa"/>
          </w:tcPr>
          <w:p>
            <w:pPr>
              <w:pStyle w:val="yTableNAm"/>
              <w:tabs>
                <w:tab w:val="clear" w:pos="567"/>
                <w:tab w:val="left" w:pos="261"/>
                <w:tab w:val="right" w:leader="dot" w:pos="4800"/>
              </w:tabs>
              <w:ind w:left="774" w:hanging="774"/>
            </w:pPr>
            <w:r>
              <w:tab/>
              <w:t>(b)</w:t>
            </w:r>
            <w:r>
              <w:tab/>
              <w:t xml:space="preserve">in other cases </w:t>
            </w:r>
            <w:r>
              <w:tab/>
            </w:r>
          </w:p>
        </w:tc>
        <w:tc>
          <w:tcPr>
            <w:tcW w:w="1548" w:type="dxa"/>
          </w:tcPr>
          <w:p>
            <w:pPr>
              <w:pStyle w:val="yTableNAm"/>
              <w:rPr>
                <w:snapToGrid w:val="0"/>
              </w:rPr>
            </w:pPr>
            <w:r>
              <w:t>$25.30</w:t>
            </w:r>
          </w:p>
        </w:tc>
      </w:tr>
      <w:tr>
        <w:trPr>
          <w:cantSplit/>
        </w:trPr>
        <w:tc>
          <w:tcPr>
            <w:tcW w:w="621" w:type="dxa"/>
          </w:tcPr>
          <w:p>
            <w:pPr>
              <w:pStyle w:val="yTableNAm"/>
              <w:rPr>
                <w:snapToGrid w:val="0"/>
              </w:rPr>
            </w:pPr>
            <w:r>
              <w:rPr>
                <w:snapToGrid w:val="0"/>
              </w:rPr>
              <w:t>6.</w:t>
            </w:r>
          </w:p>
        </w:tc>
        <w:tc>
          <w:tcPr>
            <w:tcW w:w="4911" w:type="dxa"/>
          </w:tcPr>
          <w:p>
            <w:pPr>
              <w:pStyle w:val="yTableNAm"/>
              <w:ind w:left="774" w:hanging="774"/>
            </w:pPr>
            <w:r>
              <w:t>Copy of a certificate of title</w:t>
            </w:r>
            <w:r>
              <w:rPr>
                <w:snapToGrid w:val="0"/>
              </w:rPr>
              <w:t> —</w:t>
            </w:r>
          </w:p>
        </w:tc>
        <w:tc>
          <w:tcPr>
            <w:tcW w:w="1548" w:type="dxa"/>
          </w:tcPr>
          <w:p>
            <w:pPr>
              <w:pStyle w:val="yTableNAm"/>
              <w:rPr>
                <w:snapToGrid w:val="0"/>
              </w:rPr>
            </w:pPr>
          </w:p>
        </w:tc>
      </w:tr>
      <w:tr>
        <w:trPr>
          <w:cantSplit/>
        </w:trPr>
        <w:tc>
          <w:tcPr>
            <w:tcW w:w="621" w:type="dxa"/>
          </w:tcPr>
          <w:p>
            <w:pPr>
              <w:pStyle w:val="yTableNAm"/>
              <w:rPr>
                <w:snapToGrid w:val="0"/>
              </w:rPr>
            </w:pPr>
          </w:p>
        </w:tc>
        <w:tc>
          <w:tcPr>
            <w:tcW w:w="4911" w:type="dxa"/>
          </w:tcPr>
          <w:p>
            <w:pPr>
              <w:pStyle w:val="yTableNAm"/>
              <w:tabs>
                <w:tab w:val="clear" w:pos="567"/>
                <w:tab w:val="left" w:pos="261"/>
                <w:tab w:val="right" w:leader="dot" w:pos="4800"/>
              </w:tabs>
              <w:ind w:left="774" w:hanging="774"/>
            </w:pPr>
            <w:r>
              <w:tab/>
              <w:t>(a)</w:t>
            </w:r>
            <w:r>
              <w:tab/>
              <w:t xml:space="preserve">where required as a result of a check search </w:t>
            </w:r>
            <w:r>
              <w:tab/>
            </w:r>
          </w:p>
        </w:tc>
        <w:tc>
          <w:tcPr>
            <w:tcW w:w="1548" w:type="dxa"/>
            <w:vAlign w:val="bottom"/>
          </w:tcPr>
          <w:p>
            <w:pPr>
              <w:pStyle w:val="yTableNAm"/>
              <w:rPr>
                <w:snapToGrid w:val="0"/>
              </w:rPr>
            </w:pPr>
            <w:r>
              <w:t>$12.65</w:t>
            </w:r>
          </w:p>
        </w:tc>
      </w:tr>
      <w:tr>
        <w:trPr>
          <w:cantSplit/>
        </w:trPr>
        <w:tc>
          <w:tcPr>
            <w:tcW w:w="621" w:type="dxa"/>
          </w:tcPr>
          <w:p>
            <w:pPr>
              <w:pStyle w:val="yTableNAm"/>
              <w:rPr>
                <w:snapToGrid w:val="0"/>
              </w:rPr>
            </w:pPr>
          </w:p>
        </w:tc>
        <w:tc>
          <w:tcPr>
            <w:tcW w:w="4911" w:type="dxa"/>
          </w:tcPr>
          <w:p>
            <w:pPr>
              <w:pStyle w:val="yTableNAm"/>
              <w:tabs>
                <w:tab w:val="clear" w:pos="567"/>
                <w:tab w:val="left" w:pos="261"/>
                <w:tab w:val="right" w:leader="dot" w:pos="4800"/>
              </w:tabs>
              <w:ind w:left="774" w:hanging="774"/>
            </w:pPr>
            <w:r>
              <w:tab/>
              <w:t>(b)</w:t>
            </w:r>
            <w:r>
              <w:tab/>
              <w:t xml:space="preserve">in other cases </w:t>
            </w:r>
            <w:r>
              <w:tab/>
            </w:r>
          </w:p>
        </w:tc>
        <w:tc>
          <w:tcPr>
            <w:tcW w:w="1548" w:type="dxa"/>
          </w:tcPr>
          <w:p>
            <w:pPr>
              <w:pStyle w:val="yTableNAm"/>
              <w:rPr>
                <w:snapToGrid w:val="0"/>
              </w:rPr>
            </w:pPr>
            <w:r>
              <w:t>$25.30</w:t>
            </w:r>
          </w:p>
        </w:tc>
      </w:tr>
      <w:tr>
        <w:trPr>
          <w:cantSplit/>
        </w:trPr>
        <w:tc>
          <w:tcPr>
            <w:tcW w:w="621" w:type="dxa"/>
          </w:tcPr>
          <w:p>
            <w:pPr>
              <w:pStyle w:val="yTableNAm"/>
              <w:rPr>
                <w:snapToGrid w:val="0"/>
              </w:rPr>
            </w:pPr>
            <w:r>
              <w:rPr>
                <w:snapToGrid w:val="0"/>
              </w:rPr>
              <w:t>7.</w:t>
            </w:r>
          </w:p>
        </w:tc>
        <w:tc>
          <w:tcPr>
            <w:tcW w:w="4911" w:type="dxa"/>
          </w:tcPr>
          <w:p>
            <w:pPr>
              <w:pStyle w:val="yTableNAm"/>
              <w:tabs>
                <w:tab w:val="clear" w:pos="567"/>
                <w:tab w:val="left" w:pos="261"/>
                <w:tab w:val="right" w:leader="dot" w:pos="4800"/>
              </w:tabs>
              <w:ind w:left="774" w:hanging="774"/>
            </w:pPr>
            <w:r>
              <w:t xml:space="preserve">Inspection of a plan, diagram or deposited plan </w:t>
            </w:r>
            <w:r>
              <w:tab/>
            </w:r>
          </w:p>
        </w:tc>
        <w:tc>
          <w:tcPr>
            <w:tcW w:w="1548" w:type="dxa"/>
          </w:tcPr>
          <w:p>
            <w:pPr>
              <w:pStyle w:val="yTableNAm"/>
              <w:rPr>
                <w:snapToGrid w:val="0"/>
              </w:rPr>
            </w:pPr>
            <w:r>
              <w:t>$25.30</w:t>
            </w:r>
          </w:p>
        </w:tc>
      </w:tr>
      <w:tr>
        <w:trPr>
          <w:cantSplit/>
        </w:trPr>
        <w:tc>
          <w:tcPr>
            <w:tcW w:w="621" w:type="dxa"/>
          </w:tcPr>
          <w:p>
            <w:pPr>
              <w:pStyle w:val="yTableNAm"/>
              <w:rPr>
                <w:snapToGrid w:val="0"/>
              </w:rPr>
            </w:pPr>
            <w:r>
              <w:rPr>
                <w:snapToGrid w:val="0"/>
              </w:rPr>
              <w:t>8.</w:t>
            </w:r>
          </w:p>
        </w:tc>
        <w:tc>
          <w:tcPr>
            <w:tcW w:w="4911" w:type="dxa"/>
          </w:tcPr>
          <w:p>
            <w:pPr>
              <w:pStyle w:val="yTableNAm"/>
              <w:tabs>
                <w:tab w:val="clear" w:pos="567"/>
                <w:tab w:val="left" w:pos="261"/>
                <w:tab w:val="right" w:leader="dot" w:pos="4800"/>
              </w:tabs>
              <w:ind w:left="774" w:hanging="774"/>
            </w:pPr>
            <w:r>
              <w:t xml:space="preserve">Copy of a plan, diagram or deposited plan </w:t>
            </w:r>
            <w:r>
              <w:tab/>
            </w:r>
          </w:p>
        </w:tc>
        <w:tc>
          <w:tcPr>
            <w:tcW w:w="1548" w:type="dxa"/>
          </w:tcPr>
          <w:p>
            <w:pPr>
              <w:pStyle w:val="yTableNAm"/>
              <w:rPr>
                <w:snapToGrid w:val="0"/>
              </w:rPr>
            </w:pPr>
            <w:r>
              <w:t>$25.30</w:t>
            </w:r>
          </w:p>
        </w:tc>
      </w:tr>
      <w:tr>
        <w:trPr>
          <w:cantSplit/>
        </w:trPr>
        <w:tc>
          <w:tcPr>
            <w:tcW w:w="621" w:type="dxa"/>
          </w:tcPr>
          <w:p>
            <w:pPr>
              <w:pStyle w:val="yTableNAm"/>
              <w:keepNext/>
              <w:rPr>
                <w:snapToGrid w:val="0"/>
              </w:rPr>
            </w:pPr>
            <w:r>
              <w:rPr>
                <w:snapToGrid w:val="0"/>
              </w:rPr>
              <w:t>9.</w:t>
            </w:r>
          </w:p>
        </w:tc>
        <w:tc>
          <w:tcPr>
            <w:tcW w:w="4911" w:type="dxa"/>
          </w:tcPr>
          <w:p>
            <w:pPr>
              <w:pStyle w:val="yTableNAm"/>
              <w:tabs>
                <w:tab w:val="clear" w:pos="567"/>
                <w:tab w:val="left" w:pos="261"/>
                <w:tab w:val="right" w:leader="dot" w:pos="4800"/>
              </w:tabs>
              <w:ind w:left="774" w:hanging="774"/>
            </w:pPr>
            <w:r>
              <w:t xml:space="preserve">Inspection of a licensed surveyor’s field book </w:t>
            </w:r>
            <w:r>
              <w:tab/>
            </w:r>
          </w:p>
        </w:tc>
        <w:tc>
          <w:tcPr>
            <w:tcW w:w="1548" w:type="dxa"/>
          </w:tcPr>
          <w:p>
            <w:pPr>
              <w:pStyle w:val="yTableNAm"/>
              <w:keepNext/>
              <w:rPr>
                <w:snapToGrid w:val="0"/>
              </w:rPr>
            </w:pPr>
            <w:r>
              <w:t>$25.30</w:t>
            </w:r>
          </w:p>
        </w:tc>
      </w:tr>
      <w:tr>
        <w:trPr>
          <w:cantSplit/>
        </w:trPr>
        <w:tc>
          <w:tcPr>
            <w:tcW w:w="621" w:type="dxa"/>
          </w:tcPr>
          <w:p>
            <w:pPr>
              <w:pStyle w:val="yTableNAm"/>
              <w:rPr>
                <w:snapToGrid w:val="0"/>
              </w:rPr>
            </w:pPr>
            <w:r>
              <w:rPr>
                <w:snapToGrid w:val="0"/>
              </w:rPr>
              <w:t>10.</w:t>
            </w:r>
          </w:p>
        </w:tc>
        <w:tc>
          <w:tcPr>
            <w:tcW w:w="4911" w:type="dxa"/>
          </w:tcPr>
          <w:p>
            <w:pPr>
              <w:pStyle w:val="yTableNAm"/>
              <w:tabs>
                <w:tab w:val="clear" w:pos="567"/>
                <w:tab w:val="left" w:pos="261"/>
                <w:tab w:val="right" w:leader="dot" w:pos="4800"/>
              </w:tabs>
              <w:ind w:left="774" w:hanging="774"/>
            </w:pPr>
            <w:r>
              <w:t xml:space="preserve">Copy of a licensed surveyor’s field book </w:t>
            </w:r>
            <w:r>
              <w:tab/>
            </w:r>
          </w:p>
        </w:tc>
        <w:tc>
          <w:tcPr>
            <w:tcW w:w="1548" w:type="dxa"/>
          </w:tcPr>
          <w:p>
            <w:pPr>
              <w:pStyle w:val="yTableNAm"/>
              <w:rPr>
                <w:snapToGrid w:val="0"/>
              </w:rPr>
            </w:pPr>
            <w:r>
              <w:t>$25.30</w:t>
            </w:r>
          </w:p>
        </w:tc>
      </w:tr>
      <w:tr>
        <w:trPr>
          <w:cantSplit/>
        </w:trPr>
        <w:tc>
          <w:tcPr>
            <w:tcW w:w="621" w:type="dxa"/>
          </w:tcPr>
          <w:p>
            <w:pPr>
              <w:pStyle w:val="yTableNAm"/>
              <w:rPr>
                <w:snapToGrid w:val="0"/>
              </w:rPr>
            </w:pPr>
            <w:r>
              <w:rPr>
                <w:snapToGrid w:val="0"/>
              </w:rPr>
              <w:t>11.</w:t>
            </w:r>
          </w:p>
        </w:tc>
        <w:tc>
          <w:tcPr>
            <w:tcW w:w="4911" w:type="dxa"/>
          </w:tcPr>
          <w:p>
            <w:pPr>
              <w:pStyle w:val="yTableNAm"/>
              <w:tabs>
                <w:tab w:val="clear" w:pos="567"/>
                <w:tab w:val="right" w:leader="dot" w:pos="4800"/>
              </w:tabs>
            </w:pPr>
            <w:r>
              <w:t>Copy of a plan, diagram, deposited plan, survey index plan or licensed surveyor’s field book obtained by use of departmental self</w:t>
            </w:r>
            <w:r>
              <w:noBreakHyphen/>
              <w:t xml:space="preserve">service equipment </w:t>
            </w:r>
            <w:r>
              <w:tab/>
            </w:r>
          </w:p>
        </w:tc>
        <w:tc>
          <w:tcPr>
            <w:tcW w:w="1548" w:type="dxa"/>
          </w:tcPr>
          <w:p>
            <w:pPr>
              <w:pStyle w:val="yTableNAm"/>
              <w:rPr>
                <w:snapToGrid w:val="0"/>
              </w:rPr>
            </w:pPr>
            <w:r>
              <w:rPr>
                <w:snapToGrid w:val="0"/>
              </w:rPr>
              <w:br/>
            </w:r>
            <w:r>
              <w:rPr>
                <w:snapToGrid w:val="0"/>
              </w:rPr>
              <w:br/>
              <w:t xml:space="preserve">fee as assessed by the Registrar, not exceeding actual cost </w:t>
            </w:r>
          </w:p>
        </w:tc>
      </w:tr>
      <w:tr>
        <w:trPr>
          <w:cantSplit/>
        </w:trPr>
        <w:tc>
          <w:tcPr>
            <w:tcW w:w="621" w:type="dxa"/>
          </w:tcPr>
          <w:p>
            <w:pPr>
              <w:pStyle w:val="yTableNAm"/>
              <w:rPr>
                <w:snapToGrid w:val="0"/>
              </w:rPr>
            </w:pPr>
            <w:r>
              <w:rPr>
                <w:snapToGrid w:val="0"/>
              </w:rPr>
              <w:t>12.</w:t>
            </w:r>
          </w:p>
        </w:tc>
        <w:tc>
          <w:tcPr>
            <w:tcW w:w="4911" w:type="dxa"/>
          </w:tcPr>
          <w:p>
            <w:pPr>
              <w:pStyle w:val="yTableNAm"/>
              <w:tabs>
                <w:tab w:val="clear" w:pos="567"/>
                <w:tab w:val="right" w:leader="dot" w:pos="4800"/>
              </w:tabs>
            </w:pPr>
            <w:r>
              <w:t xml:space="preserve">Inspection of the record of dealings and matters referred to in section 48A(2) or 81P of the Act, as is relevant to the case, that were endorsed on previous digital versions of a digital title, but are not endorsed on the current version of that digital title </w:t>
            </w:r>
            <w:r>
              <w:tab/>
            </w:r>
          </w:p>
        </w:tc>
        <w:tc>
          <w:tcPr>
            <w:tcW w:w="1548" w:type="dxa"/>
          </w:tcPr>
          <w:p>
            <w:pPr>
              <w:pStyle w:val="yTableNAm"/>
              <w:rPr>
                <w:snapToGrid w:val="0"/>
              </w:rPr>
            </w:pPr>
            <w:r>
              <w:rPr>
                <w:snapToGrid w:val="0"/>
              </w:rPr>
              <w:br/>
            </w:r>
            <w:r>
              <w:rPr>
                <w:snapToGrid w:val="0"/>
              </w:rPr>
              <w:br/>
            </w:r>
            <w:r>
              <w:rPr>
                <w:snapToGrid w:val="0"/>
              </w:rPr>
              <w:br/>
            </w:r>
            <w:r>
              <w:rPr>
                <w:snapToGrid w:val="0"/>
              </w:rPr>
              <w:br/>
            </w:r>
            <w:r>
              <w:t>$12.65</w:t>
            </w:r>
          </w:p>
        </w:tc>
      </w:tr>
      <w:tr>
        <w:trPr>
          <w:cantSplit/>
        </w:trPr>
        <w:tc>
          <w:tcPr>
            <w:tcW w:w="621" w:type="dxa"/>
          </w:tcPr>
          <w:p>
            <w:pPr>
              <w:pStyle w:val="yTableNAm"/>
              <w:rPr>
                <w:snapToGrid w:val="0"/>
              </w:rPr>
            </w:pPr>
            <w:r>
              <w:rPr>
                <w:snapToGrid w:val="0"/>
              </w:rPr>
              <w:t>13.</w:t>
            </w:r>
          </w:p>
        </w:tc>
        <w:tc>
          <w:tcPr>
            <w:tcW w:w="4911" w:type="dxa"/>
          </w:tcPr>
          <w:p>
            <w:pPr>
              <w:pStyle w:val="yTableNAm"/>
              <w:tabs>
                <w:tab w:val="clear" w:pos="567"/>
                <w:tab w:val="right" w:leader="dot" w:pos="4800"/>
              </w:tabs>
            </w:pPr>
            <w:r>
              <w:t xml:space="preserve">Inspection of other documents and related information not specifically provided for in this Division, including documents listed as subject to dealing and status reports </w:t>
            </w:r>
            <w:r>
              <w:tab/>
            </w:r>
          </w:p>
        </w:tc>
        <w:tc>
          <w:tcPr>
            <w:tcW w:w="1548" w:type="dxa"/>
          </w:tcPr>
          <w:p>
            <w:pPr>
              <w:pStyle w:val="yTableNAm"/>
              <w:rPr>
                <w:snapToGrid w:val="0"/>
              </w:rPr>
            </w:pPr>
            <w:r>
              <w:rPr>
                <w:snapToGrid w:val="0"/>
              </w:rPr>
              <w:br/>
            </w:r>
            <w:r>
              <w:rPr>
                <w:snapToGrid w:val="0"/>
              </w:rPr>
              <w:br/>
            </w:r>
            <w:r>
              <w:rPr>
                <w:snapToGrid w:val="0"/>
              </w:rPr>
              <w:br/>
            </w:r>
            <w:r>
              <w:t xml:space="preserve">$25.30 </w:t>
            </w:r>
            <w:r>
              <w:rPr>
                <w:snapToGrid w:val="0"/>
              </w:rPr>
              <w:t>per document</w:t>
            </w:r>
          </w:p>
        </w:tc>
      </w:tr>
      <w:tr>
        <w:trPr>
          <w:cantSplit/>
        </w:trPr>
        <w:tc>
          <w:tcPr>
            <w:tcW w:w="621" w:type="dxa"/>
          </w:tcPr>
          <w:p>
            <w:pPr>
              <w:pStyle w:val="yTableNAm"/>
              <w:rPr>
                <w:snapToGrid w:val="0"/>
              </w:rPr>
            </w:pPr>
            <w:r>
              <w:rPr>
                <w:snapToGrid w:val="0"/>
              </w:rPr>
              <w:t>14.</w:t>
            </w:r>
          </w:p>
        </w:tc>
        <w:tc>
          <w:tcPr>
            <w:tcW w:w="4911" w:type="dxa"/>
          </w:tcPr>
          <w:p>
            <w:pPr>
              <w:pStyle w:val="yTableNAm"/>
              <w:tabs>
                <w:tab w:val="clear" w:pos="567"/>
                <w:tab w:val="right" w:leader="dot" w:pos="4704"/>
              </w:tabs>
              <w:rPr>
                <w:snapToGrid w:val="0"/>
              </w:rPr>
            </w:pPr>
            <w:r>
              <w:t>Copy</w:t>
            </w:r>
            <w:r>
              <w:rPr>
                <w:snapToGrid w:val="0"/>
              </w:rPr>
              <w:t xml:space="preserve"> of other documents and related information not specifically provided for in this Division, including documents listed as </w:t>
            </w:r>
            <w:r>
              <w:t>subject</w:t>
            </w:r>
            <w:r>
              <w:rPr>
                <w:snapToGrid w:val="0"/>
              </w:rPr>
              <w:t xml:space="preserve"> to dealing and status reports </w:t>
            </w:r>
            <w:r>
              <w:tab/>
            </w:r>
          </w:p>
        </w:tc>
        <w:tc>
          <w:tcPr>
            <w:tcW w:w="1548" w:type="dxa"/>
          </w:tcPr>
          <w:p>
            <w:pPr>
              <w:pStyle w:val="yTableNAm"/>
              <w:rPr>
                <w:snapToGrid w:val="0"/>
              </w:rPr>
            </w:pPr>
            <w:r>
              <w:rPr>
                <w:snapToGrid w:val="0"/>
              </w:rPr>
              <w:br/>
            </w:r>
            <w:r>
              <w:rPr>
                <w:snapToGrid w:val="0"/>
              </w:rPr>
              <w:br/>
            </w:r>
            <w:r>
              <w:rPr>
                <w:snapToGrid w:val="0"/>
              </w:rPr>
              <w:br/>
            </w:r>
            <w:r>
              <w:t xml:space="preserve">$25.30 </w:t>
            </w:r>
            <w:r>
              <w:rPr>
                <w:snapToGrid w:val="0"/>
              </w:rPr>
              <w:t>per document</w:t>
            </w:r>
          </w:p>
        </w:tc>
      </w:tr>
      <w:tr>
        <w:trPr>
          <w:cantSplit/>
        </w:trPr>
        <w:tc>
          <w:tcPr>
            <w:tcW w:w="621" w:type="dxa"/>
          </w:tcPr>
          <w:p>
            <w:pPr>
              <w:pStyle w:val="yTableNAm"/>
              <w:rPr>
                <w:snapToGrid w:val="0"/>
              </w:rPr>
            </w:pPr>
            <w:r>
              <w:rPr>
                <w:snapToGrid w:val="0"/>
              </w:rPr>
              <w:t>15.</w:t>
            </w:r>
          </w:p>
        </w:tc>
        <w:tc>
          <w:tcPr>
            <w:tcW w:w="4911" w:type="dxa"/>
          </w:tcPr>
          <w:p>
            <w:pPr>
              <w:pStyle w:val="yTableNAm"/>
              <w:tabs>
                <w:tab w:val="clear" w:pos="567"/>
                <w:tab w:val="right" w:leader="dot" w:pos="4704"/>
              </w:tabs>
            </w:pPr>
            <w:r>
              <w:t xml:space="preserve">Inspection of a survey index plan </w:t>
            </w:r>
            <w:r>
              <w:tab/>
            </w:r>
          </w:p>
        </w:tc>
        <w:tc>
          <w:tcPr>
            <w:tcW w:w="1548" w:type="dxa"/>
          </w:tcPr>
          <w:p>
            <w:pPr>
              <w:pStyle w:val="yTableNAm"/>
              <w:rPr>
                <w:snapToGrid w:val="0"/>
              </w:rPr>
            </w:pPr>
            <w:r>
              <w:t>$25.30</w:t>
            </w:r>
          </w:p>
        </w:tc>
      </w:tr>
      <w:tr>
        <w:trPr>
          <w:cantSplit/>
        </w:trPr>
        <w:tc>
          <w:tcPr>
            <w:tcW w:w="621" w:type="dxa"/>
          </w:tcPr>
          <w:p>
            <w:pPr>
              <w:pStyle w:val="yTableNAm"/>
              <w:rPr>
                <w:snapToGrid w:val="0"/>
              </w:rPr>
            </w:pPr>
            <w:r>
              <w:rPr>
                <w:snapToGrid w:val="0"/>
              </w:rPr>
              <w:t>16.</w:t>
            </w:r>
          </w:p>
        </w:tc>
        <w:tc>
          <w:tcPr>
            <w:tcW w:w="4911" w:type="dxa"/>
          </w:tcPr>
          <w:p>
            <w:pPr>
              <w:pStyle w:val="yTableNAm"/>
              <w:tabs>
                <w:tab w:val="clear" w:pos="567"/>
                <w:tab w:val="right" w:leader="dot" w:pos="4704"/>
              </w:tabs>
            </w:pPr>
            <w:r>
              <w:t xml:space="preserve">Copy of a survey index plan </w:t>
            </w:r>
            <w:r>
              <w:tab/>
            </w:r>
          </w:p>
        </w:tc>
        <w:tc>
          <w:tcPr>
            <w:tcW w:w="1548" w:type="dxa"/>
          </w:tcPr>
          <w:p>
            <w:pPr>
              <w:pStyle w:val="yTableNAm"/>
              <w:rPr>
                <w:snapToGrid w:val="0"/>
              </w:rPr>
            </w:pPr>
            <w:r>
              <w:t>$25.30</w:t>
            </w:r>
          </w:p>
        </w:tc>
      </w:tr>
      <w:tr>
        <w:trPr>
          <w:cantSplit/>
        </w:trPr>
        <w:tc>
          <w:tcPr>
            <w:tcW w:w="621" w:type="dxa"/>
          </w:tcPr>
          <w:p>
            <w:pPr>
              <w:pStyle w:val="yTableNAm"/>
              <w:rPr>
                <w:snapToGrid w:val="0"/>
              </w:rPr>
            </w:pPr>
            <w:r>
              <w:rPr>
                <w:snapToGrid w:val="0"/>
              </w:rPr>
              <w:t>17.</w:t>
            </w:r>
          </w:p>
        </w:tc>
        <w:tc>
          <w:tcPr>
            <w:tcW w:w="4911" w:type="dxa"/>
          </w:tcPr>
          <w:p>
            <w:pPr>
              <w:pStyle w:val="yTableNAm"/>
              <w:tabs>
                <w:tab w:val="clear" w:pos="567"/>
                <w:tab w:val="right" w:leader="dot" w:pos="4704"/>
              </w:tabs>
            </w:pPr>
            <w:r>
              <w:t xml:space="preserve">Check search </w:t>
            </w:r>
            <w:r>
              <w:tab/>
            </w:r>
          </w:p>
        </w:tc>
        <w:tc>
          <w:tcPr>
            <w:tcW w:w="1548" w:type="dxa"/>
          </w:tcPr>
          <w:p>
            <w:pPr>
              <w:pStyle w:val="yTableNAm"/>
              <w:rPr>
                <w:snapToGrid w:val="0"/>
              </w:rPr>
            </w:pPr>
            <w:r>
              <w:t>$12.65</w:t>
            </w:r>
          </w:p>
        </w:tc>
      </w:tr>
      <w:tr>
        <w:trPr>
          <w:cantSplit/>
        </w:trPr>
        <w:tc>
          <w:tcPr>
            <w:tcW w:w="621" w:type="dxa"/>
          </w:tcPr>
          <w:p>
            <w:pPr>
              <w:pStyle w:val="yTableNAm"/>
              <w:rPr>
                <w:snapToGrid w:val="0"/>
              </w:rPr>
            </w:pPr>
            <w:r>
              <w:rPr>
                <w:snapToGrid w:val="0"/>
              </w:rPr>
              <w:t>18.</w:t>
            </w:r>
          </w:p>
        </w:tc>
        <w:tc>
          <w:tcPr>
            <w:tcW w:w="4911" w:type="dxa"/>
          </w:tcPr>
          <w:p>
            <w:pPr>
              <w:pStyle w:val="yTableNAm"/>
              <w:rPr>
                <w:snapToGrid w:val="0"/>
              </w:rPr>
            </w:pPr>
            <w:r>
              <w:rPr>
                <w:snapToGrid w:val="0"/>
              </w:rPr>
              <w:t xml:space="preserve">In response to a request via a privately owned data </w:t>
            </w:r>
            <w:r>
              <w:t>terminal</w:t>
            </w:r>
            <w:r>
              <w:rPr>
                <w:snapToGrid w:val="0"/>
              </w:rPr>
              <w:t xml:space="preserve"> for the results of any of the following searches to be sent to that data terminal — </w:t>
            </w:r>
          </w:p>
        </w:tc>
        <w:tc>
          <w:tcPr>
            <w:tcW w:w="1548" w:type="dxa"/>
          </w:tcPr>
          <w:p>
            <w:pPr>
              <w:pStyle w:val="yTableNAm"/>
              <w:rPr>
                <w:snapToGrid w:val="0"/>
              </w:rPr>
            </w:pPr>
          </w:p>
        </w:tc>
      </w:tr>
      <w:tr>
        <w:trPr>
          <w:cantSplit/>
        </w:trPr>
        <w:tc>
          <w:tcPr>
            <w:tcW w:w="621" w:type="dxa"/>
          </w:tcPr>
          <w:p>
            <w:pPr>
              <w:pStyle w:val="yTableNAm"/>
              <w:rPr>
                <w:snapToGrid w:val="0"/>
              </w:rPr>
            </w:pPr>
          </w:p>
        </w:tc>
        <w:tc>
          <w:tcPr>
            <w:tcW w:w="4911" w:type="dxa"/>
          </w:tcPr>
          <w:p>
            <w:pPr>
              <w:pStyle w:val="yTableNAm"/>
              <w:tabs>
                <w:tab w:val="clear" w:pos="567"/>
                <w:tab w:val="left" w:pos="261"/>
                <w:tab w:val="left" w:pos="831"/>
                <w:tab w:val="right" w:leader="dot" w:pos="4704"/>
              </w:tabs>
              <w:ind w:left="831" w:hanging="831"/>
              <w:rPr>
                <w:snapToGrid w:val="0"/>
              </w:rPr>
            </w:pPr>
            <w:r>
              <w:rPr>
                <w:snapToGrid w:val="0"/>
              </w:rPr>
              <w:tab/>
              <w:t>(a)</w:t>
            </w:r>
            <w:r>
              <w:rPr>
                <w:snapToGrid w:val="0"/>
              </w:rPr>
              <w:tab/>
            </w:r>
            <w:r>
              <w:t xml:space="preserve">check search </w:t>
            </w:r>
            <w:r>
              <w:tab/>
            </w:r>
          </w:p>
        </w:tc>
        <w:tc>
          <w:tcPr>
            <w:tcW w:w="1548" w:type="dxa"/>
          </w:tcPr>
          <w:p>
            <w:pPr>
              <w:pStyle w:val="yTableNAm"/>
              <w:rPr>
                <w:snapToGrid w:val="0"/>
              </w:rPr>
            </w:pPr>
            <w:r>
              <w:t>$12.65</w:t>
            </w:r>
          </w:p>
        </w:tc>
      </w:tr>
      <w:tr>
        <w:trPr>
          <w:cantSplit/>
        </w:trPr>
        <w:tc>
          <w:tcPr>
            <w:tcW w:w="621" w:type="dxa"/>
          </w:tcPr>
          <w:p>
            <w:pPr>
              <w:pStyle w:val="yTableNAm"/>
              <w:rPr>
                <w:snapToGrid w:val="0"/>
              </w:rPr>
            </w:pPr>
          </w:p>
        </w:tc>
        <w:tc>
          <w:tcPr>
            <w:tcW w:w="4911" w:type="dxa"/>
          </w:tcPr>
          <w:p>
            <w:pPr>
              <w:pStyle w:val="yTableNAm"/>
              <w:tabs>
                <w:tab w:val="clear" w:pos="567"/>
                <w:tab w:val="left" w:pos="261"/>
                <w:tab w:val="left" w:pos="831"/>
                <w:tab w:val="right" w:leader="dot" w:pos="4704"/>
              </w:tabs>
              <w:ind w:left="831" w:hanging="831"/>
              <w:rPr>
                <w:snapToGrid w:val="0"/>
              </w:rPr>
            </w:pPr>
            <w:r>
              <w:rPr>
                <w:snapToGrid w:val="0"/>
              </w:rPr>
              <w:tab/>
              <w:t>(b)</w:t>
            </w:r>
            <w:r>
              <w:rPr>
                <w:snapToGrid w:val="0"/>
              </w:rPr>
              <w:tab/>
            </w:r>
            <w:r>
              <w:t>search</w:t>
            </w:r>
            <w:r>
              <w:rPr>
                <w:snapToGrid w:val="0"/>
              </w:rPr>
              <w:t xml:space="preserve"> of the power of attorney file for the number of a power </w:t>
            </w:r>
            <w:r>
              <w:t>of</w:t>
            </w:r>
            <w:r>
              <w:rPr>
                <w:snapToGrid w:val="0"/>
              </w:rPr>
              <w:t xml:space="preserve"> attorney document if the number is given with confirmation of the document’s existence </w:t>
            </w:r>
            <w:r>
              <w:tab/>
            </w:r>
          </w:p>
        </w:tc>
        <w:tc>
          <w:tcPr>
            <w:tcW w:w="1548" w:type="dxa"/>
          </w:tcPr>
          <w:p>
            <w:pPr>
              <w:pStyle w:val="yTableNAm"/>
              <w:rPr>
                <w:snapToGrid w:val="0"/>
              </w:rPr>
            </w:pPr>
            <w:r>
              <w:rPr>
                <w:snapToGrid w:val="0"/>
              </w:rPr>
              <w:br/>
            </w:r>
            <w:r>
              <w:rPr>
                <w:snapToGrid w:val="0"/>
              </w:rPr>
              <w:br/>
            </w:r>
            <w:r>
              <w:rPr>
                <w:snapToGrid w:val="0"/>
              </w:rPr>
              <w:br/>
              <w:t>$1.00</w:t>
            </w:r>
          </w:p>
        </w:tc>
      </w:tr>
      <w:tr>
        <w:trPr>
          <w:cantSplit/>
        </w:trPr>
        <w:tc>
          <w:tcPr>
            <w:tcW w:w="5532" w:type="dxa"/>
            <w:gridSpan w:val="2"/>
          </w:tcPr>
          <w:p>
            <w:pPr>
              <w:pStyle w:val="yTableNAm"/>
              <w:ind w:left="567" w:hanging="567"/>
              <w:rPr>
                <w:snapToGrid w:val="0"/>
              </w:rPr>
            </w:pPr>
            <w:r>
              <w:rPr>
                <w:snapToGrid w:val="0"/>
                <w:sz w:val="18"/>
              </w:rPr>
              <w:t>Note:</w:t>
            </w:r>
            <w:r>
              <w:rPr>
                <w:snapToGrid w:val="0"/>
                <w:sz w:val="18"/>
              </w:rPr>
              <w:tab/>
              <w:t>The fees specified in item 18 include the taking a hard copy of screen print.</w:t>
            </w:r>
          </w:p>
        </w:tc>
        <w:tc>
          <w:tcPr>
            <w:tcW w:w="1548" w:type="dxa"/>
          </w:tcPr>
          <w:p>
            <w:pPr>
              <w:pStyle w:val="yTableNAm"/>
              <w:rPr>
                <w:snapToGrid w:val="0"/>
              </w:rPr>
            </w:pPr>
          </w:p>
        </w:tc>
      </w:tr>
      <w:tr>
        <w:trPr>
          <w:cantSplit/>
        </w:trPr>
        <w:tc>
          <w:tcPr>
            <w:tcW w:w="5532" w:type="dxa"/>
            <w:gridSpan w:val="2"/>
          </w:tcPr>
          <w:p>
            <w:pPr>
              <w:pStyle w:val="yTableNAm"/>
              <w:rPr>
                <w:i/>
                <w:snapToGrid w:val="0"/>
              </w:rPr>
            </w:pPr>
            <w:r>
              <w:rPr>
                <w:i/>
                <w:snapToGrid w:val="0"/>
              </w:rPr>
              <w:t>[19, 20.  deleted]</w:t>
            </w:r>
          </w:p>
        </w:tc>
        <w:tc>
          <w:tcPr>
            <w:tcW w:w="1548" w:type="dxa"/>
          </w:tcPr>
          <w:p>
            <w:pPr>
              <w:pStyle w:val="yTableNAm"/>
              <w:rPr>
                <w:snapToGrid w:val="0"/>
              </w:rPr>
            </w:pPr>
          </w:p>
        </w:tc>
      </w:tr>
      <w:tr>
        <w:trPr>
          <w:cantSplit/>
        </w:trPr>
        <w:tc>
          <w:tcPr>
            <w:tcW w:w="621" w:type="dxa"/>
          </w:tcPr>
          <w:p>
            <w:pPr>
              <w:pStyle w:val="yTableNAm"/>
              <w:rPr>
                <w:snapToGrid w:val="0"/>
              </w:rPr>
            </w:pPr>
            <w:r>
              <w:rPr>
                <w:snapToGrid w:val="0"/>
              </w:rPr>
              <w:t>21.</w:t>
            </w:r>
          </w:p>
        </w:tc>
        <w:tc>
          <w:tcPr>
            <w:tcW w:w="4911" w:type="dxa"/>
          </w:tcPr>
          <w:p>
            <w:pPr>
              <w:pStyle w:val="yTableNAm"/>
              <w:tabs>
                <w:tab w:val="clear" w:pos="567"/>
                <w:tab w:val="right" w:leader="dot" w:pos="4704"/>
              </w:tabs>
            </w:pPr>
            <w:r>
              <w:t xml:space="preserve">Search of the power of attorney file for the number of a power of attorney document (unless item 18(b) applies) </w:t>
            </w:r>
            <w:r>
              <w:tab/>
            </w:r>
          </w:p>
        </w:tc>
        <w:tc>
          <w:tcPr>
            <w:tcW w:w="1548" w:type="dxa"/>
          </w:tcPr>
          <w:p>
            <w:pPr>
              <w:pStyle w:val="yTableNAm"/>
              <w:rPr>
                <w:snapToGrid w:val="0"/>
              </w:rPr>
            </w:pPr>
            <w:r>
              <w:rPr>
                <w:snapToGrid w:val="0"/>
              </w:rPr>
              <w:br/>
            </w:r>
            <w:r>
              <w:rPr>
                <w:snapToGrid w:val="0"/>
              </w:rPr>
              <w:br/>
            </w:r>
            <w:r>
              <w:t>$12.65</w:t>
            </w:r>
          </w:p>
        </w:tc>
      </w:tr>
      <w:tr>
        <w:trPr>
          <w:cantSplit/>
        </w:trPr>
        <w:tc>
          <w:tcPr>
            <w:tcW w:w="621" w:type="dxa"/>
          </w:tcPr>
          <w:p>
            <w:pPr>
              <w:pStyle w:val="yTableNAm"/>
              <w:rPr>
                <w:snapToGrid w:val="0"/>
              </w:rPr>
            </w:pPr>
            <w:r>
              <w:rPr>
                <w:snapToGrid w:val="0"/>
              </w:rPr>
              <w:t>22.</w:t>
            </w:r>
          </w:p>
        </w:tc>
        <w:tc>
          <w:tcPr>
            <w:tcW w:w="4911" w:type="dxa"/>
          </w:tcPr>
          <w:p>
            <w:pPr>
              <w:pStyle w:val="yTableNAm"/>
              <w:tabs>
                <w:tab w:val="clear" w:pos="567"/>
                <w:tab w:val="right" w:leader="dot" w:pos="4704"/>
              </w:tabs>
            </w:pPr>
            <w:r>
              <w:t>Inspection of a power of attorney document where the number is known</w:t>
            </w:r>
            <w:r>
              <w:rPr>
                <w:sz w:val="18"/>
              </w:rPr>
              <w:t xml:space="preserve"> </w:t>
            </w:r>
            <w:r>
              <w:tab/>
            </w:r>
          </w:p>
        </w:tc>
        <w:tc>
          <w:tcPr>
            <w:tcW w:w="1548" w:type="dxa"/>
          </w:tcPr>
          <w:p>
            <w:pPr>
              <w:pStyle w:val="yTableNAm"/>
              <w:rPr>
                <w:snapToGrid w:val="0"/>
              </w:rPr>
            </w:pPr>
            <w:r>
              <w:rPr>
                <w:snapToGrid w:val="0"/>
              </w:rPr>
              <w:br/>
            </w:r>
            <w:r>
              <w:t>$25.30</w:t>
            </w:r>
          </w:p>
        </w:tc>
      </w:tr>
      <w:tr>
        <w:trPr>
          <w:cantSplit/>
        </w:trPr>
        <w:tc>
          <w:tcPr>
            <w:tcW w:w="621" w:type="dxa"/>
          </w:tcPr>
          <w:p>
            <w:pPr>
              <w:pStyle w:val="yTableNAm"/>
              <w:rPr>
                <w:snapToGrid w:val="0"/>
              </w:rPr>
            </w:pPr>
            <w:r>
              <w:rPr>
                <w:snapToGrid w:val="0"/>
              </w:rPr>
              <w:t>23.</w:t>
            </w:r>
          </w:p>
        </w:tc>
        <w:tc>
          <w:tcPr>
            <w:tcW w:w="4911" w:type="dxa"/>
          </w:tcPr>
          <w:p>
            <w:pPr>
              <w:pStyle w:val="yTableNAm"/>
              <w:keepLines/>
              <w:pageBreakBefore/>
              <w:tabs>
                <w:tab w:val="clear" w:pos="567"/>
                <w:tab w:val="right" w:leader="dot" w:pos="4704"/>
              </w:tabs>
            </w:pPr>
            <w:r>
              <w:t xml:space="preserve">Copy of a power of </w:t>
            </w:r>
            <w:r>
              <w:rPr>
                <w:snapToGrid w:val="0"/>
              </w:rPr>
              <w:t>attorney</w:t>
            </w:r>
            <w:r>
              <w:t xml:space="preserve"> document where the number is known</w:t>
            </w:r>
            <w:r>
              <w:rPr>
                <w:sz w:val="18"/>
              </w:rPr>
              <w:t xml:space="preserve"> </w:t>
            </w:r>
            <w:r>
              <w:tab/>
            </w:r>
          </w:p>
        </w:tc>
        <w:tc>
          <w:tcPr>
            <w:tcW w:w="1548" w:type="dxa"/>
          </w:tcPr>
          <w:p>
            <w:pPr>
              <w:pStyle w:val="yTableNAm"/>
              <w:keepLines/>
              <w:pageBreakBefore/>
              <w:rPr>
                <w:snapToGrid w:val="0"/>
              </w:rPr>
            </w:pPr>
            <w:r>
              <w:rPr>
                <w:snapToGrid w:val="0"/>
              </w:rPr>
              <w:br/>
            </w:r>
            <w:r>
              <w:t>$25.30</w:t>
            </w:r>
          </w:p>
        </w:tc>
      </w:tr>
    </w:tbl>
    <w:p>
      <w:pPr>
        <w:pStyle w:val="yFootnotesection"/>
      </w:pPr>
      <w:r>
        <w:tab/>
        <w:t>[Division 6 inserted in Gazette 9 Jan 2009 p. 32-4; amended in Gazette 19 Jun 2009 p. 2238 and 2239</w:t>
      </w:r>
      <w:r>
        <w:noBreakHyphen/>
        <w:t>40; 18 Jun 2010 p. 2681-2; 14 Jun 2011 p. 2135; 22 Jun 2012 p. 2782; 19 Jun 2015 p. 2138</w:t>
      </w:r>
      <w:r>
        <w:noBreakHyphen/>
        <w:t>9; 24 Jun 2016 p. 2323-4; 23 Jun 2017 p. 3184</w:t>
      </w:r>
      <w:r>
        <w:noBreakHyphen/>
        <w:t>5.]</w:t>
      </w:r>
    </w:p>
    <w:p>
      <w:pPr>
        <w:pStyle w:val="yHeading3"/>
        <w:keepLines/>
      </w:pPr>
      <w:bookmarkStart w:id="61" w:name="_Toc501370310"/>
      <w:bookmarkStart w:id="62" w:name="_Toc504384250"/>
      <w:r>
        <w:rPr>
          <w:rStyle w:val="CharSDivNo"/>
        </w:rPr>
        <w:t>Division 7</w:t>
      </w:r>
      <w:r>
        <w:t> — </w:t>
      </w:r>
      <w:r>
        <w:rPr>
          <w:rStyle w:val="CharSDivText"/>
        </w:rPr>
        <w:t>Miscellaneous</w:t>
      </w:r>
      <w:bookmarkEnd w:id="61"/>
      <w:bookmarkEnd w:id="62"/>
    </w:p>
    <w:p>
      <w:pPr>
        <w:pStyle w:val="yFootnoteheading"/>
        <w:keepNext/>
        <w:keepLines/>
        <w:spacing w:after="120"/>
      </w:pPr>
      <w:r>
        <w:tab/>
        <w:t>[Heading inserted in Gazette 9 Jan 2009 p. 34.]</w:t>
      </w:r>
    </w:p>
    <w:tbl>
      <w:tblPr>
        <w:tblW w:w="7080" w:type="dxa"/>
        <w:tblInd w:w="108" w:type="dxa"/>
        <w:tblLayout w:type="fixed"/>
        <w:tblLook w:val="0000" w:firstRow="0" w:lastRow="0" w:firstColumn="0" w:lastColumn="0" w:noHBand="0" w:noVBand="0"/>
      </w:tblPr>
      <w:tblGrid>
        <w:gridCol w:w="600"/>
        <w:gridCol w:w="4920"/>
        <w:gridCol w:w="1560"/>
      </w:tblGrid>
      <w:tr>
        <w:trPr>
          <w:cantSplit/>
        </w:trPr>
        <w:tc>
          <w:tcPr>
            <w:tcW w:w="600" w:type="dxa"/>
          </w:tcPr>
          <w:p>
            <w:pPr>
              <w:pStyle w:val="yTableNAm"/>
              <w:rPr>
                <w:snapToGrid w:val="0"/>
              </w:rPr>
            </w:pPr>
            <w:r>
              <w:rPr>
                <w:snapToGrid w:val="0"/>
              </w:rPr>
              <w:t>1.</w:t>
            </w:r>
          </w:p>
        </w:tc>
        <w:tc>
          <w:tcPr>
            <w:tcW w:w="4920" w:type="dxa"/>
          </w:tcPr>
          <w:p>
            <w:pPr>
              <w:pStyle w:val="yTableNAm"/>
              <w:tabs>
                <w:tab w:val="clear" w:pos="567"/>
                <w:tab w:val="right" w:leader="dot" w:pos="4821"/>
              </w:tabs>
            </w:pPr>
            <w:r>
              <w:rPr>
                <w:snapToGrid w:val="0"/>
              </w:rPr>
              <w:t>For</w:t>
            </w:r>
            <w:r>
              <w:t xml:space="preserve"> advertising (</w:t>
            </w:r>
            <w:r>
              <w:rPr>
                <w:snapToGrid w:val="0"/>
              </w:rPr>
              <w:t>minimum</w:t>
            </w:r>
            <w:r>
              <w:t xml:space="preserve"> fee payable on lodgment of application, additional actual cost payable when actual cost is known) </w:t>
            </w:r>
            <w:r>
              <w:tab/>
            </w:r>
          </w:p>
        </w:tc>
        <w:tc>
          <w:tcPr>
            <w:tcW w:w="1560" w:type="dxa"/>
            <w:vAlign w:val="bottom"/>
          </w:tcPr>
          <w:p>
            <w:pPr>
              <w:pStyle w:val="yTableNAm"/>
            </w:pPr>
            <w:r>
              <w:br/>
            </w:r>
            <w:r>
              <w:br/>
              <w:t>$168.70</w:t>
            </w:r>
            <w:r>
              <w:br/>
              <w:t xml:space="preserve"> plus actual cost above $168.70</w:t>
            </w:r>
          </w:p>
        </w:tc>
      </w:tr>
      <w:tr>
        <w:trPr>
          <w:cantSplit/>
        </w:trPr>
        <w:tc>
          <w:tcPr>
            <w:tcW w:w="600" w:type="dxa"/>
          </w:tcPr>
          <w:p>
            <w:pPr>
              <w:pStyle w:val="yTableNAm"/>
              <w:keepNext/>
              <w:rPr>
                <w:snapToGrid w:val="0"/>
              </w:rPr>
            </w:pPr>
            <w:r>
              <w:rPr>
                <w:snapToGrid w:val="0"/>
              </w:rPr>
              <w:t>2.</w:t>
            </w:r>
          </w:p>
        </w:tc>
        <w:tc>
          <w:tcPr>
            <w:tcW w:w="4920" w:type="dxa"/>
          </w:tcPr>
          <w:p>
            <w:pPr>
              <w:pStyle w:val="yTableNAm"/>
              <w:keepNext/>
            </w:pPr>
            <w:r>
              <w:rPr>
                <w:snapToGrid w:val="0"/>
              </w:rPr>
              <w:t>For</w:t>
            </w:r>
            <w:r>
              <w:t xml:space="preserve"> — </w:t>
            </w:r>
          </w:p>
        </w:tc>
        <w:tc>
          <w:tcPr>
            <w:tcW w:w="1560" w:type="dxa"/>
          </w:tcPr>
          <w:p>
            <w:pPr>
              <w:pStyle w:val="yTableNAm"/>
              <w:keepNext/>
            </w:pPr>
          </w:p>
        </w:tc>
      </w:tr>
      <w:tr>
        <w:trPr>
          <w:cantSplit/>
        </w:trPr>
        <w:tc>
          <w:tcPr>
            <w:tcW w:w="600" w:type="dxa"/>
            <w:vAlign w:val="bottom"/>
          </w:tcPr>
          <w:p>
            <w:pPr>
              <w:pStyle w:val="yTableNAm"/>
              <w:rPr>
                <w:snapToGrid w:val="0"/>
              </w:rPr>
            </w:pPr>
          </w:p>
        </w:tc>
        <w:tc>
          <w:tcPr>
            <w:tcW w:w="4920" w:type="dxa"/>
            <w:vAlign w:val="bottom"/>
          </w:tcPr>
          <w:p>
            <w:pPr>
              <w:pStyle w:val="yTableNAm"/>
              <w:tabs>
                <w:tab w:val="clear" w:pos="567"/>
                <w:tab w:val="left" w:pos="261"/>
                <w:tab w:val="left" w:pos="831"/>
                <w:tab w:val="right" w:leader="dot" w:pos="4704"/>
              </w:tabs>
              <w:ind w:left="831" w:hanging="831"/>
              <w:rPr>
                <w:snapToGrid w:val="0"/>
              </w:rPr>
            </w:pPr>
            <w:r>
              <w:rPr>
                <w:snapToGrid w:val="0"/>
              </w:rPr>
              <w:tab/>
              <w:t>(a)</w:t>
            </w:r>
            <w:r>
              <w:rPr>
                <w:snapToGrid w:val="0"/>
              </w:rPr>
              <w:tab/>
              <w:t>a map or a colouring of a map on a copy of a certificate of title, Crown lease, deposited plan or other document; or</w:t>
            </w:r>
          </w:p>
        </w:tc>
        <w:tc>
          <w:tcPr>
            <w:tcW w:w="1560" w:type="dxa"/>
            <w:vAlign w:val="bottom"/>
          </w:tcPr>
          <w:p>
            <w:pPr>
              <w:pStyle w:val="yTableNAm"/>
            </w:pP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rPr>
                <w:snapToGrid w:val="0"/>
              </w:rPr>
            </w:pPr>
            <w:r>
              <w:rPr>
                <w:snapToGrid w:val="0"/>
              </w:rPr>
              <w:tab/>
              <w:t>(b)</w:t>
            </w:r>
            <w:r>
              <w:rPr>
                <w:snapToGrid w:val="0"/>
              </w:rPr>
              <w:tab/>
              <w:t>drafting of a deposited plan or other document; or</w:t>
            </w:r>
          </w:p>
          <w:p>
            <w:pPr>
              <w:pStyle w:val="yTableNAm"/>
              <w:tabs>
                <w:tab w:val="clear" w:pos="567"/>
                <w:tab w:val="left" w:pos="261"/>
                <w:tab w:val="left" w:pos="831"/>
                <w:tab w:val="right" w:leader="dot" w:pos="4821"/>
              </w:tabs>
              <w:ind w:left="831" w:hanging="831"/>
              <w:rPr>
                <w:snapToGrid w:val="0"/>
              </w:rPr>
            </w:pPr>
            <w:r>
              <w:rPr>
                <w:snapToGrid w:val="0"/>
              </w:rPr>
              <w:tab/>
            </w:r>
            <w:r>
              <w:t>(c)</w:t>
            </w:r>
            <w:r>
              <w:tab/>
              <w:t xml:space="preserve">the provision of consultancy services relating to project planning and project conveyancing </w:t>
            </w:r>
            <w:r>
              <w:tab/>
            </w:r>
          </w:p>
        </w:tc>
        <w:tc>
          <w:tcPr>
            <w:tcW w:w="1560" w:type="dxa"/>
          </w:tcPr>
          <w:p>
            <w:pPr>
              <w:pStyle w:val="yTableNAm"/>
              <w:rPr>
                <w:snapToGrid w:val="0"/>
              </w:rPr>
            </w:pPr>
            <w:r>
              <w:rPr>
                <w:snapToGrid w:val="0"/>
              </w:rPr>
              <w:br/>
            </w:r>
            <w:r>
              <w:rPr>
                <w:snapToGrid w:val="0"/>
              </w:rPr>
              <w:br/>
            </w:r>
          </w:p>
          <w:p>
            <w:pPr>
              <w:pStyle w:val="yTableNAm"/>
            </w:pPr>
            <w:r>
              <w:rPr>
                <w:snapToGrid w:val="0"/>
              </w:rPr>
              <w:br/>
            </w:r>
            <w:r>
              <w:t>fee as assessed by the Registrar, not exceeding actual cost</w:t>
            </w:r>
          </w:p>
        </w:tc>
      </w:tr>
      <w:tr>
        <w:trPr>
          <w:cantSplit/>
        </w:trPr>
        <w:tc>
          <w:tcPr>
            <w:tcW w:w="600" w:type="dxa"/>
          </w:tcPr>
          <w:p>
            <w:pPr>
              <w:pStyle w:val="yTableNAm"/>
              <w:rPr>
                <w:snapToGrid w:val="0"/>
              </w:rPr>
            </w:pPr>
            <w:r>
              <w:rPr>
                <w:snapToGrid w:val="0"/>
              </w:rPr>
              <w:t>3.</w:t>
            </w:r>
          </w:p>
        </w:tc>
        <w:tc>
          <w:tcPr>
            <w:tcW w:w="4920" w:type="dxa"/>
          </w:tcPr>
          <w:p>
            <w:pPr>
              <w:pStyle w:val="yTableNAm"/>
              <w:tabs>
                <w:tab w:val="clear" w:pos="567"/>
                <w:tab w:val="right" w:leader="dot" w:pos="4821"/>
              </w:tabs>
            </w:pPr>
            <w:r>
              <w:rPr>
                <w:snapToGrid w:val="0"/>
              </w:rPr>
              <w:t>For</w:t>
            </w:r>
            <w:r>
              <w:t xml:space="preserve"> dispensing with the production of a duplicate certificate of title or other instrument </w:t>
            </w:r>
            <w:r>
              <w:tab/>
            </w:r>
          </w:p>
        </w:tc>
        <w:tc>
          <w:tcPr>
            <w:tcW w:w="1560" w:type="dxa"/>
          </w:tcPr>
          <w:p>
            <w:pPr>
              <w:pStyle w:val="yTableNAm"/>
            </w:pPr>
            <w:r>
              <w:br/>
              <w:t>$147.00</w:t>
            </w:r>
          </w:p>
        </w:tc>
      </w:tr>
      <w:tr>
        <w:trPr>
          <w:cantSplit/>
        </w:trPr>
        <w:tc>
          <w:tcPr>
            <w:tcW w:w="600" w:type="dxa"/>
          </w:tcPr>
          <w:p>
            <w:pPr>
              <w:pStyle w:val="yTableNAm"/>
              <w:rPr>
                <w:snapToGrid w:val="0"/>
              </w:rPr>
            </w:pPr>
            <w:r>
              <w:rPr>
                <w:snapToGrid w:val="0"/>
              </w:rPr>
              <w:t>4.</w:t>
            </w:r>
          </w:p>
        </w:tc>
        <w:tc>
          <w:tcPr>
            <w:tcW w:w="4920" w:type="dxa"/>
          </w:tcPr>
          <w:p>
            <w:pPr>
              <w:pStyle w:val="yTableNAm"/>
              <w:tabs>
                <w:tab w:val="clear" w:pos="567"/>
                <w:tab w:val="right" w:leader="dot" w:pos="4821"/>
              </w:tabs>
            </w:pPr>
            <w:r>
              <w:rPr>
                <w:snapToGrid w:val="0"/>
              </w:rPr>
              <w:t>Supply</w:t>
            </w:r>
            <w:r>
              <w:t xml:space="preserve"> of statement of grounds </w:t>
            </w:r>
            <w:r>
              <w:tab/>
            </w:r>
          </w:p>
        </w:tc>
        <w:tc>
          <w:tcPr>
            <w:tcW w:w="1560" w:type="dxa"/>
          </w:tcPr>
          <w:p>
            <w:pPr>
              <w:pStyle w:val="yTableNAm"/>
            </w:pPr>
            <w:r>
              <w:t>$147.00</w:t>
            </w:r>
          </w:p>
        </w:tc>
      </w:tr>
      <w:tr>
        <w:trPr>
          <w:cantSplit/>
        </w:trPr>
        <w:tc>
          <w:tcPr>
            <w:tcW w:w="600" w:type="dxa"/>
          </w:tcPr>
          <w:p>
            <w:pPr>
              <w:pStyle w:val="yTableNAm"/>
              <w:rPr>
                <w:snapToGrid w:val="0"/>
              </w:rPr>
            </w:pPr>
            <w:r>
              <w:rPr>
                <w:snapToGrid w:val="0"/>
              </w:rPr>
              <w:t>5.</w:t>
            </w:r>
          </w:p>
        </w:tc>
        <w:tc>
          <w:tcPr>
            <w:tcW w:w="4920" w:type="dxa"/>
          </w:tcPr>
          <w:p>
            <w:pPr>
              <w:pStyle w:val="yTableNAm"/>
              <w:tabs>
                <w:tab w:val="clear" w:pos="567"/>
                <w:tab w:val="right" w:leader="dot" w:pos="4821"/>
              </w:tabs>
            </w:pPr>
            <w:r>
              <w:rPr>
                <w:snapToGrid w:val="0"/>
              </w:rPr>
              <w:t>Order</w:t>
            </w:r>
            <w:r>
              <w:t xml:space="preserve"> for stay of registration under section 148 of the Act </w:t>
            </w:r>
            <w:r>
              <w:tab/>
            </w:r>
          </w:p>
        </w:tc>
        <w:tc>
          <w:tcPr>
            <w:tcW w:w="1560" w:type="dxa"/>
          </w:tcPr>
          <w:p>
            <w:pPr>
              <w:pStyle w:val="yTableNAm"/>
            </w:pPr>
            <w:r>
              <w:br/>
              <w:t>$147.00</w:t>
            </w:r>
          </w:p>
        </w:tc>
      </w:tr>
      <w:tr>
        <w:trPr>
          <w:cantSplit/>
        </w:trPr>
        <w:tc>
          <w:tcPr>
            <w:tcW w:w="600" w:type="dxa"/>
          </w:tcPr>
          <w:p>
            <w:pPr>
              <w:pStyle w:val="yTableNAm"/>
              <w:rPr>
                <w:snapToGrid w:val="0"/>
              </w:rPr>
            </w:pPr>
            <w:r>
              <w:rPr>
                <w:snapToGrid w:val="0"/>
              </w:rPr>
              <w:t>6.</w:t>
            </w:r>
          </w:p>
        </w:tc>
        <w:tc>
          <w:tcPr>
            <w:tcW w:w="4920" w:type="dxa"/>
          </w:tcPr>
          <w:p>
            <w:pPr>
              <w:pStyle w:val="yTableNAm"/>
            </w:pPr>
            <w:r>
              <w:t>For requisitions raised on —</w:t>
            </w:r>
          </w:p>
        </w:tc>
        <w:tc>
          <w:tcPr>
            <w:tcW w:w="1560" w:type="dxa"/>
          </w:tcPr>
          <w:p>
            <w:pPr>
              <w:pStyle w:val="yTableNAm"/>
            </w:pP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(a)</w:t>
            </w:r>
            <w:r>
              <w:tab/>
              <w:t xml:space="preserve">a deposited plan or other survey document </w:t>
            </w:r>
            <w:r>
              <w:tab/>
            </w:r>
          </w:p>
        </w:tc>
        <w:tc>
          <w:tcPr>
            <w:tcW w:w="1560" w:type="dxa"/>
          </w:tcPr>
          <w:p>
            <w:pPr>
              <w:pStyle w:val="yTableNAm"/>
            </w:pPr>
            <w:r>
              <w:t>$110.00</w:t>
            </w:r>
          </w:p>
        </w:tc>
      </w:tr>
      <w:tr>
        <w:trPr>
          <w:cantSplit/>
        </w:trPr>
        <w:tc>
          <w:tcPr>
            <w:tcW w:w="600" w:type="dxa"/>
          </w:tcPr>
          <w:p>
            <w:pPr>
              <w:pStyle w:val="yTableNAm"/>
              <w:keepNext/>
              <w:rPr>
                <w:snapToGrid w:val="0"/>
              </w:rPr>
            </w:pPr>
          </w:p>
        </w:tc>
        <w:tc>
          <w:tcPr>
            <w:tcW w:w="4920" w:type="dxa"/>
          </w:tcPr>
          <w:p>
            <w:pPr>
              <w:pStyle w:val="yTableNAm"/>
              <w:tabs>
                <w:tab w:val="clear" w:pos="567"/>
                <w:tab w:val="left" w:pos="261"/>
                <w:tab w:val="left" w:pos="831"/>
                <w:tab w:val="right" w:leader="dot" w:pos="4821"/>
              </w:tabs>
              <w:ind w:left="831" w:hanging="831"/>
              <w:rPr>
                <w:snapToGrid w:val="0"/>
              </w:rPr>
            </w:pPr>
            <w:r>
              <w:rPr>
                <w:snapToGrid w:val="0"/>
              </w:rPr>
              <w:tab/>
              <w:t>(b)</w:t>
            </w:r>
            <w:r>
              <w:rPr>
                <w:snapToGrid w:val="0"/>
              </w:rPr>
              <w:tab/>
              <w:t xml:space="preserve">any other document </w:t>
            </w:r>
            <w:r>
              <w:rPr>
                <w:snapToGrid w:val="0"/>
              </w:rPr>
              <w:tab/>
            </w:r>
          </w:p>
        </w:tc>
        <w:tc>
          <w:tcPr>
            <w:tcW w:w="1560" w:type="dxa"/>
          </w:tcPr>
          <w:p>
            <w:pPr>
              <w:pStyle w:val="yTableNAm"/>
              <w:keepNext/>
            </w:pPr>
            <w:r>
              <w:t>$84.35</w:t>
            </w:r>
          </w:p>
        </w:tc>
      </w:tr>
      <w:tr>
        <w:trPr>
          <w:cantSplit/>
        </w:trPr>
        <w:tc>
          <w:tcPr>
            <w:tcW w:w="600" w:type="dxa"/>
          </w:tcPr>
          <w:p>
            <w:pPr>
              <w:pStyle w:val="yTableNAm"/>
              <w:rPr>
                <w:snapToGrid w:val="0"/>
              </w:rPr>
            </w:pPr>
            <w:r>
              <w:rPr>
                <w:snapToGrid w:val="0"/>
              </w:rPr>
              <w:t>7.</w:t>
            </w:r>
          </w:p>
        </w:tc>
        <w:tc>
          <w:tcPr>
            <w:tcW w:w="4920" w:type="dxa"/>
          </w:tcPr>
          <w:p>
            <w:pPr>
              <w:pStyle w:val="yTableNAm"/>
              <w:tabs>
                <w:tab w:val="clear" w:pos="567"/>
                <w:tab w:val="right" w:leader="dot" w:pos="4821"/>
              </w:tabs>
            </w:pPr>
            <w:r>
              <w:rPr>
                <w:snapToGrid w:val="0"/>
              </w:rPr>
              <w:t>For</w:t>
            </w:r>
            <w:r>
              <w:t xml:space="preserve"> amendments made to a deposited plan or other survey document on which requisitions have been raised </w:t>
            </w:r>
            <w:r>
              <w:tab/>
            </w:r>
          </w:p>
        </w:tc>
        <w:tc>
          <w:tcPr>
            <w:tcW w:w="1560" w:type="dxa"/>
          </w:tcPr>
          <w:p>
            <w:pPr>
              <w:pStyle w:val="yTableNAm"/>
            </w:pPr>
            <w:r>
              <w:br/>
            </w:r>
            <w:r>
              <w:br/>
              <w:t>fee as assessed by the Registrar, not exceeding actual cost</w:t>
            </w:r>
          </w:p>
        </w:tc>
      </w:tr>
      <w:tr>
        <w:trPr>
          <w:cantSplit/>
        </w:trPr>
        <w:tc>
          <w:tcPr>
            <w:tcW w:w="600" w:type="dxa"/>
          </w:tcPr>
          <w:p>
            <w:pPr>
              <w:pStyle w:val="yTableNAm"/>
              <w:rPr>
                <w:snapToGrid w:val="0"/>
              </w:rPr>
            </w:pPr>
            <w:r>
              <w:rPr>
                <w:snapToGrid w:val="0"/>
              </w:rPr>
              <w:t>8.</w:t>
            </w:r>
          </w:p>
        </w:tc>
        <w:tc>
          <w:tcPr>
            <w:tcW w:w="4920" w:type="dxa"/>
          </w:tcPr>
          <w:p>
            <w:pPr>
              <w:pStyle w:val="yTableNAm"/>
              <w:tabs>
                <w:tab w:val="clear" w:pos="567"/>
                <w:tab w:val="right" w:leader="dot" w:pos="4821"/>
              </w:tabs>
            </w:pPr>
            <w:r>
              <w:t xml:space="preserve">For serving a caveator with notice under section 138 or 141A of the Act — each caveat </w:t>
            </w:r>
            <w:r>
              <w:tab/>
            </w:r>
          </w:p>
        </w:tc>
        <w:tc>
          <w:tcPr>
            <w:tcW w:w="1560" w:type="dxa"/>
          </w:tcPr>
          <w:p>
            <w:pPr>
              <w:pStyle w:val="yTableNAm"/>
              <w:rPr>
                <w:snapToGrid w:val="0"/>
              </w:rPr>
            </w:pPr>
            <w:r>
              <w:rPr>
                <w:snapToGrid w:val="0"/>
              </w:rPr>
              <w:br/>
            </w:r>
            <w:r>
              <w:t>$147.00</w:t>
            </w:r>
          </w:p>
        </w:tc>
      </w:tr>
      <w:tr>
        <w:trPr>
          <w:cantSplit/>
        </w:trPr>
        <w:tc>
          <w:tcPr>
            <w:tcW w:w="600" w:type="dxa"/>
          </w:tcPr>
          <w:p>
            <w:pPr>
              <w:pStyle w:val="yTableNAm"/>
              <w:rPr>
                <w:snapToGrid w:val="0"/>
              </w:rPr>
            </w:pPr>
            <w:r>
              <w:rPr>
                <w:snapToGrid w:val="0"/>
              </w:rPr>
              <w:t>9.</w:t>
            </w:r>
          </w:p>
        </w:tc>
        <w:tc>
          <w:tcPr>
            <w:tcW w:w="4920" w:type="dxa"/>
          </w:tcPr>
          <w:p>
            <w:pPr>
              <w:pStyle w:val="yTableNAm"/>
              <w:tabs>
                <w:tab w:val="clear" w:pos="567"/>
                <w:tab w:val="right" w:leader="dot" w:pos="4821"/>
              </w:tabs>
            </w:pPr>
            <w:r>
              <w:t xml:space="preserve">Cancellation of a deposited plan </w:t>
            </w:r>
            <w:r>
              <w:tab/>
            </w:r>
          </w:p>
        </w:tc>
        <w:tc>
          <w:tcPr>
            <w:tcW w:w="1560" w:type="dxa"/>
          </w:tcPr>
          <w:p>
            <w:pPr>
              <w:pStyle w:val="yTableNAm"/>
              <w:rPr>
                <w:snapToGrid w:val="0"/>
              </w:rPr>
            </w:pPr>
            <w:r>
              <w:t>$210.00</w:t>
            </w:r>
          </w:p>
        </w:tc>
      </w:tr>
      <w:tr>
        <w:trPr>
          <w:cantSplit/>
        </w:trPr>
        <w:tc>
          <w:tcPr>
            <w:tcW w:w="600" w:type="dxa"/>
          </w:tcPr>
          <w:p>
            <w:pPr>
              <w:pStyle w:val="yTableNAm"/>
              <w:rPr>
                <w:snapToGrid w:val="0"/>
              </w:rPr>
            </w:pPr>
            <w:r>
              <w:rPr>
                <w:snapToGrid w:val="0"/>
              </w:rPr>
              <w:t>10.</w:t>
            </w:r>
          </w:p>
        </w:tc>
        <w:tc>
          <w:tcPr>
            <w:tcW w:w="4920" w:type="dxa"/>
          </w:tcPr>
          <w:p>
            <w:pPr>
              <w:pStyle w:val="yTableNAm"/>
              <w:tabs>
                <w:tab w:val="clear" w:pos="567"/>
                <w:tab w:val="right" w:leader="dot" w:pos="4821"/>
              </w:tabs>
            </w:pPr>
            <w:r>
              <w:t xml:space="preserve">Search of an historic tenure </w:t>
            </w:r>
            <w:r>
              <w:tab/>
            </w:r>
          </w:p>
        </w:tc>
        <w:tc>
          <w:tcPr>
            <w:tcW w:w="1560" w:type="dxa"/>
          </w:tcPr>
          <w:p>
            <w:pPr>
              <w:pStyle w:val="yTableNAm"/>
              <w:rPr>
                <w:snapToGrid w:val="0"/>
              </w:rPr>
            </w:pPr>
            <w:r>
              <w:t>fee as assessed by the Registrar, not exceeding actual cost</w:t>
            </w:r>
          </w:p>
        </w:tc>
      </w:tr>
      <w:tr>
        <w:trPr>
          <w:cantSplit/>
        </w:trPr>
        <w:tc>
          <w:tcPr>
            <w:tcW w:w="600" w:type="dxa"/>
          </w:tcPr>
          <w:p>
            <w:pPr>
              <w:pStyle w:val="yTableNAm"/>
              <w:rPr>
                <w:snapToGrid w:val="0"/>
              </w:rPr>
            </w:pPr>
            <w:r>
              <w:rPr>
                <w:snapToGrid w:val="0"/>
              </w:rPr>
              <w:t>11.</w:t>
            </w:r>
          </w:p>
        </w:tc>
        <w:tc>
          <w:tcPr>
            <w:tcW w:w="4920" w:type="dxa"/>
          </w:tcPr>
          <w:p>
            <w:pPr>
              <w:pStyle w:val="yTableNAm"/>
              <w:tabs>
                <w:tab w:val="clear" w:pos="567"/>
                <w:tab w:val="right" w:leader="dot" w:pos="4821"/>
              </w:tabs>
            </w:pPr>
            <w:r>
              <w:t xml:space="preserve">Providing a replica of a certificate of title, plan or document registered in the State </w:t>
            </w:r>
            <w:r>
              <w:tab/>
            </w:r>
          </w:p>
        </w:tc>
        <w:tc>
          <w:tcPr>
            <w:tcW w:w="1560" w:type="dxa"/>
          </w:tcPr>
          <w:p>
            <w:pPr>
              <w:pStyle w:val="yTableNAm"/>
            </w:pPr>
            <w:r>
              <w:br/>
              <w:t>actual cost</w:t>
            </w:r>
          </w:p>
        </w:tc>
      </w:tr>
      <w:tr>
        <w:trPr>
          <w:cantSplit/>
        </w:trPr>
        <w:tc>
          <w:tcPr>
            <w:tcW w:w="5520" w:type="dxa"/>
            <w:gridSpan w:val="2"/>
          </w:tcPr>
          <w:p>
            <w:pPr>
              <w:pStyle w:val="yTableNAm"/>
              <w:rPr>
                <w:i/>
              </w:rPr>
            </w:pPr>
            <w:r>
              <w:rPr>
                <w:i/>
              </w:rPr>
              <w:t>[</w:t>
            </w:r>
            <w:r>
              <w:rPr>
                <w:bCs/>
                <w:i/>
              </w:rPr>
              <w:t xml:space="preserve">12, 13.  </w:t>
            </w:r>
            <w:r>
              <w:rPr>
                <w:i/>
              </w:rPr>
              <w:t>deleted]</w:t>
            </w:r>
          </w:p>
        </w:tc>
        <w:tc>
          <w:tcPr>
            <w:tcW w:w="1560" w:type="dxa"/>
          </w:tcPr>
          <w:p>
            <w:pPr>
              <w:pStyle w:val="yTableNAm"/>
              <w:rPr>
                <w:snapToGrid w:val="0"/>
              </w:rPr>
            </w:pPr>
          </w:p>
        </w:tc>
      </w:tr>
      <w:tr>
        <w:trPr>
          <w:cantSplit/>
        </w:trPr>
        <w:tc>
          <w:tcPr>
            <w:tcW w:w="600" w:type="dxa"/>
          </w:tcPr>
          <w:p>
            <w:pPr>
              <w:pStyle w:val="yTableNAm"/>
              <w:rPr>
                <w:snapToGrid w:val="0"/>
              </w:rPr>
            </w:pPr>
            <w:r>
              <w:rPr>
                <w:snapToGrid w:val="0"/>
              </w:rPr>
              <w:t>14.</w:t>
            </w:r>
          </w:p>
        </w:tc>
        <w:tc>
          <w:tcPr>
            <w:tcW w:w="4920" w:type="dxa"/>
          </w:tcPr>
          <w:p>
            <w:pPr>
              <w:pStyle w:val="yTableNAm"/>
              <w:tabs>
                <w:tab w:val="clear" w:pos="567"/>
                <w:tab w:val="right" w:leader="dot" w:pos="4821"/>
              </w:tabs>
            </w:pPr>
            <w:r>
              <w:t xml:space="preserve">For registrations and recordings under Division 1, lodgments under Division 2 and applications under Division 4 — involving more than 20 certificates or leases — each certificate or lease in excess of 20 </w:t>
            </w:r>
            <w:r>
              <w:tab/>
            </w:r>
          </w:p>
        </w:tc>
        <w:tc>
          <w:tcPr>
            <w:tcW w:w="1560" w:type="dxa"/>
          </w:tcPr>
          <w:p>
            <w:pPr>
              <w:pStyle w:val="yTableNAm"/>
            </w:pPr>
            <w:r>
              <w:br/>
            </w:r>
            <w:r>
              <w:br/>
            </w:r>
            <w:r>
              <w:br/>
              <w:t>$6.10</w:t>
            </w:r>
          </w:p>
        </w:tc>
      </w:tr>
    </w:tbl>
    <w:p>
      <w:pPr>
        <w:pStyle w:val="yFootnotesection"/>
      </w:pPr>
      <w:r>
        <w:tab/>
        <w:t>[Division 7 inserted in Gazette 9 Jan 2009 p. 34-6; amended in Gazette 19 Jun 2009 p. 2238 and 2240</w:t>
      </w:r>
      <w:r>
        <w:noBreakHyphen/>
        <w:t>1; 18 Jun 2010 p. 2682; 14 Jun 2011 p. 2136; 22 Jun 2012 p. 2782-3; 26 Jul 2013 p. 3348; 19 Jun 2015 p. 2139; 22 Mar 2016 p. 836; 24 Jun 2016 p. 2322 and 2324; 23 Jun 2017 p. 3185.]</w:t>
      </w:r>
    </w:p>
    <w:p>
      <w:pPr>
        <w:pStyle w:val="yScheduleHeading"/>
      </w:pPr>
      <w:bookmarkStart w:id="63" w:name="_Toc501370311"/>
      <w:bookmarkStart w:id="64" w:name="_Toc504384251"/>
      <w:r>
        <w:rPr>
          <w:rStyle w:val="CharSchNo"/>
        </w:rPr>
        <w:t>Schedule 2</w:t>
      </w:r>
      <w:r>
        <w:rPr>
          <w:rStyle w:val="CharSDivNo"/>
        </w:rPr>
        <w:t> </w:t>
      </w:r>
      <w:r>
        <w:t>—</w:t>
      </w:r>
      <w:r>
        <w:rPr>
          <w:rStyle w:val="CharSDivText"/>
        </w:rPr>
        <w:t> </w:t>
      </w:r>
      <w:r>
        <w:rPr>
          <w:rStyle w:val="CharSchText"/>
        </w:rPr>
        <w:t>Services and matters for which fees cannot be charged</w:t>
      </w:r>
      <w:bookmarkEnd w:id="63"/>
      <w:bookmarkEnd w:id="64"/>
    </w:p>
    <w:p>
      <w:pPr>
        <w:pStyle w:val="yShoulderClause"/>
        <w:rPr>
          <w:snapToGrid w:val="0"/>
        </w:rPr>
      </w:pPr>
      <w:r>
        <w:t>[r. 9A(8)]</w:t>
      </w:r>
    </w:p>
    <w:p>
      <w:pPr>
        <w:pStyle w:val="yFootnotesection"/>
      </w:pPr>
      <w:r>
        <w:tab/>
        <w:t>[Heading amended in Gazette 27 May 2005 p. 2295; 22 May 2009 p. 1705.]</w:t>
      </w:r>
    </w:p>
    <w:p>
      <w:pPr>
        <w:pStyle w:val="yNumberedItem"/>
        <w:rPr>
          <w:snapToGrid w:val="0"/>
        </w:rPr>
      </w:pPr>
      <w:r>
        <w:rPr>
          <w:snapToGrid w:val="0"/>
        </w:rPr>
        <w:t>1.</w:t>
      </w:r>
      <w:r>
        <w:rPr>
          <w:snapToGrid w:val="0"/>
        </w:rPr>
        <w:tab/>
        <w:t>Lodgment or withdrawal of a memorial under —</w:t>
      </w:r>
    </w:p>
    <w:p>
      <w:pPr>
        <w:pStyle w:val="yIndenta"/>
        <w:rPr>
          <w:snapToGrid w:val="0"/>
        </w:rPr>
      </w:pPr>
      <w:r>
        <w:rPr>
          <w:snapToGrid w:val="0"/>
        </w:rPr>
        <w:tab/>
        <w:t>(a)</w:t>
      </w:r>
      <w:r>
        <w:rPr>
          <w:snapToGrid w:val="0"/>
        </w:rPr>
        <w:tab/>
        <w:t xml:space="preserve">the </w:t>
      </w:r>
      <w:r>
        <w:rPr>
          <w:i/>
          <w:iCs/>
          <w:snapToGrid w:val="0"/>
        </w:rPr>
        <w:t>Local Government Act 1995</w:t>
      </w:r>
      <w:r>
        <w:rPr>
          <w:snapToGrid w:val="0"/>
        </w:rPr>
        <w:t xml:space="preserve"> Schedule 6.3 clause 2; or</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 xml:space="preserve">the </w:t>
      </w:r>
      <w:r>
        <w:rPr>
          <w:i/>
          <w:iCs/>
          <w:snapToGrid w:val="0"/>
        </w:rPr>
        <w:t>Country Areas Water Supply Act 1947</w:t>
      </w:r>
      <w:r>
        <w:rPr>
          <w:snapToGrid w:val="0"/>
        </w:rPr>
        <w:t xml:space="preserve"> section 12BA, 12BB or </w:t>
      </w:r>
      <w:r>
        <w:t>12EA.</w:t>
      </w:r>
    </w:p>
    <w:p>
      <w:pPr>
        <w:pStyle w:val="yNumberedItem"/>
      </w:pPr>
      <w:r>
        <w:t>2A.</w:t>
      </w:r>
      <w:r>
        <w:tab/>
      </w:r>
      <w:r>
        <w:rPr>
          <w:snapToGrid w:val="0"/>
        </w:rPr>
        <w:t>Registration</w:t>
      </w:r>
      <w:r>
        <w:t xml:space="preserve"> or revocation of an environmental protection notice under the </w:t>
      </w:r>
      <w:r>
        <w:rPr>
          <w:i/>
        </w:rPr>
        <w:t>Environmental Protection Act 1986</w:t>
      </w:r>
      <w:r>
        <w:t xml:space="preserve"> section 66.</w:t>
      </w:r>
    </w:p>
    <w:p>
      <w:pPr>
        <w:pStyle w:val="yNumberedItem"/>
        <w:rPr>
          <w:snapToGrid w:val="0"/>
        </w:rPr>
      </w:pPr>
      <w:r>
        <w:rPr>
          <w:snapToGrid w:val="0"/>
        </w:rPr>
        <w:t>2.</w:t>
      </w:r>
      <w:r>
        <w:rPr>
          <w:snapToGrid w:val="0"/>
        </w:rPr>
        <w:tab/>
        <w:t>In respect of the transfer of loans for housing to financial institutions participating in the Home Buyers Guarantee Scheme of the State from other financial institutions, fees for the registration of a mortgage or the discharge of a mortgage, photocopy of a certificate of title, search of a deposited plan, plan, diagram or other document and photocopying or check search.</w:t>
      </w:r>
    </w:p>
    <w:p>
      <w:pPr>
        <w:pStyle w:val="yNumberedItem"/>
        <w:rPr>
          <w:snapToGrid w:val="0"/>
        </w:rPr>
      </w:pPr>
      <w:r>
        <w:rPr>
          <w:snapToGrid w:val="0"/>
        </w:rPr>
        <w:t>3.</w:t>
      </w:r>
      <w:r>
        <w:rPr>
          <w:snapToGrid w:val="0"/>
        </w:rPr>
        <w:tab/>
        <w:t>In respect of the lodging by a person of or the use by a third party of a duplicate certificate of title or lease for a purpose referred to in item 1 or 2.</w:t>
      </w:r>
    </w:p>
    <w:p>
      <w:pPr>
        <w:pStyle w:val="yNumberedItem"/>
        <w:rPr>
          <w:snapToGrid w:val="0"/>
        </w:rPr>
      </w:pPr>
      <w:r>
        <w:rPr>
          <w:snapToGrid w:val="0"/>
        </w:rPr>
        <w:t>4.</w:t>
      </w:r>
      <w:r>
        <w:rPr>
          <w:snapToGrid w:val="0"/>
        </w:rPr>
        <w:tab/>
        <w:t>To amend the address of the registered proprietor on the certificate of title.</w:t>
      </w:r>
    </w:p>
    <w:p>
      <w:pPr>
        <w:pStyle w:val="yNumberedItem"/>
        <w:rPr>
          <w:snapToGrid w:val="0"/>
        </w:rPr>
      </w:pPr>
      <w:r>
        <w:rPr>
          <w:snapToGrid w:val="0"/>
        </w:rPr>
        <w:t>5.</w:t>
      </w:r>
      <w:r>
        <w:rPr>
          <w:snapToGrid w:val="0"/>
        </w:rPr>
        <w:tab/>
        <w:t>An application for the issue of a Crown land title or qualified Crown land title for Crown land and an endorsement on that title of details of —</w:t>
      </w:r>
    </w:p>
    <w:p>
      <w:pPr>
        <w:pStyle w:val="yNumberedItemPara"/>
        <w:rPr>
          <w:snapToGrid w:val="0"/>
        </w:rPr>
      </w:pPr>
      <w:r>
        <w:rPr>
          <w:snapToGrid w:val="0"/>
        </w:rPr>
        <w:tab/>
        <w:t>(a)</w:t>
      </w:r>
      <w:r>
        <w:rPr>
          <w:snapToGrid w:val="0"/>
        </w:rPr>
        <w:tab/>
        <w:t xml:space="preserve">the creation of a reserve under the </w:t>
      </w:r>
      <w:r>
        <w:rPr>
          <w:i/>
          <w:snapToGrid w:val="0"/>
        </w:rPr>
        <w:t>Conservation and Land Management Act 1984</w:t>
      </w:r>
      <w:r>
        <w:rPr>
          <w:snapToGrid w:val="0"/>
        </w:rPr>
        <w:t xml:space="preserve"> section 8, 10 or 13;</w:t>
      </w:r>
    </w:p>
    <w:p>
      <w:pPr>
        <w:pStyle w:val="yNumberedItemPara"/>
        <w:rPr>
          <w:snapToGrid w:val="0"/>
        </w:rPr>
      </w:pPr>
      <w:r>
        <w:rPr>
          <w:snapToGrid w:val="0"/>
        </w:rPr>
        <w:tab/>
        <w:t>(b)</w:t>
      </w:r>
      <w:r>
        <w:rPr>
          <w:snapToGrid w:val="0"/>
        </w:rPr>
        <w:tab/>
        <w:t xml:space="preserve">matters to which the </w:t>
      </w:r>
      <w:r>
        <w:rPr>
          <w:i/>
          <w:snapToGrid w:val="0"/>
        </w:rPr>
        <w:t>Marine and Harbours Act 1981</w:t>
      </w:r>
      <w:r>
        <w:rPr>
          <w:snapToGrid w:val="0"/>
        </w:rPr>
        <w:t xml:space="preserve"> section 9 or 10 applies;</w:t>
      </w:r>
    </w:p>
    <w:p>
      <w:pPr>
        <w:pStyle w:val="yNumberedItemPara"/>
        <w:rPr>
          <w:snapToGrid w:val="0"/>
        </w:rPr>
      </w:pPr>
      <w:r>
        <w:rPr>
          <w:snapToGrid w:val="0"/>
        </w:rPr>
        <w:tab/>
        <w:t>(c)</w:t>
      </w:r>
      <w:r>
        <w:rPr>
          <w:snapToGrid w:val="0"/>
        </w:rPr>
        <w:tab/>
        <w:t xml:space="preserve">proclamations or notices under the </w:t>
      </w:r>
      <w:r>
        <w:rPr>
          <w:i/>
          <w:snapToGrid w:val="0"/>
        </w:rPr>
        <w:t>Mining Act 1978</w:t>
      </w:r>
      <w:r>
        <w:rPr>
          <w:snapToGrid w:val="0"/>
        </w:rPr>
        <w:t>;</w:t>
      </w:r>
    </w:p>
    <w:p>
      <w:pPr>
        <w:pStyle w:val="yNumberedItemPara"/>
        <w:rPr>
          <w:snapToGrid w:val="0"/>
        </w:rPr>
      </w:pPr>
      <w:r>
        <w:rPr>
          <w:snapToGrid w:val="0"/>
        </w:rPr>
        <w:tab/>
        <w:t>(d)</w:t>
      </w:r>
      <w:r>
        <w:rPr>
          <w:snapToGrid w:val="0"/>
        </w:rPr>
        <w:tab/>
        <w:t xml:space="preserve">a vesting in a port authority established under the </w:t>
      </w:r>
      <w:r>
        <w:rPr>
          <w:i/>
          <w:snapToGrid w:val="0"/>
        </w:rPr>
        <w:t>Port Authorities Act 1999</w:t>
      </w:r>
      <w:r>
        <w:rPr>
          <w:snapToGrid w:val="0"/>
        </w:rPr>
        <w:t>;</w:t>
      </w:r>
    </w:p>
    <w:p>
      <w:pPr>
        <w:pStyle w:val="yNumberedItemPara"/>
        <w:rPr>
          <w:snapToGrid w:val="0"/>
        </w:rPr>
      </w:pPr>
      <w:r>
        <w:rPr>
          <w:snapToGrid w:val="0"/>
        </w:rPr>
        <w:tab/>
        <w:t>(e)</w:t>
      </w:r>
      <w:r>
        <w:rPr>
          <w:snapToGrid w:val="0"/>
        </w:rPr>
        <w:tab/>
        <w:t xml:space="preserve">the declaration of a water reserve or catchment area under the </w:t>
      </w:r>
      <w:r>
        <w:rPr>
          <w:i/>
          <w:snapToGrid w:val="0"/>
        </w:rPr>
        <w:t>Metropolitan Water Supply, Sewerage, and Drainage Act 1909</w:t>
      </w:r>
      <w:r>
        <w:rPr>
          <w:snapToGrid w:val="0"/>
        </w:rPr>
        <w:t xml:space="preserve"> section 13;</w:t>
      </w:r>
    </w:p>
    <w:p>
      <w:pPr>
        <w:pStyle w:val="yNumberedItemPara"/>
        <w:rPr>
          <w:snapToGrid w:val="0"/>
        </w:rPr>
      </w:pPr>
      <w:r>
        <w:rPr>
          <w:snapToGrid w:val="0"/>
        </w:rPr>
        <w:tab/>
        <w:t>(f)</w:t>
      </w:r>
      <w:r>
        <w:rPr>
          <w:snapToGrid w:val="0"/>
        </w:rPr>
        <w:tab/>
        <w:t xml:space="preserve">a soil conservation reserve under the </w:t>
      </w:r>
      <w:r>
        <w:rPr>
          <w:i/>
          <w:snapToGrid w:val="0"/>
        </w:rPr>
        <w:t>Soil and Land Conservation Act 1945</w:t>
      </w:r>
      <w:r>
        <w:rPr>
          <w:snapToGrid w:val="0"/>
        </w:rPr>
        <w:t xml:space="preserve"> section 22 or 26.</w:t>
      </w:r>
    </w:p>
    <w:p>
      <w:pPr>
        <w:pStyle w:val="yNumberedItem"/>
        <w:rPr>
          <w:snapToGrid w:val="0"/>
        </w:rPr>
      </w:pPr>
      <w:r>
        <w:rPr>
          <w:snapToGrid w:val="0"/>
        </w:rPr>
        <w:t>6.</w:t>
      </w:r>
      <w:r>
        <w:rPr>
          <w:snapToGrid w:val="0"/>
        </w:rPr>
        <w:tab/>
        <w:t>Creation and registration of a certificate of title by the Registrar under regulation 4 (if different from the applicant’s request) or regulation 5.</w:t>
      </w:r>
    </w:p>
    <w:p>
      <w:pPr>
        <w:pStyle w:val="yNumberedItem"/>
        <w:rPr>
          <w:snapToGrid w:val="0"/>
        </w:rPr>
      </w:pPr>
      <w:r>
        <w:rPr>
          <w:snapToGrid w:val="0"/>
        </w:rPr>
        <w:t>7.</w:t>
      </w:r>
      <w:r>
        <w:rPr>
          <w:snapToGrid w:val="0"/>
        </w:rPr>
        <w:tab/>
        <w:t>Lodgments by or on behalf of the Registrar.</w:t>
      </w:r>
    </w:p>
    <w:p>
      <w:pPr>
        <w:pStyle w:val="yNumberedItem"/>
        <w:rPr>
          <w:snapToGrid w:val="0"/>
        </w:rPr>
      </w:pPr>
      <w:r>
        <w:rPr>
          <w:snapToGrid w:val="0"/>
        </w:rPr>
        <w:t>8.</w:t>
      </w:r>
      <w:r>
        <w:rPr>
          <w:snapToGrid w:val="0"/>
        </w:rPr>
        <w:tab/>
        <w:t>Lodgment of a dealing</w:t>
      </w:r>
      <w:r>
        <w:t>, deposited plan</w:t>
      </w:r>
      <w:r>
        <w:rPr>
          <w:snapToGrid w:val="0"/>
        </w:rPr>
        <w:t xml:space="preserve"> or other document by or on behalf of the Minister for Lands (other than such a lodgment by the Minister on behalf of another person).</w:t>
      </w:r>
    </w:p>
    <w:p>
      <w:pPr>
        <w:pStyle w:val="yNumberedItem"/>
      </w:pPr>
      <w:r>
        <w:rPr>
          <w:snapToGrid w:val="0"/>
        </w:rPr>
        <w:t>9.</w:t>
      </w:r>
      <w:r>
        <w:rPr>
          <w:snapToGrid w:val="0"/>
        </w:rPr>
        <w:tab/>
      </w:r>
      <w:r>
        <w:t>An application for the issue of a duplicate certificate of title where a duplicate certificate of title was not issued on the registration of the certificate of title.</w:t>
      </w:r>
    </w:p>
    <w:p>
      <w:pPr>
        <w:pStyle w:val="yNumberedItem"/>
        <w:rPr>
          <w:snapToGrid w:val="0"/>
        </w:rPr>
      </w:pPr>
      <w:r>
        <w:t>10.</w:t>
      </w:r>
      <w:r>
        <w:tab/>
        <w:t>An application for information not to be inspected as part of the names index.</w:t>
      </w:r>
    </w:p>
    <w:p>
      <w:pPr>
        <w:pStyle w:val="yFootnotesection"/>
      </w:pPr>
      <w:r>
        <w:tab/>
        <w:t>[Schedule 2 amended in Gazette 25 Jun 2007 p. 2978; 20 Jun 2008 p. 2717; 13 Apr 2012 p. 1659; 26 Jul 2013 p. 3349; 23 Jun 2017 p. 3185.]</w:t>
      </w:r>
    </w:p>
    <w:p>
      <w:pPr>
        <w:pStyle w:val="yEdnoteschedule"/>
      </w:pPr>
      <w:r>
        <w:t>[Schedule 3 deleted in Gazette 19 Jun 2009 p. 2241.]</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Ednoteschedule"/>
        <w:sectPr>
          <w:headerReference w:type="even" r:id="rId27"/>
          <w:headerReference w:type="default" r:id="rId28"/>
          <w:headerReference w:type="first" r:id="rId29"/>
          <w:endnotePr>
            <w:numFmt w:val="decimal"/>
          </w:endnotePr>
          <w:pgSz w:w="11907" w:h="16840" w:code="9"/>
          <w:pgMar w:top="2381" w:right="2409" w:bottom="3543" w:left="2409" w:header="720" w:footer="3380" w:gutter="0"/>
          <w:cols w:space="720"/>
          <w:noEndnote/>
          <w:docGrid w:linePitch="326"/>
        </w:sectPr>
      </w:pPr>
    </w:p>
    <w:p>
      <w:pPr>
        <w:pStyle w:val="nHeading2"/>
      </w:pPr>
      <w:bookmarkStart w:id="66" w:name="_Toc501370312"/>
      <w:bookmarkStart w:id="67" w:name="_Toc504384252"/>
      <w:r>
        <w:t>Notes</w:t>
      </w:r>
      <w:bookmarkEnd w:id="66"/>
      <w:bookmarkEnd w:id="67"/>
    </w:p>
    <w:p>
      <w:pPr>
        <w:pStyle w:val="nSubsection"/>
      </w:pPr>
      <w:r>
        <w:rPr>
          <w:vertAlign w:val="superscript"/>
        </w:rPr>
        <w:t>1</w:t>
      </w:r>
      <w:r>
        <w:tab/>
        <w:t xml:space="preserve">This reprint is a compilation as at 19 January 2018 of the </w:t>
      </w:r>
      <w:r>
        <w:rPr>
          <w:i/>
          <w:noProof/>
        </w:rPr>
        <w:t>Transfer of Land Regulations 2004</w:t>
      </w:r>
      <w:r>
        <w:t xml:space="preserve"> and includes the amendments made by the other written laws referred to in the following table.  The table also contains information about any reprint.</w:t>
      </w:r>
    </w:p>
    <w:p>
      <w:pPr>
        <w:pStyle w:val="nHeading3"/>
        <w:rPr>
          <w:snapToGrid w:val="0"/>
        </w:rPr>
      </w:pPr>
      <w:bookmarkStart w:id="68" w:name="_Toc504384253"/>
      <w:r>
        <w:rPr>
          <w:snapToGrid w:val="0"/>
        </w:rPr>
        <w:t>Compilation table</w:t>
      </w:r>
      <w:bookmarkEnd w:id="6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Transfer of Land Regulations 2004</w:t>
            </w:r>
          </w:p>
        </w:tc>
        <w:tc>
          <w:tcPr>
            <w:tcW w:w="1276" w:type="dxa"/>
            <w:tcBorders>
              <w:top w:val="single" w:sz="8" w:space="0" w:color="auto"/>
            </w:tcBorders>
          </w:tcPr>
          <w:p>
            <w:pPr>
              <w:pStyle w:val="nTable"/>
              <w:spacing w:after="40"/>
            </w:pPr>
            <w:r>
              <w:t>2 Sep 2004 p. 3829</w:t>
            </w:r>
            <w:r>
              <w:noBreakHyphen/>
              <w:t>46</w:t>
            </w:r>
          </w:p>
        </w:tc>
        <w:tc>
          <w:tcPr>
            <w:tcW w:w="2693" w:type="dxa"/>
            <w:tcBorders>
              <w:top w:val="single" w:sz="8" w:space="0" w:color="auto"/>
            </w:tcBorders>
          </w:tcPr>
          <w:p>
            <w:pPr>
              <w:pStyle w:val="nTable"/>
              <w:spacing w:after="40"/>
            </w:pPr>
            <w:r>
              <w:t>6 Sep 2004 (see r. 2)</w:t>
            </w:r>
          </w:p>
        </w:tc>
      </w:tr>
      <w:tr>
        <w:tc>
          <w:tcPr>
            <w:tcW w:w="3118" w:type="dxa"/>
          </w:tcPr>
          <w:p>
            <w:pPr>
              <w:pStyle w:val="nTable"/>
              <w:spacing w:after="40"/>
              <w:rPr>
                <w:i/>
              </w:rPr>
            </w:pPr>
            <w:r>
              <w:rPr>
                <w:i/>
              </w:rPr>
              <w:t>Transfer of Land Amendment Regulations 2005</w:t>
            </w:r>
          </w:p>
        </w:tc>
        <w:tc>
          <w:tcPr>
            <w:tcW w:w="1276" w:type="dxa"/>
          </w:tcPr>
          <w:p>
            <w:pPr>
              <w:pStyle w:val="nTable"/>
              <w:spacing w:after="40"/>
            </w:pPr>
            <w:r>
              <w:t>27 May 2005 p. 2293</w:t>
            </w:r>
            <w:r>
              <w:noBreakHyphen/>
              <w:t>5</w:t>
            </w:r>
          </w:p>
        </w:tc>
        <w:tc>
          <w:tcPr>
            <w:tcW w:w="2693" w:type="dxa"/>
          </w:tcPr>
          <w:p>
            <w:pPr>
              <w:pStyle w:val="nTable"/>
              <w:spacing w:after="40"/>
            </w:pPr>
            <w:r>
              <w:t>27 May 2005</w:t>
            </w:r>
          </w:p>
        </w:tc>
      </w:tr>
      <w:tr>
        <w:tc>
          <w:tcPr>
            <w:tcW w:w="3118" w:type="dxa"/>
          </w:tcPr>
          <w:p>
            <w:pPr>
              <w:pStyle w:val="nTable"/>
              <w:spacing w:after="40"/>
              <w:rPr>
                <w:i/>
              </w:rPr>
            </w:pPr>
            <w:r>
              <w:rPr>
                <w:i/>
              </w:rPr>
              <w:t>Transfer of Land Amendment Regulations (No. 3) 2005</w:t>
            </w:r>
          </w:p>
        </w:tc>
        <w:tc>
          <w:tcPr>
            <w:tcW w:w="1276" w:type="dxa"/>
          </w:tcPr>
          <w:p>
            <w:pPr>
              <w:pStyle w:val="nTable"/>
              <w:spacing w:after="40"/>
            </w:pPr>
            <w:r>
              <w:t>24 Jun 2005 p. 2761</w:t>
            </w:r>
            <w:r>
              <w:noBreakHyphen/>
              <w:t>4</w:t>
            </w:r>
          </w:p>
        </w:tc>
        <w:tc>
          <w:tcPr>
            <w:tcW w:w="2693" w:type="dxa"/>
          </w:tcPr>
          <w:p>
            <w:pPr>
              <w:pStyle w:val="nTable"/>
              <w:spacing w:after="40"/>
            </w:pPr>
            <w:r>
              <w:t>4 Jul 2005 (see r. 2)</w:t>
            </w:r>
          </w:p>
        </w:tc>
      </w:tr>
      <w:tr>
        <w:tc>
          <w:tcPr>
            <w:tcW w:w="3118" w:type="dxa"/>
          </w:tcPr>
          <w:p>
            <w:pPr>
              <w:pStyle w:val="nTable"/>
              <w:spacing w:after="40"/>
              <w:rPr>
                <w:i/>
              </w:rPr>
            </w:pPr>
            <w:r>
              <w:rPr>
                <w:i/>
              </w:rPr>
              <w:t>Transfer of Land Amendment Regulations (No. 2) 2005</w:t>
            </w:r>
          </w:p>
        </w:tc>
        <w:tc>
          <w:tcPr>
            <w:tcW w:w="1276" w:type="dxa"/>
          </w:tcPr>
          <w:p>
            <w:pPr>
              <w:pStyle w:val="nTable"/>
              <w:spacing w:after="40"/>
            </w:pPr>
            <w:r>
              <w:t>15 Jul 2005 p. 3283</w:t>
            </w:r>
            <w:r>
              <w:noBreakHyphen/>
              <w:t>302</w:t>
            </w:r>
          </w:p>
        </w:tc>
        <w:tc>
          <w:tcPr>
            <w:tcW w:w="2693" w:type="dxa"/>
          </w:tcPr>
          <w:p>
            <w:pPr>
              <w:pStyle w:val="nTable"/>
              <w:spacing w:after="40"/>
            </w:pPr>
            <w:r>
              <w:t>15 Jul 2005</w:t>
            </w:r>
          </w:p>
        </w:tc>
      </w:tr>
      <w:tr>
        <w:tc>
          <w:tcPr>
            <w:tcW w:w="3118" w:type="dxa"/>
          </w:tcPr>
          <w:p>
            <w:pPr>
              <w:pStyle w:val="nTable"/>
              <w:spacing w:after="40"/>
              <w:rPr>
                <w:i/>
              </w:rPr>
            </w:pPr>
            <w:r>
              <w:rPr>
                <w:i/>
              </w:rPr>
              <w:t xml:space="preserve">Transfer of Land Amendment Regulations 2006 </w:t>
            </w:r>
          </w:p>
        </w:tc>
        <w:tc>
          <w:tcPr>
            <w:tcW w:w="1276" w:type="dxa"/>
          </w:tcPr>
          <w:p>
            <w:pPr>
              <w:pStyle w:val="nTable"/>
              <w:spacing w:after="40"/>
            </w:pPr>
            <w:r>
              <w:t>7 Jul 2006 p. 2502</w:t>
            </w:r>
            <w:r>
              <w:noBreakHyphen/>
              <w:t>11</w:t>
            </w:r>
          </w:p>
        </w:tc>
        <w:tc>
          <w:tcPr>
            <w:tcW w:w="2693" w:type="dxa"/>
          </w:tcPr>
          <w:p>
            <w:pPr>
              <w:pStyle w:val="nTable"/>
              <w:spacing w:after="40"/>
            </w:pPr>
            <w:r>
              <w:t>10 Jul 2006 (see r. 2)</w:t>
            </w:r>
          </w:p>
        </w:tc>
      </w:tr>
      <w:tr>
        <w:trPr>
          <w:cantSplit/>
        </w:trPr>
        <w:tc>
          <w:tcPr>
            <w:tcW w:w="7087" w:type="dxa"/>
            <w:gridSpan w:val="3"/>
          </w:tcPr>
          <w:p>
            <w:pPr>
              <w:pStyle w:val="nTable"/>
              <w:spacing w:after="40"/>
            </w:pPr>
            <w:r>
              <w:rPr>
                <w:b/>
                <w:bCs/>
              </w:rPr>
              <w:t xml:space="preserve">Reprint 1:  The </w:t>
            </w:r>
            <w:r>
              <w:rPr>
                <w:b/>
                <w:bCs/>
                <w:i/>
              </w:rPr>
              <w:t>Transfer of Land Regulations 2004</w:t>
            </w:r>
            <w:r>
              <w:rPr>
                <w:b/>
                <w:bCs/>
              </w:rPr>
              <w:t xml:space="preserve"> as at 3 Nov 2006</w:t>
            </w:r>
            <w:r>
              <w:t xml:space="preserve"> (includes amendments listed above)</w:t>
            </w:r>
          </w:p>
        </w:tc>
      </w:tr>
      <w:tr>
        <w:tc>
          <w:tcPr>
            <w:tcW w:w="3118" w:type="dxa"/>
          </w:tcPr>
          <w:p>
            <w:pPr>
              <w:pStyle w:val="nTable"/>
              <w:spacing w:after="40"/>
              <w:rPr>
                <w:i/>
              </w:rPr>
            </w:pPr>
            <w:r>
              <w:rPr>
                <w:i/>
              </w:rPr>
              <w:t xml:space="preserve">Transfer of Land Amendment Regulations (No. 2) 2006 </w:t>
            </w:r>
          </w:p>
        </w:tc>
        <w:tc>
          <w:tcPr>
            <w:tcW w:w="1276" w:type="dxa"/>
          </w:tcPr>
          <w:p>
            <w:pPr>
              <w:pStyle w:val="nTable"/>
              <w:spacing w:after="40"/>
            </w:pPr>
            <w:r>
              <w:t>29 Dec 2006 p. 5915</w:t>
            </w:r>
          </w:p>
        </w:tc>
        <w:tc>
          <w:tcPr>
            <w:tcW w:w="2693" w:type="dxa"/>
          </w:tcPr>
          <w:p>
            <w:pPr>
              <w:pStyle w:val="nTable"/>
              <w:spacing w:after="40"/>
            </w:pPr>
            <w:r>
              <w:rPr>
                <w:snapToGrid w:val="0"/>
              </w:rPr>
              <w:t xml:space="preserve">1 Jan 2007 (see r. 2 and </w:t>
            </w:r>
            <w:r>
              <w:rPr>
                <w:i/>
                <w:iCs/>
                <w:snapToGrid w:val="0"/>
              </w:rPr>
              <w:t xml:space="preserve">Gazette </w:t>
            </w:r>
            <w:r>
              <w:rPr>
                <w:snapToGrid w:val="0"/>
              </w:rPr>
              <w:t>8 Dec 2006 p. 5369)</w:t>
            </w:r>
            <w:r>
              <w:t xml:space="preserve"> </w:t>
            </w:r>
          </w:p>
        </w:tc>
      </w:tr>
      <w:tr>
        <w:tc>
          <w:tcPr>
            <w:tcW w:w="3118" w:type="dxa"/>
          </w:tcPr>
          <w:p>
            <w:pPr>
              <w:pStyle w:val="nTable"/>
              <w:spacing w:after="40"/>
              <w:rPr>
                <w:i/>
              </w:rPr>
            </w:pPr>
            <w:r>
              <w:rPr>
                <w:i/>
              </w:rPr>
              <w:t>Transfer of Land Amendment Regulations 2007</w:t>
            </w:r>
          </w:p>
        </w:tc>
        <w:tc>
          <w:tcPr>
            <w:tcW w:w="1276" w:type="dxa"/>
          </w:tcPr>
          <w:p>
            <w:pPr>
              <w:pStyle w:val="nTable"/>
              <w:spacing w:after="40"/>
            </w:pPr>
            <w:r>
              <w:t>25 Jun 2007 p. 2968</w:t>
            </w:r>
            <w:r>
              <w:noBreakHyphen/>
              <w:t>78</w:t>
            </w:r>
          </w:p>
        </w:tc>
        <w:tc>
          <w:tcPr>
            <w:tcW w:w="2693" w:type="dxa"/>
          </w:tcPr>
          <w:p>
            <w:pPr>
              <w:pStyle w:val="nTable"/>
              <w:spacing w:after="40"/>
              <w:rPr>
                <w:snapToGrid w:val="0"/>
              </w:rPr>
            </w:pPr>
            <w:r>
              <w:rPr>
                <w:snapToGrid w:val="0"/>
              </w:rPr>
              <w:t>r. 1 and 2: 25 Jun 2007 (see r. 2(a));</w:t>
            </w:r>
            <w:r>
              <w:rPr>
                <w:snapToGrid w:val="0"/>
              </w:rPr>
              <w:br/>
              <w:t>Regulations other than r. 1 and 2: 2 Jul 2007 (see r. 2(b))</w:t>
            </w:r>
          </w:p>
        </w:tc>
      </w:tr>
      <w:tr>
        <w:tc>
          <w:tcPr>
            <w:tcW w:w="3118" w:type="dxa"/>
          </w:tcPr>
          <w:p>
            <w:pPr>
              <w:pStyle w:val="nTable"/>
              <w:spacing w:after="40"/>
              <w:rPr>
                <w:i/>
              </w:rPr>
            </w:pPr>
            <w:r>
              <w:rPr>
                <w:i/>
              </w:rPr>
              <w:t>Transfer of Land Amendment Regulations 2008</w:t>
            </w:r>
          </w:p>
        </w:tc>
        <w:tc>
          <w:tcPr>
            <w:tcW w:w="1276" w:type="dxa"/>
          </w:tcPr>
          <w:p>
            <w:pPr>
              <w:pStyle w:val="nTable"/>
              <w:spacing w:after="40"/>
            </w:pPr>
            <w:r>
              <w:t>20 Jun 2008 p. 2710</w:t>
            </w:r>
            <w:r>
              <w:noBreakHyphen/>
              <w:t>17</w:t>
            </w:r>
          </w:p>
        </w:tc>
        <w:tc>
          <w:tcPr>
            <w:tcW w:w="2693" w:type="dxa"/>
          </w:tcPr>
          <w:p>
            <w:pPr>
              <w:pStyle w:val="nTable"/>
              <w:spacing w:after="40"/>
              <w:rPr>
                <w:snapToGrid w:val="0"/>
              </w:rPr>
            </w:pPr>
            <w:r>
              <w:rPr>
                <w:snapToGrid w:val="0"/>
              </w:rPr>
              <w:t>r. 1 and 2: 20 Jun 2008 (see r. 2(a));</w:t>
            </w:r>
            <w:r>
              <w:rPr>
                <w:snapToGrid w:val="0"/>
              </w:rPr>
              <w:br/>
              <w:t>Regulations other than r. 1 and 2: 1 Jul 2008 (see r. 2(b))</w:t>
            </w:r>
          </w:p>
        </w:tc>
      </w:tr>
      <w:tr>
        <w:tc>
          <w:tcPr>
            <w:tcW w:w="3118" w:type="dxa"/>
          </w:tcPr>
          <w:p>
            <w:pPr>
              <w:pStyle w:val="nTable"/>
              <w:spacing w:after="40"/>
              <w:rPr>
                <w:i/>
              </w:rPr>
            </w:pPr>
            <w:r>
              <w:rPr>
                <w:i/>
              </w:rPr>
              <w:t>Transfer of Land Amendment Regulations (No. 2) 2008</w:t>
            </w:r>
          </w:p>
        </w:tc>
        <w:tc>
          <w:tcPr>
            <w:tcW w:w="1276" w:type="dxa"/>
          </w:tcPr>
          <w:p>
            <w:pPr>
              <w:pStyle w:val="nTable"/>
              <w:spacing w:after="40"/>
            </w:pPr>
            <w:r>
              <w:t>9 Jan 2009 p. 29-36</w:t>
            </w:r>
          </w:p>
        </w:tc>
        <w:tc>
          <w:tcPr>
            <w:tcW w:w="2693" w:type="dxa"/>
          </w:tcPr>
          <w:p>
            <w:pPr>
              <w:pStyle w:val="nTable"/>
              <w:spacing w:after="40"/>
              <w:rPr>
                <w:snapToGrid w:val="0"/>
              </w:rPr>
            </w:pPr>
            <w:r>
              <w:rPr>
                <w:snapToGrid w:val="0"/>
              </w:rPr>
              <w:t>r. 1 and 2: 9 Jan 2009 (see r. 2(a));</w:t>
            </w:r>
            <w:r>
              <w:rPr>
                <w:snapToGrid w:val="0"/>
              </w:rPr>
              <w:br/>
              <w:t>Regulations other than r. 1 and 2: 19 Jan 2009 (see r. 2(b))</w:t>
            </w:r>
          </w:p>
        </w:tc>
      </w:tr>
      <w:tr>
        <w:trPr>
          <w:cantSplit/>
        </w:trPr>
        <w:tc>
          <w:tcPr>
            <w:tcW w:w="7087" w:type="dxa"/>
            <w:gridSpan w:val="3"/>
          </w:tcPr>
          <w:p>
            <w:pPr>
              <w:pStyle w:val="nTable"/>
              <w:spacing w:after="40"/>
              <w:rPr>
                <w:snapToGrid w:val="0"/>
              </w:rPr>
            </w:pPr>
            <w:r>
              <w:rPr>
                <w:b/>
                <w:bCs/>
              </w:rPr>
              <w:t xml:space="preserve">Reprint 2:  The </w:t>
            </w:r>
            <w:r>
              <w:rPr>
                <w:b/>
                <w:bCs/>
                <w:i/>
              </w:rPr>
              <w:t>Transfer of Land Regulations 2004</w:t>
            </w:r>
            <w:r>
              <w:rPr>
                <w:b/>
                <w:bCs/>
              </w:rPr>
              <w:t xml:space="preserve"> as at 6 Feb 2009</w:t>
            </w:r>
            <w:r>
              <w:t xml:space="preserve"> (includes amendments listed above)</w:t>
            </w:r>
          </w:p>
        </w:tc>
      </w:tr>
      <w:tr>
        <w:trPr>
          <w:cantSplit/>
        </w:trPr>
        <w:tc>
          <w:tcPr>
            <w:tcW w:w="3118" w:type="dxa"/>
          </w:tcPr>
          <w:p>
            <w:pPr>
              <w:pStyle w:val="nTable"/>
              <w:spacing w:after="40"/>
              <w:rPr>
                <w:i/>
              </w:rPr>
            </w:pPr>
            <w:r>
              <w:rPr>
                <w:i/>
              </w:rPr>
              <w:t>Transfer of Land Amendment Regulations 2009</w:t>
            </w:r>
          </w:p>
        </w:tc>
        <w:tc>
          <w:tcPr>
            <w:tcW w:w="1276" w:type="dxa"/>
          </w:tcPr>
          <w:p>
            <w:pPr>
              <w:pStyle w:val="nTable"/>
              <w:spacing w:after="40"/>
            </w:pPr>
            <w:r>
              <w:t>22 May 2009 p. 1700-5</w:t>
            </w:r>
          </w:p>
        </w:tc>
        <w:tc>
          <w:tcPr>
            <w:tcW w:w="2693" w:type="dxa"/>
          </w:tcPr>
          <w:p>
            <w:pPr>
              <w:pStyle w:val="nTable"/>
              <w:spacing w:after="40"/>
              <w:rPr>
                <w:snapToGrid w:val="0"/>
              </w:rPr>
            </w:pPr>
            <w:r>
              <w:rPr>
                <w:snapToGrid w:val="0"/>
              </w:rPr>
              <w:t>r. 1 and 2: 22 May 2009 (see r. 2(a));</w:t>
            </w:r>
            <w:r>
              <w:rPr>
                <w:snapToGrid w:val="0"/>
              </w:rPr>
              <w:br/>
              <w:t>Regulations other than r. 1 and 2: 23 May 2009 (see r. 2(b))</w:t>
            </w:r>
          </w:p>
        </w:tc>
      </w:tr>
      <w:tr>
        <w:trPr>
          <w:cantSplit/>
        </w:trPr>
        <w:tc>
          <w:tcPr>
            <w:tcW w:w="3118" w:type="dxa"/>
          </w:tcPr>
          <w:p>
            <w:pPr>
              <w:pStyle w:val="nTable"/>
              <w:spacing w:after="40"/>
              <w:rPr>
                <w:i/>
              </w:rPr>
            </w:pPr>
            <w:r>
              <w:rPr>
                <w:i/>
              </w:rPr>
              <w:t>Transfer of Land Amendment Regulations (No. 2) 2009</w:t>
            </w:r>
          </w:p>
        </w:tc>
        <w:tc>
          <w:tcPr>
            <w:tcW w:w="1276" w:type="dxa"/>
          </w:tcPr>
          <w:p>
            <w:pPr>
              <w:pStyle w:val="nTable"/>
              <w:keepLines/>
              <w:spacing w:after="40"/>
            </w:pPr>
            <w:r>
              <w:t>19 Jun 2009 p. 2236</w:t>
            </w:r>
            <w:r>
              <w:noBreakHyphen/>
              <w:t>41</w:t>
            </w:r>
          </w:p>
        </w:tc>
        <w:tc>
          <w:tcPr>
            <w:tcW w:w="2693" w:type="dxa"/>
          </w:tcPr>
          <w:p>
            <w:pPr>
              <w:pStyle w:val="nTable"/>
              <w:keepLines/>
              <w:spacing w:after="40"/>
              <w:rPr>
                <w:snapToGrid w:val="0"/>
              </w:rPr>
            </w:pPr>
            <w:r>
              <w:rPr>
                <w:snapToGrid w:val="0"/>
              </w:rPr>
              <w:t>r. 1 and 2: 19 Jun 2009 (see r. 2(a));</w:t>
            </w:r>
            <w:r>
              <w:rPr>
                <w:snapToGrid w:val="0"/>
              </w:rPr>
              <w:br/>
              <w:t>Regulations other than r. 1 and 2: 1 Jul 2009 (see r. 2(b)(i))</w:t>
            </w:r>
          </w:p>
        </w:tc>
      </w:tr>
      <w:tr>
        <w:tc>
          <w:tcPr>
            <w:tcW w:w="3118" w:type="dxa"/>
          </w:tcPr>
          <w:p>
            <w:pPr>
              <w:pStyle w:val="nTable"/>
              <w:spacing w:after="40"/>
              <w:rPr>
                <w:i/>
              </w:rPr>
            </w:pPr>
            <w:r>
              <w:rPr>
                <w:i/>
              </w:rPr>
              <w:t>Transfer of Land Amendment Regulations 2010</w:t>
            </w:r>
          </w:p>
        </w:tc>
        <w:tc>
          <w:tcPr>
            <w:tcW w:w="1276" w:type="dxa"/>
          </w:tcPr>
          <w:p>
            <w:pPr>
              <w:pStyle w:val="nTable"/>
              <w:keepLines/>
              <w:spacing w:after="40"/>
            </w:pPr>
            <w:r>
              <w:t>18 Jun 2010 p. 2679-82</w:t>
            </w:r>
          </w:p>
        </w:tc>
        <w:tc>
          <w:tcPr>
            <w:tcW w:w="2693" w:type="dxa"/>
          </w:tcPr>
          <w:p>
            <w:pPr>
              <w:pStyle w:val="nTable"/>
              <w:keepLines/>
              <w:spacing w:after="40"/>
              <w:rPr>
                <w:snapToGrid w:val="0"/>
              </w:rPr>
            </w:pPr>
            <w:r>
              <w:rPr>
                <w:snapToGrid w:val="0"/>
              </w:rPr>
              <w:t>r. 1 and 2: 18 Jun 2010 (see r. 2(a));</w:t>
            </w:r>
            <w:r>
              <w:rPr>
                <w:snapToGrid w:val="0"/>
              </w:rPr>
              <w:br/>
              <w:t>Regulations other than r. 1 and 2: 1 Jul 2010 (see r. 2(b))</w:t>
            </w:r>
          </w:p>
        </w:tc>
      </w:tr>
      <w:tr>
        <w:tc>
          <w:tcPr>
            <w:tcW w:w="3118" w:type="dxa"/>
          </w:tcPr>
          <w:p>
            <w:pPr>
              <w:pStyle w:val="nTable"/>
              <w:spacing w:after="40"/>
              <w:rPr>
                <w:i/>
              </w:rPr>
            </w:pPr>
            <w:r>
              <w:rPr>
                <w:i/>
              </w:rPr>
              <w:t>Transfer of Land Amendment Regulations 2011</w:t>
            </w:r>
          </w:p>
        </w:tc>
        <w:tc>
          <w:tcPr>
            <w:tcW w:w="1276" w:type="dxa"/>
          </w:tcPr>
          <w:p>
            <w:pPr>
              <w:pStyle w:val="nTable"/>
              <w:keepLines/>
              <w:spacing w:after="40"/>
            </w:pPr>
            <w:r>
              <w:t>14 Jun 2011 p. 2133</w:t>
            </w:r>
            <w:r>
              <w:noBreakHyphen/>
              <w:t>6</w:t>
            </w:r>
          </w:p>
        </w:tc>
        <w:tc>
          <w:tcPr>
            <w:tcW w:w="2693" w:type="dxa"/>
          </w:tcPr>
          <w:p>
            <w:pPr>
              <w:pStyle w:val="nTable"/>
              <w:keepLines/>
              <w:spacing w:after="40"/>
              <w:rPr>
                <w:snapToGrid w:val="0"/>
              </w:rPr>
            </w:pPr>
            <w:r>
              <w:rPr>
                <w:snapToGrid w:val="0"/>
              </w:rPr>
              <w:t>r. 1 and 2: 14 Jun 2011 (see r. 2(a));</w:t>
            </w:r>
            <w:r>
              <w:rPr>
                <w:snapToGrid w:val="0"/>
              </w:rPr>
              <w:br/>
              <w:t>Regulations other than r. 1 and 2: 1 Jul 2011 (see r. 2(b))</w:t>
            </w:r>
          </w:p>
        </w:tc>
      </w:tr>
      <w:tr>
        <w:tc>
          <w:tcPr>
            <w:tcW w:w="7087" w:type="dxa"/>
            <w:gridSpan w:val="3"/>
          </w:tcPr>
          <w:p>
            <w:pPr>
              <w:pStyle w:val="nTable"/>
              <w:spacing w:after="40"/>
              <w:rPr>
                <w:snapToGrid w:val="0"/>
              </w:rPr>
            </w:pPr>
            <w:r>
              <w:rPr>
                <w:b/>
                <w:bCs/>
              </w:rPr>
              <w:t xml:space="preserve">Reprint 3:  The </w:t>
            </w:r>
            <w:r>
              <w:rPr>
                <w:b/>
                <w:bCs/>
                <w:i/>
              </w:rPr>
              <w:t>Transfer of Land Regulations 2004</w:t>
            </w:r>
            <w:r>
              <w:rPr>
                <w:b/>
                <w:bCs/>
              </w:rPr>
              <w:t xml:space="preserve"> as at 2 Mar 2012</w:t>
            </w:r>
            <w:r>
              <w:t xml:space="preserve"> (includes amendments listed above)</w:t>
            </w:r>
          </w:p>
        </w:tc>
      </w:tr>
      <w:tr>
        <w:tc>
          <w:tcPr>
            <w:tcW w:w="3118" w:type="dxa"/>
          </w:tcPr>
          <w:p>
            <w:pPr>
              <w:pStyle w:val="nTable"/>
              <w:spacing w:after="40"/>
              <w:rPr>
                <w:i/>
              </w:rPr>
            </w:pPr>
            <w:r>
              <w:rPr>
                <w:i/>
              </w:rPr>
              <w:t>Transfer of Land Amendment Regulations 2012</w:t>
            </w:r>
          </w:p>
        </w:tc>
        <w:tc>
          <w:tcPr>
            <w:tcW w:w="1276" w:type="dxa"/>
          </w:tcPr>
          <w:p>
            <w:pPr>
              <w:pStyle w:val="nTable"/>
              <w:spacing w:after="40"/>
            </w:pPr>
            <w:r>
              <w:t>13 Apr 2012 p. 1658</w:t>
            </w:r>
            <w:r>
              <w:noBreakHyphen/>
              <w:t>9</w:t>
            </w:r>
          </w:p>
        </w:tc>
        <w:tc>
          <w:tcPr>
            <w:tcW w:w="2693" w:type="dxa"/>
          </w:tcPr>
          <w:p>
            <w:pPr>
              <w:pStyle w:val="nTable"/>
              <w:spacing w:after="40"/>
              <w:rPr>
                <w:snapToGrid w:val="0"/>
              </w:rPr>
            </w:pPr>
            <w:r>
              <w:rPr>
                <w:snapToGrid w:val="0"/>
              </w:rPr>
              <w:t>r. 1 and 2: 13 Apr 2012 (see r. 2(a));</w:t>
            </w:r>
            <w:r>
              <w:rPr>
                <w:snapToGrid w:val="0"/>
              </w:rPr>
              <w:br/>
              <w:t>Regulations other than r. 1 and 2: 14 Apr 2012 (see r. 2(b)(ii))</w:t>
            </w:r>
          </w:p>
        </w:tc>
      </w:tr>
      <w:tr>
        <w:tc>
          <w:tcPr>
            <w:tcW w:w="3118" w:type="dxa"/>
          </w:tcPr>
          <w:p>
            <w:pPr>
              <w:pStyle w:val="nTable"/>
              <w:spacing w:after="40"/>
              <w:rPr>
                <w:i/>
              </w:rPr>
            </w:pPr>
            <w:r>
              <w:rPr>
                <w:i/>
              </w:rPr>
              <w:t>Transfer of Land Amendment Regulations (No. 2) 2012</w:t>
            </w:r>
          </w:p>
        </w:tc>
        <w:tc>
          <w:tcPr>
            <w:tcW w:w="1276" w:type="dxa"/>
          </w:tcPr>
          <w:p>
            <w:pPr>
              <w:pStyle w:val="nTable"/>
              <w:spacing w:after="40"/>
            </w:pPr>
            <w:r>
              <w:t>22 Jun 2012 p. 2782</w:t>
            </w:r>
            <w:r>
              <w:noBreakHyphen/>
              <w:t>3</w:t>
            </w:r>
          </w:p>
        </w:tc>
        <w:tc>
          <w:tcPr>
            <w:tcW w:w="2693" w:type="dxa"/>
          </w:tcPr>
          <w:p>
            <w:pPr>
              <w:pStyle w:val="nTable"/>
              <w:spacing w:after="40"/>
              <w:rPr>
                <w:snapToGrid w:val="0"/>
              </w:rPr>
            </w:pPr>
            <w:r>
              <w:rPr>
                <w:snapToGrid w:val="0"/>
              </w:rPr>
              <w:t>r. 1 and 2: 22 Jun 2012 (see r. 2(a));</w:t>
            </w:r>
            <w:r>
              <w:rPr>
                <w:snapToGrid w:val="0"/>
              </w:rPr>
              <w:br/>
              <w:t>Regulations other than r. 1 and 2: 1 Jul 2012 (see r. 2(b))</w:t>
            </w:r>
          </w:p>
        </w:tc>
      </w:tr>
      <w:tr>
        <w:tc>
          <w:tcPr>
            <w:tcW w:w="3118" w:type="dxa"/>
          </w:tcPr>
          <w:p>
            <w:pPr>
              <w:pStyle w:val="nTable"/>
              <w:spacing w:after="40"/>
              <w:rPr>
                <w:i/>
              </w:rPr>
            </w:pPr>
            <w:r>
              <w:rPr>
                <w:i/>
              </w:rPr>
              <w:t>Transfer of Land Amendment Regulations 2013</w:t>
            </w:r>
          </w:p>
        </w:tc>
        <w:tc>
          <w:tcPr>
            <w:tcW w:w="1276" w:type="dxa"/>
          </w:tcPr>
          <w:p>
            <w:pPr>
              <w:pStyle w:val="nTable"/>
              <w:spacing w:after="40"/>
            </w:pPr>
            <w:r>
              <w:t>26 Jul 2013 p. 3348-9</w:t>
            </w:r>
          </w:p>
        </w:tc>
        <w:tc>
          <w:tcPr>
            <w:tcW w:w="2693" w:type="dxa"/>
          </w:tcPr>
          <w:p>
            <w:pPr>
              <w:pStyle w:val="nTable"/>
              <w:spacing w:after="40"/>
              <w:rPr>
                <w:snapToGrid w:val="0"/>
              </w:rPr>
            </w:pPr>
            <w:r>
              <w:rPr>
                <w:snapToGrid w:val="0"/>
              </w:rPr>
              <w:t>r. 1 and 2: 26 Jul 2013 (see r. 2(a));</w:t>
            </w:r>
            <w:r>
              <w:rPr>
                <w:snapToGrid w:val="0"/>
              </w:rPr>
              <w:br/>
              <w:t>Regulations other than r. 1 and 2: 1 Aug 2013 (see r. 2(b))</w:t>
            </w:r>
          </w:p>
        </w:tc>
      </w:tr>
      <w:tr>
        <w:tc>
          <w:tcPr>
            <w:tcW w:w="3118" w:type="dxa"/>
          </w:tcPr>
          <w:p>
            <w:pPr>
              <w:pStyle w:val="nTable"/>
              <w:spacing w:after="40"/>
              <w:rPr>
                <w:i/>
              </w:rPr>
            </w:pPr>
            <w:r>
              <w:rPr>
                <w:i/>
              </w:rPr>
              <w:t>Transfer of Land Amendment Regulations (No. 2) 2013</w:t>
            </w:r>
          </w:p>
        </w:tc>
        <w:tc>
          <w:tcPr>
            <w:tcW w:w="1276" w:type="dxa"/>
          </w:tcPr>
          <w:p>
            <w:pPr>
              <w:pStyle w:val="nTable"/>
              <w:spacing w:after="40"/>
            </w:pPr>
            <w:r>
              <w:t>14 Nov 2013 p. 5079</w:t>
            </w:r>
          </w:p>
        </w:tc>
        <w:tc>
          <w:tcPr>
            <w:tcW w:w="2693" w:type="dxa"/>
          </w:tcPr>
          <w:p>
            <w:pPr>
              <w:pStyle w:val="nTable"/>
              <w:spacing w:after="40"/>
              <w:rPr>
                <w:snapToGrid w:val="0"/>
              </w:rPr>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r>
        <w:tc>
          <w:tcPr>
            <w:tcW w:w="3118" w:type="dxa"/>
          </w:tcPr>
          <w:p>
            <w:pPr>
              <w:pStyle w:val="nTable"/>
              <w:spacing w:after="40"/>
              <w:rPr>
                <w:i/>
              </w:rPr>
            </w:pPr>
            <w:r>
              <w:rPr>
                <w:i/>
              </w:rPr>
              <w:t>Transfer of Land Amendment Regulations 2014</w:t>
            </w:r>
          </w:p>
        </w:tc>
        <w:tc>
          <w:tcPr>
            <w:tcW w:w="1276" w:type="dxa"/>
          </w:tcPr>
          <w:p>
            <w:pPr>
              <w:pStyle w:val="nTable"/>
              <w:spacing w:after="40"/>
            </w:pPr>
            <w:r>
              <w:t>30 May 2014 p. 1683</w:t>
            </w:r>
            <w:r>
              <w:noBreakHyphen/>
              <w:t>6</w:t>
            </w:r>
          </w:p>
        </w:tc>
        <w:tc>
          <w:tcPr>
            <w:tcW w:w="2693" w:type="dxa"/>
          </w:tcPr>
          <w:p>
            <w:pPr>
              <w:pStyle w:val="nTable"/>
              <w:spacing w:after="40"/>
              <w:rPr>
                <w:bCs/>
                <w:snapToGrid w:val="0"/>
              </w:rPr>
            </w:pPr>
            <w:r>
              <w:rPr>
                <w:bCs/>
                <w:snapToGrid w:val="0"/>
              </w:rPr>
              <w:t>r. 1 and 2: 30 May 2014 (see r. 2(a));</w:t>
            </w:r>
            <w:r>
              <w:rPr>
                <w:bCs/>
                <w:snapToGrid w:val="0"/>
              </w:rPr>
              <w:br/>
              <w:t>Regulations other than r. 1 and 2: 3 Jun 2014 (see r. 2(b))</w:t>
            </w:r>
          </w:p>
        </w:tc>
      </w:tr>
      <w:tr>
        <w:tc>
          <w:tcPr>
            <w:tcW w:w="7087" w:type="dxa"/>
            <w:gridSpan w:val="3"/>
            <w:shd w:val="clear" w:color="auto" w:fill="auto"/>
          </w:tcPr>
          <w:p>
            <w:pPr>
              <w:pStyle w:val="nTable"/>
              <w:spacing w:after="40"/>
              <w:rPr>
                <w:bCs/>
                <w:snapToGrid w:val="0"/>
                <w:spacing w:val="-2"/>
              </w:rPr>
            </w:pPr>
            <w:r>
              <w:rPr>
                <w:b/>
                <w:bCs/>
              </w:rPr>
              <w:t xml:space="preserve">Reprint 4:  The </w:t>
            </w:r>
            <w:r>
              <w:rPr>
                <w:b/>
                <w:bCs/>
                <w:i/>
              </w:rPr>
              <w:t>Transfer of Land Regulations 2004</w:t>
            </w:r>
            <w:r>
              <w:rPr>
                <w:b/>
                <w:bCs/>
              </w:rPr>
              <w:t xml:space="preserve"> as at 5 Dec 2014</w:t>
            </w:r>
            <w:r>
              <w:t xml:space="preserve"> (includes amendments listed above)</w:t>
            </w:r>
          </w:p>
        </w:tc>
      </w:tr>
      <w:tr>
        <w:tc>
          <w:tcPr>
            <w:tcW w:w="3118" w:type="dxa"/>
            <w:shd w:val="clear" w:color="auto" w:fill="auto"/>
          </w:tcPr>
          <w:p>
            <w:pPr>
              <w:pStyle w:val="nTable"/>
              <w:spacing w:after="40"/>
              <w:rPr>
                <w:b/>
                <w:bCs/>
              </w:rPr>
            </w:pPr>
            <w:r>
              <w:rPr>
                <w:i/>
              </w:rPr>
              <w:t>Transfer of Land Amendment Regulations 2015</w:t>
            </w:r>
          </w:p>
        </w:tc>
        <w:tc>
          <w:tcPr>
            <w:tcW w:w="1276" w:type="dxa"/>
            <w:shd w:val="clear" w:color="auto" w:fill="auto"/>
          </w:tcPr>
          <w:p>
            <w:pPr>
              <w:pStyle w:val="nTable"/>
              <w:spacing w:after="40"/>
              <w:rPr>
                <w:b/>
                <w:bCs/>
              </w:rPr>
            </w:pPr>
            <w:r>
              <w:t>19 Jun 2015 p. 2136</w:t>
            </w:r>
            <w:r>
              <w:noBreakHyphen/>
              <w:t>9</w:t>
            </w:r>
          </w:p>
        </w:tc>
        <w:tc>
          <w:tcPr>
            <w:tcW w:w="2693" w:type="dxa"/>
            <w:shd w:val="clear" w:color="auto" w:fill="auto"/>
          </w:tcPr>
          <w:p>
            <w:pPr>
              <w:pStyle w:val="nTable"/>
              <w:spacing w:after="40"/>
              <w:rPr>
                <w:b/>
                <w:bCs/>
              </w:rPr>
            </w:pPr>
            <w:r>
              <w:rPr>
                <w:bCs/>
                <w:snapToGrid w:val="0"/>
              </w:rPr>
              <w:t xml:space="preserve">r. 1 and 2: </w:t>
            </w:r>
            <w:r>
              <w:t>19 Jun 2015</w:t>
            </w:r>
            <w:r>
              <w:rPr>
                <w:bCs/>
                <w:snapToGrid w:val="0"/>
              </w:rPr>
              <w:t xml:space="preserve"> (see r. 2(a));</w:t>
            </w:r>
            <w:r>
              <w:rPr>
                <w:bCs/>
                <w:snapToGrid w:val="0"/>
              </w:rPr>
              <w:br/>
              <w:t>Regulations other than r. 1 and 2: 1 Jul 2015 (see r. 2(b))</w:t>
            </w:r>
          </w:p>
        </w:tc>
      </w:tr>
      <w:tr>
        <w:tc>
          <w:tcPr>
            <w:tcW w:w="3118" w:type="dxa"/>
            <w:shd w:val="clear" w:color="auto" w:fill="auto"/>
          </w:tcPr>
          <w:p>
            <w:pPr>
              <w:pStyle w:val="nTable"/>
              <w:spacing w:after="40"/>
              <w:rPr>
                <w:i/>
              </w:rPr>
            </w:pPr>
            <w:r>
              <w:rPr>
                <w:i/>
              </w:rPr>
              <w:t>Transfer of Land Amendment Regulations 2016</w:t>
            </w:r>
          </w:p>
        </w:tc>
        <w:tc>
          <w:tcPr>
            <w:tcW w:w="1276" w:type="dxa"/>
            <w:shd w:val="clear" w:color="auto" w:fill="auto"/>
          </w:tcPr>
          <w:p>
            <w:pPr>
              <w:pStyle w:val="nTable"/>
              <w:spacing w:after="40"/>
            </w:pPr>
            <w:r>
              <w:t>22 Mar 2016 p. 835-6</w:t>
            </w:r>
          </w:p>
        </w:tc>
        <w:tc>
          <w:tcPr>
            <w:tcW w:w="2693" w:type="dxa"/>
            <w:shd w:val="clear" w:color="auto" w:fill="auto"/>
          </w:tcPr>
          <w:p>
            <w:pPr>
              <w:pStyle w:val="nTable"/>
              <w:spacing w:after="40"/>
              <w:rPr>
                <w:bCs/>
                <w:snapToGrid w:val="0"/>
              </w:rPr>
            </w:pPr>
            <w:r>
              <w:rPr>
                <w:bCs/>
                <w:snapToGrid w:val="0"/>
              </w:rPr>
              <w:t>r. 1 and 2: 22 Mar 2016 (see r. 2(a));</w:t>
            </w:r>
            <w:r>
              <w:rPr>
                <w:bCs/>
                <w:snapToGrid w:val="0"/>
              </w:rPr>
              <w:br/>
              <w:t>Regulations other than r. 1 and 2: 23 Mar 2016 (see r. 2(b))</w:t>
            </w:r>
          </w:p>
        </w:tc>
      </w:tr>
      <w:tr>
        <w:tc>
          <w:tcPr>
            <w:tcW w:w="3118" w:type="dxa"/>
            <w:shd w:val="clear" w:color="auto" w:fill="auto"/>
          </w:tcPr>
          <w:p>
            <w:pPr>
              <w:pStyle w:val="nTable"/>
              <w:spacing w:after="40"/>
            </w:pPr>
            <w:r>
              <w:rPr>
                <w:i/>
              </w:rPr>
              <w:t>Lands Regulations Amendment (Fees and Charges) Regulations 2016</w:t>
            </w:r>
            <w:r>
              <w:t xml:space="preserve"> Pt 4</w:t>
            </w:r>
          </w:p>
        </w:tc>
        <w:tc>
          <w:tcPr>
            <w:tcW w:w="1276" w:type="dxa"/>
            <w:shd w:val="clear" w:color="auto" w:fill="auto"/>
          </w:tcPr>
          <w:p>
            <w:pPr>
              <w:pStyle w:val="nTable"/>
              <w:spacing w:after="40"/>
            </w:pPr>
            <w:r>
              <w:t>24 Jun 2016 p. 2320-5</w:t>
            </w:r>
          </w:p>
        </w:tc>
        <w:tc>
          <w:tcPr>
            <w:tcW w:w="2693" w:type="dxa"/>
            <w:shd w:val="clear" w:color="auto" w:fill="auto"/>
          </w:tcPr>
          <w:p>
            <w:pPr>
              <w:pStyle w:val="nTable"/>
              <w:spacing w:after="40"/>
              <w:rPr>
                <w:bCs/>
                <w:snapToGrid w:val="0"/>
              </w:rPr>
            </w:pPr>
            <w:r>
              <w:rPr>
                <w:snapToGrid w:val="0"/>
              </w:rPr>
              <w:t>1 Jul 2016 (see r. 2(b))</w:t>
            </w:r>
          </w:p>
        </w:tc>
      </w:tr>
      <w:tr>
        <w:tc>
          <w:tcPr>
            <w:tcW w:w="3118" w:type="dxa"/>
            <w:shd w:val="clear" w:color="auto" w:fill="auto"/>
          </w:tcPr>
          <w:p>
            <w:pPr>
              <w:pStyle w:val="nTable"/>
              <w:spacing w:after="40"/>
              <w:rPr>
                <w:i/>
              </w:rPr>
            </w:pPr>
            <w:r>
              <w:rPr>
                <w:i/>
              </w:rPr>
              <w:t>Lands Regulations Amendment (Fees and Charges) Regulations 2017</w:t>
            </w:r>
            <w:r>
              <w:t xml:space="preserve"> Pt. 4</w:t>
            </w:r>
          </w:p>
        </w:tc>
        <w:tc>
          <w:tcPr>
            <w:tcW w:w="1276" w:type="dxa"/>
            <w:shd w:val="clear" w:color="auto" w:fill="auto"/>
          </w:tcPr>
          <w:p>
            <w:pPr>
              <w:pStyle w:val="nTable"/>
              <w:spacing w:after="40"/>
            </w:pPr>
            <w:r>
              <w:t>23 Jun 2017 p. 3181</w:t>
            </w:r>
            <w:r>
              <w:noBreakHyphen/>
              <w:t>6</w:t>
            </w:r>
          </w:p>
        </w:tc>
        <w:tc>
          <w:tcPr>
            <w:tcW w:w="2693" w:type="dxa"/>
            <w:shd w:val="clear" w:color="auto" w:fill="auto"/>
          </w:tcPr>
          <w:p>
            <w:pPr>
              <w:pStyle w:val="nTable"/>
              <w:spacing w:after="40"/>
              <w:rPr>
                <w:snapToGrid w:val="0"/>
              </w:rPr>
            </w:pPr>
            <w:r>
              <w:t>3 Jul 2017 (see r. 2(b))</w:t>
            </w:r>
          </w:p>
        </w:tc>
      </w:tr>
      <w:tr>
        <w:tc>
          <w:tcPr>
            <w:tcW w:w="3118" w:type="dxa"/>
            <w:shd w:val="clear" w:color="auto" w:fill="auto"/>
          </w:tcPr>
          <w:p>
            <w:pPr>
              <w:pStyle w:val="nTable"/>
              <w:spacing w:after="40"/>
              <w:rPr>
                <w:i/>
              </w:rPr>
            </w:pPr>
            <w:r>
              <w:rPr>
                <w:i/>
              </w:rPr>
              <w:t>Transfer of Land Amendment Regulations 2017</w:t>
            </w:r>
          </w:p>
        </w:tc>
        <w:tc>
          <w:tcPr>
            <w:tcW w:w="1276" w:type="dxa"/>
            <w:shd w:val="clear" w:color="auto" w:fill="auto"/>
          </w:tcPr>
          <w:p>
            <w:pPr>
              <w:pStyle w:val="nTable"/>
              <w:spacing w:after="40"/>
            </w:pPr>
            <w:r>
              <w:t>24 Nov 2017 p. 5679</w:t>
            </w:r>
            <w:r>
              <w:noBreakHyphen/>
              <w:t>82</w:t>
            </w:r>
          </w:p>
        </w:tc>
        <w:tc>
          <w:tcPr>
            <w:tcW w:w="2693" w:type="dxa"/>
            <w:shd w:val="clear" w:color="auto" w:fill="auto"/>
          </w:tcPr>
          <w:p>
            <w:pPr>
              <w:pStyle w:val="nTable"/>
              <w:spacing w:after="40"/>
            </w:pPr>
            <w:r>
              <w:rPr>
                <w:rFonts w:ascii="Times" w:hAnsi="Times"/>
                <w:bCs/>
                <w:snapToGrid w:val="0"/>
                <w:spacing w:val="-2"/>
              </w:rPr>
              <w:t>r. 1 and 2: 24 Nov 2017 (see r. 2(a));</w:t>
            </w:r>
            <w:r>
              <w:rPr>
                <w:rFonts w:ascii="Times" w:hAnsi="Times"/>
                <w:bCs/>
                <w:snapToGrid w:val="0"/>
                <w:spacing w:val="-2"/>
              </w:rPr>
              <w:br/>
              <w:t>Regulations other than r. 1 and 2: 25 Nov 2017 (see r. 2(b))</w:t>
            </w:r>
          </w:p>
        </w:tc>
      </w:tr>
      <w:tr>
        <w:tc>
          <w:tcPr>
            <w:tcW w:w="7087" w:type="dxa"/>
            <w:gridSpan w:val="3"/>
            <w:tcBorders>
              <w:bottom w:val="single" w:sz="8" w:space="0" w:color="auto"/>
            </w:tcBorders>
            <w:shd w:val="clear" w:color="auto" w:fill="auto"/>
          </w:tcPr>
          <w:p>
            <w:pPr>
              <w:pStyle w:val="nTable"/>
              <w:spacing w:after="40"/>
              <w:rPr>
                <w:rFonts w:ascii="Times" w:hAnsi="Times"/>
                <w:bCs/>
                <w:snapToGrid w:val="0"/>
                <w:spacing w:val="-2"/>
              </w:rPr>
            </w:pPr>
            <w:r>
              <w:rPr>
                <w:rFonts w:ascii="Times" w:hAnsi="Times"/>
                <w:b/>
                <w:bCs/>
                <w:snapToGrid w:val="0"/>
                <w:spacing w:val="-2"/>
              </w:rPr>
              <w:t xml:space="preserve">Reprint 5: The </w:t>
            </w:r>
            <w:r>
              <w:rPr>
                <w:rFonts w:ascii="Times" w:hAnsi="Times"/>
                <w:b/>
                <w:bCs/>
                <w:i/>
                <w:noProof/>
                <w:snapToGrid w:val="0"/>
                <w:spacing w:val="-2"/>
              </w:rPr>
              <w:t>Transfer of Land Regulations 2004</w:t>
            </w:r>
            <w:r>
              <w:rPr>
                <w:rFonts w:ascii="Times" w:hAnsi="Times"/>
                <w:b/>
                <w:bCs/>
                <w:snapToGrid w:val="0"/>
                <w:spacing w:val="-2"/>
              </w:rPr>
              <w:t xml:space="preserve"> as at 19 Jan 2018</w:t>
            </w:r>
            <w:r>
              <w:rPr>
                <w:rFonts w:ascii="Times" w:hAnsi="Times"/>
                <w:bCs/>
                <w:snapToGrid w:val="0"/>
                <w:spacing w:val="-2"/>
              </w:rPr>
              <w:t xml:space="preserve"> (includes amendments listed above)</w:t>
            </w:r>
          </w:p>
        </w:tc>
      </w:tr>
    </w:tbl>
    <w:p>
      <w:pPr>
        <w:pStyle w:val="nSubsection"/>
        <w:spacing w:before="160"/>
        <w:rPr>
          <w:vertAlign w:val="superscript"/>
        </w:rPr>
      </w:pPr>
      <w:r>
        <w:rPr>
          <w:vertAlign w:val="superscript"/>
        </w:rPr>
        <w:t>2</w:t>
      </w:r>
      <w:r>
        <w:rPr>
          <w:vertAlign w:val="superscript"/>
        </w:rPr>
        <w:tab/>
      </w:r>
      <w:r>
        <w:t xml:space="preserve">Repealed by the </w:t>
      </w:r>
      <w:r>
        <w:rPr>
          <w:i/>
          <w:color w:val="000000"/>
        </w:rPr>
        <w:t>Taxation Administration (Consequential Provisions) Act 2002.</w:t>
      </w:r>
    </w:p>
    <w:p/>
    <w:p>
      <w:pPr>
        <w:sectPr>
          <w:headerReference w:type="even" r:id="rId30"/>
          <w:headerReference w:type="default" r:id="rId31"/>
          <w:headerReference w:type="first" r:id="rId32"/>
          <w:endnotePr>
            <w:numFmt w:val="decimal"/>
          </w:endnotePr>
          <w:pgSz w:w="11907" w:h="16840" w:code="9"/>
          <w:pgMar w:top="2381" w:right="2409" w:bottom="3543" w:left="2409" w:header="720" w:footer="3380" w:gutter="0"/>
          <w:cols w:space="720"/>
          <w:noEndnote/>
          <w:docGrid w:linePitch="326"/>
        </w:sectPr>
      </w:pPr>
    </w:p>
    <w:p>
      <w:pPr>
        <w:pStyle w:val="nHeading2"/>
        <w:rPr>
          <w:sz w:val="28"/>
        </w:rPr>
      </w:pPr>
      <w:bookmarkStart w:id="70" w:name="_Toc501370314"/>
      <w:bookmarkStart w:id="71" w:name="_Toc504384254"/>
      <w:r>
        <w:rPr>
          <w:sz w:val="28"/>
        </w:rPr>
        <w:t>Defined terms</w:t>
      </w:r>
      <w:bookmarkEnd w:id="70"/>
      <w:bookmarkEnd w:id="7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benefited lot</w:t>
      </w:r>
      <w:r>
        <w:tab/>
        <w:t>8(1)</w:t>
      </w:r>
    </w:p>
    <w:p>
      <w:pPr>
        <w:pStyle w:val="DefinedTerms"/>
      </w:pPr>
      <w:r>
        <w:t>circle</w:t>
      </w:r>
      <w:r>
        <w:tab/>
        <w:t>8(1)</w:t>
      </w:r>
    </w:p>
    <w:p>
      <w:pPr>
        <w:pStyle w:val="DefinedTerms"/>
      </w:pPr>
      <w:r>
        <w:t>department</w:t>
      </w:r>
      <w:r>
        <w:tab/>
        <w:t>11</w:t>
      </w:r>
    </w:p>
    <w:p>
      <w:pPr>
        <w:pStyle w:val="DefinedTerms"/>
      </w:pPr>
      <w:r>
        <w:t>ELN</w:t>
      </w:r>
      <w:r>
        <w:tab/>
        <w:t>8A(1)</w:t>
      </w:r>
    </w:p>
    <w:p>
      <w:pPr>
        <w:pStyle w:val="DefinedTerms"/>
      </w:pPr>
      <w:r>
        <w:t>lot</w:t>
      </w:r>
      <w:r>
        <w:tab/>
        <w:t>8(1)</w:t>
      </w:r>
    </w:p>
    <w:p>
      <w:pPr>
        <w:pStyle w:val="DefinedTerms"/>
      </w:pPr>
      <w:r>
        <w:t>names index</w:t>
      </w:r>
      <w:r>
        <w:tab/>
        <w:t>11</w:t>
      </w:r>
    </w:p>
    <w:p>
      <w:pPr>
        <w:pStyle w:val="DefinedTerms"/>
      </w:pPr>
      <w:r>
        <w:t>organisation</w:t>
      </w:r>
      <w:r>
        <w:tab/>
        <w:t>11</w:t>
      </w:r>
    </w:p>
    <w:p>
      <w:pPr>
        <w:pStyle w:val="DefinedTerms"/>
      </w:pPr>
      <w:r>
        <w:t>single dwelling covenant</w:t>
      </w:r>
      <w:r>
        <w:tab/>
        <w:t>8(1)</w:t>
      </w:r>
    </w:p>
    <w:p>
      <w:pPr>
        <w:pStyle w:val="DefinedTerms"/>
      </w:pPr>
      <w:r>
        <w:t>suppressed information</w:t>
      </w:r>
      <w:r>
        <w:tab/>
        <w:t>11</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30628" cy="2451100"/>
                <wp:effectExtent l="0" t="0" r="1905" b="6350"/>
                <wp:wrapNone/>
                <wp:docPr id="2" name="Authority"/>
                <wp:cNvGraphicFramePr/>
                <a:graphic xmlns:a="http://schemas.openxmlformats.org/drawingml/2006/main">
                  <a:graphicData uri="http://schemas.microsoft.com/office/word/2010/wordprocessingShape">
                    <wps:wsp>
                      <wps:cNvSpPr txBox="1"/>
                      <wps:spPr>
                        <a:xfrm>
                          <a:off x="0" y="0"/>
                          <a:ext cx="130628"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KEVIN J. McRAE,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Authority" o:spid="_x0000_s1041" type="#_x0000_t202" style="position:absolute;margin-left:0;margin-top:0;width:10.3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" stroked="f" strokeweight=".5pt">
                <v:textbox>
                  <w:txbxContent>
                    <w:p w:rsidR="00DE6151" w:rsidRDefault="00DE6151">
                      <w:pPr>
                        <w:pBdr>
                          <w:top w:val="double" w:sz="4" w:space="0" w:color="auto"/>
                        </w:pBdr>
                        <w:ind w:left="2381" w:right="2381"/>
                        <w:jc w:val="center"/>
                        <w:rPr>
                          <w:rFonts w:ascii="Arial" w:hAnsi="Arial" w:cs="Arial"/>
                          <w:sz w:val="12"/>
                        </w:rPr>
                      </w:pPr>
                      <w:r>
                        <w:rPr>
                          <w:rFonts w:ascii="Arial" w:hAnsi="Arial" w:cs="Arial"/>
                          <w:sz w:val="12"/>
                        </w:rPr>
                        <w:t xml:space="preserve">By Authority: KEVIN J. </w:t>
                      </w:r>
                      <w:proofErr w:type="spellStart"/>
                      <w:r>
                        <w:rPr>
                          <w:rFonts w:ascii="Arial" w:hAnsi="Arial" w:cs="Arial"/>
                          <w:sz w:val="12"/>
                        </w:rPr>
                        <w:t>McRAE</w:t>
                      </w:r>
                      <w:proofErr w:type="spellEnd"/>
                      <w:r>
                        <w:rPr>
                          <w:rFonts w:ascii="Arial" w:hAnsi="Arial" w:cs="Arial"/>
                          <w:sz w:val="12"/>
                        </w:rPr>
                        <w:t>, Government Printer</w:t>
                      </w:r>
                    </w:p>
                  </w:txbxContent>
                </v:textbox>
                <w10:wrap anchorx="page" anchory="page"/>
              </v:shape>
            </w:pict>
          </mc:Fallback>
        </mc:AlternateContent>
      </w:r>
    </w:p>
    <w:sectPr>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34</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5</w:t>
    </w:r>
    <w:r>
      <w:rPr>
        <w:sz w:val="20"/>
      </w:rPr>
      <w:fldChar w:fldCharType="end"/>
    </w:r>
  </w:p>
  <w:p>
    <w:pPr>
      <w:pStyle w:val="Footer"/>
      <w:rPr>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rPr>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rPr>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33</w:t>
    </w:r>
    <w:r>
      <w:rPr>
        <w:sz w:val="20"/>
      </w:rPr>
      <w:fldChar w:fldCharType="end"/>
    </w:r>
  </w:p>
  <w:p>
    <w:pPr>
      <w:pStyle w:val="Foote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Transfer of Land Regulations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Transfer of Land Regulations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65" w:name="Schedule"/>
    <w:bookmarkEnd w:id="6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9" w:name="Compilation"/>
    <w:bookmarkEnd w:id="6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Transfer of Land Regulations 2004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Transfer of Land Regulations 2004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2" w:name="DefinedTerms"/>
    <w:bookmarkEnd w:id="72"/>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3" w:name="Coversheet"/>
    <w:bookmarkEnd w:id="7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25A42D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664119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3A43A82"/>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4C402C"/>
    <w:lvl w:ilvl="0">
      <w:start w:val="1"/>
      <w:numFmt w:val="decimal"/>
      <w:pStyle w:val="ListNumber2"/>
      <w:lvlText w:val="%1."/>
      <w:lvlJc w:val="left"/>
      <w:pPr>
        <w:tabs>
          <w:tab w:val="num" w:pos="643"/>
        </w:tabs>
        <w:ind w:left="643" w:hanging="360"/>
      </w:pPr>
    </w:lvl>
  </w:abstractNum>
  <w:abstractNum w:abstractNumId="4">
    <w:nsid w:val="FFFFFF80"/>
    <w:multiLevelType w:val="singleLevel"/>
    <w:tmpl w:val="67EC514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3A47D6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D04912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12680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A06B77A"/>
    <w:lvl w:ilvl="0">
      <w:start w:val="1"/>
      <w:numFmt w:val="decimal"/>
      <w:pStyle w:val="ListNumber"/>
      <w:lvlText w:val="%1."/>
      <w:lvlJc w:val="left"/>
      <w:pPr>
        <w:tabs>
          <w:tab w:val="num" w:pos="360"/>
        </w:tabs>
        <w:ind w:left="360" w:hanging="360"/>
      </w:pPr>
    </w:lvl>
  </w:abstractNum>
  <w:abstractNum w:abstractNumId="9">
    <w:nsid w:val="FFFFFF89"/>
    <w:multiLevelType w:val="singleLevel"/>
    <w:tmpl w:val="E87C6C2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C102FF80"/>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8"/>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1433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1218140804"/>
    <w:docVar w:name="WAFER_20140204142359" w:val="RemoveTocBookmarks,RemoveUnusedBookmarks,RemoveLanguageTags,UsedStyles,ResetPageSize,UpdateArrangement"/>
    <w:docVar w:name="WAFER_20140204142359_GUID" w:val="423b82ef-4e0f-4424-b997-dfc07cbb177f"/>
    <w:docVar w:name="WAFER_20140204145426" w:val="RemoveTocBookmarks,RunningHeaders"/>
    <w:docVar w:name="WAFER_20140204145426_GUID" w:val="a35b59b4-49c5-45b6-b4d7-348142a15dd5"/>
    <w:docVar w:name="WAFER_20140529160818" w:val="RemoveTocBookmarks,RunningHeaders"/>
    <w:docVar w:name="WAFER_20140529160818_GUID" w:val="6efcdeb6-1dd6-41f5-999e-a8cdb837ab92"/>
    <w:docVar w:name="WAFER_20140605095907" w:val="RemoveTocBookmarks,RemoveUnusedBookmarks,RemoveLanguageTags,UsedStyles,ResetPageSize"/>
    <w:docVar w:name="WAFER_20140605095907_GUID" w:val="24a7f89c-be62-4a17-8ad4-43977ee22eae"/>
    <w:docVar w:name="WAFER_20140605095921" w:val="RemoveTocBookmarks,RunningHeaders"/>
    <w:docVar w:name="WAFER_20140605095921_GUID" w:val="70da6ec3-2ff1-4cbf-8dd2-95bd8a6563cf"/>
    <w:docVar w:name="WAFER_20141110134448" w:val="RemoveTocBookmarks,RemoveUnusedBookmarks,RemoveLanguageTags,UsedStyles,ResetPageSize,RemoveBadVanishTags,RemoveDocumentProtection,UpdateArrangement,ExtractDocX,RunningHeaders"/>
    <w:docVar w:name="WAFER_20141110134448_GUID" w:val="0a64fc51-8669-41c6-9791-25c02e055eb4"/>
    <w:docVar w:name="WAFER_20141125143159" w:val="RemoveTocBookmarks,RemoveUnusedBookmarks,RemoveLanguageTags,UsedStyles,RemoveDocumentProtection,ExtractDocX,RunningHeaders"/>
    <w:docVar w:name="WAFER_20141125143159_GUID" w:val="2e74c842-6d1b-4eec-b8a9-73f656567aef"/>
    <w:docVar w:name="WAFER_20150721143445" w:val="ResetPageSize,UpdateArrangement,UpdateNTable"/>
    <w:docVar w:name="WAFER_20150721143445_GUID" w:val="3a5fce66-877c-4b24-8a55-7818fa6ef62d"/>
    <w:docVar w:name="WAFER_20151112092922" w:val="UpdateStyles,UsedStyles"/>
    <w:docVar w:name="WAFER_20151112092922_GUID" w:val="aeb613ab-3b17-4a03-9338-c3a0f83c93f4"/>
    <w:docVar w:name="WAFER_20171123111745" w:val="RemoveTocBookmarks,RemoveUnusedBookmarks,RemoveLanguageTags,UsedStyles,ResetPageSize"/>
    <w:docVar w:name="WAFER_20171123111745_GUID" w:val="ef734467-44c5-4f0f-a111-7b19b73705c9"/>
    <w:docVar w:name="WAFER_20171218140804" w:val="RemoveTocBookmarks,RemoveUnusedBookmarks,RemoveLanguageTags,UsedStyles,ResetPageSize,RemoveCustomizations"/>
    <w:docVar w:name="WAFER_20171218140804_GUID" w:val="ed7bc2fb-82de-499e-9d19-90b3d3c75cf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58579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3.png"/><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footer" Target="footer8.xml"/><Relationship Id="rId40" Type="http://schemas.openxmlformats.org/officeDocument/2006/relationships/footer" Target="foot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40</Pages>
  <Words>8354</Words>
  <Characters>38768</Characters>
  <Application>Microsoft Office Word</Application>
  <DocSecurity>0</DocSecurity>
  <Lines>1491</Lines>
  <Paragraphs>889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46233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Transfer of Land Regulations 2004 - 05-00-00</dc:title>
  <dc:subject/>
  <dc:creator/>
  <cp:keywords/>
  <dc:description/>
  <cp:lastModifiedBy>svcMRProcess</cp:lastModifiedBy>
  <cp:revision>4</cp:revision>
  <cp:lastPrinted>2017-12-18T06:22:00Z</cp:lastPrinted>
  <dcterms:created xsi:type="dcterms:W3CDTF">2020-04-26T06:27:00Z</dcterms:created>
  <dcterms:modified xsi:type="dcterms:W3CDTF">2020-04-26T06:27:00Z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02 Sep 2004 p. 3829-46</vt:lpwstr>
  </property>
  <property fmtid="{D5CDD505-2E9C-101B-9397-08002B2CF9AE}" pid="3" name="OwlsUID">
    <vt:i4>34034</vt:i4>
  </property>
  <property fmtid="{D5CDD505-2E9C-101B-9397-08002B2CF9AE}" pid="4" name="DocumentType">
    <vt:lpwstr>Reg</vt:lpwstr>
  </property>
  <property fmtid="{D5CDD505-2E9C-101B-9397-08002B2CF9AE}" pid="5" name="AsAtDate">
    <vt:lpwstr>19 Jan 2018</vt:lpwstr>
  </property>
  <property fmtid="{D5CDD505-2E9C-101B-9397-08002B2CF9AE}" pid="6" name="Suffix">
    <vt:lpwstr>05-00-00</vt:lpwstr>
  </property>
  <property fmtid="{D5CDD505-2E9C-101B-9397-08002B2CF9AE}" pid="7" name="ReprintedAsAt">
    <vt:filetime>2018-01-18T16:00:00Z</vt:filetime>
  </property>
  <property fmtid="{D5CDD505-2E9C-101B-9397-08002B2CF9AE}" pid="8" name="ReprintNo">
    <vt:lpwstr>5</vt:lpwstr>
  </property>
  <property fmtid="{D5CDD505-2E9C-101B-9397-08002B2CF9AE}" pid="9" name="CommencementDate">
    <vt:lpwstr>20180119</vt:lpwstr>
  </property>
</Properties>
</file>