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Rights in Water and Irrigation Act 1914</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_Toc506886823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_Toc506886824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_Toc506886825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Permits</w:t>
      </w:r>
    </w:p>
    <w:p>
      <w:pPr>
        <w:pStyle w:val="TOC8"/>
        <w:rPr>
          <w:rFonts w:asciiTheme="minorHAnsi" w:eastAsiaTheme="minorEastAsia" w:hAnsiTheme="minorHAnsi" w:cstheme="minorBidi"/>
          <w:szCs w:val="22"/>
        </w:rPr>
      </w:pPr>
      <w:r>
        <w:t>4.</w:t>
      </w:r>
      <w:r>
        <w:tab/>
        <w:t>Applications for permits</w:t>
      </w:r>
      <w:r>
        <w:tab/>
      </w:r>
      <w:r>
        <w:fldChar w:fldCharType="begin"/>
      </w:r>
      <w:r>
        <w:instrText xml:space="preserve"> PAGEREF _Toc506886827 \h </w:instrText>
      </w:r>
      <w:r>
        <w:fldChar w:fldCharType="separate"/>
      </w:r>
      <w:r>
        <w:t>3</w:t>
      </w:r>
      <w:r>
        <w:fldChar w:fldCharType="end"/>
      </w:r>
    </w:p>
    <w:p>
      <w:pPr>
        <w:pStyle w:val="TOC8"/>
        <w:rPr>
          <w:rFonts w:asciiTheme="minorHAnsi" w:eastAsiaTheme="minorEastAsia" w:hAnsiTheme="minorHAnsi" w:cstheme="minorBidi"/>
          <w:szCs w:val="22"/>
        </w:rPr>
      </w:pPr>
      <w:r>
        <w:t>5.</w:t>
      </w:r>
      <w:r>
        <w:tab/>
        <w:t>Advertising of applications</w:t>
      </w:r>
      <w:r>
        <w:tab/>
      </w:r>
      <w:r>
        <w:fldChar w:fldCharType="begin"/>
      </w:r>
      <w:r>
        <w:instrText xml:space="preserve"> PAGEREF _Toc506886828 \h </w:instrText>
      </w:r>
      <w:r>
        <w:fldChar w:fldCharType="separate"/>
      </w:r>
      <w:r>
        <w:t>3</w:t>
      </w:r>
      <w:r>
        <w:fldChar w:fldCharType="end"/>
      </w:r>
    </w:p>
    <w:p>
      <w:pPr>
        <w:pStyle w:val="TOC8"/>
        <w:rPr>
          <w:rFonts w:asciiTheme="minorHAnsi" w:eastAsiaTheme="minorEastAsia" w:hAnsiTheme="minorHAnsi" w:cstheme="minorBidi"/>
          <w:szCs w:val="22"/>
        </w:rPr>
      </w:pPr>
      <w:r>
        <w:t>6.</w:t>
      </w:r>
      <w:r>
        <w:tab/>
        <w:t>Applicant may make representations to Minister in some cases</w:t>
      </w:r>
      <w:r>
        <w:tab/>
      </w:r>
      <w:r>
        <w:fldChar w:fldCharType="begin"/>
      </w:r>
      <w:r>
        <w:instrText xml:space="preserve"> PAGEREF _Toc506886829 \h </w:instrText>
      </w:r>
      <w:r>
        <w:fldChar w:fldCharType="separate"/>
      </w:r>
      <w:r>
        <w:t>4</w:t>
      </w:r>
      <w:r>
        <w:fldChar w:fldCharType="end"/>
      </w:r>
    </w:p>
    <w:p>
      <w:pPr>
        <w:pStyle w:val="TOC8"/>
        <w:rPr>
          <w:rFonts w:asciiTheme="minorHAnsi" w:eastAsiaTheme="minorEastAsia" w:hAnsiTheme="minorHAnsi" w:cstheme="minorBidi"/>
          <w:szCs w:val="22"/>
        </w:rPr>
      </w:pPr>
      <w:r>
        <w:t>7.</w:t>
      </w:r>
      <w:r>
        <w:tab/>
        <w:t>Deciding applications</w:t>
      </w:r>
      <w:r>
        <w:tab/>
      </w:r>
      <w:r>
        <w:fldChar w:fldCharType="begin"/>
      </w:r>
      <w:r>
        <w:instrText xml:space="preserve"> PAGEREF _Toc506886830 \h </w:instrText>
      </w:r>
      <w:r>
        <w:fldChar w:fldCharType="separate"/>
      </w:r>
      <w:r>
        <w:t>4</w:t>
      </w:r>
      <w:r>
        <w:fldChar w:fldCharType="end"/>
      </w:r>
    </w:p>
    <w:p>
      <w:pPr>
        <w:pStyle w:val="TOC8"/>
        <w:rPr>
          <w:rFonts w:asciiTheme="minorHAnsi" w:eastAsiaTheme="minorEastAsia" w:hAnsiTheme="minorHAnsi" w:cstheme="minorBidi"/>
          <w:szCs w:val="22"/>
        </w:rPr>
      </w:pPr>
      <w:r>
        <w:t>8.</w:t>
      </w:r>
      <w:r>
        <w:tab/>
        <w:t>When Minister must refuse permit; Minister may undertake to grant permit in some cases</w:t>
      </w:r>
      <w:r>
        <w:tab/>
      </w:r>
      <w:r>
        <w:fldChar w:fldCharType="begin"/>
      </w:r>
      <w:r>
        <w:instrText xml:space="preserve"> PAGEREF _Toc506886831 \h </w:instrText>
      </w:r>
      <w:r>
        <w:fldChar w:fldCharType="separate"/>
      </w:r>
      <w:r>
        <w:t>6</w:t>
      </w:r>
      <w:r>
        <w:fldChar w:fldCharType="end"/>
      </w:r>
    </w:p>
    <w:p>
      <w:pPr>
        <w:pStyle w:val="TOC8"/>
        <w:rPr>
          <w:rFonts w:asciiTheme="minorHAnsi" w:eastAsiaTheme="minorEastAsia" w:hAnsiTheme="minorHAnsi" w:cstheme="minorBidi"/>
          <w:szCs w:val="22"/>
        </w:rPr>
      </w:pPr>
      <w:r>
        <w:t>9.</w:t>
      </w:r>
      <w:r>
        <w:tab/>
        <w:t>Minister to notify applicant of decision etc.</w:t>
      </w:r>
      <w:r>
        <w:tab/>
      </w:r>
      <w:r>
        <w:fldChar w:fldCharType="begin"/>
      </w:r>
      <w:r>
        <w:instrText xml:space="preserve"> PAGEREF _Toc506886832 \h </w:instrText>
      </w:r>
      <w:r>
        <w:fldChar w:fldCharType="separate"/>
      </w:r>
      <w:r>
        <w:t>6</w:t>
      </w:r>
      <w:r>
        <w:fldChar w:fldCharType="end"/>
      </w:r>
    </w:p>
    <w:p>
      <w:pPr>
        <w:pStyle w:val="TOC8"/>
        <w:rPr>
          <w:rFonts w:asciiTheme="minorHAnsi" w:eastAsiaTheme="minorEastAsia" w:hAnsiTheme="minorHAnsi" w:cstheme="minorBidi"/>
          <w:szCs w:val="22"/>
        </w:rPr>
      </w:pPr>
      <w:r>
        <w:t>10.</w:t>
      </w:r>
      <w:r>
        <w:tab/>
        <w:t>Duration of permits</w:t>
      </w:r>
      <w:r>
        <w:tab/>
      </w:r>
      <w:r>
        <w:fldChar w:fldCharType="begin"/>
      </w:r>
      <w:r>
        <w:instrText xml:space="preserve"> PAGEREF _Toc506886833 \h </w:instrText>
      </w:r>
      <w:r>
        <w:fldChar w:fldCharType="separate"/>
      </w:r>
      <w:r>
        <w:t>7</w:t>
      </w:r>
      <w:r>
        <w:fldChar w:fldCharType="end"/>
      </w:r>
    </w:p>
    <w:p>
      <w:pPr>
        <w:pStyle w:val="TOC8"/>
        <w:rPr>
          <w:rFonts w:asciiTheme="minorHAnsi" w:eastAsiaTheme="minorEastAsia" w:hAnsiTheme="minorHAnsi" w:cstheme="minorBidi"/>
          <w:szCs w:val="22"/>
        </w:rPr>
      </w:pPr>
      <w:r>
        <w:t>11.</w:t>
      </w:r>
      <w:r>
        <w:tab/>
        <w:t>Applications for amendment of permits</w:t>
      </w:r>
      <w:r>
        <w:tab/>
      </w:r>
      <w:r>
        <w:fldChar w:fldCharType="begin"/>
      </w:r>
      <w:r>
        <w:instrText xml:space="preserve"> PAGEREF _Toc506886834 \h </w:instrText>
      </w:r>
      <w:r>
        <w:fldChar w:fldCharType="separate"/>
      </w:r>
      <w:r>
        <w:t>7</w:t>
      </w:r>
      <w:r>
        <w:fldChar w:fldCharType="end"/>
      </w:r>
    </w:p>
    <w:p>
      <w:pPr>
        <w:pStyle w:val="TOC8"/>
        <w:rPr>
          <w:rFonts w:asciiTheme="minorHAnsi" w:eastAsiaTheme="minorEastAsia" w:hAnsiTheme="minorHAnsi" w:cstheme="minorBidi"/>
          <w:szCs w:val="22"/>
        </w:rPr>
      </w:pPr>
      <w:r>
        <w:t>12.</w:t>
      </w:r>
      <w:r>
        <w:tab/>
        <w:t>Minister may amend permit</w:t>
      </w:r>
      <w:r>
        <w:tab/>
      </w:r>
      <w:r>
        <w:fldChar w:fldCharType="begin"/>
      </w:r>
      <w:r>
        <w:instrText xml:space="preserve"> PAGEREF _Toc506886835 \h </w:instrText>
      </w:r>
      <w:r>
        <w:fldChar w:fldCharType="separate"/>
      </w:r>
      <w:r>
        <w:t>8</w:t>
      </w:r>
      <w:r>
        <w:fldChar w:fldCharType="end"/>
      </w:r>
    </w:p>
    <w:p>
      <w:pPr>
        <w:pStyle w:val="TOC8"/>
        <w:rPr>
          <w:rFonts w:asciiTheme="minorHAnsi" w:eastAsiaTheme="minorEastAsia" w:hAnsiTheme="minorHAnsi" w:cstheme="minorBidi"/>
          <w:szCs w:val="22"/>
        </w:rPr>
      </w:pPr>
      <w:r>
        <w:t>13.</w:t>
      </w:r>
      <w:r>
        <w:tab/>
        <w:t>Minister may suspend or cancel permit</w:t>
      </w:r>
      <w:r>
        <w:tab/>
      </w:r>
      <w:r>
        <w:fldChar w:fldCharType="begin"/>
      </w:r>
      <w:r>
        <w:instrText xml:space="preserve"> PAGEREF _Toc506886836 \h </w:instrText>
      </w:r>
      <w:r>
        <w:fldChar w:fldCharType="separate"/>
      </w:r>
      <w:r>
        <w:t>9</w:t>
      </w:r>
      <w:r>
        <w:fldChar w:fldCharType="end"/>
      </w:r>
    </w:p>
    <w:p>
      <w:pPr>
        <w:pStyle w:val="TOC8"/>
        <w:rPr>
          <w:rFonts w:asciiTheme="minorHAnsi" w:eastAsiaTheme="minorEastAsia" w:hAnsiTheme="minorHAnsi" w:cstheme="minorBidi"/>
          <w:szCs w:val="22"/>
        </w:rPr>
      </w:pPr>
      <w:r>
        <w:t>14.</w:t>
      </w:r>
      <w:r>
        <w:tab/>
        <w:t>Permit holder’s rights before permit amended, suspended or cancelled</w:t>
      </w:r>
      <w:r>
        <w:tab/>
      </w:r>
      <w:r>
        <w:fldChar w:fldCharType="begin"/>
      </w:r>
      <w:r>
        <w:instrText xml:space="preserve"> PAGEREF _Toc506886837 \h </w:instrText>
      </w:r>
      <w:r>
        <w:fldChar w:fldCharType="separate"/>
      </w:r>
      <w:r>
        <w:t>11</w:t>
      </w:r>
      <w:r>
        <w:fldChar w:fldCharType="end"/>
      </w:r>
    </w:p>
    <w:p>
      <w:pPr>
        <w:pStyle w:val="TOC8"/>
        <w:rPr>
          <w:rFonts w:asciiTheme="minorHAnsi" w:eastAsiaTheme="minorEastAsia" w:hAnsiTheme="minorHAnsi" w:cstheme="minorBidi"/>
          <w:szCs w:val="22"/>
        </w:rPr>
      </w:pPr>
      <w:r>
        <w:t>15.</w:t>
      </w:r>
      <w:r>
        <w:tab/>
        <w:t>Surrender of permits</w:t>
      </w:r>
      <w:r>
        <w:tab/>
      </w:r>
      <w:r>
        <w:fldChar w:fldCharType="begin"/>
      </w:r>
      <w:r>
        <w:instrText xml:space="preserve"> PAGEREF _Toc506886838 \h </w:instrText>
      </w:r>
      <w:r>
        <w:fldChar w:fldCharType="separate"/>
      </w:r>
      <w:r>
        <w:t>12</w:t>
      </w:r>
      <w:r>
        <w:fldChar w:fldCharType="end"/>
      </w:r>
    </w:p>
    <w:p>
      <w:pPr>
        <w:pStyle w:val="TOC8"/>
        <w:rPr>
          <w:rFonts w:asciiTheme="minorHAnsi" w:eastAsiaTheme="minorEastAsia" w:hAnsiTheme="minorHAnsi" w:cstheme="minorBidi"/>
          <w:szCs w:val="22"/>
        </w:rPr>
      </w:pPr>
      <w:r>
        <w:t>16.</w:t>
      </w:r>
      <w:r>
        <w:tab/>
        <w:t>Minister to be notified of change of ownership</w:t>
      </w:r>
      <w:r>
        <w:tab/>
      </w:r>
      <w:r>
        <w:fldChar w:fldCharType="begin"/>
      </w:r>
      <w:r>
        <w:instrText xml:space="preserve"> PAGEREF _Toc506886839 \h </w:instrText>
      </w:r>
      <w:r>
        <w:fldChar w:fldCharType="separate"/>
      </w:r>
      <w:r>
        <w:t>12</w:t>
      </w:r>
      <w:r>
        <w:fldChar w:fldCharType="end"/>
      </w:r>
    </w:p>
    <w:p>
      <w:pPr>
        <w:pStyle w:val="TOC8"/>
        <w:rPr>
          <w:rFonts w:asciiTheme="minorHAnsi" w:eastAsiaTheme="minorEastAsia" w:hAnsiTheme="minorHAnsi" w:cstheme="minorBidi"/>
          <w:szCs w:val="22"/>
        </w:rPr>
      </w:pPr>
      <w:r>
        <w:t>17.</w:t>
      </w:r>
      <w:r>
        <w:tab/>
        <w:t>Terms, conditions and restrictions</w:t>
      </w:r>
      <w:r>
        <w:tab/>
      </w:r>
      <w:r>
        <w:fldChar w:fldCharType="begin"/>
      </w:r>
      <w:r>
        <w:instrText xml:space="preserve"> PAGEREF _Toc506886840 \h </w:instrText>
      </w:r>
      <w:r>
        <w:fldChar w:fldCharType="separate"/>
      </w:r>
      <w:r>
        <w:t>13</w:t>
      </w:r>
      <w:r>
        <w:fldChar w:fldCharType="end"/>
      </w:r>
    </w:p>
    <w:p>
      <w:pPr>
        <w:pStyle w:val="TOC8"/>
        <w:rPr>
          <w:rFonts w:asciiTheme="minorHAnsi" w:eastAsiaTheme="minorEastAsia" w:hAnsiTheme="minorHAnsi" w:cstheme="minorBidi"/>
          <w:szCs w:val="22"/>
        </w:rPr>
      </w:pPr>
      <w:r>
        <w:t>18.</w:t>
      </w:r>
      <w:r>
        <w:tab/>
        <w:t>Minister may direct compliance with permit condition</w:t>
      </w:r>
      <w:r>
        <w:tab/>
      </w:r>
      <w:r>
        <w:fldChar w:fldCharType="begin"/>
      </w:r>
      <w:r>
        <w:instrText xml:space="preserve"> PAGEREF _Toc506886841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under section 5C</w:t>
      </w:r>
    </w:p>
    <w:p>
      <w:pPr>
        <w:pStyle w:val="TOC8"/>
        <w:rPr>
          <w:rFonts w:asciiTheme="minorHAnsi" w:eastAsiaTheme="minorEastAsia" w:hAnsiTheme="minorHAnsi" w:cstheme="minorBidi"/>
          <w:szCs w:val="22"/>
        </w:rPr>
      </w:pPr>
      <w:r>
        <w:t>21.</w:t>
      </w:r>
      <w:r>
        <w:tab/>
        <w:t>Renewal of licence</w:t>
      </w:r>
      <w:r>
        <w:tab/>
      </w:r>
      <w:r>
        <w:fldChar w:fldCharType="begin"/>
      </w:r>
      <w:r>
        <w:instrText xml:space="preserve"> PAGEREF _Toc506886843 \h </w:instrText>
      </w:r>
      <w:r>
        <w:fldChar w:fldCharType="separate"/>
      </w:r>
      <w:r>
        <w:t>15</w:t>
      </w:r>
      <w:r>
        <w:fldChar w:fldCharType="end"/>
      </w:r>
    </w:p>
    <w:p>
      <w:pPr>
        <w:pStyle w:val="TOC8"/>
        <w:rPr>
          <w:rFonts w:asciiTheme="minorHAnsi" w:eastAsiaTheme="minorEastAsia" w:hAnsiTheme="minorHAnsi" w:cstheme="minorBidi"/>
          <w:szCs w:val="22"/>
        </w:rPr>
      </w:pPr>
      <w:r>
        <w:t>22.</w:t>
      </w:r>
      <w:r>
        <w:tab/>
        <w:t>Fee for certified copy of licence</w:t>
      </w:r>
      <w:r>
        <w:tab/>
      </w:r>
      <w:r>
        <w:fldChar w:fldCharType="begin"/>
      </w:r>
      <w:r>
        <w:instrText xml:space="preserve"> PAGEREF _Toc506886844 \h </w:instrText>
      </w:r>
      <w:r>
        <w:fldChar w:fldCharType="separate"/>
      </w:r>
      <w:r>
        <w:t>15</w:t>
      </w:r>
      <w:r>
        <w:fldChar w:fldCharType="end"/>
      </w:r>
    </w:p>
    <w:p>
      <w:pPr>
        <w:pStyle w:val="TOC8"/>
        <w:rPr>
          <w:rFonts w:asciiTheme="minorHAnsi" w:eastAsiaTheme="minorEastAsia" w:hAnsiTheme="minorHAnsi" w:cstheme="minorBidi"/>
          <w:szCs w:val="22"/>
        </w:rPr>
      </w:pPr>
      <w:r>
        <w:t>23.</w:t>
      </w:r>
      <w:r>
        <w:tab/>
        <w:t>Advertising applications (Act Sch. 1 cl. 5)</w:t>
      </w:r>
      <w:r>
        <w:tab/>
      </w:r>
      <w:r>
        <w:fldChar w:fldCharType="begin"/>
      </w:r>
      <w:r>
        <w:instrText xml:space="preserve"> PAGEREF _Toc506886845 \h </w:instrText>
      </w:r>
      <w:r>
        <w:fldChar w:fldCharType="separate"/>
      </w:r>
      <w:r>
        <w:t>15</w:t>
      </w:r>
      <w:r>
        <w:fldChar w:fldCharType="end"/>
      </w:r>
    </w:p>
    <w:p>
      <w:pPr>
        <w:pStyle w:val="TOC8"/>
        <w:rPr>
          <w:rFonts w:asciiTheme="minorHAnsi" w:eastAsiaTheme="minorEastAsia" w:hAnsiTheme="minorHAnsi" w:cstheme="minorBidi"/>
          <w:szCs w:val="22"/>
        </w:rPr>
      </w:pPr>
      <w:r>
        <w:t>24.</w:t>
      </w:r>
      <w:r>
        <w:tab/>
        <w:t>Security interest holders may make submissions on application</w:t>
      </w:r>
      <w:r>
        <w:tab/>
      </w:r>
      <w:r>
        <w:fldChar w:fldCharType="begin"/>
      </w:r>
      <w:r>
        <w:instrText xml:space="preserve"> PAGEREF _Toc506886846 \h </w:instrText>
      </w:r>
      <w:r>
        <w:fldChar w:fldCharType="separate"/>
      </w:r>
      <w:r>
        <w:t>17</w:t>
      </w:r>
      <w:r>
        <w:fldChar w:fldCharType="end"/>
      </w:r>
    </w:p>
    <w:p>
      <w:pPr>
        <w:pStyle w:val="TOC8"/>
        <w:rPr>
          <w:rFonts w:asciiTheme="minorHAnsi" w:eastAsiaTheme="minorEastAsia" w:hAnsiTheme="minorHAnsi" w:cstheme="minorBidi"/>
          <w:szCs w:val="22"/>
        </w:rPr>
      </w:pPr>
      <w:r>
        <w:t>25.</w:t>
      </w:r>
      <w:r>
        <w:tab/>
        <w:t>Licensee no longer eligible to hold licence to inform  Minister</w:t>
      </w:r>
      <w:r>
        <w:tab/>
      </w:r>
      <w:r>
        <w:fldChar w:fldCharType="begin"/>
      </w:r>
      <w:r>
        <w:instrText xml:space="preserve"> PAGEREF _Toc506886847 \h </w:instrText>
      </w:r>
      <w:r>
        <w:fldChar w:fldCharType="separate"/>
      </w:r>
      <w:r>
        <w:t>18</w:t>
      </w:r>
      <w:r>
        <w:fldChar w:fldCharType="end"/>
      </w:r>
    </w:p>
    <w:p>
      <w:pPr>
        <w:pStyle w:val="TOC8"/>
        <w:rPr>
          <w:rFonts w:asciiTheme="minorHAnsi" w:eastAsiaTheme="minorEastAsia" w:hAnsiTheme="minorHAnsi" w:cstheme="minorBidi"/>
          <w:szCs w:val="22"/>
        </w:rPr>
      </w:pPr>
      <w:r>
        <w:t>26.</w:t>
      </w:r>
      <w:r>
        <w:tab/>
        <w:t>Removal of endorsement that licence is subject to Act Sch. 1 cl. 20</w:t>
      </w:r>
      <w:r>
        <w:tab/>
      </w:r>
      <w:r>
        <w:fldChar w:fldCharType="begin"/>
      </w:r>
      <w:r>
        <w:instrText xml:space="preserve"> PAGEREF _Toc506886848 \h </w:instrText>
      </w:r>
      <w:r>
        <w:fldChar w:fldCharType="separate"/>
      </w:r>
      <w:r>
        <w:t>18</w:t>
      </w:r>
      <w:r>
        <w:fldChar w:fldCharType="end"/>
      </w:r>
    </w:p>
    <w:p>
      <w:pPr>
        <w:pStyle w:val="TOC8"/>
        <w:rPr>
          <w:rFonts w:asciiTheme="minorHAnsi" w:eastAsiaTheme="minorEastAsia" w:hAnsiTheme="minorHAnsi" w:cstheme="minorBidi"/>
          <w:szCs w:val="22"/>
        </w:rPr>
      </w:pPr>
      <w:r>
        <w:t>27.</w:t>
      </w:r>
      <w:r>
        <w:tab/>
        <w:t>Prescribed circumstances where Minister may suspend or cancel a licence (Act Sch. 1 cl. 25)</w:t>
      </w:r>
      <w:r>
        <w:tab/>
      </w:r>
      <w:r>
        <w:fldChar w:fldCharType="begin"/>
      </w:r>
      <w:r>
        <w:instrText xml:space="preserve"> PAGEREF _Toc506886849 \h </w:instrText>
      </w:r>
      <w:r>
        <w:fldChar w:fldCharType="separate"/>
      </w:r>
      <w:r>
        <w:t>19</w:t>
      </w:r>
      <w:r>
        <w:fldChar w:fldCharType="end"/>
      </w:r>
    </w:p>
    <w:p>
      <w:pPr>
        <w:pStyle w:val="TOC8"/>
        <w:rPr>
          <w:rFonts w:asciiTheme="minorHAnsi" w:eastAsiaTheme="minorEastAsia" w:hAnsiTheme="minorHAnsi" w:cstheme="minorBidi"/>
          <w:szCs w:val="22"/>
        </w:rPr>
      </w:pPr>
      <w:r>
        <w:t>28.</w:t>
      </w:r>
      <w:r>
        <w:tab/>
        <w:t>Application for approval to transfer licence, water entitlement or agreement, submissions and responses about (Act Sch. 1 cl. 35)</w:t>
      </w:r>
      <w:r>
        <w:tab/>
      </w:r>
      <w:r>
        <w:fldChar w:fldCharType="begin"/>
      </w:r>
      <w:r>
        <w:instrText xml:space="preserve"> PAGEREF _Toc506886850 \h </w:instrText>
      </w:r>
      <w:r>
        <w:fldChar w:fldCharType="separate"/>
      </w:r>
      <w:r>
        <w:t>19</w:t>
      </w:r>
      <w:r>
        <w:fldChar w:fldCharType="end"/>
      </w:r>
    </w:p>
    <w:p>
      <w:pPr>
        <w:pStyle w:val="TOC8"/>
        <w:rPr>
          <w:rFonts w:asciiTheme="minorHAnsi" w:eastAsiaTheme="minorEastAsia" w:hAnsiTheme="minorHAnsi" w:cstheme="minorBidi"/>
          <w:szCs w:val="22"/>
        </w:rPr>
      </w:pPr>
      <w:r>
        <w:t>29.</w:t>
      </w:r>
      <w:r>
        <w:tab/>
        <w:t>Licensee to return licence on suspension and cancellation</w:t>
      </w:r>
      <w:r>
        <w:tab/>
      </w:r>
      <w:r>
        <w:fldChar w:fldCharType="begin"/>
      </w:r>
      <w:r>
        <w:instrText xml:space="preserve"> PAGEREF _Toc506886851 \h </w:instrText>
      </w:r>
      <w:r>
        <w:fldChar w:fldCharType="separate"/>
      </w:r>
      <w:r>
        <w:t>20</w:t>
      </w:r>
      <w:r>
        <w:fldChar w:fldCharType="end"/>
      </w:r>
    </w:p>
    <w:p>
      <w:pPr>
        <w:pStyle w:val="TOC8"/>
        <w:rPr>
          <w:rFonts w:asciiTheme="minorHAnsi" w:eastAsiaTheme="minorEastAsia" w:hAnsiTheme="minorHAnsi" w:cstheme="minorBidi"/>
          <w:szCs w:val="22"/>
        </w:rPr>
      </w:pPr>
      <w:r>
        <w:t>30.</w:t>
      </w:r>
      <w:r>
        <w:tab/>
        <w:t>Licence to be provided to Minister in certain cases (Act Sch. 1 cl. 23, 24 and 32)</w:t>
      </w:r>
      <w:r>
        <w:tab/>
      </w:r>
      <w:r>
        <w:fldChar w:fldCharType="begin"/>
      </w:r>
      <w:r>
        <w:instrText xml:space="preserve"> PAGEREF _Toc506886852 \h </w:instrText>
      </w:r>
      <w:r>
        <w:fldChar w:fldCharType="separate"/>
      </w:r>
      <w:r>
        <w:t>20</w:t>
      </w:r>
      <w:r>
        <w:fldChar w:fldCharType="end"/>
      </w:r>
    </w:p>
    <w:p>
      <w:pPr>
        <w:pStyle w:val="TOC8"/>
        <w:rPr>
          <w:rFonts w:asciiTheme="minorHAnsi" w:eastAsiaTheme="minorEastAsia" w:hAnsiTheme="minorHAnsi" w:cstheme="minorBidi"/>
          <w:szCs w:val="22"/>
        </w:rPr>
      </w:pPr>
      <w:r>
        <w:t>31.</w:t>
      </w:r>
      <w:r>
        <w:tab/>
        <w:t>Evidence</w:t>
      </w:r>
      <w:r>
        <w:tab/>
      </w:r>
      <w:r>
        <w:fldChar w:fldCharType="begin"/>
      </w:r>
      <w:r>
        <w:instrText xml:space="preserve"> PAGEREF _Toc506886853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Licences under section 26D regarding wells</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_Toc506886855 \h </w:instrText>
      </w:r>
      <w:r>
        <w:fldChar w:fldCharType="separate"/>
      </w:r>
      <w:r>
        <w:t>22</w:t>
      </w:r>
      <w:r>
        <w:fldChar w:fldCharType="end"/>
      </w:r>
    </w:p>
    <w:p>
      <w:pPr>
        <w:pStyle w:val="TOC8"/>
        <w:rPr>
          <w:rFonts w:asciiTheme="minorHAnsi" w:eastAsiaTheme="minorEastAsia" w:hAnsiTheme="minorHAnsi" w:cstheme="minorBidi"/>
          <w:szCs w:val="22"/>
        </w:rPr>
      </w:pPr>
      <w:r>
        <w:t>33.</w:t>
      </w:r>
      <w:r>
        <w:tab/>
        <w:t>Applications for licences</w:t>
      </w:r>
      <w:r>
        <w:tab/>
      </w:r>
      <w:r>
        <w:fldChar w:fldCharType="begin"/>
      </w:r>
      <w:r>
        <w:instrText xml:space="preserve"> PAGEREF _Toc506886856 \h </w:instrText>
      </w:r>
      <w:r>
        <w:fldChar w:fldCharType="separate"/>
      </w:r>
      <w:r>
        <w:t>22</w:t>
      </w:r>
      <w:r>
        <w:fldChar w:fldCharType="end"/>
      </w:r>
    </w:p>
    <w:p>
      <w:pPr>
        <w:pStyle w:val="TOC8"/>
        <w:rPr>
          <w:rFonts w:asciiTheme="minorHAnsi" w:eastAsiaTheme="minorEastAsia" w:hAnsiTheme="minorHAnsi" w:cstheme="minorBidi"/>
          <w:szCs w:val="22"/>
        </w:rPr>
      </w:pPr>
      <w:r>
        <w:t>34.</w:t>
      </w:r>
      <w:r>
        <w:tab/>
        <w:t>Applicant may make representations to Minister in some cases</w:t>
      </w:r>
      <w:r>
        <w:tab/>
      </w:r>
      <w:r>
        <w:fldChar w:fldCharType="begin"/>
      </w:r>
      <w:r>
        <w:instrText xml:space="preserve"> PAGEREF _Toc506886857 \h </w:instrText>
      </w:r>
      <w:r>
        <w:fldChar w:fldCharType="separate"/>
      </w:r>
      <w:r>
        <w:t>23</w:t>
      </w:r>
      <w:r>
        <w:fldChar w:fldCharType="end"/>
      </w:r>
    </w:p>
    <w:p>
      <w:pPr>
        <w:pStyle w:val="TOC8"/>
        <w:rPr>
          <w:rFonts w:asciiTheme="minorHAnsi" w:eastAsiaTheme="minorEastAsia" w:hAnsiTheme="minorHAnsi" w:cstheme="minorBidi"/>
          <w:szCs w:val="22"/>
        </w:rPr>
      </w:pPr>
      <w:r>
        <w:t>35.</w:t>
      </w:r>
      <w:r>
        <w:tab/>
        <w:t>Deciding applications</w:t>
      </w:r>
      <w:r>
        <w:tab/>
      </w:r>
      <w:r>
        <w:fldChar w:fldCharType="begin"/>
      </w:r>
      <w:r>
        <w:instrText xml:space="preserve"> PAGEREF _Toc506886858 \h </w:instrText>
      </w:r>
      <w:r>
        <w:fldChar w:fldCharType="separate"/>
      </w:r>
      <w:r>
        <w:t>23</w:t>
      </w:r>
      <w:r>
        <w:fldChar w:fldCharType="end"/>
      </w:r>
    </w:p>
    <w:p>
      <w:pPr>
        <w:pStyle w:val="TOC8"/>
        <w:rPr>
          <w:rFonts w:asciiTheme="minorHAnsi" w:eastAsiaTheme="minorEastAsia" w:hAnsiTheme="minorHAnsi" w:cstheme="minorBidi"/>
          <w:szCs w:val="22"/>
        </w:rPr>
      </w:pPr>
      <w:r>
        <w:t>36.</w:t>
      </w:r>
      <w:r>
        <w:tab/>
        <w:t>When Minister must refuse licence; Minister may undertake to grant licence in some cases</w:t>
      </w:r>
      <w:r>
        <w:tab/>
      </w:r>
      <w:r>
        <w:fldChar w:fldCharType="begin"/>
      </w:r>
      <w:r>
        <w:instrText xml:space="preserve"> PAGEREF _Toc506886859 \h </w:instrText>
      </w:r>
      <w:r>
        <w:fldChar w:fldCharType="separate"/>
      </w:r>
      <w:r>
        <w:t>25</w:t>
      </w:r>
      <w:r>
        <w:fldChar w:fldCharType="end"/>
      </w:r>
    </w:p>
    <w:p>
      <w:pPr>
        <w:pStyle w:val="TOC8"/>
        <w:rPr>
          <w:rFonts w:asciiTheme="minorHAnsi" w:eastAsiaTheme="minorEastAsia" w:hAnsiTheme="minorHAnsi" w:cstheme="minorBidi"/>
          <w:szCs w:val="22"/>
        </w:rPr>
      </w:pPr>
      <w:r>
        <w:t>37.</w:t>
      </w:r>
      <w:r>
        <w:tab/>
        <w:t>Minister to notify applicant of decision etc.</w:t>
      </w:r>
      <w:r>
        <w:tab/>
      </w:r>
      <w:r>
        <w:fldChar w:fldCharType="begin"/>
      </w:r>
      <w:r>
        <w:instrText xml:space="preserve"> PAGEREF _Toc506886860 \h </w:instrText>
      </w:r>
      <w:r>
        <w:fldChar w:fldCharType="separate"/>
      </w:r>
      <w:r>
        <w:t>25</w:t>
      </w:r>
      <w:r>
        <w:fldChar w:fldCharType="end"/>
      </w:r>
    </w:p>
    <w:p>
      <w:pPr>
        <w:pStyle w:val="TOC8"/>
        <w:rPr>
          <w:rFonts w:asciiTheme="minorHAnsi" w:eastAsiaTheme="minorEastAsia" w:hAnsiTheme="minorHAnsi" w:cstheme="minorBidi"/>
          <w:szCs w:val="22"/>
        </w:rPr>
      </w:pPr>
      <w:r>
        <w:t>38.</w:t>
      </w:r>
      <w:r>
        <w:tab/>
        <w:t>Information on work on artesian wells to be provided at certain times</w:t>
      </w:r>
      <w:r>
        <w:tab/>
      </w:r>
      <w:r>
        <w:fldChar w:fldCharType="begin"/>
      </w:r>
      <w:r>
        <w:instrText xml:space="preserve"> PAGEREF _Toc506886861 \h </w:instrText>
      </w:r>
      <w:r>
        <w:fldChar w:fldCharType="separate"/>
      </w:r>
      <w:r>
        <w:t>26</w:t>
      </w:r>
      <w:r>
        <w:fldChar w:fldCharType="end"/>
      </w:r>
    </w:p>
    <w:p>
      <w:pPr>
        <w:pStyle w:val="TOC8"/>
        <w:rPr>
          <w:rFonts w:asciiTheme="minorHAnsi" w:eastAsiaTheme="minorEastAsia" w:hAnsiTheme="minorHAnsi" w:cstheme="minorBidi"/>
          <w:szCs w:val="22"/>
        </w:rPr>
      </w:pPr>
      <w:r>
        <w:t>39.</w:t>
      </w:r>
      <w:r>
        <w:tab/>
        <w:t>Information on non</w:t>
      </w:r>
      <w:r>
        <w:noBreakHyphen/>
        <w:t>artesian wells prescribed (Act s. 26E)</w:t>
      </w:r>
      <w:r>
        <w:tab/>
      </w:r>
      <w:r>
        <w:fldChar w:fldCharType="begin"/>
      </w:r>
      <w:r>
        <w:instrText xml:space="preserve"> PAGEREF _Toc506886862 \h </w:instrText>
      </w:r>
      <w:r>
        <w:fldChar w:fldCharType="separate"/>
      </w:r>
      <w:r>
        <w:t>26</w:t>
      </w:r>
      <w:r>
        <w:fldChar w:fldCharType="end"/>
      </w:r>
    </w:p>
    <w:p>
      <w:pPr>
        <w:pStyle w:val="TOC8"/>
        <w:rPr>
          <w:rFonts w:asciiTheme="minorHAnsi" w:eastAsiaTheme="minorEastAsia" w:hAnsiTheme="minorHAnsi" w:cstheme="minorBidi"/>
          <w:szCs w:val="22"/>
        </w:rPr>
      </w:pPr>
      <w:r>
        <w:t>40.</w:t>
      </w:r>
      <w:r>
        <w:tab/>
        <w:t>Application for an amended licence (Act s. 26F(3))</w:t>
      </w:r>
      <w:r>
        <w:tab/>
      </w:r>
      <w:r>
        <w:fldChar w:fldCharType="begin"/>
      </w:r>
      <w:r>
        <w:instrText xml:space="preserve"> PAGEREF _Toc506886863 \h </w:instrText>
      </w:r>
      <w:r>
        <w:fldChar w:fldCharType="separate"/>
      </w:r>
      <w:r>
        <w:t>26</w:t>
      </w:r>
      <w:r>
        <w:fldChar w:fldCharType="end"/>
      </w:r>
    </w:p>
    <w:p>
      <w:pPr>
        <w:pStyle w:val="TOC8"/>
        <w:rPr>
          <w:rFonts w:asciiTheme="minorHAnsi" w:eastAsiaTheme="minorEastAsia" w:hAnsiTheme="minorHAnsi" w:cstheme="minorBidi"/>
          <w:szCs w:val="22"/>
        </w:rPr>
      </w:pPr>
      <w:r>
        <w:t>41.</w:t>
      </w:r>
      <w:r>
        <w:tab/>
        <w:t>Cancelled licence to be given to Minister</w:t>
      </w:r>
      <w:r>
        <w:tab/>
      </w:r>
      <w:r>
        <w:fldChar w:fldCharType="begin"/>
      </w:r>
      <w:r>
        <w:instrText xml:space="preserve"> PAGEREF _Toc506886864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Meters</w:t>
      </w:r>
    </w:p>
    <w:p>
      <w:pPr>
        <w:pStyle w:val="TOC8"/>
        <w:rPr>
          <w:rFonts w:asciiTheme="minorHAnsi" w:eastAsiaTheme="minorEastAsia" w:hAnsiTheme="minorHAnsi" w:cstheme="minorBidi"/>
          <w:szCs w:val="22"/>
        </w:rPr>
      </w:pPr>
      <w:r>
        <w:t>41A.</w:t>
      </w:r>
      <w:r>
        <w:tab/>
        <w:t>Terms used</w:t>
      </w:r>
      <w:r>
        <w:tab/>
      </w:r>
      <w:r>
        <w:fldChar w:fldCharType="begin"/>
      </w:r>
      <w:r>
        <w:instrText xml:space="preserve"> PAGEREF _Toc506886866 \h </w:instrText>
      </w:r>
      <w:r>
        <w:fldChar w:fldCharType="separate"/>
      </w:r>
      <w:r>
        <w:t>28</w:t>
      </w:r>
      <w:r>
        <w:fldChar w:fldCharType="end"/>
      </w:r>
    </w:p>
    <w:p>
      <w:pPr>
        <w:pStyle w:val="TOC8"/>
        <w:rPr>
          <w:rFonts w:asciiTheme="minorHAnsi" w:eastAsiaTheme="minorEastAsia" w:hAnsiTheme="minorHAnsi" w:cstheme="minorBidi"/>
          <w:szCs w:val="22"/>
        </w:rPr>
      </w:pPr>
      <w:r>
        <w:t>41B.</w:t>
      </w:r>
      <w:r>
        <w:tab/>
        <w:t>Application of regulation 41C</w:t>
      </w:r>
      <w:r>
        <w:tab/>
      </w:r>
      <w:r>
        <w:fldChar w:fldCharType="begin"/>
      </w:r>
      <w:r>
        <w:instrText xml:space="preserve"> PAGEREF _Toc506886867 \h </w:instrText>
      </w:r>
      <w:r>
        <w:fldChar w:fldCharType="separate"/>
      </w:r>
      <w:r>
        <w:t>28</w:t>
      </w:r>
      <w:r>
        <w:fldChar w:fldCharType="end"/>
      </w:r>
    </w:p>
    <w:p>
      <w:pPr>
        <w:pStyle w:val="TOC8"/>
        <w:rPr>
          <w:rFonts w:asciiTheme="minorHAnsi" w:eastAsiaTheme="minorEastAsia" w:hAnsiTheme="minorHAnsi" w:cstheme="minorBidi"/>
          <w:szCs w:val="22"/>
        </w:rPr>
      </w:pPr>
      <w:r>
        <w:t>41C.</w:t>
      </w:r>
      <w:r>
        <w:tab/>
        <w:t>Licence subject to metering conditions</w:t>
      </w:r>
      <w:r>
        <w:tab/>
      </w:r>
      <w:r>
        <w:fldChar w:fldCharType="begin"/>
      </w:r>
      <w:r>
        <w:instrText xml:space="preserve"> PAGEREF _Toc506886868 \h </w:instrText>
      </w:r>
      <w:r>
        <w:fldChar w:fldCharType="separate"/>
      </w:r>
      <w:r>
        <w:t>30</w:t>
      </w:r>
      <w:r>
        <w:fldChar w:fldCharType="end"/>
      </w:r>
    </w:p>
    <w:p>
      <w:pPr>
        <w:pStyle w:val="TOC8"/>
        <w:rPr>
          <w:rFonts w:asciiTheme="minorHAnsi" w:eastAsiaTheme="minorEastAsia" w:hAnsiTheme="minorHAnsi" w:cstheme="minorBidi"/>
          <w:szCs w:val="22"/>
        </w:rPr>
      </w:pPr>
      <w:r>
        <w:t>41D.</w:t>
      </w:r>
      <w:r>
        <w:tab/>
        <w:t>Minister may direct compliance with metering conditions</w:t>
      </w:r>
      <w:r>
        <w:tab/>
      </w:r>
      <w:r>
        <w:fldChar w:fldCharType="begin"/>
      </w:r>
      <w:r>
        <w:instrText xml:space="preserve"> PAGEREF _Toc506886869 \h </w:instrText>
      </w:r>
      <w:r>
        <w:fldChar w:fldCharType="separate"/>
      </w:r>
      <w:r>
        <w:t>31</w:t>
      </w:r>
      <w:r>
        <w:fldChar w:fldCharType="end"/>
      </w:r>
    </w:p>
    <w:p>
      <w:pPr>
        <w:pStyle w:val="TOC8"/>
        <w:rPr>
          <w:rFonts w:asciiTheme="minorHAnsi" w:eastAsiaTheme="minorEastAsia" w:hAnsiTheme="minorHAnsi" w:cstheme="minorBidi"/>
          <w:szCs w:val="22"/>
        </w:rPr>
      </w:pPr>
      <w:r>
        <w:t>41E.</w:t>
      </w:r>
      <w:r>
        <w:tab/>
        <w:t>Minister may approve alternative measurement method</w:t>
      </w:r>
      <w:r>
        <w:tab/>
      </w:r>
      <w:r>
        <w:fldChar w:fldCharType="begin"/>
      </w:r>
      <w:r>
        <w:instrText xml:space="preserve"> PAGEREF _Toc506886870 \h </w:instrText>
      </w:r>
      <w:r>
        <w:fldChar w:fldCharType="separate"/>
      </w:r>
      <w:r>
        <w:t>32</w:t>
      </w:r>
      <w:r>
        <w:fldChar w:fldCharType="end"/>
      </w:r>
    </w:p>
    <w:p>
      <w:pPr>
        <w:pStyle w:val="TOC8"/>
        <w:rPr>
          <w:rFonts w:asciiTheme="minorHAnsi" w:eastAsiaTheme="minorEastAsia" w:hAnsiTheme="minorHAnsi" w:cstheme="minorBidi"/>
          <w:szCs w:val="22"/>
        </w:rPr>
      </w:pPr>
      <w:r>
        <w:t>41F.</w:t>
      </w:r>
      <w:r>
        <w:tab/>
        <w:t>Exemption from requirement to measure quantity of water taken under licence</w:t>
      </w:r>
      <w:r>
        <w:tab/>
      </w:r>
      <w:r>
        <w:fldChar w:fldCharType="begin"/>
      </w:r>
      <w:r>
        <w:instrText xml:space="preserve"> PAGEREF _Toc506886871 \h </w:instrText>
      </w:r>
      <w:r>
        <w:fldChar w:fldCharType="separate"/>
      </w:r>
      <w:r>
        <w:t>32</w:t>
      </w:r>
      <w:r>
        <w:fldChar w:fldCharType="end"/>
      </w:r>
    </w:p>
    <w:p>
      <w:pPr>
        <w:pStyle w:val="TOC8"/>
        <w:rPr>
          <w:rFonts w:asciiTheme="minorHAnsi" w:eastAsiaTheme="minorEastAsia" w:hAnsiTheme="minorHAnsi" w:cstheme="minorBidi"/>
          <w:szCs w:val="22"/>
        </w:rPr>
      </w:pPr>
      <w:r>
        <w:t>42.</w:t>
      </w:r>
      <w:r>
        <w:tab/>
        <w:t>Damage to meters</w:t>
      </w:r>
      <w:r>
        <w:tab/>
      </w:r>
      <w:r>
        <w:fldChar w:fldCharType="begin"/>
      </w:r>
      <w:r>
        <w:instrText xml:space="preserve"> PAGEREF _Toc506886872 \h </w:instrText>
      </w:r>
      <w:r>
        <w:fldChar w:fldCharType="separate"/>
      </w:r>
      <w:r>
        <w:t>33</w:t>
      </w:r>
      <w:r>
        <w:fldChar w:fldCharType="end"/>
      </w:r>
    </w:p>
    <w:p>
      <w:pPr>
        <w:pStyle w:val="TOC8"/>
        <w:rPr>
          <w:rFonts w:asciiTheme="minorHAnsi" w:eastAsiaTheme="minorEastAsia" w:hAnsiTheme="minorHAnsi" w:cstheme="minorBidi"/>
          <w:szCs w:val="22"/>
        </w:rPr>
      </w:pPr>
      <w:r>
        <w:t>43.</w:t>
      </w:r>
      <w:r>
        <w:tab/>
        <w:t>Interfering with meters</w:t>
      </w:r>
      <w:r>
        <w:tab/>
      </w:r>
      <w:r>
        <w:fldChar w:fldCharType="begin"/>
      </w:r>
      <w:r>
        <w:instrText xml:space="preserve"> PAGEREF _Toc506886873 \h </w:instrText>
      </w:r>
      <w:r>
        <w:fldChar w:fldCharType="separate"/>
      </w:r>
      <w:r>
        <w:t>33</w:t>
      </w:r>
      <w:r>
        <w:fldChar w:fldCharType="end"/>
      </w:r>
    </w:p>
    <w:p>
      <w:pPr>
        <w:pStyle w:val="TOC8"/>
        <w:rPr>
          <w:rFonts w:asciiTheme="minorHAnsi" w:eastAsiaTheme="minorEastAsia" w:hAnsiTheme="minorHAnsi" w:cstheme="minorBidi"/>
          <w:szCs w:val="22"/>
        </w:rPr>
      </w:pPr>
      <w:r>
        <w:t>44.</w:t>
      </w:r>
      <w:r>
        <w:tab/>
        <w:t>Testing meters</w:t>
      </w:r>
      <w:r>
        <w:tab/>
      </w:r>
      <w:r>
        <w:fldChar w:fldCharType="begin"/>
      </w:r>
      <w:r>
        <w:instrText xml:space="preserve"> PAGEREF _Toc506886874 \h </w:instrText>
      </w:r>
      <w:r>
        <w:fldChar w:fldCharType="separate"/>
      </w:r>
      <w:r>
        <w:t>33</w:t>
      </w:r>
      <w:r>
        <w:fldChar w:fldCharType="end"/>
      </w:r>
    </w:p>
    <w:p>
      <w:pPr>
        <w:pStyle w:val="TOC8"/>
        <w:rPr>
          <w:rFonts w:asciiTheme="minorHAnsi" w:eastAsiaTheme="minorEastAsia" w:hAnsiTheme="minorHAnsi" w:cstheme="minorBidi"/>
          <w:szCs w:val="22"/>
        </w:rPr>
      </w:pPr>
      <w:r>
        <w:t>45.</w:t>
      </w:r>
      <w:r>
        <w:tab/>
        <w:t>Estimating water used where meter out of order or inaccurate</w:t>
      </w:r>
      <w:r>
        <w:tab/>
      </w:r>
      <w:r>
        <w:fldChar w:fldCharType="begin"/>
      </w:r>
      <w:r>
        <w:instrText xml:space="preserve"> PAGEREF _Toc506886875 \h </w:instrText>
      </w:r>
      <w:r>
        <w:fldChar w:fldCharType="separate"/>
      </w:r>
      <w:r>
        <w:t>34</w:t>
      </w:r>
      <w:r>
        <w:fldChar w:fldCharType="end"/>
      </w:r>
    </w:p>
    <w:p>
      <w:pPr>
        <w:pStyle w:val="TOC8"/>
        <w:rPr>
          <w:rFonts w:asciiTheme="minorHAnsi" w:eastAsiaTheme="minorEastAsia" w:hAnsiTheme="minorHAnsi" w:cstheme="minorBidi"/>
          <w:szCs w:val="22"/>
        </w:rPr>
      </w:pPr>
      <w:r>
        <w:t>46.</w:t>
      </w:r>
      <w:r>
        <w:tab/>
        <w:t>Evidence of water taken from well</w:t>
      </w:r>
      <w:r>
        <w:tab/>
      </w:r>
      <w:r>
        <w:fldChar w:fldCharType="begin"/>
      </w:r>
      <w:r>
        <w:instrText xml:space="preserve"> PAGEREF _Toc506886876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Registration of instruments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_Toc506886878 \h </w:instrText>
      </w:r>
      <w:r>
        <w:fldChar w:fldCharType="separate"/>
      </w:r>
      <w:r>
        <w:t>36</w:t>
      </w:r>
      <w:r>
        <w:fldChar w:fldCharType="end"/>
      </w:r>
    </w:p>
    <w:p>
      <w:pPr>
        <w:pStyle w:val="TOC8"/>
        <w:rPr>
          <w:rFonts w:asciiTheme="minorHAnsi" w:eastAsiaTheme="minorEastAsia" w:hAnsiTheme="minorHAnsi" w:cstheme="minorBidi"/>
          <w:szCs w:val="22"/>
        </w:rPr>
      </w:pPr>
      <w:r>
        <w:t>48.</w:t>
      </w:r>
      <w:r>
        <w:tab/>
        <w:t>Prescribed details for register (Act s. 26GZJ)</w:t>
      </w:r>
      <w:r>
        <w:tab/>
      </w:r>
      <w:r>
        <w:fldChar w:fldCharType="begin"/>
      </w:r>
      <w:r>
        <w:instrText xml:space="preserve"> PAGEREF _Toc506886879 \h </w:instrText>
      </w:r>
      <w:r>
        <w:fldChar w:fldCharType="separate"/>
      </w:r>
      <w:r>
        <w:t>36</w:t>
      </w:r>
      <w:r>
        <w:fldChar w:fldCharType="end"/>
      </w:r>
    </w:p>
    <w:p>
      <w:pPr>
        <w:pStyle w:val="TOC8"/>
        <w:rPr>
          <w:rFonts w:asciiTheme="minorHAnsi" w:eastAsiaTheme="minorEastAsia" w:hAnsiTheme="minorHAnsi" w:cstheme="minorBidi"/>
          <w:szCs w:val="22"/>
        </w:rPr>
      </w:pPr>
      <w:r>
        <w:t>49.</w:t>
      </w:r>
      <w:r>
        <w:tab/>
        <w:t>Fees in relation to the register (Sch. 1 Part 2)</w:t>
      </w:r>
      <w:r>
        <w:tab/>
      </w:r>
      <w:r>
        <w:fldChar w:fldCharType="begin"/>
      </w:r>
      <w:r>
        <w:instrText xml:space="preserve"> PAGEREF _Toc506886880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_Toc506886882 \h </w:instrText>
      </w:r>
      <w:r>
        <w:fldChar w:fldCharType="separate"/>
      </w:r>
      <w:r>
        <w:t>38</w:t>
      </w:r>
      <w:r>
        <w:fldChar w:fldCharType="end"/>
      </w:r>
    </w:p>
    <w:p>
      <w:pPr>
        <w:pStyle w:val="TOC8"/>
        <w:rPr>
          <w:rFonts w:asciiTheme="minorHAnsi" w:eastAsiaTheme="minorEastAsia" w:hAnsiTheme="minorHAnsi" w:cstheme="minorBidi"/>
          <w:szCs w:val="22"/>
        </w:rPr>
      </w:pPr>
      <w:r>
        <w:t>51.</w:t>
      </w:r>
      <w:r>
        <w:tab/>
        <w:t>Modified penalties</w:t>
      </w:r>
      <w:r>
        <w:tab/>
      </w:r>
      <w:r>
        <w:fldChar w:fldCharType="begin"/>
      </w:r>
      <w:r>
        <w:instrText xml:space="preserve"> PAGEREF _Toc506886883 \h </w:instrText>
      </w:r>
      <w:r>
        <w:fldChar w:fldCharType="separate"/>
      </w:r>
      <w:r>
        <w:t>38</w:t>
      </w:r>
      <w:r>
        <w:fldChar w:fldCharType="end"/>
      </w:r>
    </w:p>
    <w:p>
      <w:pPr>
        <w:pStyle w:val="TOC8"/>
        <w:rPr>
          <w:rFonts w:asciiTheme="minorHAnsi" w:eastAsiaTheme="minorEastAsia" w:hAnsiTheme="minorHAnsi" w:cstheme="minorBidi"/>
          <w:szCs w:val="22"/>
        </w:rPr>
      </w:pPr>
      <w:r>
        <w:t>52A.</w:t>
      </w:r>
      <w:r>
        <w:tab/>
        <w:t>Persons authorised to give infringement notices</w:t>
      </w:r>
      <w:r>
        <w:tab/>
      </w:r>
      <w:r>
        <w:fldChar w:fldCharType="begin"/>
      </w:r>
      <w:r>
        <w:instrText xml:space="preserve"> PAGEREF _Toc506886884 \h </w:instrText>
      </w:r>
      <w:r>
        <w:fldChar w:fldCharType="separate"/>
      </w:r>
      <w:r>
        <w:t>38</w:t>
      </w:r>
      <w:r>
        <w:fldChar w:fldCharType="end"/>
      </w:r>
    </w:p>
    <w:p>
      <w:pPr>
        <w:pStyle w:val="TOC8"/>
        <w:rPr>
          <w:rFonts w:asciiTheme="minorHAnsi" w:eastAsiaTheme="minorEastAsia" w:hAnsiTheme="minorHAnsi" w:cstheme="minorBidi"/>
          <w:szCs w:val="22"/>
        </w:rPr>
      </w:pPr>
      <w:r>
        <w:t>52B.</w:t>
      </w:r>
      <w:r>
        <w:tab/>
        <w:t>Prescribed persons for infringement notices</w:t>
      </w:r>
      <w:r>
        <w:tab/>
      </w:r>
      <w:r>
        <w:fldChar w:fldCharType="begin"/>
      </w:r>
      <w:r>
        <w:instrText xml:space="preserve"> PAGEREF _Toc506886885 \h </w:instrText>
      </w:r>
      <w:r>
        <w:fldChar w:fldCharType="separate"/>
      </w:r>
      <w:r>
        <w:t>38</w:t>
      </w:r>
      <w:r>
        <w:fldChar w:fldCharType="end"/>
      </w:r>
    </w:p>
    <w:p>
      <w:pPr>
        <w:pStyle w:val="TOC8"/>
        <w:rPr>
          <w:rFonts w:asciiTheme="minorHAnsi" w:eastAsiaTheme="minorEastAsia" w:hAnsiTheme="minorHAnsi" w:cstheme="minorBidi"/>
          <w:szCs w:val="22"/>
        </w:rPr>
      </w:pPr>
      <w:r>
        <w:t>52.</w:t>
      </w:r>
      <w:r>
        <w:tab/>
        <w:t>Designated person for infringement notices</w:t>
      </w:r>
      <w:r>
        <w:tab/>
      </w:r>
      <w:r>
        <w:fldChar w:fldCharType="begin"/>
      </w:r>
      <w:r>
        <w:instrText xml:space="preserve"> PAGEREF _Toc506886886 \h </w:instrText>
      </w:r>
      <w:r>
        <w:fldChar w:fldCharType="separate"/>
      </w:r>
      <w:r>
        <w:t>39</w:t>
      </w:r>
      <w:r>
        <w:fldChar w:fldCharType="end"/>
      </w:r>
    </w:p>
    <w:p>
      <w:pPr>
        <w:pStyle w:val="TOC8"/>
        <w:rPr>
          <w:rFonts w:asciiTheme="minorHAnsi" w:eastAsiaTheme="minorEastAsia" w:hAnsiTheme="minorHAnsi" w:cstheme="minorBidi"/>
          <w:szCs w:val="22"/>
        </w:rPr>
      </w:pPr>
      <w:r>
        <w:t>53.</w:t>
      </w:r>
      <w:r>
        <w:tab/>
        <w:t>Form of infringement notice</w:t>
      </w:r>
      <w:r>
        <w:tab/>
      </w:r>
      <w:r>
        <w:fldChar w:fldCharType="begin"/>
      </w:r>
      <w:r>
        <w:instrText xml:space="preserve"> PAGEREF _Toc506886887 \h </w:instrText>
      </w:r>
      <w:r>
        <w:fldChar w:fldCharType="separate"/>
      </w:r>
      <w:r>
        <w:t>39</w:t>
      </w:r>
      <w:r>
        <w:fldChar w:fldCharType="end"/>
      </w:r>
    </w:p>
    <w:p>
      <w:pPr>
        <w:pStyle w:val="TOC8"/>
        <w:rPr>
          <w:rFonts w:asciiTheme="minorHAnsi" w:eastAsiaTheme="minorEastAsia" w:hAnsiTheme="minorHAnsi" w:cstheme="minorBidi"/>
          <w:szCs w:val="22"/>
        </w:rPr>
      </w:pPr>
      <w:r>
        <w:t>54.</w:t>
      </w:r>
      <w:r>
        <w:tab/>
        <w:t>Form of notice of withdrawal of infringement notice</w:t>
      </w:r>
      <w:r>
        <w:tab/>
      </w:r>
      <w:r>
        <w:fldChar w:fldCharType="begin"/>
      </w:r>
      <w:r>
        <w:instrText xml:space="preserve"> PAGEREF _Toc506886888 \h </w:instrText>
      </w:r>
      <w:r>
        <w:fldChar w:fldCharType="separate"/>
      </w:r>
      <w:r>
        <w:t>39</w:t>
      </w:r>
      <w:r>
        <w:fldChar w:fldCharType="end"/>
      </w:r>
    </w:p>
    <w:p>
      <w:pPr>
        <w:pStyle w:val="TOC8"/>
        <w:rPr>
          <w:rFonts w:asciiTheme="minorHAnsi" w:eastAsiaTheme="minorEastAsia" w:hAnsiTheme="minorHAnsi" w:cstheme="minorBidi"/>
          <w:szCs w:val="22"/>
        </w:rPr>
      </w:pPr>
      <w:r>
        <w:t>55A.</w:t>
      </w:r>
      <w:r>
        <w:tab/>
        <w:t>Form of certificate for authorised person</w:t>
      </w:r>
      <w:r>
        <w:tab/>
      </w:r>
      <w:r>
        <w:fldChar w:fldCharType="begin"/>
      </w:r>
      <w:r>
        <w:instrText xml:space="preserve"> PAGEREF _Toc506886889 \h </w:instrText>
      </w:r>
      <w:r>
        <w:fldChar w:fldCharType="separate"/>
      </w:r>
      <w:r>
        <w:t>39</w:t>
      </w:r>
      <w:r>
        <w:fldChar w:fldCharType="end"/>
      </w:r>
    </w:p>
    <w:p>
      <w:pPr>
        <w:pStyle w:val="TOC8"/>
        <w:rPr>
          <w:rFonts w:asciiTheme="minorHAnsi" w:eastAsiaTheme="minorEastAsia" w:hAnsiTheme="minorHAnsi" w:cstheme="minorBidi"/>
          <w:szCs w:val="22"/>
        </w:rPr>
      </w:pPr>
      <w:r>
        <w:t>55.</w:t>
      </w:r>
      <w:r>
        <w:tab/>
        <w:t>Unauthorised alteration of infringement notices</w:t>
      </w:r>
      <w:r>
        <w:tab/>
      </w:r>
      <w:r>
        <w:fldChar w:fldCharType="begin"/>
      </w:r>
      <w:r>
        <w:instrText xml:space="preserve"> PAGEREF _Toc506886890 \h </w:instrText>
      </w:r>
      <w:r>
        <w:fldChar w:fldCharType="separate"/>
      </w:r>
      <w:r>
        <w:t>39</w:t>
      </w:r>
      <w:r>
        <w:fldChar w:fldCharType="end"/>
      </w:r>
    </w:p>
    <w:p>
      <w:pPr>
        <w:pStyle w:val="TOC8"/>
        <w:rPr>
          <w:rFonts w:asciiTheme="minorHAnsi" w:eastAsiaTheme="minorEastAsia" w:hAnsiTheme="minorHAnsi" w:cstheme="minorBidi"/>
          <w:szCs w:val="22"/>
        </w:rPr>
      </w:pPr>
      <w:r>
        <w:t>57.</w:t>
      </w:r>
      <w:r>
        <w:tab/>
        <w:t>False or misleading information in respect of applications</w:t>
      </w:r>
      <w:r>
        <w:tab/>
      </w:r>
      <w:r>
        <w:fldChar w:fldCharType="begin"/>
      </w:r>
      <w:r>
        <w:instrText xml:space="preserve"> PAGEREF _Toc506886891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Fees relating to licences and permits</w:t>
      </w:r>
    </w:p>
    <w:p>
      <w:pPr>
        <w:pStyle w:val="TOC2"/>
        <w:tabs>
          <w:tab w:val="right" w:leader="dot" w:pos="7077"/>
        </w:tabs>
        <w:rPr>
          <w:rFonts w:asciiTheme="minorHAnsi" w:eastAsiaTheme="minorEastAsia" w:hAnsiTheme="minorHAnsi" w:cstheme="minorBidi"/>
          <w:b w:val="0"/>
          <w:sz w:val="22"/>
          <w:szCs w:val="22"/>
        </w:rPr>
      </w:pPr>
      <w:r>
        <w:t>Part 2 — Registration of instruments in the register and access to the register</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Schedule 4 — Gnangara groundwater plan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_Toc506886899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Rights in Water and Irrigation Act 1914</w:t>
      </w:r>
    </w:p>
    <w:p>
      <w:pPr>
        <w:pStyle w:val="NameofActReg"/>
      </w:pPr>
      <w:r>
        <w:t>Rights in Water and Irrigation Regulations 2000</w:t>
      </w:r>
    </w:p>
    <w:p>
      <w:pPr>
        <w:pStyle w:val="Heading2"/>
        <w:pageBreakBefore w:val="0"/>
        <w:spacing w:before="240"/>
      </w:pPr>
      <w:bookmarkStart w:id="3" w:name="_Toc493168617"/>
      <w:bookmarkStart w:id="4" w:name="_Toc493233767"/>
      <w:bookmarkStart w:id="5" w:name="_Toc50688682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506886823"/>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 2</w:t>
      </w:r>
      <w:r>
        <w:t>.</w:t>
      </w:r>
    </w:p>
    <w:p>
      <w:pPr>
        <w:pStyle w:val="Heading5"/>
        <w:rPr>
          <w:spacing w:val="-2"/>
        </w:rPr>
      </w:pPr>
      <w:bookmarkStart w:id="7" w:name="_Toc506886824"/>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8" w:name="_Toc506886825"/>
      <w:r>
        <w:rPr>
          <w:rStyle w:val="CharSectno"/>
        </w:rPr>
        <w:t>3</w:t>
      </w:r>
      <w:r>
        <w:rPr>
          <w:snapToGrid w:val="0"/>
        </w:rPr>
        <w:t>.</w:t>
      </w:r>
      <w:r>
        <w:rPr>
          <w:snapToGrid w:val="0"/>
        </w:rPr>
        <w:tab/>
        <w:t>Terms used</w:t>
      </w:r>
      <w:bookmarkEnd w:id="8"/>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Minister;</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form</w:t>
      </w:r>
      <w:r>
        <w:t xml:space="preserve"> means a form set out in Schedule 3;</w:t>
      </w:r>
    </w:p>
    <w:p>
      <w:pPr>
        <w:pStyle w:val="Defstart"/>
      </w:pPr>
      <w:r>
        <w:tab/>
      </w:r>
      <w:r>
        <w:rPr>
          <w:rStyle w:val="CharDefText"/>
        </w:rPr>
        <w:t>licence</w:t>
      </w:r>
      <w:r>
        <w:t xml:space="preserve"> means a licence under section 5C;</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tab/>
        <w:t>[Regulation 3 amended in Gazette 5 Sep 2006 p. 3623; 22 Jun 2007 p. 2878 (disallowed, see Gazette 27 Nov 2007 p. 5910); 28 Dec 2007 p. 6425 (disallowed, see Gazette 11 Apr 2008 p. 1396); 23 Jun 2009 p. 2495.]</w:t>
      </w:r>
    </w:p>
    <w:p>
      <w:pPr>
        <w:pStyle w:val="Heading2"/>
      </w:pPr>
      <w:bookmarkStart w:id="9" w:name="_Toc493168621"/>
      <w:bookmarkStart w:id="10" w:name="_Toc493233771"/>
      <w:bookmarkStart w:id="11" w:name="_Toc506886826"/>
      <w:r>
        <w:rPr>
          <w:rStyle w:val="CharPartNo"/>
        </w:rPr>
        <w:t>Part 2</w:t>
      </w:r>
      <w:r>
        <w:rPr>
          <w:rStyle w:val="CharDivNo"/>
        </w:rPr>
        <w:t xml:space="preserve"> </w:t>
      </w:r>
      <w:r>
        <w:t>—</w:t>
      </w:r>
      <w:r>
        <w:rPr>
          <w:rStyle w:val="CharDivText"/>
        </w:rPr>
        <w:t xml:space="preserve"> </w:t>
      </w:r>
      <w:r>
        <w:rPr>
          <w:rStyle w:val="CharPartText"/>
        </w:rPr>
        <w:t>Permits</w:t>
      </w:r>
      <w:bookmarkEnd w:id="9"/>
      <w:bookmarkEnd w:id="10"/>
      <w:bookmarkEnd w:id="11"/>
    </w:p>
    <w:p>
      <w:pPr>
        <w:pStyle w:val="Heading5"/>
      </w:pPr>
      <w:bookmarkStart w:id="12" w:name="_Toc506886827"/>
      <w:r>
        <w:rPr>
          <w:rStyle w:val="CharSectno"/>
        </w:rPr>
        <w:t>4</w:t>
      </w:r>
      <w:r>
        <w:t>.</w:t>
      </w:r>
      <w:r>
        <w:tab/>
        <w:t>Applications for permits</w:t>
      </w:r>
      <w:bookmarkEnd w:id="12"/>
    </w:p>
    <w:p>
      <w:pPr>
        <w:pStyle w:val="Subsection"/>
      </w:pPr>
      <w:r>
        <w:tab/>
        <w:t>(1)</w:t>
      </w:r>
      <w:r>
        <w:tab/>
        <w:t xml:space="preserve">An application for a permit must be — </w:t>
      </w:r>
    </w:p>
    <w:p>
      <w:pPr>
        <w:pStyle w:val="Indenta"/>
      </w:pPr>
      <w:r>
        <w:tab/>
        <w:t>(a)</w:t>
      </w:r>
      <w:r>
        <w:tab/>
        <w:t>made to the Minister in a form specified for that purpose by the Minister; and</w:t>
      </w:r>
    </w:p>
    <w:p>
      <w:pPr>
        <w:pStyle w:val="Indenta"/>
      </w:pPr>
      <w:r>
        <w:tab/>
        <w:t>(b)</w:t>
      </w:r>
      <w:r>
        <w:tab/>
        <w:t>accompanied by, or include, those plans or other information that are stated in the form to be required.</w:t>
      </w:r>
    </w:p>
    <w:p>
      <w:pPr>
        <w:pStyle w:val="Subsection"/>
      </w:pPr>
      <w:r>
        <w:tab/>
        <w:t>(2)</w:t>
      </w:r>
      <w:r>
        <w:tab/>
        <w:t>An applicant for a permit must provide the Minister with any further information that the Minister may require.</w:t>
      </w:r>
    </w:p>
    <w:p>
      <w:pPr>
        <w:pStyle w:val="Footnotesection"/>
      </w:pPr>
      <w:r>
        <w:tab/>
        <w:t>[Regulation 4 amended in Gazette 22 Jun 2007 p. 2878 (disallowed, see Gazette 27 Nov 2007 p. 5910); 28 Dec 2007 p. 6425 (disallowed, see Gazette 11 Apr 2008 p. 1396); 23 Jun 2009 p. 2495.]</w:t>
      </w:r>
    </w:p>
    <w:p>
      <w:pPr>
        <w:pStyle w:val="Heading5"/>
      </w:pPr>
      <w:bookmarkStart w:id="13" w:name="_Toc506886828"/>
      <w:r>
        <w:rPr>
          <w:rStyle w:val="CharSectno"/>
        </w:rPr>
        <w:t>5</w:t>
      </w:r>
      <w:r>
        <w:t>.</w:t>
      </w:r>
      <w:r>
        <w:tab/>
        <w:t>Advertising of applications</w:t>
      </w:r>
      <w:bookmarkEnd w:id="13"/>
    </w:p>
    <w:p>
      <w:pPr>
        <w:pStyle w:val="Subsection"/>
      </w:pPr>
      <w:r>
        <w:tab/>
        <w:t>(1)</w:t>
      </w:r>
      <w:r>
        <w:tab/>
        <w:t>The Minister may determine that an application, if granted, will be of sufficient impact on a water resource that it is desirable that it be publicly notified.</w:t>
      </w:r>
    </w:p>
    <w:p>
      <w:pPr>
        <w:pStyle w:val="Subsection"/>
      </w:pPr>
      <w:r>
        <w:tab/>
        <w:t>(2)</w:t>
      </w:r>
      <w:r>
        <w:tab/>
        <w:t xml:space="preserve">Where the Minister makes such a determination, the Minister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t>(e)</w:t>
      </w:r>
      <w:r>
        <w:tab/>
        <w:t>that interested persons may within the time specified in the notice (which is to be not less than 14 days after the publication of the notice) make written submissions to the Minister regarding the application.</w:t>
      </w:r>
    </w:p>
    <w:p>
      <w:pPr>
        <w:pStyle w:val="Footnotesection"/>
      </w:pPr>
      <w:r>
        <w:tab/>
        <w:t>[Regulation 5 amended in Gazette 23 Jun 2009 p. 2495.]</w:t>
      </w:r>
    </w:p>
    <w:p>
      <w:pPr>
        <w:pStyle w:val="Heading5"/>
      </w:pPr>
      <w:bookmarkStart w:id="14" w:name="_Toc506886829"/>
      <w:r>
        <w:rPr>
          <w:rStyle w:val="CharSectno"/>
        </w:rPr>
        <w:t>6</w:t>
      </w:r>
      <w:r>
        <w:t>.</w:t>
      </w:r>
      <w:r>
        <w:tab/>
        <w:t>Applicant may make representations to Minister in some cases</w:t>
      </w:r>
      <w:bookmarkEnd w:id="14"/>
    </w:p>
    <w:p>
      <w:pPr>
        <w:pStyle w:val="Subsection"/>
      </w:pPr>
      <w:r>
        <w:tab/>
        <w:t>(1)</w:t>
      </w:r>
      <w:r>
        <w:tab/>
        <w:t xml:space="preserve">This regulation applies where the Minister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the Minister considers is inconsistent with the terms of the application.</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6 amended in Gazette 23 Jun 2009 p. 2495 and 2497.]</w:t>
      </w:r>
    </w:p>
    <w:p>
      <w:pPr>
        <w:pStyle w:val="Heading5"/>
      </w:pPr>
      <w:bookmarkStart w:id="15" w:name="_Toc506886830"/>
      <w:r>
        <w:rPr>
          <w:rStyle w:val="CharSectno"/>
        </w:rPr>
        <w:t>7</w:t>
      </w:r>
      <w:r>
        <w:t>.</w:t>
      </w:r>
      <w:r>
        <w:tab/>
        <w:t>Deciding applications</w:t>
      </w:r>
      <w:bookmarkEnd w:id="15"/>
    </w:p>
    <w:p>
      <w:pPr>
        <w:pStyle w:val="Subsection"/>
      </w:pPr>
      <w:r>
        <w:tab/>
        <w:t>(1)</w:t>
      </w:r>
      <w:r>
        <w:tab/>
        <w:t>The grant or refusal of an application for a permit and the terms, conditions and restrictions to be included in the permit are, subject to regulation 8, at the discretion of the Minister.</w:t>
      </w:r>
    </w:p>
    <w:p>
      <w:pPr>
        <w:pStyle w:val="Subsection"/>
      </w:pPr>
      <w:r>
        <w:tab/>
        <w:t>(2)</w:t>
      </w:r>
      <w:r>
        <w:tab/>
        <w:t xml:space="preserve">In exercising that discretion the Minister is to have regard to all matters that the Minister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Minister,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Minister is to have regard to any submissions under regulations 5(3)(e) and 6(3) before making the final decision.</w:t>
      </w:r>
    </w:p>
    <w:p>
      <w:pPr>
        <w:pStyle w:val="Subsection"/>
      </w:pPr>
      <w:r>
        <w:tab/>
        <w:t>(5)</w:t>
      </w:r>
      <w:r>
        <w:tab/>
        <w:t>The Minister may refuse to grant a permit to a person on the ground that the person has been convicted of an offence against a relevant Act.</w:t>
      </w:r>
    </w:p>
    <w:p>
      <w:pPr>
        <w:pStyle w:val="Subsection"/>
        <w:keepLines/>
      </w:pPr>
      <w:r>
        <w:tab/>
        <w:t>(6)</w:t>
      </w:r>
      <w:r>
        <w:tab/>
        <w:t>The Minister may refuse to grant a permit to a person if not satisfied that the person has the resources, including the financial resources, to carry out the activities to which the permit relates.</w:t>
      </w:r>
    </w:p>
    <w:p>
      <w:pPr>
        <w:pStyle w:val="Footnotesection"/>
      </w:pPr>
      <w:r>
        <w:tab/>
        <w:t>[Regulation 7 amended in Gazette 23 Jun 2009 p. 2495-6 and 2497.]</w:t>
      </w:r>
    </w:p>
    <w:p>
      <w:pPr>
        <w:pStyle w:val="Heading5"/>
      </w:pPr>
      <w:bookmarkStart w:id="16" w:name="_Toc506886831"/>
      <w:r>
        <w:rPr>
          <w:rStyle w:val="CharSectno"/>
        </w:rPr>
        <w:t>8</w:t>
      </w:r>
      <w:r>
        <w:t>.</w:t>
      </w:r>
      <w:r>
        <w:tab/>
        <w:t>When Minister must refuse permit; Minister may undertake to grant permit in some cases</w:t>
      </w:r>
      <w:bookmarkEnd w:id="16"/>
    </w:p>
    <w:p>
      <w:pPr>
        <w:pStyle w:val="Subsection"/>
      </w:pPr>
      <w:r>
        <w:tab/>
        <w:t>(1)</w:t>
      </w:r>
      <w:r>
        <w:tab/>
        <w:t>The Minister must refuse to grant a permit to a person if the Minister considers that the person would not be willing or able to comply with the terms, conditions and restrictions that would be included in the permit.</w:t>
      </w:r>
    </w:p>
    <w:p>
      <w:pPr>
        <w:pStyle w:val="Subsection"/>
      </w:pPr>
      <w:r>
        <w:tab/>
        <w:t>(2)</w:t>
      </w:r>
      <w:r>
        <w:tab/>
        <w:t>If the Minister would grant a permit to an applicant if the applicant satisfies the Minister as to a matter, relevant to the grant of a permit under this Part, specified by the Minister, the Minister may undertake to grant the permit to the person if the person so satisfies the Minister within the term specified in the undertaking.</w:t>
      </w:r>
    </w:p>
    <w:p>
      <w:pPr>
        <w:pStyle w:val="Footnotesection"/>
      </w:pPr>
      <w:r>
        <w:tab/>
        <w:t>[Regulation 8 amended in Gazette 23 Jun 2009 p. 2495</w:t>
      </w:r>
      <w:r>
        <w:noBreakHyphen/>
        <w:t>6 and 2497.]</w:t>
      </w:r>
    </w:p>
    <w:p>
      <w:pPr>
        <w:pStyle w:val="Heading5"/>
      </w:pPr>
      <w:bookmarkStart w:id="17" w:name="_Toc506886832"/>
      <w:r>
        <w:rPr>
          <w:rStyle w:val="CharSectno"/>
        </w:rPr>
        <w:t>9</w:t>
      </w:r>
      <w:r>
        <w:t>.</w:t>
      </w:r>
      <w:r>
        <w:tab/>
        <w:t>Minister to notify applicant of decision etc.</w:t>
      </w:r>
      <w:bookmarkEnd w:id="17"/>
    </w:p>
    <w:p>
      <w:pPr>
        <w:pStyle w:val="Subsection"/>
      </w:pPr>
      <w:r>
        <w:tab/>
        <w:t>(1)</w:t>
      </w:r>
      <w:r>
        <w:tab/>
        <w:t xml:space="preserve">The Minister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5, to any person who made a submission under that regulation.</w:t>
      </w:r>
    </w:p>
    <w:p>
      <w:pPr>
        <w:pStyle w:val="Subsection"/>
      </w:pPr>
      <w:r>
        <w:tab/>
        <w:t>(2)</w:t>
      </w:r>
      <w:r>
        <w:tab/>
        <w:t xml:space="preserve">If the Minister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Minister considers is inconsistent with the terms of the application,</w:t>
      </w:r>
    </w:p>
    <w:p>
      <w:pPr>
        <w:pStyle w:val="Subsection"/>
      </w:pPr>
      <w:r>
        <w:tab/>
      </w:r>
      <w:r>
        <w:tab/>
        <w:t>the Minister is to notify the applicant of the reasons for the decision.</w:t>
      </w:r>
    </w:p>
    <w:p>
      <w:pPr>
        <w:pStyle w:val="Footnotesection"/>
      </w:pPr>
      <w:r>
        <w:tab/>
        <w:t>[Regulation 9 amended in Gazette 23 Jun 2009 p. 2495</w:t>
      </w:r>
      <w:r>
        <w:noBreakHyphen/>
        <w:t>6.]</w:t>
      </w:r>
    </w:p>
    <w:p>
      <w:pPr>
        <w:pStyle w:val="Heading5"/>
      </w:pPr>
      <w:bookmarkStart w:id="18" w:name="_Toc506886833"/>
      <w:r>
        <w:rPr>
          <w:rStyle w:val="CharSectno"/>
        </w:rPr>
        <w:t>10</w:t>
      </w:r>
      <w:r>
        <w:t>.</w:t>
      </w:r>
      <w:r>
        <w:tab/>
        <w:t>Duration of permits</w:t>
      </w:r>
      <w:bookmarkEnd w:id="18"/>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13; or</w:t>
      </w:r>
    </w:p>
    <w:p>
      <w:pPr>
        <w:pStyle w:val="Indenta"/>
      </w:pPr>
      <w:r>
        <w:tab/>
        <w:t>(b)</w:t>
      </w:r>
      <w:r>
        <w:tab/>
        <w:t>surrendered under regulation 15.</w:t>
      </w:r>
    </w:p>
    <w:p>
      <w:pPr>
        <w:pStyle w:val="Heading5"/>
      </w:pPr>
      <w:bookmarkStart w:id="19" w:name="_Toc506886834"/>
      <w:r>
        <w:rPr>
          <w:rStyle w:val="CharSectno"/>
        </w:rPr>
        <w:t>11</w:t>
      </w:r>
      <w:r>
        <w:t>.</w:t>
      </w:r>
      <w:r>
        <w:tab/>
        <w:t>Applications for amendment of permits</w:t>
      </w:r>
      <w:bookmarkEnd w:id="19"/>
    </w:p>
    <w:p>
      <w:pPr>
        <w:pStyle w:val="Subsection"/>
      </w:pPr>
      <w:r>
        <w:tab/>
        <w:t>(1)</w:t>
      </w:r>
      <w:r>
        <w:tab/>
        <w:t>The holder of a permit may apply to the Minister at any time for amendment of the permit.</w:t>
      </w:r>
    </w:p>
    <w:p>
      <w:pPr>
        <w:pStyle w:val="Subsection"/>
      </w:pPr>
      <w:r>
        <w:tab/>
        <w:t>(2)</w:t>
      </w:r>
      <w:r>
        <w:tab/>
        <w:t>Regulations 4, 6, 7, 9, 10, 17, and 18 apply, with all necessary modifications, to an application under subregulation (1) as if it were an application for the grant of a permit.</w:t>
      </w:r>
    </w:p>
    <w:p>
      <w:pPr>
        <w:pStyle w:val="Subsection"/>
      </w:pPr>
      <w:r>
        <w:tab/>
        <w:t>(3)</w:t>
      </w:r>
      <w:r>
        <w:tab/>
        <w:t>An application under subregulation (1) is to be accompanied by the permit.</w:t>
      </w:r>
    </w:p>
    <w:p>
      <w:pPr>
        <w:pStyle w:val="Footnotesection"/>
      </w:pPr>
      <w:r>
        <w:tab/>
        <w:t>[Regulation 11 amended in Gazette 23 Jun 2009 p. 2495</w:t>
      </w:r>
      <w:r>
        <w:noBreakHyphen/>
        <w:t>6.]</w:t>
      </w:r>
    </w:p>
    <w:p>
      <w:pPr>
        <w:pStyle w:val="Heading5"/>
      </w:pPr>
      <w:bookmarkStart w:id="20" w:name="_Toc506886835"/>
      <w:r>
        <w:rPr>
          <w:rStyle w:val="CharSectno"/>
        </w:rPr>
        <w:t>12</w:t>
      </w:r>
      <w:r>
        <w:t>.</w:t>
      </w:r>
      <w:r>
        <w:tab/>
        <w:t>Minister may amend permit</w:t>
      </w:r>
      <w:bookmarkEnd w:id="20"/>
    </w:p>
    <w:p>
      <w:pPr>
        <w:pStyle w:val="Subsection"/>
      </w:pPr>
      <w:r>
        <w:tab/>
        <w:t>(1)</w:t>
      </w:r>
      <w:r>
        <w:tab/>
        <w:t xml:space="preserve">The Minister may, subject to this regulation and regulation 14,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Minister may only exercise a power described in subregulation (1) in relation to a permit if — </w:t>
      </w:r>
    </w:p>
    <w:p>
      <w:pPr>
        <w:pStyle w:val="Indenta"/>
      </w:pPr>
      <w:r>
        <w:tab/>
        <w:t>(a)</w:t>
      </w:r>
      <w:r>
        <w:tab/>
        <w:t>the permit holder consents to the Minister doing so;</w:t>
      </w:r>
    </w:p>
    <w:p>
      <w:pPr>
        <w:pStyle w:val="Indenta"/>
      </w:pPr>
      <w:r>
        <w:tab/>
        <w:t>(b)</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Minister,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Minister,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t>(g)</w:t>
      </w:r>
      <w:r>
        <w:tab/>
        <w:t>in the opinion of the Minister, the exercise of the power is necessary to comply with another written law of the State or a law of the Commonwealth; or</w:t>
      </w:r>
    </w:p>
    <w:p>
      <w:pPr>
        <w:pStyle w:val="Indenta"/>
        <w:rPr>
          <w:spacing w:val="-4"/>
        </w:rPr>
      </w:pPr>
      <w:r>
        <w:tab/>
        <w:t>(h)</w:t>
      </w:r>
      <w:r>
        <w:tab/>
      </w:r>
      <w:r>
        <w:rPr>
          <w:spacing w:val="-4"/>
        </w:rPr>
        <w:t xml:space="preserve">the permit confers authority for the </w:t>
      </w:r>
      <w:r>
        <w:t>Minister</w:t>
      </w:r>
      <w:r>
        <w:rPr>
          <w:spacing w:val="-4"/>
        </w:rPr>
        <w:t xml:space="preserve"> to do so.</w:t>
      </w:r>
    </w:p>
    <w:p>
      <w:pPr>
        <w:pStyle w:val="Subsection"/>
        <w:spacing w:before="120"/>
      </w:pPr>
      <w:r>
        <w:tab/>
        <w:t>(3)</w:t>
      </w:r>
      <w:r>
        <w:tab/>
        <w:t>At the written request of the Minister, the permit holder is to give the permit to the Minister for amendment.</w:t>
      </w:r>
    </w:p>
    <w:p>
      <w:pPr>
        <w:pStyle w:val="Footnotesection"/>
      </w:pPr>
      <w:r>
        <w:tab/>
        <w:t>[Regulation 12 amended in Gazette 17 Dec 2002 p. 5912; 23 Jun 2009 p. 2495</w:t>
      </w:r>
      <w:r>
        <w:noBreakHyphen/>
        <w:t>6.]</w:t>
      </w:r>
    </w:p>
    <w:p>
      <w:pPr>
        <w:pStyle w:val="Heading5"/>
        <w:spacing w:before="180"/>
      </w:pPr>
      <w:bookmarkStart w:id="21" w:name="_Toc506886836"/>
      <w:r>
        <w:rPr>
          <w:rStyle w:val="CharSectno"/>
        </w:rPr>
        <w:t>13</w:t>
      </w:r>
      <w:r>
        <w:t>.</w:t>
      </w:r>
      <w:r>
        <w:tab/>
        <w:t>Minister may suspend or cancel permit</w:t>
      </w:r>
      <w:bookmarkEnd w:id="21"/>
    </w:p>
    <w:p>
      <w:pPr>
        <w:pStyle w:val="Subsection"/>
      </w:pPr>
      <w:r>
        <w:tab/>
        <w:t>(1)</w:t>
      </w:r>
      <w:r>
        <w:tab/>
        <w:t xml:space="preserve">The Minister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Minister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Minister may only exercise a power described in subregulation (1) in relation to a permit if — </w:t>
      </w:r>
    </w:p>
    <w:p>
      <w:pPr>
        <w:pStyle w:val="Indenta"/>
      </w:pPr>
      <w:r>
        <w:tab/>
        <w:t>(a)</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 xml:space="preserve">in the opinion of the Minister, the exercise of the power is necessary due to a serious inconsistency, which cannot be resolved by an amendment under regulation 12,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Minister, the exercise of the power is necessary to comply with another written law of the State or a law of the Commonwealth;</w:t>
      </w:r>
    </w:p>
    <w:p>
      <w:pPr>
        <w:pStyle w:val="Indenta"/>
      </w:pPr>
      <w:r>
        <w:tab/>
        <w:t>(e)</w:t>
      </w:r>
      <w:r>
        <w:tab/>
        <w:t>in the opinion of the Minister, the exercise of the power is necessary or desirable in the public interest; or</w:t>
      </w:r>
    </w:p>
    <w:p>
      <w:pPr>
        <w:pStyle w:val="Indenta"/>
      </w:pPr>
      <w:r>
        <w:tab/>
        <w:t>(f)</w:t>
      </w:r>
      <w:r>
        <w:tab/>
      </w:r>
      <w:r>
        <w:rPr>
          <w:spacing w:val="-4"/>
        </w:rPr>
        <w:t xml:space="preserve">the permit confers authority for the </w:t>
      </w:r>
      <w:r>
        <w:t>Minister</w:t>
      </w:r>
      <w:r>
        <w:rPr>
          <w:spacing w:val="-4"/>
        </w:rPr>
        <w:t xml:space="preserve">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Minister — </w:t>
      </w:r>
    </w:p>
    <w:p>
      <w:pPr>
        <w:pStyle w:val="Indenta"/>
      </w:pPr>
      <w:r>
        <w:tab/>
        <w:t>(a)</w:t>
      </w:r>
      <w:r>
        <w:tab/>
        <w:t>to be annotated in accordance with subregulation (3) if any duties are imposed by the permit; or</w:t>
      </w:r>
    </w:p>
    <w:p>
      <w:pPr>
        <w:pStyle w:val="Indenta"/>
        <w:keepNext/>
      </w:pPr>
      <w:r>
        <w:tab/>
        <w:t>(b)</w:t>
      </w:r>
      <w:r>
        <w:tab/>
        <w:t xml:space="preserve">if no duties are imposed by the permit and the permit is — </w:t>
      </w:r>
    </w:p>
    <w:p>
      <w:pPr>
        <w:pStyle w:val="Indenti"/>
      </w:pPr>
      <w:r>
        <w:tab/>
        <w:t>(i)</w:t>
      </w:r>
      <w:r>
        <w:tab/>
        <w:t>suspended, to be retained by the Minister until the suspension no longer applies; or</w:t>
      </w:r>
    </w:p>
    <w:p>
      <w:pPr>
        <w:pStyle w:val="Indenti"/>
      </w:pPr>
      <w:r>
        <w:tab/>
        <w:t>(ii)</w:t>
      </w:r>
      <w:r>
        <w:tab/>
        <w:t>cancelled, to be retained by the Minister.</w:t>
      </w:r>
    </w:p>
    <w:p>
      <w:pPr>
        <w:pStyle w:val="Penstart"/>
      </w:pPr>
      <w:r>
        <w:tab/>
        <w:t>Penalty: $2 000.</w:t>
      </w:r>
    </w:p>
    <w:p>
      <w:pPr>
        <w:pStyle w:val="Footnotesection"/>
      </w:pPr>
      <w:r>
        <w:tab/>
        <w:t>[Regulation 13 amended in Gazette 23 Jun 2009 p. 2495</w:t>
      </w:r>
      <w:r>
        <w:noBreakHyphen/>
        <w:t>6.]</w:t>
      </w:r>
    </w:p>
    <w:p>
      <w:pPr>
        <w:pStyle w:val="Heading5"/>
      </w:pPr>
      <w:bookmarkStart w:id="22" w:name="_Toc506886837"/>
      <w:r>
        <w:rPr>
          <w:rStyle w:val="CharSectno"/>
        </w:rPr>
        <w:t>14</w:t>
      </w:r>
      <w:r>
        <w:t>.</w:t>
      </w:r>
      <w:r>
        <w:tab/>
        <w:t>Permit holder’s rights before permit amended, suspended or cancelled</w:t>
      </w:r>
      <w:bookmarkEnd w:id="22"/>
    </w:p>
    <w:p>
      <w:pPr>
        <w:pStyle w:val="Subsection"/>
      </w:pPr>
      <w:r>
        <w:tab/>
        <w:t>(1)</w:t>
      </w:r>
      <w:r>
        <w:tab/>
        <w:t>Except as provided by subregulations (2) and (3), this regulation applies where the Minister proposes to exercise a power conferred by regulation 12 or 13.</w:t>
      </w:r>
    </w:p>
    <w:p>
      <w:pPr>
        <w:pStyle w:val="Subsection"/>
      </w:pPr>
      <w:r>
        <w:tab/>
        <w:t>(2)</w:t>
      </w:r>
      <w:r>
        <w:tab/>
        <w:t>This regulation does not apply to the proposed exercise of a power conferred by regulation 12 or 13 if the Minister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Minister is to notify the permit holder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Minister is to have regard to any submissions made by the permit holder under subregulation (5) before making the final decision.</w:t>
      </w:r>
    </w:p>
    <w:p>
      <w:pPr>
        <w:pStyle w:val="Footnotesection"/>
      </w:pPr>
      <w:r>
        <w:tab/>
        <w:t>[Regulation 14 amended in Gazette 23 Jun 2009 p. 2495</w:t>
      </w:r>
      <w:r>
        <w:noBreakHyphen/>
        <w:t>6 and 2497.]</w:t>
      </w:r>
    </w:p>
    <w:p>
      <w:pPr>
        <w:pStyle w:val="Heading5"/>
      </w:pPr>
      <w:bookmarkStart w:id="23" w:name="_Toc506886838"/>
      <w:r>
        <w:rPr>
          <w:rStyle w:val="CharSectno"/>
        </w:rPr>
        <w:t>15</w:t>
      </w:r>
      <w:r>
        <w:t>.</w:t>
      </w:r>
      <w:r>
        <w:tab/>
        <w:t>Surrender of permits</w:t>
      </w:r>
      <w:bookmarkEnd w:id="23"/>
    </w:p>
    <w:p>
      <w:pPr>
        <w:pStyle w:val="Subsection"/>
      </w:pPr>
      <w:r>
        <w:tab/>
      </w:r>
      <w:r>
        <w:tab/>
        <w:t>A permit may be surrendered at any time to the Minister if the permit holder has complied with any terms, conditions or restrictions included in the permit relating to its surrender.</w:t>
      </w:r>
    </w:p>
    <w:p>
      <w:pPr>
        <w:pStyle w:val="Footnotesection"/>
      </w:pPr>
      <w:r>
        <w:tab/>
        <w:t>[Regulation 15 amended in Gazette 23 Jun 2009 p. 2495</w:t>
      </w:r>
      <w:r>
        <w:noBreakHyphen/>
        <w:t>6.]</w:t>
      </w:r>
    </w:p>
    <w:p>
      <w:pPr>
        <w:pStyle w:val="Heading5"/>
        <w:keepNext w:val="0"/>
        <w:keepLines w:val="0"/>
      </w:pPr>
      <w:bookmarkStart w:id="24" w:name="_Toc506886839"/>
      <w:r>
        <w:rPr>
          <w:rStyle w:val="CharSectno"/>
        </w:rPr>
        <w:t>16</w:t>
      </w:r>
      <w:r>
        <w:t>.</w:t>
      </w:r>
      <w:r>
        <w:tab/>
        <w:t>Minister to be notified of change of ownership</w:t>
      </w:r>
      <w:bookmarkEnd w:id="24"/>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rStyle w:val="CharDefText"/>
        </w:rPr>
        <w:t>new owner</w:t>
      </w:r>
      <w:r>
        <w:t>),</w:t>
      </w:r>
    </w:p>
    <w:p>
      <w:pPr>
        <w:pStyle w:val="Subsection"/>
      </w:pPr>
      <w:r>
        <w:tab/>
      </w:r>
      <w:r>
        <w:tab/>
        <w:t>the permit holder and the new owner must give notice in writing of the change of ownership to the Minister within the period of 30 days after the day of the change of ownership.</w:t>
      </w:r>
    </w:p>
    <w:p>
      <w:pPr>
        <w:pStyle w:val="Penstart"/>
      </w:pPr>
      <w:r>
        <w:tab/>
        <w:t>Penalty: $250.</w:t>
      </w:r>
    </w:p>
    <w:p>
      <w:pPr>
        <w:pStyle w:val="Subsection"/>
      </w:pPr>
      <w:r>
        <w:tab/>
        <w:t>(2)</w:t>
      </w:r>
      <w:r>
        <w:tab/>
        <w:t>Whether or not notice of change of ownership of land is given to the Minister under subregulation (1), the new owner is to be taken to be the permit holder.</w:t>
      </w:r>
    </w:p>
    <w:p>
      <w:pPr>
        <w:pStyle w:val="Footnotesection"/>
      </w:pPr>
      <w:r>
        <w:tab/>
        <w:t>[Regulation 16 amended in Gazette 23 Jun 2009 p. 2495</w:t>
      </w:r>
      <w:r>
        <w:noBreakHyphen/>
        <w:t>6.]</w:t>
      </w:r>
    </w:p>
    <w:p>
      <w:pPr>
        <w:pStyle w:val="Heading5"/>
        <w:spacing w:before="180"/>
      </w:pPr>
      <w:bookmarkStart w:id="25" w:name="_Toc506886840"/>
      <w:r>
        <w:rPr>
          <w:rStyle w:val="CharSectno"/>
        </w:rPr>
        <w:t>17</w:t>
      </w:r>
      <w:r>
        <w:t>.</w:t>
      </w:r>
      <w:r>
        <w:tab/>
        <w:t>Terms, conditions and restrictions</w:t>
      </w:r>
      <w:bookmarkEnd w:id="25"/>
    </w:p>
    <w:p>
      <w:pPr>
        <w:pStyle w:val="Subsection"/>
        <w:keepNext/>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Minister, the Minister may take such action as is necessary to ensure the condition is complied with and may recover the cost of doing so from the permit holder as a debt due in a court of competent jurisdiction.</w:t>
      </w:r>
    </w:p>
    <w:p>
      <w:pPr>
        <w:pStyle w:val="Subsection"/>
      </w:pPr>
      <w:r>
        <w:tab/>
        <w:t>(2)</w:t>
      </w:r>
      <w:r>
        <w:tab/>
        <w:t>The Minister may, at his or her discretion, include in a permit any other term, condition or restriction but regulation 7(2) and (3) applies to the exercise of that discretion.</w:t>
      </w:r>
    </w:p>
    <w:p>
      <w:pPr>
        <w:pStyle w:val="Footnotesection"/>
      </w:pPr>
      <w:r>
        <w:tab/>
        <w:t>[Regulation 17 amended in Gazette 23 Jun 2009 p. 2495</w:t>
      </w:r>
      <w:r>
        <w:noBreakHyphen/>
        <w:t>6 and 2497.]</w:t>
      </w:r>
    </w:p>
    <w:p>
      <w:pPr>
        <w:pStyle w:val="Heading5"/>
        <w:spacing w:before="180"/>
      </w:pPr>
      <w:bookmarkStart w:id="26" w:name="_Toc506886841"/>
      <w:r>
        <w:rPr>
          <w:rStyle w:val="CharSectno"/>
        </w:rPr>
        <w:t>18</w:t>
      </w:r>
      <w:r>
        <w:t>.</w:t>
      </w:r>
      <w:r>
        <w:tab/>
        <w:t>Minister may direct compliance with permit condition</w:t>
      </w:r>
      <w:bookmarkEnd w:id="26"/>
    </w:p>
    <w:p>
      <w:pPr>
        <w:pStyle w:val="Subsection"/>
      </w:pPr>
      <w:r>
        <w:tab/>
        <w:t>(1)</w:t>
      </w:r>
      <w:r>
        <w:tab/>
        <w:t>If a permit holder fails to comply with any term, condition or restriction included in a permit, the Minister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Minister — </w:t>
      </w:r>
    </w:p>
    <w:p>
      <w:pPr>
        <w:pStyle w:val="Indenta"/>
      </w:pPr>
      <w:r>
        <w:tab/>
        <w:t>(a)</w:t>
      </w:r>
      <w:r>
        <w:tab/>
        <w:t xml:space="preserve">the person commits an offence; and </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and expenses incurred in doing so as a debt due to the State by the person.</w:t>
      </w:r>
    </w:p>
    <w:p>
      <w:pPr>
        <w:pStyle w:val="Penstart"/>
      </w:pPr>
      <w:r>
        <w:tab/>
        <w:t>Penalty: $2 000 and daily penalty of $200.</w:t>
      </w:r>
    </w:p>
    <w:p>
      <w:pPr>
        <w:pStyle w:val="Footnotesection"/>
      </w:pPr>
      <w:r>
        <w:tab/>
        <w:t>[Regulation 18 amended in Gazette 23 Jun 2009 p. 2495</w:t>
      </w:r>
      <w:r>
        <w:noBreakHyphen/>
        <w:t>6 and 2498.]</w:t>
      </w:r>
    </w:p>
    <w:p>
      <w:pPr>
        <w:pStyle w:val="Heading2"/>
      </w:pPr>
      <w:bookmarkStart w:id="27" w:name="_Toc493168637"/>
      <w:bookmarkStart w:id="28" w:name="_Toc493233787"/>
      <w:bookmarkStart w:id="29" w:name="_Toc506886842"/>
      <w:r>
        <w:rPr>
          <w:rStyle w:val="CharPartNo"/>
        </w:rPr>
        <w:t>Part 3</w:t>
      </w:r>
      <w:r>
        <w:rPr>
          <w:rStyle w:val="CharDivNo"/>
        </w:rPr>
        <w:t xml:space="preserve"> </w:t>
      </w:r>
      <w:r>
        <w:t>—</w:t>
      </w:r>
      <w:r>
        <w:rPr>
          <w:rStyle w:val="CharDivText"/>
        </w:rPr>
        <w:t xml:space="preserve"> </w:t>
      </w:r>
      <w:r>
        <w:rPr>
          <w:rStyle w:val="CharPartText"/>
        </w:rPr>
        <w:t>Licences under section 5C</w:t>
      </w:r>
      <w:bookmarkEnd w:id="27"/>
      <w:bookmarkEnd w:id="28"/>
      <w:bookmarkEnd w:id="29"/>
    </w:p>
    <w:p>
      <w:pPr>
        <w:pStyle w:val="Ednotesection"/>
      </w:pPr>
      <w:r>
        <w:t>[</w:t>
      </w:r>
      <w:r>
        <w:rPr>
          <w:b/>
          <w:bCs/>
        </w:rPr>
        <w:t>19A.</w:t>
      </w:r>
      <w:r>
        <w:tab/>
        <w:t>Inserted in Gazette 28 Dec 2007 p. 6426 (disallowed, see Gazette 11 Apr 2008 p. 1396).]</w:t>
      </w:r>
    </w:p>
    <w:p>
      <w:pPr>
        <w:pStyle w:val="Ednotesection"/>
      </w:pPr>
      <w:r>
        <w:t>[</w:t>
      </w:r>
      <w:r>
        <w:rPr>
          <w:b/>
        </w:rPr>
        <w:t>19, 20.</w:t>
      </w:r>
      <w:r>
        <w:rPr>
          <w:b/>
        </w:rPr>
        <w:tab/>
      </w:r>
      <w:r>
        <w:t>Deleted in Gazette 16 Dec 2014 p. 4766.]</w:t>
      </w:r>
    </w:p>
    <w:p>
      <w:pPr>
        <w:pStyle w:val="Heading5"/>
        <w:spacing w:before="240"/>
      </w:pPr>
      <w:bookmarkStart w:id="30" w:name="_Toc506886843"/>
      <w:r>
        <w:rPr>
          <w:rStyle w:val="CharSectno"/>
        </w:rPr>
        <w:t>21</w:t>
      </w:r>
      <w:r>
        <w:t>.</w:t>
      </w:r>
      <w:r>
        <w:tab/>
        <w:t>Renewal of licence</w:t>
      </w:r>
      <w:bookmarkEnd w:id="30"/>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Minister to be an application for a licence under clause 4(1) of Schedule 1 to the Act.</w:t>
      </w:r>
    </w:p>
    <w:p>
      <w:pPr>
        <w:pStyle w:val="Footnotesection"/>
      </w:pPr>
      <w:r>
        <w:tab/>
        <w:t>[Regulation 21 amended in Gazette 23 Jun 2009 p. 2495</w:t>
      </w:r>
      <w:r>
        <w:noBreakHyphen/>
        <w:t>6.]</w:t>
      </w:r>
    </w:p>
    <w:p>
      <w:pPr>
        <w:pStyle w:val="Heading5"/>
        <w:spacing w:before="240"/>
        <w:rPr>
          <w:rStyle w:val="CharSectno"/>
        </w:rPr>
      </w:pPr>
      <w:bookmarkStart w:id="31" w:name="_Toc506886844"/>
      <w:r>
        <w:rPr>
          <w:rStyle w:val="CharSectno"/>
        </w:rPr>
        <w:t>22.</w:t>
      </w:r>
      <w:r>
        <w:rPr>
          <w:rStyle w:val="CharSectno"/>
        </w:rPr>
        <w:tab/>
        <w:t>Fee for certified copy of licence</w:t>
      </w:r>
      <w:bookmarkEnd w:id="31"/>
    </w:p>
    <w:p>
      <w:pPr>
        <w:pStyle w:val="Subsection"/>
        <w:spacing w:before="180"/>
      </w:pPr>
      <w:r>
        <w:tab/>
        <w:t>(1)</w:t>
      </w:r>
      <w:r>
        <w:tab/>
        <w:t>The fee payable for a duplicate licence is the fee specified in item 4 of Schedule 1 Part 1.</w:t>
      </w:r>
    </w:p>
    <w:p>
      <w:pPr>
        <w:pStyle w:val="Subsection"/>
        <w:spacing w:before="180"/>
      </w:pPr>
      <w:r>
        <w:tab/>
        <w:t>(2)</w:t>
      </w:r>
      <w:r>
        <w:tab/>
        <w:t>A duplicate licence is to be a copy of the licence certified as a correct copy by the Minister.</w:t>
      </w:r>
    </w:p>
    <w:p>
      <w:pPr>
        <w:pStyle w:val="Footnotesection"/>
      </w:pPr>
      <w:r>
        <w:tab/>
        <w:t>[Regulation 22 amended in Gazette 22 Jun 2007 p. 2880 (disallowed, see Gazette 27 Nov 2007 p. 5910); 28 Dec 2007 p. 6428 (disallowed, see Gazette 11 Apr 2008 p. 1396); 23 Jun 2009 p. 2495</w:t>
      </w:r>
      <w:r>
        <w:noBreakHyphen/>
        <w:t>6.]</w:t>
      </w:r>
    </w:p>
    <w:p>
      <w:pPr>
        <w:pStyle w:val="Heading5"/>
        <w:spacing w:before="240"/>
      </w:pPr>
      <w:bookmarkStart w:id="32" w:name="_Toc506886845"/>
      <w:r>
        <w:rPr>
          <w:rStyle w:val="CharSectno"/>
        </w:rPr>
        <w:t>23</w:t>
      </w:r>
      <w:r>
        <w:t>.</w:t>
      </w:r>
      <w:r>
        <w:tab/>
        <w:t>Advertising applications (Act Sch. 1 cl. 5)</w:t>
      </w:r>
      <w:bookmarkEnd w:id="32"/>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Minister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Minister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Minister is of the opinion that an application, if granted, will not be of sufficient impact on a water resource that it is desirable that it be publicly notified.</w:t>
      </w:r>
    </w:p>
    <w:p>
      <w:pPr>
        <w:pStyle w:val="Subsection"/>
        <w:spacing w:before="120"/>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Minister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Minister is to have regard to any submission made by a person under subregulation (4)(d) within the time specified in the notice before making the final decision.</w:t>
      </w:r>
    </w:p>
    <w:p>
      <w:pPr>
        <w:pStyle w:val="Footnotesection"/>
      </w:pPr>
      <w:r>
        <w:tab/>
        <w:t>[Regulation 23 amended in Gazette 17 Dec 2002 p. 5912; 23 Jun 2009 p. 2495</w:t>
      </w:r>
      <w:r>
        <w:noBreakHyphen/>
        <w:t>6 and 2497.]</w:t>
      </w:r>
    </w:p>
    <w:p>
      <w:pPr>
        <w:pStyle w:val="Heading5"/>
      </w:pPr>
      <w:bookmarkStart w:id="33" w:name="_Toc506886846"/>
      <w:r>
        <w:rPr>
          <w:rStyle w:val="CharSectno"/>
        </w:rPr>
        <w:t>24</w:t>
      </w:r>
      <w:r>
        <w:t>.</w:t>
      </w:r>
      <w:r>
        <w:tab/>
        <w:t>Security interest holders may make submissions on application</w:t>
      </w:r>
      <w:bookmarkEnd w:id="33"/>
    </w:p>
    <w:p>
      <w:pPr>
        <w:pStyle w:val="Subsection"/>
      </w:pPr>
      <w:r>
        <w:tab/>
        <w:t>(1)</w:t>
      </w:r>
      <w:r>
        <w:tab/>
        <w:t>A person who has been given written details of an application under section 26GZO(b) may within the time specified by written notice given by the Minister (which is to be not less than 14 days after the notice is given) make written submissions to the Minister regarding the application.</w:t>
      </w:r>
    </w:p>
    <w:p>
      <w:pPr>
        <w:pStyle w:val="Subsection"/>
        <w:spacing w:before="120"/>
      </w:pPr>
      <w:r>
        <w:tab/>
        <w:t>(2)</w:t>
      </w:r>
      <w:r>
        <w:tab/>
        <w:t>The Minister is to have regard to any submission made under subregulation (1) within the time specified in the notice before making the final decision with respect to an application under section 26GZO.</w:t>
      </w:r>
    </w:p>
    <w:p>
      <w:pPr>
        <w:pStyle w:val="Footnotesection"/>
      </w:pPr>
      <w:r>
        <w:tab/>
        <w:t>[Regulation 24 amended in Gazette 23 Jun 2009 p. 2495</w:t>
      </w:r>
      <w:r>
        <w:noBreakHyphen/>
        <w:t>6 and 2497.]</w:t>
      </w:r>
    </w:p>
    <w:p>
      <w:pPr>
        <w:pStyle w:val="Heading5"/>
        <w:spacing w:before="120"/>
      </w:pPr>
      <w:bookmarkStart w:id="34" w:name="_Toc506886847"/>
      <w:r>
        <w:rPr>
          <w:rStyle w:val="CharSectno"/>
        </w:rPr>
        <w:t>25</w:t>
      </w:r>
      <w:r>
        <w:t>.</w:t>
      </w:r>
      <w:r>
        <w:tab/>
        <w:t>Licensee no longer eligible to hold licence to inform  Minister</w:t>
      </w:r>
      <w:bookmarkEnd w:id="34"/>
    </w:p>
    <w:p>
      <w:pPr>
        <w:pStyle w:val="Subsection"/>
        <w:spacing w:before="120"/>
      </w:pPr>
      <w:r>
        <w:tab/>
        <w:t>(1)</w:t>
      </w:r>
      <w:r>
        <w:tab/>
        <w:t>A licensee who ceases, or who has reason to suspect that he or she may have ceased, to be eligible in terms of clause 3 of Schedule 1 to the Act to hold a licence is to inform the Minister in writing of that fact within 30 days of the licensee ceasing to be eligible.</w:t>
      </w:r>
    </w:p>
    <w:p>
      <w:pPr>
        <w:pStyle w:val="Penstart"/>
      </w:pPr>
      <w:r>
        <w:tab/>
        <w:t>Penalty: $1 000.</w:t>
      </w:r>
    </w:p>
    <w:p>
      <w:pPr>
        <w:pStyle w:val="Subsection"/>
        <w:spacing w:before="120"/>
      </w:pPr>
      <w:r>
        <w:tab/>
        <w:t>(2)</w:t>
      </w:r>
      <w:r>
        <w:tab/>
        <w:t>On receiving notice under subregulation (1) the Minister is to inform the licensee in writing of the time when the licence will be terminated.</w:t>
      </w:r>
    </w:p>
    <w:p>
      <w:pPr>
        <w:pStyle w:val="Subsection"/>
        <w:spacing w:before="120"/>
      </w:pPr>
      <w:r>
        <w:tab/>
        <w:t>(3)</w:t>
      </w:r>
      <w:r>
        <w:tab/>
        <w:t>At the request of a licensee referred to in subregulation (1), the Minister may agree in writing that the licence is to be terminated at the end of a period, not exceeding 6 months from the time the Minister received notice under subregulation (1).</w:t>
      </w:r>
    </w:p>
    <w:p>
      <w:pPr>
        <w:pStyle w:val="Footnotesection"/>
      </w:pPr>
      <w:r>
        <w:tab/>
        <w:t>[Regulation 25 amended in Gazette 23 Jun 2009 p. 2495-6.]</w:t>
      </w:r>
    </w:p>
    <w:p>
      <w:pPr>
        <w:pStyle w:val="Heading5"/>
      </w:pPr>
      <w:bookmarkStart w:id="35" w:name="_Toc506886848"/>
      <w:r>
        <w:rPr>
          <w:rStyle w:val="CharSectno"/>
        </w:rPr>
        <w:t>26</w:t>
      </w:r>
      <w:r>
        <w:t>.</w:t>
      </w:r>
      <w:r>
        <w:tab/>
        <w:t>Removal of endorsement that licence is subject to Act Sch. 1 cl. 20</w:t>
      </w:r>
      <w:bookmarkEnd w:id="35"/>
    </w:p>
    <w:p>
      <w:pPr>
        <w:pStyle w:val="Subsection"/>
        <w:spacing w:before="120"/>
      </w:pPr>
      <w:r>
        <w:tab/>
        <w:t>(1)</w:t>
      </w:r>
      <w:r>
        <w:tab/>
        <w:t>If the Minister is satisfied that a licensee is no longer obliged by an agreement with another person referred to in clause 19 of Schedule 1 to the Act, or that it is no longer appropriate for the Minister to recognise such an obligation, the Minister may remove an endorsement from a licence under that clause.</w:t>
      </w:r>
    </w:p>
    <w:p>
      <w:pPr>
        <w:pStyle w:val="Subsection"/>
      </w:pPr>
      <w:r>
        <w:tab/>
        <w:t>(2)</w:t>
      </w:r>
      <w:r>
        <w:tab/>
        <w:t>Before removing an endorsement from a licence, the Minister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Minister regarding the removal of the endorsement.</w:t>
      </w:r>
    </w:p>
    <w:p>
      <w:pPr>
        <w:pStyle w:val="Subsection"/>
      </w:pPr>
      <w:r>
        <w:tab/>
        <w:t>(4)</w:t>
      </w:r>
      <w:r>
        <w:tab/>
        <w:t>The Minister is to have regard to any submission made under subregulation (3) within the time specified in the notice before making the final decision with respect to the removal of the endorsement.</w:t>
      </w:r>
    </w:p>
    <w:p>
      <w:pPr>
        <w:pStyle w:val="Footnotesection"/>
        <w:rPr>
          <w:b/>
          <w:i w:val="0"/>
        </w:rPr>
      </w:pPr>
      <w:r>
        <w:tab/>
        <w:t>[Regulation 26 amended in Gazette 23 Jun 2009 p. 2495-6 and 2497.]</w:t>
      </w:r>
    </w:p>
    <w:p>
      <w:pPr>
        <w:pStyle w:val="Heading5"/>
      </w:pPr>
      <w:bookmarkStart w:id="36" w:name="_Toc506886849"/>
      <w:r>
        <w:rPr>
          <w:rStyle w:val="CharSectno"/>
        </w:rPr>
        <w:t>27</w:t>
      </w:r>
      <w:r>
        <w:t>.</w:t>
      </w:r>
      <w:r>
        <w:tab/>
        <w:t>Prescribed circumstances where Minister may suspend or cancel a licence (Act Sch. 1 cl. 25)</w:t>
      </w:r>
      <w:bookmarkEnd w:id="36"/>
    </w:p>
    <w:p>
      <w:pPr>
        <w:pStyle w:val="Subsection"/>
      </w:pPr>
      <w:r>
        <w:tab/>
        <w:t>(1)</w:t>
      </w:r>
      <w:r>
        <w:tab/>
        <w:t>For the purpose of clause 25(2)(g) of Schedule 1 to the Act, the circumstances to which subregulation (2) applies are circumstances where the Minister may suspend or cancel a licence under clause 25(1) of that Schedule.</w:t>
      </w:r>
    </w:p>
    <w:p>
      <w:pPr>
        <w:pStyle w:val="Subsection"/>
      </w:pPr>
      <w:r>
        <w:tab/>
        <w:t>(2)</w:t>
      </w:r>
      <w:r>
        <w:tab/>
        <w:t xml:space="preserve">This subregulation applies to the circumstances that, in the opinion of the Minister, in making a decision to grant a licence to the licensee, the Minister has relied on information that the licensee supplied to the Minister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Footnotesection"/>
      </w:pPr>
      <w:r>
        <w:tab/>
        <w:t>[Regulation 27 amended in Gazette 23 Jun 2009 p. 2495</w:t>
      </w:r>
      <w:r>
        <w:noBreakHyphen/>
        <w:t>6.]</w:t>
      </w:r>
    </w:p>
    <w:p>
      <w:pPr>
        <w:pStyle w:val="Heading5"/>
      </w:pPr>
      <w:bookmarkStart w:id="37" w:name="_Toc506886850"/>
      <w:r>
        <w:rPr>
          <w:rStyle w:val="CharSectno"/>
        </w:rPr>
        <w:t>28</w:t>
      </w:r>
      <w:r>
        <w:t>.</w:t>
      </w:r>
      <w:r>
        <w:tab/>
        <w:t>Application for approval to transfer licence, water entitlement or agreement, submissions and responses about (Act Sch. 1 cl. 35)</w:t>
      </w:r>
      <w:bookmarkEnd w:id="37"/>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 (disallowed, see Gazette 27 Nov 2007 p. 5910); 28 Dec 2007 p. 6428 (disallowed, see Gazette 11 Apr 2008 p. 1396).]</w:t>
      </w:r>
    </w:p>
    <w:p>
      <w:pPr>
        <w:pStyle w:val="Heading5"/>
      </w:pPr>
      <w:bookmarkStart w:id="38" w:name="_Toc506886851"/>
      <w:r>
        <w:rPr>
          <w:rStyle w:val="CharSectno"/>
        </w:rPr>
        <w:t>29</w:t>
      </w:r>
      <w:r>
        <w:t>.</w:t>
      </w:r>
      <w:r>
        <w:tab/>
        <w:t>Licensee to return licence on suspension and cancellation</w:t>
      </w:r>
      <w:bookmarkEnd w:id="38"/>
    </w:p>
    <w:p>
      <w:pPr>
        <w:pStyle w:val="Subsection"/>
      </w:pPr>
      <w:r>
        <w:tab/>
      </w:r>
      <w:r>
        <w:tab/>
        <w:t xml:space="preserve">A licensee must, within 7 days of receiving notice from the Minister that a licence held by the licensee is suspended or cancelled under clause 25 of Schedule 1 to the Act, give the licence to the Minister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Minister until the suspension no longer applies; and</w:t>
      </w:r>
    </w:p>
    <w:p>
      <w:pPr>
        <w:pStyle w:val="Indenti"/>
      </w:pPr>
      <w:r>
        <w:tab/>
        <w:t>(ii)</w:t>
      </w:r>
      <w:r>
        <w:tab/>
        <w:t>cancelled, to be retained by the Minister.</w:t>
      </w:r>
    </w:p>
    <w:p>
      <w:pPr>
        <w:pStyle w:val="Penstart"/>
      </w:pPr>
      <w:r>
        <w:tab/>
        <w:t>Penalty: $2 000.</w:t>
      </w:r>
    </w:p>
    <w:p>
      <w:pPr>
        <w:pStyle w:val="Footnotesection"/>
      </w:pPr>
      <w:r>
        <w:tab/>
        <w:t>[Regulation 29 amended in Gazette 23 Jun 2009 p. 2495</w:t>
      </w:r>
      <w:r>
        <w:noBreakHyphen/>
        <w:t>6.]</w:t>
      </w:r>
    </w:p>
    <w:p>
      <w:pPr>
        <w:pStyle w:val="Heading5"/>
      </w:pPr>
      <w:bookmarkStart w:id="39" w:name="_Toc506886852"/>
      <w:r>
        <w:rPr>
          <w:rStyle w:val="CharSectno"/>
        </w:rPr>
        <w:t>30</w:t>
      </w:r>
      <w:r>
        <w:t>.</w:t>
      </w:r>
      <w:r>
        <w:tab/>
        <w:t>Licence to be provided to Minister in certain cases (Act Sch. 1 cl. 23, 24 and 32)</w:t>
      </w:r>
      <w:bookmarkEnd w:id="39"/>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Minister that a licence held by the licensee is to be amended under clause 24 of Schedule 1 to the Act give that licence to the Minister for the endorsement of the amendment.</w:t>
      </w:r>
    </w:p>
    <w:p>
      <w:pPr>
        <w:pStyle w:val="Footnotesection"/>
      </w:pPr>
      <w:r>
        <w:tab/>
        <w:t>[Regulation 30 amended in Gazette 23 Jun 2009 p. 2495</w:t>
      </w:r>
      <w:r>
        <w:noBreakHyphen/>
        <w:t>6.]</w:t>
      </w:r>
    </w:p>
    <w:p>
      <w:pPr>
        <w:pStyle w:val="Heading5"/>
      </w:pPr>
      <w:bookmarkStart w:id="40" w:name="_Toc506886853"/>
      <w:r>
        <w:rPr>
          <w:rStyle w:val="CharSectno"/>
        </w:rPr>
        <w:t>31</w:t>
      </w:r>
      <w:r>
        <w:t>.</w:t>
      </w:r>
      <w:r>
        <w:tab/>
        <w:t>Evidence</w:t>
      </w:r>
      <w:bookmarkEnd w:id="40"/>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41" w:name="_Toc493168649"/>
      <w:bookmarkStart w:id="42" w:name="_Toc493233799"/>
      <w:bookmarkStart w:id="43" w:name="_Toc506886854"/>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41"/>
      <w:bookmarkEnd w:id="42"/>
      <w:bookmarkEnd w:id="43"/>
    </w:p>
    <w:p>
      <w:pPr>
        <w:pStyle w:val="Heading5"/>
      </w:pPr>
      <w:bookmarkStart w:id="44" w:name="_Toc506886855"/>
      <w:r>
        <w:rPr>
          <w:rStyle w:val="CharSectno"/>
        </w:rPr>
        <w:t>32</w:t>
      </w:r>
      <w:r>
        <w:t>.</w:t>
      </w:r>
      <w:r>
        <w:tab/>
        <w:t>Terms used</w:t>
      </w:r>
      <w:bookmarkEnd w:id="44"/>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45" w:name="_Toc506886856"/>
      <w:r>
        <w:rPr>
          <w:rStyle w:val="CharSectno"/>
        </w:rPr>
        <w:t>33</w:t>
      </w:r>
      <w:r>
        <w:t>.</w:t>
      </w:r>
      <w:r>
        <w:tab/>
        <w:t>Applications for licences</w:t>
      </w:r>
      <w:bookmarkEnd w:id="45"/>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 (disallowed, see Gazette 27 Nov 2007 p. 5910); 28 Dec 2007 p. 6428 (disallowed, see Gazette 11 Apr 2008 p. 1396).]</w:t>
      </w:r>
    </w:p>
    <w:p>
      <w:pPr>
        <w:pStyle w:val="Heading5"/>
      </w:pPr>
      <w:bookmarkStart w:id="46" w:name="_Toc506886857"/>
      <w:r>
        <w:rPr>
          <w:rStyle w:val="CharSectno"/>
        </w:rPr>
        <w:t>34</w:t>
      </w:r>
      <w:r>
        <w:t>.</w:t>
      </w:r>
      <w:r>
        <w:tab/>
        <w:t>Applicant may make representations to Minister in some cases</w:t>
      </w:r>
      <w:bookmarkEnd w:id="46"/>
    </w:p>
    <w:p>
      <w:pPr>
        <w:pStyle w:val="Subsection"/>
        <w:keepNext/>
      </w:pPr>
      <w:r>
        <w:tab/>
        <w:t>(1)</w:t>
      </w:r>
      <w:r>
        <w:tab/>
        <w:t xml:space="preserve">This regulation applies where the Minister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the Minister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34 amended in Gazette 23 Jun 2009 p. 2495</w:t>
      </w:r>
      <w:r>
        <w:noBreakHyphen/>
        <w:t>6 and 2497-8.]</w:t>
      </w:r>
    </w:p>
    <w:p>
      <w:pPr>
        <w:pStyle w:val="Heading5"/>
      </w:pPr>
      <w:bookmarkStart w:id="47" w:name="_Toc506886858"/>
      <w:r>
        <w:rPr>
          <w:rStyle w:val="CharSectno"/>
        </w:rPr>
        <w:t>35</w:t>
      </w:r>
      <w:r>
        <w:t>.</w:t>
      </w:r>
      <w:r>
        <w:tab/>
        <w:t>Deciding applications</w:t>
      </w:r>
      <w:bookmarkEnd w:id="47"/>
    </w:p>
    <w:p>
      <w:pPr>
        <w:pStyle w:val="Subsection"/>
      </w:pPr>
      <w:r>
        <w:tab/>
        <w:t>(1)</w:t>
      </w:r>
      <w:r>
        <w:tab/>
        <w:t>The grant or refusal of an application for a licence and the terms, limitations and conditions to be included in the licence are, subject to regulation 36, at the discretion of the Minister.</w:t>
      </w:r>
    </w:p>
    <w:p>
      <w:pPr>
        <w:pStyle w:val="Subsection"/>
      </w:pPr>
      <w:r>
        <w:tab/>
        <w:t>(2)</w:t>
      </w:r>
      <w:r>
        <w:tab/>
        <w:t xml:space="preserve">In exercising that discretion the Minister is to have regard to all matters that the Minister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Minister,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Minister is to have regard to any submissions made by the applicant under regulation 34(3) before making the final decision.</w:t>
      </w:r>
    </w:p>
    <w:p>
      <w:pPr>
        <w:pStyle w:val="Subsection"/>
      </w:pPr>
      <w:r>
        <w:tab/>
        <w:t>(5)</w:t>
      </w:r>
      <w:r>
        <w:tab/>
        <w:t>The Minister may refuse to grant a licence to a person on the ground that the person has been convicted of an offence against a relevant Act.</w:t>
      </w:r>
    </w:p>
    <w:p>
      <w:pPr>
        <w:pStyle w:val="Subsection"/>
        <w:keepNext/>
        <w:keepLines/>
      </w:pPr>
      <w:r>
        <w:tab/>
        <w:t>(6)</w:t>
      </w:r>
      <w:r>
        <w:tab/>
        <w:t>The Minister may refuse to grant a licence to a person if not satisfied that the person has the resources, including the financial resources, to carry out the activities to which the licence relates.</w:t>
      </w:r>
    </w:p>
    <w:p>
      <w:pPr>
        <w:pStyle w:val="Footnotesection"/>
      </w:pPr>
      <w:r>
        <w:tab/>
        <w:t>[Regulation 35 amended in Gazette 23 Jun 2009 p. 2495-7 and 2497</w:t>
      </w:r>
      <w:r>
        <w:noBreakHyphen/>
        <w:t>8.]</w:t>
      </w:r>
    </w:p>
    <w:p>
      <w:pPr>
        <w:pStyle w:val="Heading5"/>
      </w:pPr>
      <w:bookmarkStart w:id="48" w:name="_Toc506886859"/>
      <w:r>
        <w:rPr>
          <w:rStyle w:val="CharSectno"/>
        </w:rPr>
        <w:t>36</w:t>
      </w:r>
      <w:r>
        <w:t>.</w:t>
      </w:r>
      <w:r>
        <w:tab/>
        <w:t>When Minister must refuse licence; Minister may undertake to grant licence in some cases</w:t>
      </w:r>
      <w:bookmarkEnd w:id="48"/>
    </w:p>
    <w:p>
      <w:pPr>
        <w:pStyle w:val="Subsection"/>
      </w:pPr>
      <w:r>
        <w:tab/>
        <w:t>(1)</w:t>
      </w:r>
      <w:r>
        <w:tab/>
        <w:t>The Minister must refuse to grant a licence to a person if the Minister considers that the person would not be willing or able to comply with the terms, limitations and conditions that would be included in the licence.</w:t>
      </w:r>
    </w:p>
    <w:p>
      <w:pPr>
        <w:pStyle w:val="Subsection"/>
      </w:pPr>
      <w:r>
        <w:tab/>
        <w:t>(2)</w:t>
      </w:r>
      <w:r>
        <w:tab/>
        <w:t>If the Minister would grant a licence to an applicant if the applicant satisfies the Minister as to a matter, relevant to the grant of a licence under this Part, specified by the Minister, the Minister may undertake to grant the licence to the person if the person so satisfies the Minister within the term specified in the undertaking.</w:t>
      </w:r>
    </w:p>
    <w:p>
      <w:pPr>
        <w:pStyle w:val="Footnotesection"/>
      </w:pPr>
      <w:r>
        <w:tab/>
        <w:t>[Regulation 36 amended in Gazette 23 Jun 2009 p. 2495</w:t>
      </w:r>
      <w:r>
        <w:noBreakHyphen/>
        <w:t>7 and 2497</w:t>
      </w:r>
      <w:r>
        <w:noBreakHyphen/>
        <w:t>8.]</w:t>
      </w:r>
    </w:p>
    <w:p>
      <w:pPr>
        <w:pStyle w:val="Heading5"/>
      </w:pPr>
      <w:bookmarkStart w:id="49" w:name="_Toc506886860"/>
      <w:r>
        <w:rPr>
          <w:rStyle w:val="CharSectno"/>
        </w:rPr>
        <w:t>37</w:t>
      </w:r>
      <w:r>
        <w:t>.</w:t>
      </w:r>
      <w:r>
        <w:tab/>
        <w:t>Minister to notify applicant of decision etc.</w:t>
      </w:r>
      <w:bookmarkEnd w:id="49"/>
    </w:p>
    <w:p>
      <w:pPr>
        <w:pStyle w:val="Subsection"/>
      </w:pPr>
      <w:r>
        <w:tab/>
        <w:t>(1)</w:t>
      </w:r>
      <w:r>
        <w:tab/>
        <w:t>The Minister is to notify the outcome of the application and the terms, limitations and conditions to be included in the licence to the applicant.</w:t>
      </w:r>
    </w:p>
    <w:p>
      <w:pPr>
        <w:pStyle w:val="Subsection"/>
      </w:pPr>
      <w:r>
        <w:tab/>
        <w:t>(2)</w:t>
      </w:r>
      <w:r>
        <w:tab/>
        <w:t xml:space="preserve">If the Minister — </w:t>
      </w:r>
    </w:p>
    <w:p>
      <w:pPr>
        <w:pStyle w:val="Indenta"/>
      </w:pPr>
      <w:r>
        <w:tab/>
        <w:t>(a)</w:t>
      </w:r>
      <w:r>
        <w:tab/>
        <w:t>refuses the application;</w:t>
      </w:r>
    </w:p>
    <w:p>
      <w:pPr>
        <w:pStyle w:val="Indenta"/>
      </w:pPr>
      <w:r>
        <w:tab/>
        <w:t>(b)</w:t>
      </w:r>
      <w:r>
        <w:tab/>
        <w:t>grants, or undertakes to grant, the application subject to the inclusion of a term, limitation or condition that the Minister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Minister is to notify the applicant of the reasons for the decision.</w:t>
      </w:r>
    </w:p>
    <w:p>
      <w:pPr>
        <w:pStyle w:val="Footnotesection"/>
      </w:pPr>
      <w:r>
        <w:tab/>
        <w:t>[Regulation 37 amended in Gazette 23 Jun 2009 p. 2495</w:t>
      </w:r>
      <w:r>
        <w:noBreakHyphen/>
        <w:t>7.]</w:t>
      </w:r>
    </w:p>
    <w:p>
      <w:pPr>
        <w:pStyle w:val="Heading5"/>
      </w:pPr>
      <w:bookmarkStart w:id="50" w:name="_Toc506886861"/>
      <w:r>
        <w:rPr>
          <w:rStyle w:val="CharSectno"/>
        </w:rPr>
        <w:t>38</w:t>
      </w:r>
      <w:r>
        <w:t>.</w:t>
      </w:r>
      <w:r>
        <w:tab/>
        <w:t>Information on work on artesian wells to be provided at certain times</w:t>
      </w:r>
      <w:bookmarkEnd w:id="50"/>
    </w:p>
    <w:p>
      <w:pPr>
        <w:pStyle w:val="Subsection"/>
      </w:pPr>
      <w:r>
        <w:tab/>
      </w:r>
      <w:r>
        <w:tab/>
        <w:t xml:space="preserve">A person who holds a licence in respect of an artesian well must give to the Minister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Footnotesection"/>
      </w:pPr>
      <w:r>
        <w:tab/>
        <w:t>[Regulation 38 amended in Gazette 23 Jun 2009 p. 2495</w:t>
      </w:r>
      <w:r>
        <w:noBreakHyphen/>
        <w:t>7.]</w:t>
      </w:r>
    </w:p>
    <w:p>
      <w:pPr>
        <w:pStyle w:val="Heading5"/>
        <w:spacing w:before="200"/>
      </w:pPr>
      <w:bookmarkStart w:id="51" w:name="_Toc506886862"/>
      <w:r>
        <w:rPr>
          <w:rStyle w:val="CharSectno"/>
        </w:rPr>
        <w:t>39</w:t>
      </w:r>
      <w:r>
        <w:t>.</w:t>
      </w:r>
      <w:r>
        <w:tab/>
        <w:t>Information on non</w:t>
      </w:r>
      <w:r>
        <w:noBreakHyphen/>
        <w:t>artesian wells prescribed (Act s. 26E)</w:t>
      </w:r>
      <w:bookmarkEnd w:id="51"/>
    </w:p>
    <w:p>
      <w:pPr>
        <w:pStyle w:val="Subsection"/>
      </w:pPr>
      <w:r>
        <w:tab/>
      </w:r>
      <w:r>
        <w:tab/>
        <w:t>Form 2 is prescribed for the purposes of section 26E and the information to be prescribed under that section is the information required to be provided in accordance with that form.</w:t>
      </w:r>
    </w:p>
    <w:p>
      <w:pPr>
        <w:pStyle w:val="Heading5"/>
        <w:spacing w:before="200"/>
      </w:pPr>
      <w:bookmarkStart w:id="52" w:name="_Toc506886863"/>
      <w:r>
        <w:rPr>
          <w:rStyle w:val="CharSectno"/>
        </w:rPr>
        <w:t>40</w:t>
      </w:r>
      <w:r>
        <w:t>.</w:t>
      </w:r>
      <w:r>
        <w:tab/>
        <w:t>Application for an amended licence (Act s. 26F(3))</w:t>
      </w:r>
      <w:bookmarkEnd w:id="52"/>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Footnotesection"/>
      </w:pPr>
      <w:r>
        <w:tab/>
        <w:t>[Regulation 40 amended in Gazette 22 Jun 2007 p. 2881 (disallowed, see Gazette 27 Nov 2007 p. 5910); 28 Dec 2007 p. 6428-9 (disallowed, see Gazette 11 Apr 2008 p. 1396).]</w:t>
      </w:r>
    </w:p>
    <w:p>
      <w:pPr>
        <w:pStyle w:val="Heading5"/>
        <w:spacing w:before="200"/>
      </w:pPr>
      <w:bookmarkStart w:id="53" w:name="_Toc506886864"/>
      <w:r>
        <w:rPr>
          <w:rStyle w:val="CharSectno"/>
        </w:rPr>
        <w:t>41</w:t>
      </w:r>
      <w:r>
        <w:t>.</w:t>
      </w:r>
      <w:r>
        <w:tab/>
        <w:t>Cancelled licence to be given to Minister</w:t>
      </w:r>
      <w:bookmarkEnd w:id="53"/>
    </w:p>
    <w:p>
      <w:pPr>
        <w:pStyle w:val="Subsection"/>
      </w:pPr>
      <w:r>
        <w:tab/>
      </w:r>
      <w:r>
        <w:tab/>
        <w:t>A licensee must, within 7 days of receiving notice from the Minister that a licence held by the licensee is cancelled under the Act, give the licence to the Minister.</w:t>
      </w:r>
    </w:p>
    <w:p>
      <w:pPr>
        <w:pStyle w:val="Penstart"/>
      </w:pPr>
      <w:r>
        <w:tab/>
        <w:t>Penalty: $2 000.</w:t>
      </w:r>
    </w:p>
    <w:p>
      <w:pPr>
        <w:pStyle w:val="Footnotesection"/>
      </w:pPr>
      <w:r>
        <w:tab/>
        <w:t>[Regulation 41 amended in Gazette 23 Jun 2009 p. 2495</w:t>
      </w:r>
      <w:r>
        <w:noBreakHyphen/>
        <w:t>7.]</w:t>
      </w:r>
    </w:p>
    <w:p>
      <w:pPr>
        <w:pStyle w:val="Heading2"/>
      </w:pPr>
      <w:bookmarkStart w:id="54" w:name="_Toc493168660"/>
      <w:bookmarkStart w:id="55" w:name="_Toc493233810"/>
      <w:bookmarkStart w:id="56" w:name="_Toc506886865"/>
      <w:r>
        <w:rPr>
          <w:rStyle w:val="CharPartNo"/>
        </w:rPr>
        <w:t>Part 4A</w:t>
      </w:r>
      <w:r>
        <w:rPr>
          <w:b w:val="0"/>
        </w:rPr>
        <w:t> </w:t>
      </w:r>
      <w:r>
        <w:t>—</w:t>
      </w:r>
      <w:r>
        <w:rPr>
          <w:b w:val="0"/>
        </w:rPr>
        <w:t> </w:t>
      </w:r>
      <w:r>
        <w:rPr>
          <w:rStyle w:val="CharPartText"/>
        </w:rPr>
        <w:t>Meters</w:t>
      </w:r>
      <w:bookmarkEnd w:id="54"/>
      <w:bookmarkEnd w:id="55"/>
      <w:bookmarkEnd w:id="56"/>
    </w:p>
    <w:p>
      <w:pPr>
        <w:pStyle w:val="Footnoteheading"/>
        <w:tabs>
          <w:tab w:val="left" w:pos="851"/>
        </w:tabs>
      </w:pPr>
      <w:r>
        <w:tab/>
        <w:t>[Heading inserted in Gazette 17 Dec 2002 p. 5912.]</w:t>
      </w:r>
    </w:p>
    <w:p>
      <w:pPr>
        <w:pStyle w:val="Heading5"/>
      </w:pPr>
      <w:bookmarkStart w:id="57" w:name="_Toc500247460"/>
      <w:bookmarkStart w:id="58" w:name="_Toc503513200"/>
      <w:bookmarkStart w:id="59" w:name="_Toc506886866"/>
      <w:r>
        <w:rPr>
          <w:rStyle w:val="CharSectno"/>
        </w:rPr>
        <w:t>41A</w:t>
      </w:r>
      <w:r>
        <w:t>.</w:t>
      </w:r>
      <w:r>
        <w:tab/>
        <w:t>Terms used</w:t>
      </w:r>
      <w:bookmarkEnd w:id="57"/>
      <w:bookmarkEnd w:id="58"/>
      <w:bookmarkEnd w:id="59"/>
    </w:p>
    <w:p>
      <w:pPr>
        <w:pStyle w:val="Subsection"/>
      </w:pPr>
      <w:r>
        <w:tab/>
      </w:r>
      <w:r>
        <w:tab/>
        <w:t xml:space="preserve">In this Part — </w:t>
      </w:r>
    </w:p>
    <w:p>
      <w:pPr>
        <w:pStyle w:val="Defstart"/>
      </w:pPr>
      <w:r>
        <w:tab/>
      </w:r>
      <w:r>
        <w:rPr>
          <w:rStyle w:val="CharDefText"/>
        </w:rPr>
        <w:t>coordinate references</w:t>
      </w:r>
      <w:r>
        <w:t xml:space="preserve"> means Map Grid of Australia 1994 grid coordinates in Zone 50 of the Universal Transverse Mercator Grid System based on the Geocentric Datum of Australia;</w:t>
      </w:r>
    </w:p>
    <w:p>
      <w:pPr>
        <w:pStyle w:val="Defstart"/>
      </w:pPr>
      <w:r>
        <w:tab/>
      </w:r>
      <w:r>
        <w:rPr>
          <w:rStyle w:val="CharDefText"/>
        </w:rPr>
        <w:t>Gnangara groundwater plan area</w:t>
      </w:r>
      <w:r>
        <w:t xml:space="preserve"> means the area shown on the map in Schedule 4;</w:t>
      </w:r>
    </w:p>
    <w:p>
      <w:pPr>
        <w:pStyle w:val="Defstart"/>
      </w:pPr>
      <w:r>
        <w:tab/>
      </w:r>
      <w:r>
        <w:rPr>
          <w:rStyle w:val="CharDefText"/>
        </w:rPr>
        <w:t>meter</w:t>
      </w:r>
      <w:r>
        <w:t xml:space="preserve"> has the same meaning as in Schedule 1 clause 46(5) to the Act;</w:t>
      </w:r>
    </w:p>
    <w:p>
      <w:pPr>
        <w:pStyle w:val="Defstart"/>
      </w:pPr>
      <w:r>
        <w:tab/>
      </w:r>
      <w:r>
        <w:rPr>
          <w:rStyle w:val="CharDefText"/>
        </w:rPr>
        <w:t>water entitlement</w:t>
      </w:r>
      <w:r>
        <w:t xml:space="preserve"> has the same meaning as in Schedule 1 clause 17(4) to the Act;</w:t>
      </w:r>
    </w:p>
    <w:p>
      <w:pPr>
        <w:pStyle w:val="Defstart"/>
      </w:pPr>
      <w:r>
        <w:tab/>
      </w:r>
      <w:r>
        <w:rPr>
          <w:rStyle w:val="CharDefText"/>
        </w:rPr>
        <w:t>water year</w:t>
      </w:r>
      <w:r>
        <w:t xml:space="preserve"> means the period stated as the water year on a licence, or if no water year is stated on the licence, the period of 12 months beginning on the date on which the licence was granted.</w:t>
      </w:r>
    </w:p>
    <w:p>
      <w:pPr>
        <w:pStyle w:val="Footnotesection"/>
      </w:pPr>
      <w:bookmarkStart w:id="60" w:name="_Toc500247461"/>
      <w:bookmarkStart w:id="61" w:name="_Toc503513201"/>
      <w:r>
        <w:tab/>
        <w:t>[Regulation 41A inserted in Gazette 20 Feb 2018 p. 495</w:t>
      </w:r>
      <w:r>
        <w:noBreakHyphen/>
        <w:t>6.]</w:t>
      </w:r>
    </w:p>
    <w:p>
      <w:pPr>
        <w:pStyle w:val="Heading5"/>
      </w:pPr>
      <w:bookmarkStart w:id="62" w:name="_Toc506886867"/>
      <w:r>
        <w:rPr>
          <w:rStyle w:val="CharSectno"/>
        </w:rPr>
        <w:t>41B</w:t>
      </w:r>
      <w:r>
        <w:t>.</w:t>
      </w:r>
      <w:r>
        <w:tab/>
        <w:t>Application of regulation 41C</w:t>
      </w:r>
      <w:bookmarkEnd w:id="60"/>
      <w:bookmarkEnd w:id="61"/>
      <w:bookmarkEnd w:id="62"/>
    </w:p>
    <w:p>
      <w:pPr>
        <w:pStyle w:val="Subsection"/>
      </w:pPr>
      <w:r>
        <w:tab/>
        <w:t>(1)</w:t>
      </w:r>
      <w:r>
        <w:tab/>
        <w:t>Regulation 41C applies to a licence referred to in column 1 of the Table on and after the date specified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blHeader/>
        </w:trPr>
        <w:tc>
          <w:tcPr>
            <w:tcW w:w="2764" w:type="dxa"/>
          </w:tcPr>
          <w:p>
            <w:pPr>
              <w:pStyle w:val="TableNAm"/>
            </w:pPr>
            <w:r>
              <w:rPr>
                <w:b/>
                <w:bCs/>
              </w:rPr>
              <w:t>Licence</w:t>
            </w:r>
          </w:p>
        </w:tc>
        <w:tc>
          <w:tcPr>
            <w:tcW w:w="2764" w:type="dxa"/>
          </w:tcPr>
          <w:p>
            <w:pPr>
              <w:pStyle w:val="TableNAm"/>
            </w:pPr>
            <w:r>
              <w:rPr>
                <w:b/>
                <w:bCs/>
              </w:rPr>
              <w:t>Date</w:t>
            </w:r>
          </w:p>
        </w:tc>
      </w:tr>
      <w:tr>
        <w:trPr>
          <w:cantSplit/>
        </w:trPr>
        <w:tc>
          <w:tcPr>
            <w:tcW w:w="2764" w:type="dxa"/>
          </w:tcPr>
          <w:p>
            <w:pPr>
              <w:pStyle w:val="TableNAm"/>
            </w:pPr>
            <w:r>
              <w:t>A licence with a water entitlement of 500 000 kilolitres or more per water year</w:t>
            </w:r>
          </w:p>
        </w:tc>
        <w:tc>
          <w:tcPr>
            <w:tcW w:w="2764" w:type="dxa"/>
          </w:tcPr>
          <w:p>
            <w:pPr>
              <w:pStyle w:val="TableNAm"/>
            </w:pPr>
            <w:r>
              <w:t>31 March 2018</w:t>
            </w:r>
          </w:p>
        </w:tc>
      </w:tr>
      <w:tr>
        <w:trPr>
          <w:cantSplit/>
        </w:trPr>
        <w:tc>
          <w:tcPr>
            <w:tcW w:w="2764" w:type="dxa"/>
          </w:tcPr>
          <w:p>
            <w:pPr>
              <w:pStyle w:val="TableNAm"/>
            </w:pPr>
            <w:r>
              <w:t>A licence with a water entitlement of 50 000 kilolitres or more but less than 500 000 kilolitres per water year</w:t>
            </w:r>
          </w:p>
        </w:tc>
        <w:tc>
          <w:tcPr>
            <w:tcW w:w="2764" w:type="dxa"/>
          </w:tcPr>
          <w:p>
            <w:pPr>
              <w:pStyle w:val="TableNAm"/>
            </w:pPr>
            <w:r>
              <w:t>31 December 2018</w:t>
            </w:r>
          </w:p>
        </w:tc>
      </w:tr>
      <w:tr>
        <w:trPr>
          <w:cantSplit/>
        </w:trPr>
        <w:tc>
          <w:tcPr>
            <w:tcW w:w="2764" w:type="dxa"/>
          </w:tcPr>
          <w:p>
            <w:pPr>
              <w:pStyle w:val="TableNAm"/>
            </w:pPr>
            <w:r>
              <w:t>A licence granted in respect of the Gnangara groundwater plan area with a water entitlement of 10 000 kilolitres or more but less than 50 000 kilolitres per water year</w:t>
            </w:r>
          </w:p>
        </w:tc>
        <w:tc>
          <w:tcPr>
            <w:tcW w:w="2764" w:type="dxa"/>
          </w:tcPr>
          <w:p>
            <w:pPr>
              <w:pStyle w:val="TableNAm"/>
            </w:pPr>
            <w:r>
              <w:t>31 December 2019</w:t>
            </w:r>
          </w:p>
        </w:tc>
      </w:tr>
      <w:tr>
        <w:trPr>
          <w:cantSplit/>
        </w:trPr>
        <w:tc>
          <w:tcPr>
            <w:tcW w:w="2764" w:type="dxa"/>
          </w:tcPr>
          <w:p>
            <w:pPr>
              <w:pStyle w:val="TableNAm"/>
            </w:pPr>
            <w:r>
              <w:t>All other licences with a water entitlement of 10 000 kilolitres or more but less than 50 000 kilolitres per water year</w:t>
            </w:r>
          </w:p>
        </w:tc>
        <w:tc>
          <w:tcPr>
            <w:tcW w:w="2764" w:type="dxa"/>
          </w:tcPr>
          <w:p>
            <w:pPr>
              <w:pStyle w:val="TableNAm"/>
            </w:pPr>
            <w:r>
              <w:t>31 December 2020</w:t>
            </w:r>
          </w:p>
        </w:tc>
      </w:tr>
    </w:tbl>
    <w:p>
      <w:pPr>
        <w:pStyle w:val="Subsection"/>
      </w:pPr>
      <w:r>
        <w:tab/>
        <w:t>(2)</w:t>
      </w:r>
      <w:r>
        <w:tab/>
        <w:t xml:space="preserve">However, regulation 41C does not apply to a licence referred to in column 1 of the Table to subregulation (1) that — </w:t>
      </w:r>
    </w:p>
    <w:p>
      <w:pPr>
        <w:pStyle w:val="Indenta"/>
      </w:pPr>
      <w:r>
        <w:tab/>
        <w:t>(a)</w:t>
      </w:r>
      <w:r>
        <w:tab/>
        <w:t>is issued for less than 12 months; or</w:t>
      </w:r>
    </w:p>
    <w:p>
      <w:pPr>
        <w:pStyle w:val="Indenta"/>
      </w:pPr>
      <w:r>
        <w:tab/>
        <w:t>(b)</w:t>
      </w:r>
      <w:r>
        <w:tab/>
        <w:t>is issued in respect of a single user dam; or</w:t>
      </w:r>
    </w:p>
    <w:p>
      <w:pPr>
        <w:pStyle w:val="Indenta"/>
      </w:pPr>
      <w:r>
        <w:tab/>
        <w:t>(c)</w:t>
      </w:r>
      <w:r>
        <w:tab/>
        <w:t xml:space="preserve">is a licence to which — </w:t>
      </w:r>
    </w:p>
    <w:p>
      <w:pPr>
        <w:pStyle w:val="Indenti"/>
      </w:pPr>
      <w:r>
        <w:tab/>
        <w:t>(i)</w:t>
      </w:r>
      <w:r>
        <w:tab/>
        <w:t>an alternative measurement method approved under regulation 41E applies; or</w:t>
      </w:r>
    </w:p>
    <w:p>
      <w:pPr>
        <w:pStyle w:val="Indenti"/>
      </w:pPr>
      <w:r>
        <w:tab/>
        <w:t>(ii)</w:t>
      </w:r>
      <w:r>
        <w:tab/>
        <w:t>an exemption granted under regulation 41F applies.</w:t>
      </w:r>
    </w:p>
    <w:p>
      <w:pPr>
        <w:pStyle w:val="Footnotesection"/>
      </w:pPr>
      <w:bookmarkStart w:id="63" w:name="_Toc500247462"/>
      <w:bookmarkStart w:id="64" w:name="_Toc503513202"/>
      <w:r>
        <w:tab/>
        <w:t>[Regulation 41B inserted in Gazette 20 Feb 2018 p. 496</w:t>
      </w:r>
      <w:r>
        <w:noBreakHyphen/>
        <w:t>7.]</w:t>
      </w:r>
    </w:p>
    <w:p>
      <w:pPr>
        <w:pStyle w:val="Heading5"/>
        <w:pageBreakBefore/>
        <w:spacing w:before="0"/>
      </w:pPr>
      <w:bookmarkStart w:id="65" w:name="_Toc506886868"/>
      <w:r>
        <w:rPr>
          <w:rStyle w:val="CharSectno"/>
        </w:rPr>
        <w:t>41C</w:t>
      </w:r>
      <w:r>
        <w:t>.</w:t>
      </w:r>
      <w:r>
        <w:tab/>
        <w:t>Licence subject to metering conditions</w:t>
      </w:r>
      <w:bookmarkEnd w:id="63"/>
      <w:bookmarkEnd w:id="64"/>
      <w:bookmarkEnd w:id="65"/>
    </w:p>
    <w:p>
      <w:pPr>
        <w:pStyle w:val="Subsection"/>
      </w:pPr>
      <w:r>
        <w:tab/>
        <w:t>(1)</w:t>
      </w:r>
      <w:r>
        <w:tab/>
        <w:t xml:space="preserve">Each licence is subject to the conditions that the licensee must — </w:t>
      </w:r>
    </w:p>
    <w:p>
      <w:pPr>
        <w:pStyle w:val="Indenta"/>
      </w:pPr>
      <w:r>
        <w:tab/>
        <w:t>(a)</w:t>
      </w:r>
      <w:r>
        <w:tab/>
        <w:t>install a meter on each water draw</w:t>
      </w:r>
      <w:r>
        <w:noBreakHyphen/>
        <w:t>point through which water is taken under the licence; and</w:t>
      </w:r>
    </w:p>
    <w:p>
      <w:pPr>
        <w:pStyle w:val="Indenta"/>
      </w:pPr>
      <w:r>
        <w:tab/>
        <w:t>(b)</w:t>
      </w:r>
      <w:r>
        <w:tab/>
        <w:t>for each meter installed under paragraph (a) —</w:t>
      </w:r>
    </w:p>
    <w:p>
      <w:pPr>
        <w:pStyle w:val="Indenti"/>
      </w:pPr>
      <w:r>
        <w:tab/>
        <w:t>(i)</w:t>
      </w:r>
      <w:r>
        <w:tab/>
        <w:t>maintain the meter in good condition and ensure that it is operating within a range of plus or minus 5% of the quantity of water that passes through it when tested in field conditions; and</w:t>
      </w:r>
    </w:p>
    <w:p>
      <w:pPr>
        <w:pStyle w:val="Indenti"/>
      </w:pPr>
      <w:r>
        <w:tab/>
        <w:t>(ii)</w:t>
      </w:r>
      <w:r>
        <w:tab/>
        <w:t>provide the Minister with the information listed in subregulation (2) within 30 days of the installation; and</w:t>
      </w:r>
    </w:p>
    <w:p>
      <w:pPr>
        <w:pStyle w:val="Indenti"/>
      </w:pPr>
      <w:r>
        <w:tab/>
        <w:t>(iii)</w:t>
      </w:r>
      <w:r>
        <w:tab/>
        <w:t>notify the Minister within 7 days of detecting a malfunction of the meter; and</w:t>
      </w:r>
    </w:p>
    <w:p>
      <w:pPr>
        <w:pStyle w:val="Indenti"/>
      </w:pPr>
      <w:r>
        <w:tab/>
        <w:t>(iv)</w:t>
      </w:r>
      <w:r>
        <w:tab/>
        <w:t>record the meter reading at the end of each month; and</w:t>
      </w:r>
    </w:p>
    <w:p>
      <w:pPr>
        <w:pStyle w:val="Indenti"/>
      </w:pPr>
      <w:r>
        <w:tab/>
        <w:t>(v)</w:t>
      </w:r>
      <w:r>
        <w:tab/>
        <w:t>provide a copy of the meter readings recorded under subparagraph (iv) to the Minster within 30 days after the end of the relevant water year.</w:t>
      </w:r>
    </w:p>
    <w:p>
      <w:pPr>
        <w:pStyle w:val="Penstart"/>
      </w:pPr>
      <w:r>
        <w:tab/>
        <w:t>Penalty for this subregulation: A fine of $2 000 and a daily penalty of $200.</w:t>
      </w:r>
    </w:p>
    <w:p>
      <w:pPr>
        <w:pStyle w:val="Subsection"/>
      </w:pPr>
      <w:r>
        <w:tab/>
        <w:t>(2)</w:t>
      </w:r>
      <w:r>
        <w:tab/>
        <w:t xml:space="preserve">For the purposes of subregulation (1)(b)(ii), the information is — </w:t>
      </w:r>
    </w:p>
    <w:p>
      <w:pPr>
        <w:pStyle w:val="Indenta"/>
      </w:pPr>
      <w:r>
        <w:tab/>
        <w:t>(a)</w:t>
      </w:r>
      <w:r>
        <w:tab/>
        <w:t>the coordinate references relating to the location of the meter or another approved description of its location; and</w:t>
      </w:r>
    </w:p>
    <w:p>
      <w:pPr>
        <w:pStyle w:val="Indenta"/>
      </w:pPr>
      <w:r>
        <w:tab/>
        <w:t>(b)</w:t>
      </w:r>
      <w:r>
        <w:tab/>
        <w:t>the date on which the meter was installed; and</w:t>
      </w:r>
    </w:p>
    <w:p>
      <w:pPr>
        <w:pStyle w:val="Indenta"/>
      </w:pPr>
      <w:r>
        <w:tab/>
        <w:t>(c)</w:t>
      </w:r>
      <w:r>
        <w:tab/>
        <w:t>the meter reading at the time of installation; and</w:t>
      </w:r>
    </w:p>
    <w:p>
      <w:pPr>
        <w:pStyle w:val="Indenta"/>
      </w:pPr>
      <w:r>
        <w:tab/>
        <w:t>(d)</w:t>
      </w:r>
      <w:r>
        <w:tab/>
        <w:t>the make, size, type and serial number of the meter; and</w:t>
      </w:r>
    </w:p>
    <w:p>
      <w:pPr>
        <w:pStyle w:val="Indenta"/>
      </w:pPr>
      <w:r>
        <w:tab/>
        <w:t>(e)</w:t>
      </w:r>
      <w:r>
        <w:tab/>
        <w:t xml:space="preserve">drawings or annotated photographs of the meter after its installation that show — </w:t>
      </w:r>
    </w:p>
    <w:p>
      <w:pPr>
        <w:pStyle w:val="Indenti"/>
      </w:pPr>
      <w:r>
        <w:tab/>
        <w:t>(i)</w:t>
      </w:r>
      <w:r>
        <w:tab/>
        <w:t>the length of pipe connecting the draw</w:t>
      </w:r>
      <w:r>
        <w:noBreakHyphen/>
        <w:t>point to the upstream flange of the meter; and</w:t>
      </w:r>
    </w:p>
    <w:p>
      <w:pPr>
        <w:pStyle w:val="Indenti"/>
      </w:pPr>
      <w:r>
        <w:tab/>
        <w:t>(ii)</w:t>
      </w:r>
      <w:r>
        <w:tab/>
        <w:t>the length of pipe between the downstream flange of the meter and the first</w:t>
      </w:r>
      <w:r>
        <w:noBreakHyphen/>
        <w:t>bend or take</w:t>
      </w:r>
      <w:r>
        <w:noBreakHyphen/>
        <w:t>off; and</w:t>
      </w:r>
    </w:p>
    <w:p>
      <w:pPr>
        <w:pStyle w:val="Indenti"/>
      </w:pPr>
      <w:r>
        <w:tab/>
        <w:t>(iii)</w:t>
      </w:r>
      <w:r>
        <w:tab/>
        <w:t>the direction of the water flow through the meter;</w:t>
      </w:r>
    </w:p>
    <w:p>
      <w:pPr>
        <w:pStyle w:val="Indenta"/>
      </w:pPr>
      <w:r>
        <w:tab/>
      </w:r>
      <w:r>
        <w:tab/>
        <w:t>and</w:t>
      </w:r>
    </w:p>
    <w:p>
      <w:pPr>
        <w:pStyle w:val="Indenta"/>
      </w:pPr>
      <w:r>
        <w:tab/>
        <w:t>(f)</w:t>
      </w:r>
      <w:r>
        <w:tab/>
        <w:t>a copy of the manufacturer’s specifications for installation of the meter or written advice from the person who installed the meter that it complies with the manufacturer’s specifications for installation.</w:t>
      </w:r>
    </w:p>
    <w:p>
      <w:pPr>
        <w:pStyle w:val="Subsection"/>
      </w:pPr>
      <w:r>
        <w:tab/>
        <w:t>(3)</w:t>
      </w:r>
      <w:r>
        <w:tab/>
        <w:t>For the purposes of complying with subregulation (1)(b)(v), if a licensee has installed 2 or more meters to measure the quantity of water taken from 2 or more water draw</w:t>
      </w:r>
      <w:r>
        <w:noBreakHyphen/>
        <w:t>points, the Minister may approve the licensee providing a combined abstraction reading for all of the water taken under the licence instead of providing individual meter readings.</w:t>
      </w:r>
    </w:p>
    <w:p>
      <w:pPr>
        <w:pStyle w:val="Subsection"/>
      </w:pPr>
      <w:r>
        <w:tab/>
        <w:t>(4)</w:t>
      </w:r>
      <w:r>
        <w:tab/>
        <w:t>The meter readings required under subregulation (1)(b)(v) must be provided using the Department’s electronic online system provided for that purpose unless the Minister approves another method for providing the readings in any particular case.</w:t>
      </w:r>
    </w:p>
    <w:p>
      <w:pPr>
        <w:pStyle w:val="Footnotesection"/>
      </w:pPr>
      <w:bookmarkStart w:id="66" w:name="_Toc500247463"/>
      <w:bookmarkStart w:id="67" w:name="_Toc503513203"/>
      <w:r>
        <w:tab/>
        <w:t>[Regulation 41C inserted in Gazette 20 Feb 2018 p. 497</w:t>
      </w:r>
      <w:r>
        <w:noBreakHyphen/>
        <w:t>8.]</w:t>
      </w:r>
    </w:p>
    <w:p>
      <w:pPr>
        <w:pStyle w:val="Heading5"/>
      </w:pPr>
      <w:bookmarkStart w:id="68" w:name="_Toc506886869"/>
      <w:r>
        <w:rPr>
          <w:rStyle w:val="CharSectno"/>
        </w:rPr>
        <w:t>41D</w:t>
      </w:r>
      <w:r>
        <w:t>.</w:t>
      </w:r>
      <w:r>
        <w:tab/>
        <w:t>Minister may direct compliance with metering conditions</w:t>
      </w:r>
      <w:bookmarkEnd w:id="66"/>
      <w:bookmarkEnd w:id="67"/>
      <w:bookmarkEnd w:id="68"/>
    </w:p>
    <w:p>
      <w:pPr>
        <w:pStyle w:val="Subsection"/>
      </w:pPr>
      <w:r>
        <w:tab/>
        <w:t>(1)</w:t>
      </w:r>
      <w:r>
        <w:tab/>
        <w:t>If a licensee fails to comply with any of the metering conditions specified in regulation 41C(1), the Minister may direct the licensee to comply with those conditions.</w:t>
      </w:r>
    </w:p>
    <w:p>
      <w:pPr>
        <w:pStyle w:val="Subsection"/>
      </w:pPr>
      <w:r>
        <w:tab/>
        <w:t>(2)</w:t>
      </w:r>
      <w:r>
        <w:tab/>
        <w:t xml:space="preserve">A direction under subregulation (1) must — </w:t>
      </w:r>
    </w:p>
    <w:p>
      <w:pPr>
        <w:pStyle w:val="Indenta"/>
      </w:pPr>
      <w:r>
        <w:tab/>
        <w:t>(a)</w:t>
      </w:r>
      <w:r>
        <w:tab/>
        <w:t>be given by written notice served on the licensee; and</w:t>
      </w:r>
    </w:p>
    <w:p>
      <w:pPr>
        <w:pStyle w:val="Indenta"/>
      </w:pPr>
      <w:r>
        <w:tab/>
        <w:t>(b)</w:t>
      </w:r>
      <w:r>
        <w:tab/>
        <w:t>specify the time within which the direction is to be complied with.</w:t>
      </w:r>
    </w:p>
    <w:p>
      <w:pPr>
        <w:pStyle w:val="Subsection"/>
      </w:pPr>
      <w:r>
        <w:tab/>
        <w:t>(3)</w:t>
      </w:r>
      <w:r>
        <w:tab/>
        <w:t xml:space="preserve">If the licensee to whom a direction has been given does not comply with the direction within the specified time, or any additional time allowed by the Minister — </w:t>
      </w:r>
    </w:p>
    <w:p>
      <w:pPr>
        <w:pStyle w:val="Indenta"/>
      </w:pPr>
      <w:r>
        <w:tab/>
        <w:t>(a)</w:t>
      </w:r>
      <w:r>
        <w:tab/>
        <w:t>the licensee commits an offence; and</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from the licensee as a debt due to the State in a court of competent jurisdiction.</w:t>
      </w:r>
    </w:p>
    <w:p>
      <w:pPr>
        <w:pStyle w:val="Penstart"/>
      </w:pPr>
      <w:r>
        <w:tab/>
        <w:t>Penalty for this subregulation: A fine of $2 000 and a daily penalty of $200.</w:t>
      </w:r>
    </w:p>
    <w:p>
      <w:pPr>
        <w:pStyle w:val="Footnotesection"/>
      </w:pPr>
      <w:bookmarkStart w:id="69" w:name="_Toc500247464"/>
      <w:bookmarkStart w:id="70" w:name="_Toc503513204"/>
      <w:r>
        <w:tab/>
        <w:t>[Regulation 41D inserted in Gazette 20 Feb 2018 p. 498</w:t>
      </w:r>
      <w:r>
        <w:noBreakHyphen/>
        <w:t>9.]</w:t>
      </w:r>
    </w:p>
    <w:p>
      <w:pPr>
        <w:pStyle w:val="Heading5"/>
      </w:pPr>
      <w:bookmarkStart w:id="71" w:name="_Toc506886870"/>
      <w:r>
        <w:rPr>
          <w:rStyle w:val="CharSectno"/>
        </w:rPr>
        <w:t>41E</w:t>
      </w:r>
      <w:r>
        <w:t>.</w:t>
      </w:r>
      <w:r>
        <w:tab/>
        <w:t>Minister may approve alternative measurement method</w:t>
      </w:r>
      <w:bookmarkEnd w:id="69"/>
      <w:bookmarkEnd w:id="70"/>
      <w:bookmarkEnd w:id="71"/>
    </w:p>
    <w:p>
      <w:pPr>
        <w:pStyle w:val="Subsection"/>
      </w:pPr>
      <w:r>
        <w:tab/>
        <w:t>(1)</w:t>
      </w:r>
      <w:r>
        <w:tab/>
        <w:t>The Minister may, in any particular case, approve an alternative measurement method for measuring the quantity of water taken under a licence if satisfied on reasonable grounds that it is impracticable to install a meter under regulation 41C to measure the quantity of water taken under the licence.</w:t>
      </w:r>
    </w:p>
    <w:p>
      <w:pPr>
        <w:pStyle w:val="Subsection"/>
        <w:rPr>
          <w:sz w:val="20"/>
        </w:rPr>
      </w:pPr>
      <w:r>
        <w:tab/>
        <w:t>(2)</w:t>
      </w:r>
      <w:r>
        <w:tab/>
        <w:t>If the Minister approves an alternative measurement method under subregulation (1), the licensee must comply with that method to measure the quantity of water taken under the licence.</w:t>
      </w:r>
    </w:p>
    <w:p>
      <w:pPr>
        <w:pStyle w:val="Footnotesection"/>
      </w:pPr>
      <w:bookmarkStart w:id="72" w:name="_Toc500247465"/>
      <w:bookmarkStart w:id="73" w:name="_Toc503513205"/>
      <w:r>
        <w:tab/>
        <w:t>[Regulation 41E inserted in Gazette 20 Feb 2018 p. 499.]</w:t>
      </w:r>
    </w:p>
    <w:p>
      <w:pPr>
        <w:pStyle w:val="Heading5"/>
      </w:pPr>
      <w:bookmarkStart w:id="74" w:name="_Toc506886871"/>
      <w:r>
        <w:rPr>
          <w:rStyle w:val="CharSectno"/>
        </w:rPr>
        <w:t>41F</w:t>
      </w:r>
      <w:r>
        <w:t>.</w:t>
      </w:r>
      <w:r>
        <w:tab/>
        <w:t>Exemption from requirement to measure quantity of water taken under licence</w:t>
      </w:r>
      <w:bookmarkEnd w:id="72"/>
      <w:bookmarkEnd w:id="73"/>
      <w:bookmarkEnd w:id="74"/>
    </w:p>
    <w:p>
      <w:pPr>
        <w:pStyle w:val="Subsection"/>
      </w:pPr>
      <w:r>
        <w:tab/>
        <w:t>(1)</w:t>
      </w:r>
      <w:r>
        <w:tab/>
        <w:t>The Minister may, in any particular case, grant an exemption from the requirement to measure the quantity of water taken under a licence if satisfied on reasonable grounds that —</w:t>
      </w:r>
    </w:p>
    <w:p>
      <w:pPr>
        <w:pStyle w:val="Indenta"/>
      </w:pPr>
      <w:r>
        <w:tab/>
        <w:t>(a)</w:t>
      </w:r>
      <w:r>
        <w:tab/>
        <w:t>it is impracticable to install a meter under regulation 41C to measure the quantity of water taken under the licence; and</w:t>
      </w:r>
    </w:p>
    <w:p>
      <w:pPr>
        <w:pStyle w:val="Indenta"/>
      </w:pPr>
      <w:r>
        <w:tab/>
        <w:t>(b)</w:t>
      </w:r>
      <w:r>
        <w:tab/>
        <w:t>it is inappropriate to use an alternative measurement method for measuring the quantity of water taken under the licence.</w:t>
      </w:r>
    </w:p>
    <w:p>
      <w:pPr>
        <w:pStyle w:val="Subsection"/>
      </w:pPr>
      <w:r>
        <w:tab/>
        <w:t>(2)</w:t>
      </w:r>
      <w:r>
        <w:tab/>
        <w:t>The Minister may revoke an exemption granted under subregulation (1) if the licensee fails to comply with any terms, conditions or restrictions included in the licence.</w:t>
      </w:r>
    </w:p>
    <w:p>
      <w:pPr>
        <w:pStyle w:val="Footnotesection"/>
      </w:pPr>
      <w:r>
        <w:tab/>
        <w:t>[Regulation 41F inserted in Gazette 20 Feb 2018 p. 499.]</w:t>
      </w:r>
    </w:p>
    <w:p>
      <w:pPr>
        <w:pStyle w:val="Ednotesection"/>
      </w:pPr>
      <w:r>
        <w:t>[</w:t>
      </w:r>
      <w:r>
        <w:rPr>
          <w:b/>
          <w:bCs/>
        </w:rPr>
        <w:t>42A.</w:t>
      </w:r>
      <w:r>
        <w:tab/>
        <w:t>Inserted in Gazette 28 Dec 2007 p. 6429 (disallowed, see Gazette 11 Apr 2008 p. 1396).]</w:t>
      </w:r>
    </w:p>
    <w:p>
      <w:pPr>
        <w:pStyle w:val="Heading5"/>
      </w:pPr>
      <w:bookmarkStart w:id="75" w:name="_Toc506886872"/>
      <w:r>
        <w:rPr>
          <w:rStyle w:val="CharSectno"/>
        </w:rPr>
        <w:t>42</w:t>
      </w:r>
      <w:r>
        <w:t>.</w:t>
      </w:r>
      <w:r>
        <w:tab/>
        <w:t>Damage to meters</w:t>
      </w:r>
      <w:bookmarkEnd w:id="75"/>
    </w:p>
    <w:p>
      <w:pPr>
        <w:pStyle w:val="Subsection"/>
        <w:spacing w:before="120"/>
      </w:pPr>
      <w:r>
        <w:tab/>
        <w:t>(1)</w:t>
      </w:r>
      <w:r>
        <w:tab/>
        <w:t>Any repairs required to a meter provided by the State are to be carried out, or to be caused to be carried out, by the Minister and the cost of those repairs is to be paid by the licensee.</w:t>
      </w:r>
    </w:p>
    <w:p>
      <w:pPr>
        <w:pStyle w:val="Subsection"/>
        <w:spacing w:before="120"/>
      </w:pPr>
      <w:r>
        <w:tab/>
        <w:t>(2)</w:t>
      </w:r>
      <w:r>
        <w:tab/>
        <w:t>The State may recover the costs due under subregulation (1) as a debt due to the State from the licensee in a court of competent jurisdiction.</w:t>
      </w:r>
    </w:p>
    <w:p>
      <w:pPr>
        <w:pStyle w:val="Footnotesection"/>
      </w:pPr>
      <w:r>
        <w:tab/>
        <w:t>[Regulation 42 inserted in Gazette 23 Jun 2009 p. 2498; amended in Gazette 20 Feb 2018 p. 500</w:t>
      </w:r>
      <w:r>
        <w:noBreakHyphen/>
        <w:t>1.]</w:t>
      </w:r>
    </w:p>
    <w:p>
      <w:pPr>
        <w:pStyle w:val="Heading5"/>
      </w:pPr>
      <w:bookmarkStart w:id="76" w:name="_Toc506886873"/>
      <w:r>
        <w:rPr>
          <w:rStyle w:val="CharSectno"/>
        </w:rPr>
        <w:t>43</w:t>
      </w:r>
      <w:r>
        <w:t>.</w:t>
      </w:r>
      <w:r>
        <w:tab/>
        <w:t>Interfering with meters</w:t>
      </w:r>
      <w:bookmarkEnd w:id="76"/>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77" w:name="_Toc506886874"/>
      <w:r>
        <w:rPr>
          <w:rStyle w:val="CharSectno"/>
        </w:rPr>
        <w:t>44</w:t>
      </w:r>
      <w:r>
        <w:t>.</w:t>
      </w:r>
      <w:r>
        <w:tab/>
        <w:t>Testing meters</w:t>
      </w:r>
      <w:bookmarkEnd w:id="77"/>
    </w:p>
    <w:p>
      <w:pPr>
        <w:pStyle w:val="Subsection"/>
      </w:pPr>
      <w:r>
        <w:tab/>
        <w:t>(1)</w:t>
      </w:r>
      <w:r>
        <w:tab/>
        <w:t>The Minister may at any time cause a test of a meter to be made.</w:t>
      </w:r>
    </w:p>
    <w:p>
      <w:pPr>
        <w:pStyle w:val="Subsection"/>
      </w:pPr>
      <w:r>
        <w:tab/>
        <w:t>(2)</w:t>
      </w:r>
      <w:r>
        <w:tab/>
        <w:t>The Minister is to cause a test of a meter to be made within 7 days of receiving a written request from a licensee that that meter be tested because the licensee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Minister is to pay the cost of the test; or</w:t>
      </w:r>
    </w:p>
    <w:p>
      <w:pPr>
        <w:pStyle w:val="Indenta"/>
        <w:spacing w:before="60"/>
      </w:pPr>
      <w:r>
        <w:tab/>
        <w:t>(b)</w:t>
      </w:r>
      <w:r>
        <w:tab/>
        <w:t>the meter registers less than 5% in excess of the quantity that actually passes through it when tested, the licensee is to pay the cost of the test.</w:t>
      </w:r>
    </w:p>
    <w:p>
      <w:pPr>
        <w:pStyle w:val="Subsection"/>
        <w:spacing w:before="120"/>
      </w:pPr>
      <w:r>
        <w:tab/>
        <w:t>(4)</w:t>
      </w:r>
      <w:r>
        <w:tab/>
        <w:t>The cost paid by the licensee under subregulation (3)(b) is not to exceed the fee set out in Schedule 1 Part 1.</w:t>
      </w:r>
    </w:p>
    <w:p>
      <w:pPr>
        <w:pStyle w:val="Footnotesection"/>
      </w:pPr>
      <w:r>
        <w:tab/>
        <w:t>[Regulation 44 amended in Gazette 22 Jun 2007 p. 2881 (disallowed, see Gazette 27 Nov 2007 p. 5910); 28 Dec 2007 p. 6429 (disallowed, see Gazette 11 Apr 2008 p. 1396); 23 Jun 2009 p. 2495</w:t>
      </w:r>
      <w:r>
        <w:noBreakHyphen/>
        <w:t>7; 20 Feb 2018 p. 500</w:t>
      </w:r>
      <w:r>
        <w:noBreakHyphen/>
        <w:t>1.]</w:t>
      </w:r>
    </w:p>
    <w:p>
      <w:pPr>
        <w:pStyle w:val="Heading5"/>
        <w:spacing w:before="180"/>
      </w:pPr>
      <w:bookmarkStart w:id="78" w:name="_Toc506886875"/>
      <w:r>
        <w:rPr>
          <w:rStyle w:val="CharSectno"/>
        </w:rPr>
        <w:t>45</w:t>
      </w:r>
      <w:r>
        <w:t>.</w:t>
      </w:r>
      <w:r>
        <w:tab/>
        <w:t>Estimating water used where meter out of order or inaccurate</w:t>
      </w:r>
      <w:bookmarkEnd w:id="78"/>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Minister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Minister may determine.</w:t>
      </w:r>
    </w:p>
    <w:p>
      <w:pPr>
        <w:pStyle w:val="Subsection"/>
        <w:spacing w:before="120"/>
      </w:pPr>
      <w:r>
        <w:tab/>
        <w:t>(2)</w:t>
      </w:r>
      <w:r>
        <w:tab/>
        <w:t>Notice stating the estimated quantity of water taken from a well during any particular period is to be given by the Minister to the licensee.</w:t>
      </w:r>
    </w:p>
    <w:p>
      <w:pPr>
        <w:pStyle w:val="Footnotesection"/>
      </w:pPr>
      <w:r>
        <w:tab/>
        <w:t>[Regulation 45 amended in Gazette 23 Jun 2009 p. 2495</w:t>
      </w:r>
      <w:r>
        <w:noBreakHyphen/>
        <w:t>7; 20 Feb 2018 p. 500</w:t>
      </w:r>
      <w:r>
        <w:noBreakHyphen/>
        <w:t>1.]</w:t>
      </w:r>
    </w:p>
    <w:p>
      <w:pPr>
        <w:pStyle w:val="Heading5"/>
        <w:spacing w:before="180"/>
      </w:pPr>
      <w:bookmarkStart w:id="79" w:name="_Toc506886876"/>
      <w:r>
        <w:rPr>
          <w:rStyle w:val="CharSectno"/>
        </w:rPr>
        <w:t>46</w:t>
      </w:r>
      <w:r>
        <w:t>.</w:t>
      </w:r>
      <w:r>
        <w:tab/>
        <w:t>Evidence of water taken from well</w:t>
      </w:r>
      <w:bookmarkEnd w:id="79"/>
    </w:p>
    <w:p>
      <w:pPr>
        <w:pStyle w:val="Subsection"/>
        <w:spacing w:before="120"/>
      </w:pPr>
      <w:r>
        <w:tab/>
      </w:r>
      <w:r>
        <w:tab/>
        <w:t xml:space="preserve">A notice — </w:t>
      </w:r>
    </w:p>
    <w:p>
      <w:pPr>
        <w:pStyle w:val="Indenta"/>
        <w:spacing w:before="60"/>
      </w:pPr>
      <w:r>
        <w:tab/>
        <w:t>(a)</w:t>
      </w:r>
      <w:r>
        <w:tab/>
        <w:t>under regulation 45(2); or</w:t>
      </w:r>
    </w:p>
    <w:p>
      <w:pPr>
        <w:pStyle w:val="Indenta"/>
        <w:spacing w:before="60"/>
      </w:pPr>
      <w:r>
        <w:tab/>
        <w:t>(b)</w:t>
      </w:r>
      <w:r>
        <w:tab/>
        <w:t>given to a licensee by the Minister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Footnotesection"/>
      </w:pPr>
      <w:r>
        <w:tab/>
        <w:t>[Regulation 46 amended in Gazette 23 Jun 2009 p. 2495</w:t>
      </w:r>
      <w:r>
        <w:noBreakHyphen/>
        <w:t>7; 20 Feb 2018 p. 500</w:t>
      </w:r>
      <w:r>
        <w:noBreakHyphen/>
        <w:t>1.]</w:t>
      </w:r>
    </w:p>
    <w:p>
      <w:pPr>
        <w:pStyle w:val="Heading2"/>
      </w:pPr>
      <w:bookmarkStart w:id="80" w:name="_Toc493168666"/>
      <w:bookmarkStart w:id="81" w:name="_Toc493233816"/>
      <w:bookmarkStart w:id="82" w:name="_Toc506886877"/>
      <w:r>
        <w:rPr>
          <w:rStyle w:val="CharPartNo"/>
        </w:rPr>
        <w:t>Part 5</w:t>
      </w:r>
      <w:r>
        <w:rPr>
          <w:rStyle w:val="CharDivNo"/>
        </w:rPr>
        <w:t> </w:t>
      </w:r>
      <w:r>
        <w:t>—</w:t>
      </w:r>
      <w:r>
        <w:rPr>
          <w:rStyle w:val="CharDivText"/>
        </w:rPr>
        <w:t> </w:t>
      </w:r>
      <w:r>
        <w:rPr>
          <w:rStyle w:val="CharPartText"/>
        </w:rPr>
        <w:t>Registration of instruments</w:t>
      </w:r>
      <w:bookmarkEnd w:id="80"/>
      <w:bookmarkEnd w:id="81"/>
      <w:bookmarkEnd w:id="82"/>
    </w:p>
    <w:p>
      <w:pPr>
        <w:pStyle w:val="Heading5"/>
      </w:pPr>
      <w:bookmarkStart w:id="83" w:name="_Toc506886878"/>
      <w:r>
        <w:rPr>
          <w:rStyle w:val="CharSectno"/>
        </w:rPr>
        <w:t>47</w:t>
      </w:r>
      <w:r>
        <w:t>.</w:t>
      </w:r>
      <w:r>
        <w:tab/>
        <w:t>Terms used</w:t>
      </w:r>
      <w:bookmarkEnd w:id="83"/>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84" w:name="_Toc506886879"/>
      <w:r>
        <w:rPr>
          <w:rStyle w:val="CharSectno"/>
        </w:rPr>
        <w:t>48</w:t>
      </w:r>
      <w:r>
        <w:t>.</w:t>
      </w:r>
      <w:r>
        <w:tab/>
        <w:t>Prescribed details for register (Act s. 26GZJ)</w:t>
      </w:r>
      <w:bookmarkEnd w:id="84"/>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Minister under that clause, details relating to that agreement, including — </w:t>
      </w:r>
    </w:p>
    <w:p>
      <w:pPr>
        <w:pStyle w:val="Indenti"/>
      </w:pPr>
      <w:r>
        <w:tab/>
        <w:t>(i)</w:t>
      </w:r>
      <w:r>
        <w:tab/>
        <w:t>the name and business address of the person who entered into the agreement with the licensee; and</w:t>
      </w:r>
    </w:p>
    <w:p>
      <w:pPr>
        <w:pStyle w:val="Indenti"/>
      </w:pPr>
      <w:r>
        <w:tab/>
        <w:t>(ii)</w:t>
      </w:r>
      <w:r>
        <w:tab/>
        <w:t>period for which it is of effect;</w:t>
      </w:r>
    </w:p>
    <w:p>
      <w:pPr>
        <w:pStyle w:val="Indenta"/>
      </w:pPr>
      <w:r>
        <w:tab/>
        <w:t>(c)</w:t>
      </w:r>
      <w:r>
        <w:tab/>
        <w:t>details of any notation endorsed on the licence by the Minister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Minister; and</w:t>
      </w:r>
    </w:p>
    <w:p>
      <w:pPr>
        <w:pStyle w:val="Indenta"/>
      </w:pPr>
      <w:r>
        <w:tab/>
        <w:t>(e)</w:t>
      </w:r>
      <w:r>
        <w:tab/>
        <w:t>a notation that an undertaking has been given by the Minister to approve an agreement under clause 30 or a transfer under clause 31.</w:t>
      </w:r>
    </w:p>
    <w:p>
      <w:pPr>
        <w:pStyle w:val="Footnotesection"/>
      </w:pPr>
      <w:r>
        <w:tab/>
        <w:t>[Regulation 48 amended in Gazette 23 Jun 2009 p. 2495</w:t>
      </w:r>
      <w:r>
        <w:noBreakHyphen/>
        <w:t>7; 20 Feb 2018 p. 500</w:t>
      </w:r>
      <w:r>
        <w:noBreakHyphen/>
        <w:t>1.]</w:t>
      </w:r>
    </w:p>
    <w:p>
      <w:pPr>
        <w:pStyle w:val="Heading5"/>
      </w:pPr>
      <w:bookmarkStart w:id="85" w:name="_Toc506886880"/>
      <w:r>
        <w:rPr>
          <w:rStyle w:val="CharSectno"/>
        </w:rPr>
        <w:t>49</w:t>
      </w:r>
      <w:r>
        <w:t>.</w:t>
      </w:r>
      <w:r>
        <w:tab/>
        <w:t>Fees in relation to the register (Sch. 1 Part 2)</w:t>
      </w:r>
      <w:bookmarkEnd w:id="85"/>
    </w:p>
    <w:p>
      <w:pPr>
        <w:pStyle w:val="Subsection"/>
      </w:pPr>
      <w:r>
        <w:tab/>
      </w:r>
      <w:r>
        <w:tab/>
        <w:t>A fee set out in Schedule 1 Part 2 is the fee to be paid in respect of the matter described opposite the fee.</w:t>
      </w:r>
    </w:p>
    <w:p>
      <w:pPr>
        <w:pStyle w:val="Footnotesection"/>
      </w:pPr>
      <w:r>
        <w:tab/>
        <w:t>[Regulation 49 amended in Gazette 22 Jun 2007 p. 2881 (disallowed, see Gazette 27 Nov 2007 p. 5910); 28 Dec 2007 p. 6429 (disallowed, see Gazette 11 Apr 2008 p. 1396).]</w:t>
      </w:r>
    </w:p>
    <w:p>
      <w:pPr>
        <w:pStyle w:val="Ednotepart"/>
      </w:pPr>
      <w:r>
        <w:t>[Part 5A (r. 49A</w:t>
      </w:r>
      <w:r>
        <w:noBreakHyphen/>
        <w:t>49O) deleted in Gazette 30 Dec 2004 p. 7000.]</w:t>
      </w:r>
    </w:p>
    <w:p>
      <w:pPr>
        <w:pStyle w:val="Heading2"/>
      </w:pPr>
      <w:bookmarkStart w:id="86" w:name="_Toc493168670"/>
      <w:bookmarkStart w:id="87" w:name="_Toc493233820"/>
      <w:bookmarkStart w:id="88" w:name="_Toc506886881"/>
      <w:r>
        <w:rPr>
          <w:rStyle w:val="CharPartNo"/>
        </w:rPr>
        <w:t>Part 6</w:t>
      </w:r>
      <w:r>
        <w:rPr>
          <w:rStyle w:val="CharDivNo"/>
        </w:rPr>
        <w:t xml:space="preserve"> </w:t>
      </w:r>
      <w:r>
        <w:t>—</w:t>
      </w:r>
      <w:r>
        <w:rPr>
          <w:rStyle w:val="CharDivText"/>
        </w:rPr>
        <w:t xml:space="preserve"> </w:t>
      </w:r>
      <w:r>
        <w:rPr>
          <w:rStyle w:val="CharPartText"/>
        </w:rPr>
        <w:t>Miscellaneous</w:t>
      </w:r>
      <w:bookmarkEnd w:id="86"/>
      <w:bookmarkEnd w:id="87"/>
      <w:bookmarkEnd w:id="88"/>
    </w:p>
    <w:p>
      <w:pPr>
        <w:pStyle w:val="Heading5"/>
      </w:pPr>
      <w:bookmarkStart w:id="89" w:name="_Toc506886882"/>
      <w:r>
        <w:rPr>
          <w:rStyle w:val="CharSectno"/>
        </w:rPr>
        <w:t>50</w:t>
      </w:r>
      <w:r>
        <w:t>.</w:t>
      </w:r>
      <w:r>
        <w:tab/>
        <w:t>Prescribed offences</w:t>
      </w:r>
      <w:bookmarkEnd w:id="89"/>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90" w:name="_Toc506886883"/>
      <w:r>
        <w:rPr>
          <w:rStyle w:val="CharSectno"/>
        </w:rPr>
        <w:t>51</w:t>
      </w:r>
      <w:r>
        <w:t>.</w:t>
      </w:r>
      <w:r>
        <w:tab/>
        <w:t>Modified penalties</w:t>
      </w:r>
      <w:bookmarkEnd w:id="90"/>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91" w:name="_Toc506886884"/>
      <w:r>
        <w:rPr>
          <w:rStyle w:val="CharSectno"/>
        </w:rPr>
        <w:t>52A</w:t>
      </w:r>
      <w:r>
        <w:t>.</w:t>
      </w:r>
      <w:r>
        <w:tab/>
        <w:t>Persons authorised to give infringement notices</w:t>
      </w:r>
      <w:bookmarkEnd w:id="91"/>
    </w:p>
    <w:p>
      <w:pPr>
        <w:pStyle w:val="Subsection"/>
      </w:pPr>
      <w:r>
        <w:tab/>
      </w:r>
      <w:r>
        <w:tab/>
        <w:t xml:space="preserve">For the purposes of the </w:t>
      </w:r>
      <w:r>
        <w:rPr>
          <w:i/>
          <w:iCs/>
        </w:rPr>
        <w:t>Water Agencies (Powers) Act 1984</w:t>
      </w:r>
      <w:r>
        <w:t xml:space="preserve"> section 103, any person employed in the Department who is authorised in writing by a prescribed person is authorised to give an infringement notice in respect of an offence prescribed by regulation 50.</w:t>
      </w:r>
    </w:p>
    <w:p>
      <w:pPr>
        <w:pStyle w:val="Footnotesection"/>
      </w:pPr>
      <w:r>
        <w:tab/>
        <w:t>[Regulation 52A inserted in Gazette 16 Mar 2010 p. 985; amended in Gazette 20 Dec 2011 p. 5411.]</w:t>
      </w:r>
    </w:p>
    <w:p>
      <w:pPr>
        <w:pStyle w:val="Heading5"/>
      </w:pPr>
      <w:bookmarkStart w:id="92" w:name="_Toc506886885"/>
      <w:r>
        <w:rPr>
          <w:rStyle w:val="CharSectno"/>
        </w:rPr>
        <w:t>52B</w:t>
      </w:r>
      <w:r>
        <w:t>.</w:t>
      </w:r>
      <w:r>
        <w:tab/>
        <w:t>Prescribed persons for infringement notices</w:t>
      </w:r>
      <w:bookmarkEnd w:id="92"/>
    </w:p>
    <w:p>
      <w:pPr>
        <w:pStyle w:val="Subsection"/>
      </w:pPr>
      <w:r>
        <w:tab/>
      </w:r>
      <w:r>
        <w:tab/>
        <w:t xml:space="preserve">For the purposes of the </w:t>
      </w:r>
      <w:r>
        <w:rPr>
          <w:i/>
        </w:rPr>
        <w:t>Water Agencies (Powers) Act 1984</w:t>
      </w:r>
      <w:r>
        <w:t xml:space="preserve"> section 103, a person holding or acting in any of the following offices in the Department is a prescribed person in relation to an infringement notice given in respect of an offence prescribed by regulation 50 —</w:t>
      </w:r>
    </w:p>
    <w:p>
      <w:pPr>
        <w:pStyle w:val="Indenta"/>
      </w:pPr>
      <w:r>
        <w:tab/>
        <w:t>(a)</w:t>
      </w:r>
      <w:r>
        <w:tab/>
        <w:t>chief executive officer;</w:t>
      </w:r>
    </w:p>
    <w:p>
      <w:pPr>
        <w:pStyle w:val="Indenta"/>
      </w:pPr>
      <w:r>
        <w:tab/>
        <w:t>(b)</w:t>
      </w:r>
      <w:r>
        <w:tab/>
        <w:t>Executive Director Regional Delivery and Regulation;</w:t>
      </w:r>
    </w:p>
    <w:p>
      <w:pPr>
        <w:pStyle w:val="Indenta"/>
      </w:pPr>
      <w:r>
        <w:tab/>
        <w:t>(c)</w:t>
      </w:r>
      <w:r>
        <w:tab/>
        <w:t>Director Regions;</w:t>
      </w:r>
    </w:p>
    <w:p>
      <w:pPr>
        <w:pStyle w:val="Indenta"/>
      </w:pPr>
      <w:r>
        <w:tab/>
        <w:t>(d)</w:t>
      </w:r>
      <w:r>
        <w:tab/>
        <w:t>Director Regulation;</w:t>
      </w:r>
    </w:p>
    <w:p>
      <w:pPr>
        <w:pStyle w:val="Indenta"/>
      </w:pPr>
      <w:r>
        <w:tab/>
        <w:t>(e)</w:t>
      </w:r>
      <w:r>
        <w:tab/>
        <w:t>Regional Manager.</w:t>
      </w:r>
    </w:p>
    <w:p>
      <w:pPr>
        <w:pStyle w:val="Footnotesection"/>
      </w:pPr>
      <w:r>
        <w:tab/>
        <w:t>[Regulation 52B inserted in Gazette 23 Jun 2009 p. 2499; amended in Gazette 20 Dec 2011 p. 5411.]</w:t>
      </w:r>
    </w:p>
    <w:p>
      <w:pPr>
        <w:pStyle w:val="Heading5"/>
      </w:pPr>
      <w:bookmarkStart w:id="93" w:name="_Toc506886886"/>
      <w:r>
        <w:rPr>
          <w:rStyle w:val="CharSectno"/>
        </w:rPr>
        <w:t>52</w:t>
      </w:r>
      <w:r>
        <w:t>.</w:t>
      </w:r>
      <w:r>
        <w:tab/>
        <w:t>Designated person for infringement notices</w:t>
      </w:r>
      <w:bookmarkEnd w:id="93"/>
    </w:p>
    <w:p>
      <w:pPr>
        <w:pStyle w:val="Subsection"/>
      </w:pPr>
      <w:r>
        <w:tab/>
      </w:r>
      <w:r>
        <w:tab/>
        <w:t xml:space="preserve">For the purposes of the </w:t>
      </w:r>
      <w:r>
        <w:rPr>
          <w:i/>
        </w:rPr>
        <w:t>Water Agencies (Powers) Act 1984</w:t>
      </w:r>
      <w:r>
        <w:t xml:space="preserve"> section 103, a person holding or acting in the office of chief finance officer (within the meaning of that term in the </w:t>
      </w:r>
      <w:r>
        <w:rPr>
          <w:i/>
          <w:iCs/>
        </w:rPr>
        <w:t xml:space="preserve">Financial Management Act 2006 </w:t>
      </w:r>
      <w:r>
        <w:t>section 57) for the Department is the designated person to whom payment may be made of a modified penalty for an offence prescribed by regulation 50.</w:t>
      </w:r>
    </w:p>
    <w:p>
      <w:pPr>
        <w:pStyle w:val="Footnotesection"/>
      </w:pPr>
      <w:r>
        <w:tab/>
        <w:t>[Regulation 52 inserted in Gazette 23 Jun 2009 p. 2499.]</w:t>
      </w:r>
    </w:p>
    <w:p>
      <w:pPr>
        <w:pStyle w:val="Heading5"/>
      </w:pPr>
      <w:bookmarkStart w:id="94" w:name="_Toc506886887"/>
      <w:r>
        <w:rPr>
          <w:rStyle w:val="CharSectno"/>
        </w:rPr>
        <w:t>53</w:t>
      </w:r>
      <w:r>
        <w:t>.</w:t>
      </w:r>
      <w:r>
        <w:tab/>
        <w:t>Form of infringement notice</w:t>
      </w:r>
      <w:bookmarkEnd w:id="94"/>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95" w:name="_Toc506886888"/>
      <w:r>
        <w:rPr>
          <w:rStyle w:val="CharSectno"/>
        </w:rPr>
        <w:t>54</w:t>
      </w:r>
      <w:r>
        <w:t>.</w:t>
      </w:r>
      <w:r>
        <w:tab/>
        <w:t>Form of notice of withdrawal of infringement notice</w:t>
      </w:r>
      <w:bookmarkEnd w:id="95"/>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96" w:name="_Toc506886889"/>
      <w:r>
        <w:rPr>
          <w:rStyle w:val="CharSectno"/>
        </w:rPr>
        <w:t>55A</w:t>
      </w:r>
      <w:r>
        <w:t>.</w:t>
      </w:r>
      <w:r>
        <w:tab/>
        <w:t>Form of certificate for authorised person</w:t>
      </w:r>
      <w:bookmarkEnd w:id="96"/>
    </w:p>
    <w:p>
      <w:pPr>
        <w:pStyle w:val="Subsection"/>
      </w:pPr>
      <w:r>
        <w:tab/>
      </w:r>
      <w:r>
        <w:tab/>
        <w:t xml:space="preserve">A certificate issued under the </w:t>
      </w:r>
      <w:r>
        <w:rPr>
          <w:i/>
        </w:rPr>
        <w:t>Water Agencies (Powers) Act 1984</w:t>
      </w:r>
      <w:r>
        <w:t xml:space="preserve"> section 103(11) to an authorised person must be in the form of Form 5.</w:t>
      </w:r>
    </w:p>
    <w:p>
      <w:pPr>
        <w:pStyle w:val="Footnotesection"/>
      </w:pPr>
      <w:r>
        <w:tab/>
        <w:t>[Regulation 55A inserted in Gazette 23 Jun 2009 p. 2499.]</w:t>
      </w:r>
    </w:p>
    <w:p>
      <w:pPr>
        <w:pStyle w:val="Heading5"/>
      </w:pPr>
      <w:bookmarkStart w:id="97" w:name="_Toc506886890"/>
      <w:r>
        <w:rPr>
          <w:rStyle w:val="CharSectno"/>
        </w:rPr>
        <w:t>55</w:t>
      </w:r>
      <w:r>
        <w:t>.</w:t>
      </w:r>
      <w:r>
        <w:tab/>
        <w:t>Unauthorised alteration of infringement notices</w:t>
      </w:r>
      <w:bookmarkEnd w:id="97"/>
    </w:p>
    <w:p>
      <w:pPr>
        <w:pStyle w:val="Subsection"/>
      </w:pPr>
      <w:r>
        <w:tab/>
      </w:r>
      <w:r>
        <w:tab/>
        <w:t>A person who, not being an authorised person, makes any alteration to an infringement notice commits an offence.</w:t>
      </w:r>
    </w:p>
    <w:p>
      <w:pPr>
        <w:pStyle w:val="Penstart"/>
      </w:pPr>
      <w:r>
        <w:tab/>
        <w:t>Penalty: $200.</w:t>
      </w:r>
    </w:p>
    <w:p>
      <w:pPr>
        <w:pStyle w:val="Ednotesection"/>
      </w:pPr>
      <w:r>
        <w:t>[</w:t>
      </w:r>
      <w:r>
        <w:rPr>
          <w:b/>
        </w:rPr>
        <w:t>56.</w:t>
      </w:r>
      <w:r>
        <w:tab/>
        <w:t>Deleted in Gazette 16 Dec 2014 p. 4766.]</w:t>
      </w:r>
    </w:p>
    <w:p>
      <w:pPr>
        <w:pStyle w:val="Ednotesection"/>
      </w:pPr>
      <w:r>
        <w:t>[</w:t>
      </w:r>
      <w:r>
        <w:rPr>
          <w:b/>
          <w:bCs/>
        </w:rPr>
        <w:t>56A.</w:t>
      </w:r>
      <w:r>
        <w:tab/>
        <w:t>Inserted in Gazette 28 Dec 2007 p. 6429-30 (disallowed, see Gazette 11 Apr 2008 p. 1396).]</w:t>
      </w:r>
    </w:p>
    <w:p>
      <w:pPr>
        <w:pStyle w:val="Heading5"/>
      </w:pPr>
      <w:bookmarkStart w:id="98" w:name="_Toc506886891"/>
      <w:r>
        <w:rPr>
          <w:rStyle w:val="CharSectno"/>
        </w:rPr>
        <w:t>57</w:t>
      </w:r>
      <w:r>
        <w:t>.</w:t>
      </w:r>
      <w:r>
        <w:tab/>
        <w:t>False or misleading information in respect of applications</w:t>
      </w:r>
      <w:bookmarkEnd w:id="98"/>
    </w:p>
    <w:p>
      <w:pPr>
        <w:pStyle w:val="Subsection"/>
      </w:pPr>
      <w:r>
        <w:tab/>
      </w:r>
      <w:r>
        <w:tab/>
        <w:t xml:space="preserve">A person who makes a statement under these regulations to the Minister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Footnotesection"/>
      </w:pPr>
      <w:r>
        <w:tab/>
        <w:t>[Regulation 57 amended in Gazette 23 Jun 2009 p. 2495</w:t>
      </w:r>
      <w:r>
        <w:noBreakHyphen/>
        <w:t>7.]</w:t>
      </w:r>
    </w:p>
    <w:p>
      <w:pPr>
        <w:pStyle w:val="Ednotesection"/>
        <w:ind w:left="890" w:hanging="890"/>
      </w:pPr>
      <w:r>
        <w:t>[</w:t>
      </w:r>
      <w:r>
        <w:rPr>
          <w:rStyle w:val="CharSectno"/>
          <w:b/>
          <w:bCs/>
        </w:rPr>
        <w:t>58</w:t>
      </w:r>
      <w:r>
        <w:rPr>
          <w:b/>
          <w:bCs/>
        </w:rPr>
        <w:t>.</w:t>
      </w:r>
      <w:r>
        <w:tab/>
        <w:t>Omitted under the Reprints Act 1984 s. 7(4)(f).]</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9" w:name="_Toc493168681"/>
      <w:bookmarkStart w:id="100" w:name="_Toc493233831"/>
      <w:bookmarkStart w:id="101" w:name="_Toc506886892"/>
      <w:r>
        <w:rPr>
          <w:rStyle w:val="CharSchNo"/>
        </w:rPr>
        <w:t>Schedule 1</w:t>
      </w:r>
      <w:r>
        <w:t xml:space="preserve"> — </w:t>
      </w:r>
      <w:r>
        <w:rPr>
          <w:rStyle w:val="CharSchText"/>
        </w:rPr>
        <w:t>Fees</w:t>
      </w:r>
      <w:bookmarkEnd w:id="99"/>
      <w:bookmarkEnd w:id="100"/>
      <w:bookmarkEnd w:id="101"/>
    </w:p>
    <w:p>
      <w:pPr>
        <w:pStyle w:val="yHeading2"/>
        <w:spacing w:after="120"/>
        <w:outlineLvl w:val="9"/>
      </w:pPr>
      <w:bookmarkStart w:id="102" w:name="_Toc493168682"/>
      <w:bookmarkStart w:id="103" w:name="_Toc493233832"/>
      <w:bookmarkStart w:id="104" w:name="_Toc506886893"/>
      <w:r>
        <w:rPr>
          <w:rStyle w:val="CharSDivNo"/>
        </w:rPr>
        <w:t>Part 1</w:t>
      </w:r>
      <w:r>
        <w:t xml:space="preserve"> — </w:t>
      </w:r>
      <w:r>
        <w:rPr>
          <w:rStyle w:val="CharSDivText"/>
        </w:rPr>
        <w:t>Fees relating to licences and permits</w:t>
      </w:r>
      <w:bookmarkEnd w:id="102"/>
      <w:bookmarkEnd w:id="103"/>
      <w:bookmarkEnd w:id="104"/>
    </w:p>
    <w:p>
      <w:pPr>
        <w:pStyle w:val="yFootnotesection"/>
      </w:pPr>
      <w:r>
        <w:tab/>
        <w:t>[Heading inserted as Division 1 in Gazette 28 Dec 2007 p. 6430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c>
          <w:tcPr>
            <w:tcW w:w="840" w:type="dxa"/>
          </w:tcPr>
          <w:p>
            <w:pPr>
              <w:pStyle w:val="yTableNAm"/>
              <w:rPr>
                <w:bCs/>
              </w:rPr>
            </w:pPr>
          </w:p>
        </w:tc>
        <w:tc>
          <w:tcPr>
            <w:tcW w:w="4920" w:type="dxa"/>
          </w:tcPr>
          <w:p>
            <w:pPr>
              <w:pStyle w:val="yTableNAm"/>
              <w:rPr>
                <w:bCs/>
              </w:rPr>
            </w:pPr>
          </w:p>
        </w:tc>
        <w:tc>
          <w:tcPr>
            <w:tcW w:w="1200" w:type="dxa"/>
          </w:tcPr>
          <w:p>
            <w:pPr>
              <w:pStyle w:val="yTableNAm"/>
              <w:rPr>
                <w:b/>
              </w:rPr>
            </w:pPr>
            <w:r>
              <w:rPr>
                <w:b/>
              </w:rPr>
              <w:t>Fee</w:t>
            </w:r>
          </w:p>
        </w:tc>
      </w:tr>
      <w:tr>
        <w:tc>
          <w:tcPr>
            <w:tcW w:w="5760" w:type="dxa"/>
            <w:gridSpan w:val="2"/>
          </w:tcPr>
          <w:p>
            <w:pPr>
              <w:pStyle w:val="yTableNAm"/>
              <w:rPr>
                <w:bCs/>
                <w:i/>
              </w:rPr>
            </w:pPr>
            <w:r>
              <w:rPr>
                <w:bCs/>
                <w:i/>
              </w:rPr>
              <w:t>[1, 2.</w:t>
            </w:r>
            <w:r>
              <w:rPr>
                <w:bCs/>
                <w:i/>
              </w:rPr>
              <w:tab/>
              <w:t>deleted]</w:t>
            </w:r>
          </w:p>
        </w:tc>
        <w:tc>
          <w:tcPr>
            <w:tcW w:w="1200" w:type="dxa"/>
          </w:tcPr>
          <w:p>
            <w:pPr>
              <w:pStyle w:val="yTableNAm"/>
              <w:rPr>
                <w:b/>
              </w:rPr>
            </w:pPr>
          </w:p>
        </w:tc>
      </w:tr>
      <w:tr>
        <w:tc>
          <w:tcPr>
            <w:tcW w:w="840" w:type="dxa"/>
          </w:tcPr>
          <w:p>
            <w:pPr>
              <w:pStyle w:val="yTableNAm"/>
            </w:pPr>
            <w:r>
              <w:t>3.</w:t>
            </w:r>
          </w:p>
        </w:tc>
        <w:tc>
          <w:tcPr>
            <w:tcW w:w="4920" w:type="dxa"/>
          </w:tcPr>
          <w:p>
            <w:pPr>
              <w:pStyle w:val="yTableNAm"/>
              <w:tabs>
                <w:tab w:val="clear" w:pos="567"/>
                <w:tab w:val="left" w:leader="dot" w:pos="4647"/>
              </w:tabs>
            </w:pPr>
            <w:r>
              <w:t xml:space="preserve">Application for approval of transfer of a licence, water entitlement or agreement referred to in clause 30 of Schedule 1 to the Act (cl. 32(1)(c) of that Schedule) </w:t>
            </w:r>
          </w:p>
        </w:tc>
        <w:tc>
          <w:tcPr>
            <w:tcW w:w="1200" w:type="dxa"/>
          </w:tcPr>
          <w:p>
            <w:pPr>
              <w:pStyle w:val="yTableNAm"/>
              <w:tabs>
                <w:tab w:val="clear" w:pos="567"/>
                <w:tab w:val="left" w:leader="dot" w:pos="4178"/>
              </w:tabs>
              <w:rPr>
                <w:i/>
              </w:rPr>
            </w:pPr>
            <w:r>
              <w:br/>
            </w:r>
            <w:r>
              <w:br/>
            </w:r>
            <w:r>
              <w:br/>
              <w:t>$200</w:t>
            </w:r>
          </w:p>
        </w:tc>
      </w:tr>
      <w:tr>
        <w:tc>
          <w:tcPr>
            <w:tcW w:w="840" w:type="dxa"/>
          </w:tcPr>
          <w:p>
            <w:pPr>
              <w:pStyle w:val="yTableNAm"/>
            </w:pPr>
            <w:r>
              <w:t>4.</w:t>
            </w:r>
          </w:p>
        </w:tc>
        <w:tc>
          <w:tcPr>
            <w:tcW w:w="4920" w:type="dxa"/>
          </w:tcPr>
          <w:p>
            <w:pPr>
              <w:pStyle w:val="yTableNAm"/>
              <w:tabs>
                <w:tab w:val="clear" w:pos="567"/>
                <w:tab w:val="left" w:leader="dot" w:pos="4647"/>
              </w:tabs>
              <w:rPr>
                <w:i/>
              </w:rPr>
            </w:pPr>
            <w:r>
              <w:t>Fee for certified duplicate of a licence</w:t>
            </w:r>
            <w:r>
              <w:br/>
              <w:t>(cl. 45 of Schedule 1 to the Act and reg. 22(1))</w:t>
            </w:r>
          </w:p>
        </w:tc>
        <w:tc>
          <w:tcPr>
            <w:tcW w:w="1200" w:type="dxa"/>
          </w:tcPr>
          <w:p>
            <w:pPr>
              <w:pStyle w:val="yTableNAm"/>
              <w:tabs>
                <w:tab w:val="clear" w:pos="567"/>
                <w:tab w:val="left" w:leader="dot" w:pos="4178"/>
              </w:tabs>
            </w:pPr>
            <w:r>
              <w:br/>
              <w:t>$50</w:t>
            </w:r>
          </w:p>
        </w:tc>
      </w:tr>
      <w:tr>
        <w:tc>
          <w:tcPr>
            <w:tcW w:w="840" w:type="dxa"/>
          </w:tcPr>
          <w:p>
            <w:pPr>
              <w:pStyle w:val="yTableNAm"/>
            </w:pPr>
            <w:r>
              <w:t>5.</w:t>
            </w:r>
          </w:p>
        </w:tc>
        <w:tc>
          <w:tcPr>
            <w:tcW w:w="4920" w:type="dxa"/>
          </w:tcPr>
          <w:p>
            <w:pPr>
              <w:pStyle w:val="yTableNAm"/>
              <w:tabs>
                <w:tab w:val="clear" w:pos="567"/>
                <w:tab w:val="left" w:leader="dot" w:pos="4647"/>
              </w:tabs>
            </w:pPr>
            <w:r>
              <w:t xml:space="preserve">Maximum amount for meter test (reg. 44(4)) </w:t>
            </w:r>
          </w:p>
        </w:tc>
        <w:tc>
          <w:tcPr>
            <w:tcW w:w="1200" w:type="dxa"/>
          </w:tcPr>
          <w:p>
            <w:pPr>
              <w:pStyle w:val="yTableNAm"/>
              <w:tabs>
                <w:tab w:val="clear" w:pos="567"/>
                <w:tab w:val="left" w:leader="dot" w:pos="4178"/>
              </w:tabs>
            </w:pPr>
            <w:r>
              <w:t>$500</w:t>
            </w:r>
          </w:p>
        </w:tc>
      </w:tr>
    </w:tbl>
    <w:p>
      <w:pPr>
        <w:pStyle w:val="yFootnotesection"/>
      </w:pPr>
      <w:r>
        <w:tab/>
        <w:t>[Part 1 amended in Gazette 17 Dec 2002 p. 5917</w:t>
      </w:r>
      <w:r>
        <w:noBreakHyphen/>
        <w:t>18; 22 Jun 2007 p. 2882-3 (disallowed, see Gazette 27 Nov 2007 p. 5910); Part 1 inserted as Division 1 in Gazette 28 Dec 2007 p. 6430-1 (disallowed, see Gazette 11 Apr 2008 p. 1396); 16 Dec 2014 p. 4766.]</w:t>
      </w:r>
    </w:p>
    <w:p>
      <w:pPr>
        <w:pStyle w:val="yHeading2"/>
        <w:pageBreakBefore/>
        <w:spacing w:before="480" w:after="120"/>
        <w:outlineLvl w:val="9"/>
      </w:pPr>
      <w:bookmarkStart w:id="105" w:name="_Toc493168683"/>
      <w:bookmarkStart w:id="106" w:name="_Toc493233833"/>
      <w:bookmarkStart w:id="107" w:name="_Toc506886894"/>
      <w:r>
        <w:rPr>
          <w:rStyle w:val="CharSDivNo"/>
        </w:rPr>
        <w:t>Part 2</w:t>
      </w:r>
      <w:r>
        <w:t xml:space="preserve"> — </w:t>
      </w:r>
      <w:r>
        <w:rPr>
          <w:rStyle w:val="CharSDivText"/>
        </w:rPr>
        <w:t>Registration of instruments in the register and access to the register</w:t>
      </w:r>
      <w:bookmarkEnd w:id="105"/>
      <w:bookmarkEnd w:id="106"/>
      <w:bookmarkEnd w:id="107"/>
    </w:p>
    <w:p>
      <w:pPr>
        <w:pStyle w:val="yFootnotesection"/>
      </w:pPr>
      <w:r>
        <w:tab/>
        <w:t>[Heading amended in Gazette 22 Jun 2007 p. 2883 (disallowed, see Gazette 27 Nov 2007 p. 5910); Part 2 heading inserted as Division 2 in Gazette 28 Dec 2007 p. 6431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rPr>
          <w:tblHeader/>
        </w:trPr>
        <w:tc>
          <w:tcPr>
            <w:tcW w:w="840" w:type="dxa"/>
          </w:tcPr>
          <w:p>
            <w:pPr>
              <w:pStyle w:val="yTableNAm"/>
            </w:pPr>
          </w:p>
        </w:tc>
        <w:tc>
          <w:tcPr>
            <w:tcW w:w="4920" w:type="dxa"/>
          </w:tcPr>
          <w:p>
            <w:pPr>
              <w:pStyle w:val="yTableNAm"/>
              <w:rPr>
                <w:b/>
              </w:rPr>
            </w:pPr>
            <w:r>
              <w:rPr>
                <w:b/>
              </w:rPr>
              <w:t>Registration</w:t>
            </w: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92"/>
              </w:tabs>
            </w:pPr>
            <w:r>
              <w:t xml:space="preserve">Application for notation of security interest </w:t>
            </w:r>
          </w:p>
        </w:tc>
        <w:tc>
          <w:tcPr>
            <w:tcW w:w="1200" w:type="dxa"/>
          </w:tcPr>
          <w:p>
            <w:pPr>
              <w:pStyle w:val="yTableNAm"/>
            </w:pPr>
            <w:r>
              <w:t>$70</w:t>
            </w:r>
          </w:p>
        </w:tc>
      </w:tr>
      <w:tr>
        <w:tc>
          <w:tcPr>
            <w:tcW w:w="840" w:type="dxa"/>
          </w:tcPr>
          <w:p>
            <w:pPr>
              <w:pStyle w:val="yTableNAm"/>
            </w:pPr>
            <w:r>
              <w:t>2.</w:t>
            </w:r>
          </w:p>
        </w:tc>
        <w:tc>
          <w:tcPr>
            <w:tcW w:w="4920" w:type="dxa"/>
          </w:tcPr>
          <w:p>
            <w:pPr>
              <w:pStyle w:val="yTableNAm"/>
              <w:tabs>
                <w:tab w:val="clear" w:pos="567"/>
                <w:tab w:val="left" w:leader="dot" w:pos="4692"/>
              </w:tabs>
            </w:pPr>
            <w:r>
              <w:t xml:space="preserve">Removal of notation of security interest </w:t>
            </w:r>
          </w:p>
        </w:tc>
        <w:tc>
          <w:tcPr>
            <w:tcW w:w="1200" w:type="dxa"/>
          </w:tcPr>
          <w:p>
            <w:pPr>
              <w:pStyle w:val="yTableNAm"/>
            </w:pPr>
            <w:r>
              <w:t>$70</w:t>
            </w:r>
          </w:p>
        </w:tc>
      </w:tr>
      <w:tr>
        <w:tc>
          <w:tcPr>
            <w:tcW w:w="840" w:type="dxa"/>
          </w:tcPr>
          <w:p>
            <w:pPr>
              <w:pStyle w:val="yTableNAm"/>
            </w:pPr>
            <w:r>
              <w:t>3.</w:t>
            </w:r>
          </w:p>
        </w:tc>
        <w:tc>
          <w:tcPr>
            <w:tcW w:w="4920" w:type="dxa"/>
          </w:tcPr>
          <w:p>
            <w:pPr>
              <w:pStyle w:val="yTableNAm"/>
              <w:tabs>
                <w:tab w:val="left" w:leader="dot" w:pos="4692"/>
              </w:tabs>
            </w:pPr>
            <w:r>
              <w:t xml:space="preserve">Variation of notation of security interest </w:t>
            </w:r>
          </w:p>
        </w:tc>
        <w:tc>
          <w:tcPr>
            <w:tcW w:w="1200" w:type="dxa"/>
          </w:tcPr>
          <w:p>
            <w:pPr>
              <w:pStyle w:val="yTableNAm"/>
            </w:pPr>
            <w:r>
              <w:t>$70</w:t>
            </w:r>
          </w:p>
        </w:tc>
      </w:tr>
      <w:tr>
        <w:tc>
          <w:tcPr>
            <w:tcW w:w="840" w:type="dxa"/>
          </w:tcPr>
          <w:p>
            <w:pPr>
              <w:pStyle w:val="yTableNAm"/>
            </w:pPr>
          </w:p>
        </w:tc>
        <w:tc>
          <w:tcPr>
            <w:tcW w:w="4920" w:type="dxa"/>
          </w:tcPr>
          <w:p>
            <w:pPr>
              <w:pStyle w:val="yTableNAm"/>
              <w:tabs>
                <w:tab w:val="left" w:leader="dot" w:pos="4572"/>
              </w:tabs>
              <w:rPr>
                <w:i/>
              </w:rPr>
            </w:pPr>
          </w:p>
        </w:tc>
        <w:tc>
          <w:tcPr>
            <w:tcW w:w="1200" w:type="dxa"/>
          </w:tcPr>
          <w:p>
            <w:pPr>
              <w:pStyle w:val="yTableNAm"/>
            </w:pPr>
          </w:p>
        </w:tc>
      </w:tr>
      <w:tr>
        <w:tc>
          <w:tcPr>
            <w:tcW w:w="840" w:type="dxa"/>
          </w:tcPr>
          <w:p>
            <w:pPr>
              <w:pStyle w:val="yTableNAm"/>
            </w:pPr>
          </w:p>
        </w:tc>
        <w:tc>
          <w:tcPr>
            <w:tcW w:w="4920" w:type="dxa"/>
          </w:tcPr>
          <w:p>
            <w:pPr>
              <w:pStyle w:val="yTableNAm"/>
              <w:tabs>
                <w:tab w:val="left" w:leader="dot" w:pos="4572"/>
              </w:tabs>
              <w:rPr>
                <w:b/>
                <w:bCs/>
                <w:iCs/>
              </w:rPr>
            </w:pPr>
            <w:r>
              <w:rPr>
                <w:b/>
                <w:bCs/>
                <w:iCs/>
              </w:rPr>
              <w:t>Access to register</w:t>
            </w:r>
          </w:p>
        </w:tc>
        <w:tc>
          <w:tcPr>
            <w:tcW w:w="1200" w:type="dxa"/>
          </w:tcPr>
          <w:p>
            <w:pPr>
              <w:pStyle w:val="yTableNAm"/>
            </w:pPr>
          </w:p>
        </w:tc>
      </w:tr>
      <w:tr>
        <w:tc>
          <w:tcPr>
            <w:tcW w:w="840" w:type="dxa"/>
          </w:tcPr>
          <w:p>
            <w:pPr>
              <w:pStyle w:val="yTableNAm"/>
            </w:pPr>
            <w:r>
              <w:t>1.</w:t>
            </w:r>
          </w:p>
        </w:tc>
        <w:tc>
          <w:tcPr>
            <w:tcW w:w="4920" w:type="dxa"/>
          </w:tcPr>
          <w:p>
            <w:pPr>
              <w:pStyle w:val="yTableNAm"/>
              <w:tabs>
                <w:tab w:val="left" w:leader="dot" w:pos="4572"/>
              </w:tabs>
            </w:pPr>
            <w:r>
              <w:t>Copy of an entry in, or an extract from, the register (s. 26GZI(4))</w:t>
            </w:r>
          </w:p>
        </w:tc>
        <w:tc>
          <w:tcPr>
            <w:tcW w:w="1200" w:type="dxa"/>
          </w:tcPr>
          <w:p>
            <w:pPr>
              <w:pStyle w:val="yTableNAm"/>
            </w:pPr>
            <w:r>
              <w:t>$25 for the first page, $1 for each additional page</w:t>
            </w:r>
          </w:p>
        </w:tc>
      </w:tr>
    </w:tbl>
    <w:p>
      <w:pPr>
        <w:pStyle w:val="yEdnotedivision"/>
      </w:pPr>
      <w:r>
        <w:t>[Part 3 deleted in Gazette 30 Dec 2004 p. 7000.]</w:t>
      </w:r>
    </w:p>
    <w:p>
      <w:pPr>
        <w:pStyle w:val="yScheduleHeading"/>
      </w:pPr>
      <w:bookmarkStart w:id="108" w:name="_Toc493168684"/>
      <w:bookmarkStart w:id="109" w:name="_Toc493233834"/>
      <w:bookmarkStart w:id="110" w:name="_Toc506886895"/>
      <w:r>
        <w:rPr>
          <w:rStyle w:val="CharSchNo"/>
        </w:rPr>
        <w:t>Schedule 2</w:t>
      </w:r>
      <w:r>
        <w:rPr>
          <w:rStyle w:val="CharSDivNo"/>
        </w:rPr>
        <w:t> </w:t>
      </w:r>
      <w:r>
        <w:t>—</w:t>
      </w:r>
      <w:r>
        <w:rPr>
          <w:rStyle w:val="CharSDivText"/>
        </w:rPr>
        <w:t> </w:t>
      </w:r>
      <w:r>
        <w:rPr>
          <w:rStyle w:val="CharSchText"/>
        </w:rPr>
        <w:t>Prescribed offences and modified penalties</w:t>
      </w:r>
      <w:bookmarkEnd w:id="108"/>
      <w:bookmarkEnd w:id="109"/>
      <w:bookmarkEnd w:id="110"/>
    </w:p>
    <w:p>
      <w:pPr>
        <w:pStyle w:val="yShoulderClause"/>
      </w:pPr>
      <w:r>
        <w:t>[r. 50 and 51]</w:t>
      </w:r>
    </w:p>
    <w:p>
      <w:pPr>
        <w:pStyle w:val="yFootnoteheading"/>
        <w:spacing w:after="80"/>
      </w:pPr>
      <w:r>
        <w:tab/>
        <w:t>[Heading inserted in Gazette 5 Sep 2006 p. 3624.]</w:t>
      </w:r>
    </w:p>
    <w:tbl>
      <w:tblPr>
        <w:tblW w:w="0" w:type="auto"/>
        <w:tblInd w:w="108" w:type="dxa"/>
        <w:tblLayout w:type="fixed"/>
        <w:tblLook w:val="0000" w:firstRow="0" w:lastRow="0" w:firstColumn="0" w:lastColumn="0" w:noHBand="0" w:noVBand="0"/>
      </w:tblPr>
      <w:tblGrid>
        <w:gridCol w:w="720"/>
        <w:gridCol w:w="5160"/>
        <w:gridCol w:w="1200"/>
      </w:tblGrid>
      <w:tr>
        <w:trPr>
          <w:cantSplit/>
        </w:trPr>
        <w:tc>
          <w:tcPr>
            <w:tcW w:w="720" w:type="dxa"/>
            <w:tcBorders>
              <w:top w:val="single" w:sz="4" w:space="0" w:color="auto"/>
              <w:bottom w:val="single" w:sz="4" w:space="0" w:color="auto"/>
            </w:tcBorders>
          </w:tcPr>
          <w:p>
            <w:pPr>
              <w:pStyle w:val="yTableNAm"/>
              <w:spacing w:before="60" w:after="60"/>
              <w:rPr>
                <w:b/>
                <w:bCs/>
              </w:rPr>
            </w:pPr>
          </w:p>
        </w:tc>
        <w:tc>
          <w:tcPr>
            <w:tcW w:w="5160" w:type="dxa"/>
            <w:tcBorders>
              <w:top w:val="single" w:sz="4" w:space="0" w:color="auto"/>
              <w:bottom w:val="single" w:sz="4" w:space="0" w:color="auto"/>
            </w:tcBorders>
          </w:tcPr>
          <w:p>
            <w:pPr>
              <w:pStyle w:val="yTableNAm"/>
              <w:spacing w:before="60" w:after="60"/>
              <w:rPr>
                <w:b/>
                <w:bCs/>
              </w:rPr>
            </w:pPr>
            <w:r>
              <w:rPr>
                <w:b/>
                <w:bCs/>
              </w:rPr>
              <w:t>Offence</w:t>
            </w:r>
          </w:p>
        </w:tc>
        <w:tc>
          <w:tcPr>
            <w:tcW w:w="1200" w:type="dxa"/>
            <w:tcBorders>
              <w:top w:val="single" w:sz="4" w:space="0" w:color="auto"/>
              <w:bottom w:val="single" w:sz="4" w:space="0" w:color="auto"/>
            </w:tcBorders>
          </w:tcPr>
          <w:p>
            <w:pPr>
              <w:pStyle w:val="yTableNAm"/>
              <w:spacing w:before="60" w:after="60"/>
              <w:rPr>
                <w:b/>
                <w:bCs/>
              </w:rPr>
            </w:pPr>
            <w:r>
              <w:rPr>
                <w:b/>
                <w:bCs/>
              </w:rPr>
              <w:t>Modified penalty</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tabs>
                <w:tab w:val="clear" w:pos="567"/>
                <w:tab w:val="left" w:leader="dot" w:pos="4932"/>
              </w:tabs>
            </w:pPr>
            <w:r>
              <w:t xml:space="preserve">An offence against section 5C of the Act other than an offence described in item 2 </w:t>
            </w:r>
          </w:p>
        </w:tc>
        <w:tc>
          <w:tcPr>
            <w:tcW w:w="1200" w:type="dxa"/>
            <w:tcBorders>
              <w:top w:val="single" w:sz="4" w:space="0" w:color="auto"/>
            </w:tcBorders>
          </w:tcPr>
          <w:p>
            <w:pPr>
              <w:pStyle w:val="yTableNAm"/>
            </w:pPr>
            <w:r>
              <w:br/>
              <w:t>$500</w:t>
            </w:r>
          </w:p>
        </w:tc>
      </w:tr>
      <w:tr>
        <w:trPr>
          <w:cantSplit/>
        </w:trPr>
        <w:tc>
          <w:tcPr>
            <w:tcW w:w="720" w:type="dxa"/>
          </w:tcPr>
          <w:p>
            <w:pPr>
              <w:pStyle w:val="yTableNAm"/>
            </w:pPr>
            <w:r>
              <w:t>2.</w:t>
            </w:r>
          </w:p>
        </w:tc>
        <w:tc>
          <w:tcPr>
            <w:tcW w:w="5160" w:type="dxa"/>
          </w:tcPr>
          <w:p>
            <w:pPr>
              <w:pStyle w:val="yTableNAm"/>
              <w:tabs>
                <w:tab w:val="clear" w:pos="567"/>
                <w:tab w:val="left" w:leader="dot" w:pos="4932"/>
              </w:tabs>
            </w:pPr>
            <w:r>
              <w:t xml:space="preserve">An offence against section 5C of the Act constituted by taking water from an underground water source in an area, and from a well, specified in an order under section 26C(2) and not using that water in accordance with that order </w:t>
            </w:r>
          </w:p>
        </w:tc>
        <w:tc>
          <w:tcPr>
            <w:tcW w:w="1200" w:type="dxa"/>
          </w:tcPr>
          <w:p>
            <w:pPr>
              <w:pStyle w:val="yTableNAm"/>
            </w:pPr>
            <w:r>
              <w:br/>
            </w:r>
            <w:r>
              <w:br/>
            </w:r>
            <w:r>
              <w:br/>
            </w:r>
            <w:r>
              <w:br/>
              <w:t>$100</w:t>
            </w:r>
          </w:p>
        </w:tc>
      </w:tr>
      <w:tr>
        <w:trPr>
          <w:cantSplit/>
        </w:trPr>
        <w:tc>
          <w:tcPr>
            <w:tcW w:w="720" w:type="dxa"/>
          </w:tcPr>
          <w:p>
            <w:pPr>
              <w:pStyle w:val="yTableNAm"/>
            </w:pPr>
            <w:r>
              <w:t>3.</w:t>
            </w:r>
          </w:p>
        </w:tc>
        <w:tc>
          <w:tcPr>
            <w:tcW w:w="5160" w:type="dxa"/>
          </w:tcPr>
          <w:p>
            <w:pPr>
              <w:pStyle w:val="yTableNAm"/>
              <w:tabs>
                <w:tab w:val="clear" w:pos="567"/>
                <w:tab w:val="left" w:leader="dot" w:pos="4932"/>
              </w:tabs>
            </w:pPr>
            <w:r>
              <w:t xml:space="preserve">An offence against section 26E(1) of the Act </w:t>
            </w:r>
          </w:p>
        </w:tc>
        <w:tc>
          <w:tcPr>
            <w:tcW w:w="1200" w:type="dxa"/>
          </w:tcPr>
          <w:p>
            <w:pPr>
              <w:pStyle w:val="yTableNAm"/>
            </w:pPr>
            <w:r>
              <w:t>$150</w:t>
            </w:r>
          </w:p>
        </w:tc>
      </w:tr>
      <w:tr>
        <w:trPr>
          <w:cantSplit/>
        </w:trPr>
        <w:tc>
          <w:tcPr>
            <w:tcW w:w="720" w:type="dxa"/>
          </w:tcPr>
          <w:p>
            <w:pPr>
              <w:pStyle w:val="yTableNAm"/>
            </w:pPr>
            <w:r>
              <w:t>4.</w:t>
            </w:r>
          </w:p>
        </w:tc>
        <w:tc>
          <w:tcPr>
            <w:tcW w:w="5160" w:type="dxa"/>
          </w:tcPr>
          <w:p>
            <w:pPr>
              <w:pStyle w:val="yTableNAm"/>
              <w:tabs>
                <w:tab w:val="clear" w:pos="567"/>
                <w:tab w:val="left" w:leader="dot" w:pos="4932"/>
              </w:tabs>
            </w:pPr>
            <w:r>
              <w:t xml:space="preserve">An offence against section 26G(3) of the Act </w:t>
            </w:r>
          </w:p>
        </w:tc>
        <w:tc>
          <w:tcPr>
            <w:tcW w:w="1200" w:type="dxa"/>
          </w:tcPr>
          <w:p>
            <w:pPr>
              <w:pStyle w:val="yTableNAm"/>
            </w:pPr>
            <w:r>
              <w:t>$500</w:t>
            </w:r>
          </w:p>
        </w:tc>
      </w:tr>
      <w:tr>
        <w:trPr>
          <w:cantSplit/>
        </w:trPr>
        <w:tc>
          <w:tcPr>
            <w:tcW w:w="720" w:type="dxa"/>
          </w:tcPr>
          <w:p>
            <w:pPr>
              <w:pStyle w:val="yTableNAm"/>
            </w:pPr>
            <w:r>
              <w:t>5.</w:t>
            </w:r>
          </w:p>
        </w:tc>
        <w:tc>
          <w:tcPr>
            <w:tcW w:w="5160" w:type="dxa"/>
          </w:tcPr>
          <w:p>
            <w:pPr>
              <w:pStyle w:val="yTableNAm"/>
              <w:tabs>
                <w:tab w:val="clear" w:pos="567"/>
                <w:tab w:val="left" w:leader="dot" w:pos="4932"/>
              </w:tabs>
            </w:pPr>
            <w:r>
              <w:t xml:space="preserve">An offence against section 26GC(2) of the Act </w:t>
            </w:r>
          </w:p>
        </w:tc>
        <w:tc>
          <w:tcPr>
            <w:tcW w:w="1200" w:type="dxa"/>
          </w:tcPr>
          <w:p>
            <w:pPr>
              <w:pStyle w:val="yTableNAm"/>
            </w:pPr>
            <w:r>
              <w:t>$500</w:t>
            </w:r>
          </w:p>
        </w:tc>
      </w:tr>
      <w:tr>
        <w:trPr>
          <w:cantSplit/>
        </w:trPr>
        <w:tc>
          <w:tcPr>
            <w:tcW w:w="720" w:type="dxa"/>
          </w:tcPr>
          <w:p>
            <w:pPr>
              <w:pStyle w:val="yTableNAm"/>
            </w:pPr>
            <w:r>
              <w:t>5A.</w:t>
            </w:r>
          </w:p>
        </w:tc>
        <w:tc>
          <w:tcPr>
            <w:tcW w:w="5160" w:type="dxa"/>
          </w:tcPr>
          <w:p>
            <w:pPr>
              <w:pStyle w:val="yTableNAm"/>
              <w:tabs>
                <w:tab w:val="clear" w:pos="567"/>
                <w:tab w:val="left" w:leader="dot" w:pos="4932"/>
              </w:tabs>
            </w:pPr>
            <w:r>
              <w:t>An offence against regulation 41C(1)</w:t>
            </w:r>
          </w:p>
        </w:tc>
        <w:tc>
          <w:tcPr>
            <w:tcW w:w="1200" w:type="dxa"/>
          </w:tcPr>
          <w:p>
            <w:pPr>
              <w:pStyle w:val="yTableNAm"/>
            </w:pPr>
            <w:r>
              <w:t>$400</w:t>
            </w:r>
          </w:p>
        </w:tc>
      </w:tr>
      <w:tr>
        <w:trPr>
          <w:cantSplit/>
        </w:trPr>
        <w:tc>
          <w:tcPr>
            <w:tcW w:w="720" w:type="dxa"/>
            <w:tcBorders>
              <w:bottom w:val="single" w:sz="4" w:space="0" w:color="auto"/>
            </w:tcBorders>
          </w:tcPr>
          <w:p>
            <w:pPr>
              <w:pStyle w:val="yTableNAm"/>
            </w:pPr>
            <w:r>
              <w:t>6.</w:t>
            </w:r>
          </w:p>
        </w:tc>
        <w:tc>
          <w:tcPr>
            <w:tcW w:w="5160" w:type="dxa"/>
            <w:tcBorders>
              <w:bottom w:val="single" w:sz="4" w:space="0" w:color="auto"/>
            </w:tcBorders>
          </w:tcPr>
          <w:p>
            <w:pPr>
              <w:pStyle w:val="yTableNAm"/>
              <w:tabs>
                <w:tab w:val="clear" w:pos="567"/>
                <w:tab w:val="left" w:leader="dot" w:pos="4932"/>
              </w:tabs>
            </w:pPr>
            <w:r>
              <w:t xml:space="preserve">An offence against regulation 43 </w:t>
            </w:r>
          </w:p>
        </w:tc>
        <w:tc>
          <w:tcPr>
            <w:tcW w:w="1200" w:type="dxa"/>
            <w:tcBorders>
              <w:bottom w:val="single" w:sz="4" w:space="0" w:color="auto"/>
            </w:tcBorders>
          </w:tcPr>
          <w:p>
            <w:pPr>
              <w:pStyle w:val="yTableNAm"/>
            </w:pPr>
            <w:r>
              <w:t>$400</w:t>
            </w:r>
          </w:p>
        </w:tc>
      </w:tr>
    </w:tbl>
    <w:p>
      <w:pPr>
        <w:pStyle w:val="yFootnotesection"/>
      </w:pPr>
      <w:r>
        <w:tab/>
        <w:t>[Schedule 2 inserted in Gazette 5 Sep 2006 p. 3624; amended in Gazette 20 Feb 2018 p. 499.]</w:t>
      </w:r>
    </w:p>
    <w:p>
      <w:pPr>
        <w:pStyle w:val="yScheduleHeading"/>
      </w:pPr>
      <w:bookmarkStart w:id="111" w:name="_Toc493168685"/>
      <w:bookmarkStart w:id="112" w:name="_Toc493233835"/>
      <w:bookmarkStart w:id="113" w:name="_Toc506886896"/>
      <w:r>
        <w:rPr>
          <w:rStyle w:val="CharSchNo"/>
        </w:rPr>
        <w:t>Schedule 3</w:t>
      </w:r>
      <w:r>
        <w:t xml:space="preserve"> — </w:t>
      </w:r>
      <w:r>
        <w:rPr>
          <w:rStyle w:val="CharSchText"/>
        </w:rPr>
        <w:t>Forms</w:t>
      </w:r>
      <w:bookmarkEnd w:id="111"/>
      <w:bookmarkEnd w:id="112"/>
      <w:bookmarkEnd w:id="113"/>
    </w:p>
    <w:p>
      <w:pPr>
        <w:pStyle w:val="yMiscellaneousHeading"/>
        <w:rPr>
          <w:b/>
        </w:rPr>
      </w:pPr>
      <w:r>
        <w:rPr>
          <w:b/>
        </w:rPr>
        <w:t>Form 1</w:t>
      </w:r>
    </w:p>
    <w:p>
      <w:pPr>
        <w:pStyle w:val="yShoulderClause"/>
      </w:pPr>
      <w:r>
        <w:t>[r. 33(1)]</w:t>
      </w:r>
    </w:p>
    <w:p>
      <w:pPr>
        <w:pStyle w:val="yMiscellaneousHeading"/>
        <w:spacing w:before="120"/>
      </w:pPr>
      <w:r>
        <w:rPr>
          <w:i/>
        </w:rPr>
        <w:t>Rights in Water and Irrigation Act 1914</w:t>
      </w:r>
    </w:p>
    <w:p>
      <w:pPr>
        <w:pStyle w:val="yMiscellaneousHeading"/>
        <w:spacing w:before="0"/>
      </w:pPr>
      <w:r>
        <w:rPr>
          <w:i/>
        </w:rPr>
        <w:t>Water Agencies (Powers) Act 1984</w:t>
      </w:r>
    </w:p>
    <w:p>
      <w:pPr>
        <w:pStyle w:val="yMiscellaneousHeading"/>
        <w:spacing w:before="120" w:after="120"/>
        <w:rPr>
          <w:b/>
          <w:bCs/>
          <w:i/>
        </w:rPr>
      </w:pPr>
      <w:r>
        <w:rPr>
          <w:b/>
          <w:bCs/>
        </w:rPr>
        <w:t>Application for a licence under the</w:t>
      </w:r>
      <w:r>
        <w:rPr>
          <w:b/>
          <w:bCs/>
        </w:rPr>
        <w:br/>
      </w:r>
      <w:r>
        <w:rPr>
          <w:b/>
          <w:bCs/>
          <w:i/>
          <w:iCs/>
        </w:rPr>
        <w:t xml:space="preserve">Rights in Water and Irrigation Act 1914 </w:t>
      </w:r>
      <w:r>
        <w:rPr>
          <w:b/>
          <w:bCs/>
        </w:rPr>
        <w:t>s. 26D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c>
          <w:tcPr>
            <w:tcW w:w="3240" w:type="dxa"/>
          </w:tcPr>
          <w:p>
            <w:pPr>
              <w:pStyle w:val="yTableNAm"/>
              <w:spacing w:before="60"/>
              <w:rPr>
                <w:b/>
                <w:bCs/>
              </w:rPr>
            </w:pPr>
            <w:r>
              <w:rPr>
                <w:b/>
                <w:bCs/>
              </w:rPr>
              <w:t>Name of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Postal address for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Description of the land the application is made in respect of</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Does the applicant own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If the applicant does not own the land, describe the interest that would entitle the applicant to hold a licence in respect of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 xml:space="preserve">If there is another licence under section 26D in respect of the land, provide the licence number </w:t>
            </w:r>
          </w:p>
        </w:tc>
        <w:tc>
          <w:tcPr>
            <w:tcW w:w="3840" w:type="dxa"/>
          </w:tcPr>
          <w:p>
            <w:pPr>
              <w:pStyle w:val="yTableNAm"/>
              <w:tabs>
                <w:tab w:val="clear" w:pos="567"/>
                <w:tab w:val="left" w:leader="dot" w:pos="3611"/>
              </w:tabs>
              <w:spacing w:before="60"/>
            </w:pPr>
            <w:r>
              <w:t>....................................................................................................................................................................................................................................................................</w:t>
            </w:r>
          </w:p>
        </w:tc>
      </w:tr>
      <w:tr>
        <w:trPr>
          <w:cantSplit/>
        </w:trPr>
        <w:tc>
          <w:tcPr>
            <w:tcW w:w="3240" w:type="dxa"/>
          </w:tcPr>
          <w:p>
            <w:pPr>
              <w:pStyle w:val="yTableNAm"/>
              <w:spacing w:before="60"/>
              <w:rPr>
                <w:b/>
                <w:bCs/>
              </w:rPr>
            </w:pPr>
            <w:r>
              <w:rPr>
                <w:b/>
                <w:bCs/>
              </w:rPr>
              <w:t>Purpose of application</w:t>
            </w:r>
          </w:p>
        </w:tc>
        <w:tc>
          <w:tcPr>
            <w:tcW w:w="3840" w:type="dxa"/>
          </w:tcPr>
          <w:p>
            <w:pPr>
              <w:pStyle w:val="yTableNAm"/>
              <w:tabs>
                <w:tab w:val="clear" w:pos="567"/>
                <w:tab w:val="left" w:leader="dot" w:pos="3611"/>
              </w:tabs>
              <w:spacing w:before="60"/>
            </w:pPr>
            <w:r>
              <w:t>new well/bore/excavation/soak................</w:t>
            </w:r>
          </w:p>
          <w:p>
            <w:pPr>
              <w:pStyle w:val="yTableNAm"/>
              <w:tabs>
                <w:tab w:val="clear" w:pos="567"/>
                <w:tab w:val="left" w:leader="dot" w:pos="3611"/>
              </w:tabs>
              <w:spacing w:before="60"/>
            </w:pPr>
            <w:r>
              <w:t>enlargement or deepening of existing well/bore/excavation/soak.......................</w:t>
            </w:r>
          </w:p>
          <w:p>
            <w:pPr>
              <w:pStyle w:val="yTableNAm"/>
              <w:tabs>
                <w:tab w:val="clear" w:pos="567"/>
                <w:tab w:val="left" w:leader="dot" w:pos="3611"/>
              </w:tabs>
              <w:spacing w:before="60"/>
            </w:pPr>
            <w:r>
              <w:t>other (describe)........................................</w:t>
            </w:r>
          </w:p>
        </w:tc>
      </w:tr>
      <w:tr>
        <w:tc>
          <w:tcPr>
            <w:tcW w:w="3240" w:type="dxa"/>
          </w:tcPr>
          <w:p>
            <w:pPr>
              <w:pStyle w:val="yTableNAm"/>
              <w:keepNext/>
              <w:keepLines/>
              <w:spacing w:before="60"/>
              <w:rPr>
                <w:b/>
                <w:bCs/>
              </w:rPr>
            </w:pPr>
            <w:r>
              <w:rPr>
                <w:b/>
                <w:bCs/>
              </w:rPr>
              <w:t xml:space="preserve">Proposed water use, please specify — </w:t>
            </w:r>
          </w:p>
          <w:p>
            <w:pPr>
              <w:pStyle w:val="yTableNAm"/>
              <w:keepNext/>
              <w:keepLines/>
              <w:numPr>
                <w:ilvl w:val="0"/>
                <w:numId w:val="13"/>
              </w:numPr>
              <w:tabs>
                <w:tab w:val="clear" w:pos="567"/>
                <w:tab w:val="clear" w:pos="720"/>
                <w:tab w:val="left" w:pos="230"/>
              </w:tabs>
              <w:spacing w:before="60"/>
              <w:ind w:left="230" w:hanging="240"/>
            </w:pPr>
            <w:r>
              <w:t>if the use is commercial or non commercial</w:t>
            </w:r>
          </w:p>
          <w:p>
            <w:pPr>
              <w:pStyle w:val="yTableNAm"/>
              <w:keepNext/>
              <w:keepLines/>
              <w:numPr>
                <w:ilvl w:val="0"/>
                <w:numId w:val="13"/>
              </w:numPr>
              <w:tabs>
                <w:tab w:val="clear" w:pos="567"/>
                <w:tab w:val="clear" w:pos="720"/>
                <w:tab w:val="left" w:pos="230"/>
              </w:tabs>
              <w:spacing w:before="60"/>
              <w:ind w:left="230" w:hanging="240"/>
            </w:pPr>
            <w:r>
              <w:t>the volume of water to be used</w:t>
            </w:r>
          </w:p>
          <w:p>
            <w:pPr>
              <w:pStyle w:val="yTableNAm"/>
              <w:keepNext/>
              <w:keepLines/>
              <w:numPr>
                <w:ilvl w:val="0"/>
                <w:numId w:val="13"/>
              </w:numPr>
              <w:tabs>
                <w:tab w:val="clear" w:pos="567"/>
                <w:tab w:val="clear" w:pos="720"/>
                <w:tab w:val="left" w:pos="230"/>
              </w:tabs>
              <w:spacing w:before="60"/>
              <w:ind w:left="230" w:hanging="240"/>
            </w:pPr>
            <w:r>
              <w:t>the water use</w:t>
            </w:r>
          </w:p>
          <w:p>
            <w:pPr>
              <w:pStyle w:val="yTableNAm"/>
              <w:keepNext/>
              <w:keepLines/>
              <w:numPr>
                <w:ilvl w:val="0"/>
                <w:numId w:val="13"/>
              </w:numPr>
              <w:tabs>
                <w:tab w:val="clear" w:pos="567"/>
                <w:tab w:val="clear" w:pos="720"/>
                <w:tab w:val="left" w:pos="230"/>
              </w:tabs>
              <w:spacing w:before="60"/>
              <w:ind w:left="230" w:hanging="240"/>
              <w:rPr>
                <w:b/>
                <w:bCs/>
              </w:rPr>
            </w:pPr>
            <w:r>
              <w:t>the duration of the use (and licence)</w:t>
            </w:r>
          </w:p>
        </w:tc>
        <w:tc>
          <w:tcPr>
            <w:tcW w:w="3840" w:type="dxa"/>
          </w:tcPr>
          <w:p>
            <w:pPr>
              <w:pStyle w:val="yTableNAm"/>
              <w:keepNext/>
              <w:keepLines/>
              <w:tabs>
                <w:tab w:val="clear" w:pos="567"/>
                <w:tab w:val="left" w:leader="dot" w:pos="3611"/>
              </w:tabs>
              <w:spacing w:before="60"/>
            </w:pPr>
          </w:p>
        </w:tc>
      </w:tr>
      <w:tr>
        <w:tc>
          <w:tcPr>
            <w:tcW w:w="3240" w:type="dxa"/>
          </w:tcPr>
          <w:p>
            <w:pPr>
              <w:pStyle w:val="yTableNAm"/>
              <w:spacing w:before="60"/>
              <w:rPr>
                <w:b/>
                <w:bCs/>
              </w:rPr>
            </w:pPr>
            <w:r>
              <w:rPr>
                <w:b/>
                <w:bCs/>
              </w:rPr>
              <w:t>Declaration by applicant</w:t>
            </w:r>
          </w:p>
        </w:tc>
        <w:tc>
          <w:tcPr>
            <w:tcW w:w="3840" w:type="dxa"/>
          </w:tcPr>
          <w:p>
            <w:pPr>
              <w:pStyle w:val="yTableNAm"/>
              <w:tabs>
                <w:tab w:val="clear" w:pos="567"/>
                <w:tab w:val="left" w:leader="dot" w:pos="3611"/>
              </w:tabs>
              <w:spacing w:before="60"/>
            </w:pPr>
            <w:r>
              <w:t xml:space="preserve">I,................................apply for a licence under section 26D of the </w:t>
            </w:r>
            <w:r>
              <w:rPr>
                <w:i/>
                <w:iCs/>
              </w:rPr>
              <w:t>Rights in Water and Irrigation Act 1914</w:t>
            </w:r>
            <w:r>
              <w:t>.</w:t>
            </w:r>
          </w:p>
          <w:p>
            <w:pPr>
              <w:pStyle w:val="yTableNAm"/>
              <w:tabs>
                <w:tab w:val="clear" w:pos="567"/>
                <w:tab w:val="left" w:leader="dot" w:pos="3611"/>
              </w:tabs>
              <w:spacing w:before="60"/>
            </w:pPr>
            <w:r>
              <w:t>.................................................................(signature or seal of applicant)</w:t>
            </w:r>
          </w:p>
        </w:tc>
      </w:tr>
    </w:tbl>
    <w:p>
      <w:pPr>
        <w:pStyle w:val="yFootnotesection"/>
      </w:pPr>
      <w:r>
        <w:tab/>
        <w:t>[Form 1 amended in Gazette 23 Jun 2009 p. 2500.]</w:t>
      </w:r>
    </w:p>
    <w:p>
      <w:pPr>
        <w:pStyle w:val="yMiscellaneousHeading"/>
        <w:pageBreakBefore/>
        <w:rPr>
          <w:b/>
          <w:bCs/>
        </w:rPr>
      </w:pPr>
      <w:r>
        <w:rPr>
          <w:b/>
        </w:rPr>
        <w:t>Form 2</w:t>
      </w:r>
    </w:p>
    <w:p>
      <w:pPr>
        <w:pStyle w:val="yShoulderClause"/>
      </w:pPr>
      <w:r>
        <w:t>[r. 39]</w:t>
      </w:r>
    </w:p>
    <w:p>
      <w:pPr>
        <w:pStyle w:val="yMiscellaneousHeading"/>
        <w:rPr>
          <w:i/>
          <w:iCs/>
        </w:rPr>
      </w:pPr>
      <w:r>
        <w:rPr>
          <w:i/>
          <w:iCs/>
        </w:rPr>
        <w:t>Rights in Water and Irrigation Act 1914</w:t>
      </w:r>
      <w:r>
        <w:rPr>
          <w:i/>
          <w:iCs/>
        </w:rPr>
        <w:br/>
        <w:t>Water Agencies (Powers) Act 1984</w:t>
      </w:r>
    </w:p>
    <w:p>
      <w:pPr>
        <w:pStyle w:val="yMiscellaneousHeading"/>
        <w:spacing w:after="60"/>
        <w:rPr>
          <w:b/>
          <w:bCs/>
        </w:rPr>
      </w:pPr>
      <w:r>
        <w:rPr>
          <w:b/>
          <w:bCs/>
        </w:rPr>
        <w:t>Information to be provided under the</w:t>
      </w:r>
      <w:r>
        <w:rPr>
          <w:b/>
          <w:bCs/>
        </w:rPr>
        <w:br/>
      </w:r>
      <w:r>
        <w:rPr>
          <w:b/>
          <w:bCs/>
          <w:i/>
          <w:iCs/>
        </w:rPr>
        <w:t>Rights in Water and Irrigation Act 1914</w:t>
      </w:r>
      <w:r>
        <w:rPr>
          <w:b/>
          <w:bCs/>
        </w:rPr>
        <w:t xml:space="preserve"> s. 26E after constructing or deepening a non</w:t>
      </w:r>
      <w:r>
        <w:rPr>
          <w:b/>
          <w:bCs/>
        </w:rPr>
        <w:noBreakHyphen/>
        <w:t>artesian well</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84"/>
        <w:gridCol w:w="160"/>
        <w:gridCol w:w="265"/>
        <w:gridCol w:w="284"/>
        <w:gridCol w:w="283"/>
        <w:gridCol w:w="567"/>
        <w:gridCol w:w="142"/>
        <w:gridCol w:w="142"/>
        <w:gridCol w:w="283"/>
        <w:gridCol w:w="709"/>
        <w:gridCol w:w="142"/>
        <w:gridCol w:w="567"/>
        <w:gridCol w:w="567"/>
        <w:gridCol w:w="141"/>
        <w:gridCol w:w="284"/>
        <w:gridCol w:w="1134"/>
      </w:tblGrid>
      <w:tr>
        <w:trPr>
          <w:cantSplit/>
        </w:trPr>
        <w:tc>
          <w:tcPr>
            <w:tcW w:w="6662" w:type="dxa"/>
            <w:gridSpan w:val="17"/>
            <w:tcBorders>
              <w:bottom w:val="single" w:sz="4" w:space="0" w:color="auto"/>
            </w:tcBorders>
          </w:tcPr>
          <w:p>
            <w:pPr>
              <w:pStyle w:val="yTableNAm"/>
              <w:spacing w:before="60"/>
              <w:rPr>
                <w:b/>
                <w:bCs/>
              </w:rPr>
            </w:pPr>
            <w:r>
              <w:rPr>
                <w:b/>
                <w:bCs/>
              </w:rPr>
              <w:t xml:space="preserve">Part 1:  Details of any licence granted for the work under the </w:t>
            </w:r>
            <w:r>
              <w:rPr>
                <w:b/>
                <w:bCs/>
                <w:i/>
                <w:iCs/>
              </w:rPr>
              <w:t>Rights in Water and Irrigation Act 1914</w:t>
            </w:r>
            <w:r>
              <w:rPr>
                <w:b/>
                <w:bCs/>
              </w:rPr>
              <w:t xml:space="preserve"> section 26D </w:t>
            </w:r>
          </w:p>
        </w:tc>
      </w:tr>
      <w:tr>
        <w:tc>
          <w:tcPr>
            <w:tcW w:w="1152" w:type="dxa"/>
            <w:gridSpan w:val="3"/>
            <w:tcBorders>
              <w:bottom w:val="single" w:sz="4" w:space="0" w:color="auto"/>
            </w:tcBorders>
          </w:tcPr>
          <w:p>
            <w:pPr>
              <w:pStyle w:val="yTableNAm"/>
              <w:spacing w:before="60"/>
              <w:rPr>
                <w:sz w:val="20"/>
              </w:rPr>
            </w:pPr>
            <w:r>
              <w:rPr>
                <w:sz w:val="20"/>
              </w:rPr>
              <w:t>Licence No:</w:t>
            </w:r>
          </w:p>
        </w:tc>
        <w:tc>
          <w:tcPr>
            <w:tcW w:w="5510" w:type="dxa"/>
            <w:gridSpan w:val="14"/>
            <w:tcBorders>
              <w:bottom w:val="single" w:sz="4" w:space="0" w:color="auto"/>
            </w:tcBorders>
            <w:vAlign w:val="bottom"/>
          </w:tcPr>
          <w:p>
            <w:pPr>
              <w:pStyle w:val="yTableNAm"/>
              <w:spacing w:before="60"/>
            </w:pPr>
          </w:p>
        </w:tc>
      </w:tr>
      <w:tr>
        <w:tc>
          <w:tcPr>
            <w:tcW w:w="1152" w:type="dxa"/>
            <w:gridSpan w:val="3"/>
            <w:tcBorders>
              <w:top w:val="single" w:sz="4" w:space="0" w:color="auto"/>
              <w:bottom w:val="single" w:sz="4" w:space="0" w:color="auto"/>
            </w:tcBorders>
          </w:tcPr>
          <w:p>
            <w:pPr>
              <w:pStyle w:val="yTableNAm"/>
              <w:spacing w:before="60"/>
              <w:rPr>
                <w:sz w:val="20"/>
              </w:rPr>
            </w:pPr>
            <w:r>
              <w:rPr>
                <w:sz w:val="20"/>
              </w:rPr>
              <w:t>Licensee’s full name</w:t>
            </w:r>
          </w:p>
        </w:tc>
        <w:tc>
          <w:tcPr>
            <w:tcW w:w="5510" w:type="dxa"/>
            <w:gridSpan w:val="14"/>
            <w:tcBorders>
              <w:top w:val="single" w:sz="4" w:space="0" w:color="auto"/>
              <w:bottom w:val="single" w:sz="4" w:space="0" w:color="auto"/>
            </w:tcBorders>
            <w:vAlign w:val="bottom"/>
          </w:tcPr>
          <w:p>
            <w:pPr>
              <w:pStyle w:val="yTableNAm"/>
              <w:spacing w:before="60"/>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Part 2: Details of the person who carried out the work</w:t>
            </w:r>
          </w:p>
        </w:tc>
      </w:tr>
      <w:tr>
        <w:trPr>
          <w:cantSplit/>
          <w:trHeight w:val="1015"/>
        </w:trPr>
        <w:tc>
          <w:tcPr>
            <w:tcW w:w="2693" w:type="dxa"/>
            <w:gridSpan w:val="8"/>
            <w:tcBorders>
              <w:bottom w:val="single" w:sz="4" w:space="0" w:color="auto"/>
            </w:tcBorders>
          </w:tcPr>
          <w:p>
            <w:pPr>
              <w:pStyle w:val="yTableNAm"/>
              <w:spacing w:before="60"/>
            </w:pPr>
            <w:r>
              <w:rPr>
                <w:sz w:val="20"/>
              </w:rPr>
              <w:t>Company, corporate, trading or business name of person who carried out the work</w:t>
            </w:r>
            <w:r>
              <w:rPr>
                <w:sz w:val="20"/>
              </w:rPr>
              <w:br/>
            </w:r>
            <w:r>
              <w:rPr>
                <w:sz w:val="16"/>
              </w:rPr>
              <w:t>(Full name)</w:t>
            </w:r>
          </w:p>
        </w:tc>
        <w:tc>
          <w:tcPr>
            <w:tcW w:w="3969" w:type="dxa"/>
            <w:gridSpan w:val="9"/>
            <w:tcBorders>
              <w:bottom w:val="single" w:sz="4" w:space="0" w:color="auto"/>
            </w:tcBorders>
          </w:tcPr>
          <w:p>
            <w:pPr>
              <w:pStyle w:val="yTableNAm"/>
              <w:spacing w:before="60"/>
            </w:pPr>
          </w:p>
        </w:tc>
      </w:tr>
      <w:tr>
        <w:tc>
          <w:tcPr>
            <w:tcW w:w="1152" w:type="dxa"/>
            <w:gridSpan w:val="3"/>
            <w:tcBorders>
              <w:top w:val="single" w:sz="4" w:space="0" w:color="auto"/>
              <w:left w:val="single" w:sz="4" w:space="0" w:color="auto"/>
              <w:bottom w:val="nil"/>
              <w:right w:val="single" w:sz="4" w:space="0" w:color="auto"/>
            </w:tcBorders>
          </w:tcPr>
          <w:p>
            <w:pPr>
              <w:pStyle w:val="yTableNAm"/>
              <w:spacing w:before="60"/>
              <w:rPr>
                <w:sz w:val="20"/>
              </w:rPr>
            </w:pPr>
            <w:r>
              <w:rPr>
                <w:sz w:val="20"/>
              </w:rPr>
              <w:t>Driller’s name</w:t>
            </w:r>
            <w:r>
              <w:rPr>
                <w:sz w:val="20"/>
              </w:rPr>
              <w:br/>
            </w:r>
            <w:r>
              <w:rPr>
                <w:sz w:val="16"/>
              </w:rPr>
              <w:t>(Full name)</w:t>
            </w:r>
          </w:p>
        </w:tc>
        <w:tc>
          <w:tcPr>
            <w:tcW w:w="5510" w:type="dxa"/>
            <w:gridSpan w:val="14"/>
            <w:tcBorders>
              <w:top w:val="single" w:sz="4" w:space="0" w:color="auto"/>
              <w:left w:val="single" w:sz="4" w:space="0" w:color="auto"/>
              <w:bottom w:val="nil"/>
              <w:right w:val="single" w:sz="4" w:space="0" w:color="auto"/>
            </w:tcBorders>
            <w:vAlign w:val="center"/>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Postal Address:</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Fax:</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Mobile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single" w:sz="4" w:space="0" w:color="auto"/>
              <w:right w:val="single" w:sz="4" w:space="0" w:color="auto"/>
            </w:tcBorders>
          </w:tcPr>
          <w:p>
            <w:pPr>
              <w:pStyle w:val="yTableNAm"/>
              <w:spacing w:before="60"/>
              <w:rPr>
                <w:sz w:val="20"/>
              </w:rPr>
            </w:pPr>
            <w:r>
              <w:rPr>
                <w:sz w:val="20"/>
              </w:rPr>
              <w:t>Email:</w:t>
            </w:r>
          </w:p>
        </w:tc>
        <w:tc>
          <w:tcPr>
            <w:tcW w:w="5510" w:type="dxa"/>
            <w:gridSpan w:val="14"/>
            <w:tcBorders>
              <w:top w:val="nil"/>
              <w:left w:val="single" w:sz="4" w:space="0" w:color="auto"/>
              <w:bottom w:val="single" w:sz="4" w:space="0" w:color="auto"/>
              <w:right w:val="single" w:sz="4" w:space="0" w:color="auto"/>
            </w:tcBorders>
          </w:tcPr>
          <w:p>
            <w:pPr>
              <w:pStyle w:val="yTableNAm"/>
              <w:spacing w:before="60"/>
              <w:rPr>
                <w:sz w:val="20"/>
              </w:rPr>
            </w:pPr>
            <w:r>
              <w:rPr>
                <w:sz w:val="20"/>
              </w:rPr>
              <w:t>........................................................................................................</w:t>
            </w: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Borders>
              <w:top w:val="single" w:sz="4" w:space="0" w:color="auto"/>
            </w:tcBorders>
          </w:tcPr>
          <w:p>
            <w:pPr>
              <w:pStyle w:val="yTableNAm"/>
              <w:spacing w:before="60"/>
              <w:rPr>
                <w:b/>
                <w:bCs/>
              </w:rPr>
            </w:pPr>
            <w:r>
              <w:rPr>
                <w:b/>
                <w:bCs/>
              </w:rPr>
              <w:t>Part 3: Location of well</w:t>
            </w:r>
          </w:p>
        </w:tc>
      </w:tr>
      <w:tr>
        <w:trPr>
          <w:cantSplit/>
        </w:trPr>
        <w:tc>
          <w:tcPr>
            <w:tcW w:w="6662" w:type="dxa"/>
            <w:gridSpan w:val="17"/>
            <w:tcBorders>
              <w:bottom w:val="single" w:sz="4" w:space="0" w:color="auto"/>
            </w:tcBorders>
          </w:tcPr>
          <w:p>
            <w:pPr>
              <w:pStyle w:val="yTableNAm"/>
              <w:spacing w:before="60"/>
              <w:rPr>
                <w:sz w:val="20"/>
              </w:rPr>
            </w:pPr>
            <w:r>
              <w:rPr>
                <w:sz w:val="20"/>
              </w:rPr>
              <w:t>Property address of well</w:t>
            </w:r>
          </w:p>
        </w:tc>
      </w:tr>
      <w:tr>
        <w:trPr>
          <w:cantSplit/>
        </w:trPr>
        <w:tc>
          <w:tcPr>
            <w:tcW w:w="6662" w:type="dxa"/>
            <w:gridSpan w:val="17"/>
            <w:tcBorders>
              <w:bottom w:val="single" w:sz="4" w:space="0" w:color="auto"/>
            </w:tcBorders>
          </w:tcPr>
          <w:p>
            <w:pPr>
              <w:pStyle w:val="yTableNAm"/>
              <w:spacing w:before="60"/>
            </w:pPr>
          </w:p>
        </w:tc>
      </w:tr>
      <w:tr>
        <w:tc>
          <w:tcPr>
            <w:tcW w:w="1701" w:type="dxa"/>
            <w:gridSpan w:val="5"/>
            <w:tcBorders>
              <w:top w:val="single" w:sz="4" w:space="0" w:color="auto"/>
              <w:left w:val="nil"/>
              <w:bottom w:val="nil"/>
              <w:right w:val="nil"/>
            </w:tcBorders>
          </w:tcPr>
          <w:p>
            <w:pPr>
              <w:pStyle w:val="yTableNAm"/>
              <w:spacing w:before="60" w:after="60"/>
              <w:rPr>
                <w:sz w:val="20"/>
              </w:rPr>
            </w:pPr>
            <w:r>
              <w:rPr>
                <w:sz w:val="20"/>
              </w:rPr>
              <w:t>Well coordinates:</w:t>
            </w:r>
          </w:p>
        </w:tc>
        <w:tc>
          <w:tcPr>
            <w:tcW w:w="4961" w:type="dxa"/>
            <w:gridSpan w:val="12"/>
            <w:tcBorders>
              <w:top w:val="single" w:sz="4" w:space="0" w:color="auto"/>
              <w:left w:val="nil"/>
              <w:bottom w:val="nil"/>
              <w:right w:val="nil"/>
            </w:tcBorders>
          </w:tcPr>
          <w:p>
            <w:pPr>
              <w:pStyle w:val="yTableNAm"/>
              <w:tabs>
                <w:tab w:val="left" w:pos="2085"/>
              </w:tabs>
              <w:spacing w:before="60" w:after="60"/>
              <w:ind w:left="-75"/>
              <w:rPr>
                <w:sz w:val="20"/>
              </w:rPr>
            </w:pPr>
            <w:r>
              <w:sym w:font="Wingdings 2" w:char="F0A3"/>
            </w:r>
            <w:r>
              <w:t xml:space="preserve"> </w:t>
            </w:r>
            <w:r>
              <w:rPr>
                <w:sz w:val="20"/>
                <w:szCs w:val="18"/>
              </w:rPr>
              <w:t>GPS reading</w:t>
            </w:r>
            <w:r>
              <w:rPr>
                <w:sz w:val="20"/>
                <w:szCs w:val="18"/>
              </w:rPr>
              <w:tab/>
            </w:r>
            <w:r>
              <w:sym w:font="Wingdings 2" w:char="F0A3"/>
            </w:r>
            <w:r>
              <w:t xml:space="preserve"> </w:t>
            </w:r>
            <w:r>
              <w:rPr>
                <w:sz w:val="20"/>
                <w:szCs w:val="18"/>
              </w:rPr>
              <w:t>Estimate</w:t>
            </w:r>
          </w:p>
        </w:tc>
      </w:tr>
      <w:tr>
        <w:trPr>
          <w:cantSplit/>
        </w:trPr>
        <w:tc>
          <w:tcPr>
            <w:tcW w:w="708" w:type="dxa"/>
            <w:tcBorders>
              <w:top w:val="nil"/>
              <w:left w:val="nil"/>
              <w:bottom w:val="nil"/>
              <w:right w:val="single" w:sz="4" w:space="0" w:color="auto"/>
            </w:tcBorders>
          </w:tcPr>
          <w:p>
            <w:pPr>
              <w:pStyle w:val="yTableNAm"/>
              <w:spacing w:before="60"/>
              <w:rPr>
                <w:sz w:val="20"/>
              </w:rPr>
            </w:pPr>
            <w:r>
              <w:rPr>
                <w:sz w:val="20"/>
              </w:rPr>
              <w:t>Zone</w:t>
            </w:r>
          </w:p>
        </w:tc>
        <w:tc>
          <w:tcPr>
            <w:tcW w:w="993"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134" w:type="dxa"/>
            <w:gridSpan w:val="4"/>
            <w:tcBorders>
              <w:top w:val="nil"/>
              <w:left w:val="single" w:sz="4" w:space="0" w:color="auto"/>
              <w:bottom w:val="nil"/>
              <w:right w:val="single" w:sz="4" w:space="0" w:color="auto"/>
            </w:tcBorders>
          </w:tcPr>
          <w:p>
            <w:pPr>
              <w:pStyle w:val="yTableNAm"/>
              <w:tabs>
                <w:tab w:val="clear" w:pos="567"/>
              </w:tabs>
              <w:spacing w:before="60"/>
              <w:ind w:left="45"/>
              <w:jc w:val="right"/>
              <w:rPr>
                <w:sz w:val="20"/>
              </w:rPr>
            </w:pPr>
            <w:r>
              <w:rPr>
                <w:sz w:val="20"/>
              </w:rPr>
              <w:t>Easting/</w:t>
            </w:r>
            <w:r>
              <w:rPr>
                <w:sz w:val="20"/>
              </w:rPr>
              <w:br/>
              <w:t>Latitude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nil"/>
              <w:right w:val="single" w:sz="4" w:space="0" w:color="auto"/>
            </w:tcBorders>
          </w:tcPr>
          <w:p>
            <w:pPr>
              <w:pStyle w:val="yTableNAm"/>
              <w:tabs>
                <w:tab w:val="clear" w:pos="567"/>
              </w:tabs>
              <w:spacing w:before="60"/>
              <w:ind w:left="199"/>
              <w:jc w:val="right"/>
              <w:rPr>
                <w:sz w:val="20"/>
              </w:rPr>
            </w:pPr>
            <w:r>
              <w:rPr>
                <w:sz w:val="20"/>
              </w:rPr>
              <w:t>Northing/</w:t>
            </w:r>
            <w:r>
              <w:rPr>
                <w:sz w:val="20"/>
              </w:rPr>
              <w:br/>
              <w:t>Longitude</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708" w:type="dxa"/>
            <w:tcBorders>
              <w:top w:val="nil"/>
              <w:left w:val="nil"/>
              <w:bottom w:val="single" w:sz="4" w:space="0" w:color="auto"/>
              <w:right w:val="nil"/>
            </w:tcBorders>
          </w:tcPr>
          <w:p>
            <w:pPr>
              <w:pStyle w:val="yTableNAm"/>
              <w:spacing w:before="60"/>
              <w:rPr>
                <w:sz w:val="20"/>
              </w:rPr>
            </w:pPr>
          </w:p>
        </w:tc>
        <w:tc>
          <w:tcPr>
            <w:tcW w:w="993" w:type="dxa"/>
            <w:gridSpan w:val="4"/>
            <w:tcBorders>
              <w:top w:val="nil"/>
              <w:left w:val="nil"/>
              <w:bottom w:val="single" w:sz="4" w:space="0" w:color="auto"/>
              <w:right w:val="nil"/>
            </w:tcBorders>
          </w:tcPr>
          <w:p>
            <w:pPr>
              <w:pStyle w:val="yTableNAm"/>
              <w:spacing w:before="60"/>
              <w:rPr>
                <w:sz w:val="20"/>
              </w:rPr>
            </w:pPr>
          </w:p>
        </w:tc>
        <w:tc>
          <w:tcPr>
            <w:tcW w:w="1134" w:type="dxa"/>
            <w:gridSpan w:val="4"/>
            <w:tcBorders>
              <w:top w:val="nil"/>
              <w:left w:val="nil"/>
              <w:bottom w:val="single" w:sz="4" w:space="0" w:color="auto"/>
              <w:right w:val="single" w:sz="4" w:space="0" w:color="auto"/>
            </w:tcBorders>
          </w:tcPr>
          <w:p>
            <w:pPr>
              <w:pStyle w:val="yTableNAm"/>
              <w:spacing w:before="60"/>
              <w:rPr>
                <w:sz w:val="20"/>
              </w:rPr>
            </w:pPr>
            <w:r>
              <w:rPr>
                <w:sz w:val="20"/>
              </w:rPr>
              <w:t>Datum</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single" w:sz="4" w:space="0" w:color="auto"/>
              <w:right w:val="single" w:sz="4" w:space="0" w:color="auto"/>
            </w:tcBorders>
          </w:tcPr>
          <w:p>
            <w:pPr>
              <w:pStyle w:val="yTableNAm"/>
              <w:tabs>
                <w:tab w:val="clear" w:pos="567"/>
              </w:tabs>
              <w:spacing w:before="60"/>
              <w:ind w:left="199"/>
              <w:jc w:val="right"/>
              <w:rPr>
                <w:sz w:val="20"/>
              </w:rPr>
            </w:pPr>
            <w:r>
              <w:rPr>
                <w:sz w:val="20"/>
              </w:rPr>
              <w:t>GPS reliability</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6662" w:type="dxa"/>
            <w:gridSpan w:val="17"/>
            <w:tcBorders>
              <w:top w:val="single" w:sz="4" w:space="0" w:color="auto"/>
              <w:bottom w:val="single" w:sz="4" w:space="0" w:color="auto"/>
            </w:tcBorders>
          </w:tcPr>
          <w:p>
            <w:pPr>
              <w:pStyle w:val="yTableNAm"/>
              <w:spacing w:before="60"/>
              <w:rPr>
                <w:sz w:val="20"/>
              </w:rPr>
            </w:pPr>
            <w:r>
              <w:rPr>
                <w:b/>
                <w:bCs/>
                <w:i/>
                <w:sz w:val="20"/>
              </w:rPr>
              <w:t>Location plan</w:t>
            </w:r>
            <w:r>
              <w:rPr>
                <w:b/>
                <w:bCs/>
                <w:iCs/>
                <w:sz w:val="20"/>
              </w:rPr>
              <w:t xml:space="preserve">: </w:t>
            </w:r>
            <w:r>
              <w:rPr>
                <w:iCs/>
                <w:sz w:val="20"/>
              </w:rPr>
              <w:t>please sketch below a plan showing the position of the well in relation to buildings, boundaries, roads, nearest cross roads and any other features or information to assist in locating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 xml:space="preserve">Part 4: Construction details </w:t>
            </w:r>
            <w:r>
              <w:rPr>
                <w:b/>
                <w:bCs/>
              </w:rPr>
              <w:br/>
            </w:r>
            <w:r>
              <w:rPr>
                <w:sz w:val="20"/>
              </w:rPr>
              <w:t xml:space="preserve">Note: </w:t>
            </w:r>
            <w:r>
              <w:rPr>
                <w:i/>
                <w:iCs/>
                <w:sz w:val="20"/>
              </w:rPr>
              <w:t>All measurements to be taken from ground level.</w:t>
            </w:r>
          </w:p>
        </w:tc>
      </w:tr>
      <w:tr>
        <w:trPr>
          <w:cantSplit/>
        </w:trPr>
        <w:tc>
          <w:tcPr>
            <w:tcW w:w="6662" w:type="dxa"/>
            <w:gridSpan w:val="17"/>
          </w:tcPr>
          <w:p>
            <w:pPr>
              <w:pStyle w:val="yTableNAm"/>
              <w:spacing w:before="60"/>
            </w:pPr>
            <w:r>
              <w:rPr>
                <w:b/>
                <w:bCs/>
                <w:i/>
                <w:iCs/>
                <w:sz w:val="20"/>
              </w:rPr>
              <w:t>Well construction diagram</w:t>
            </w:r>
            <w:r>
              <w:rPr>
                <w:sz w:val="20"/>
              </w:rPr>
              <w:t>:</w:t>
            </w:r>
            <w:r>
              <w:rPr>
                <w:b/>
                <w:bCs/>
                <w:sz w:val="20"/>
              </w:rPr>
              <w:t xml:space="preserve"> </w:t>
            </w:r>
            <w:r>
              <w:rPr>
                <w:sz w:val="20"/>
              </w:rPr>
              <w:t>please sketch below a diagram showing the construction of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rPr>
          <w:cantSplit/>
          <w:trHeight w:val="150"/>
        </w:trPr>
        <w:tc>
          <w:tcPr>
            <w:tcW w:w="6662" w:type="dxa"/>
            <w:gridSpan w:val="17"/>
            <w:tcBorders>
              <w:left w:val="nil"/>
              <w:right w:val="nil"/>
            </w:tcBorders>
          </w:tcPr>
          <w:p>
            <w:pPr>
              <w:pStyle w:val="yTableNAm"/>
              <w:spacing w:before="60"/>
              <w:rPr>
                <w:sz w:val="20"/>
              </w:rPr>
            </w:pPr>
          </w:p>
        </w:tc>
      </w:tr>
      <w:tr>
        <w:trPr>
          <w:cantSplit/>
          <w:trHeight w:val="150"/>
        </w:trPr>
        <w:tc>
          <w:tcPr>
            <w:tcW w:w="6662" w:type="dxa"/>
            <w:gridSpan w:val="17"/>
          </w:tcPr>
          <w:p>
            <w:pPr>
              <w:pStyle w:val="yTableNAm"/>
              <w:spacing w:before="60"/>
              <w:jc w:val="center"/>
              <w:rPr>
                <w:b/>
                <w:bCs/>
                <w:sz w:val="20"/>
              </w:rPr>
            </w:pPr>
            <w:r>
              <w:rPr>
                <w:b/>
                <w:bCs/>
                <w:sz w:val="20"/>
              </w:rPr>
              <w:t>Production casing details</w:t>
            </w:r>
          </w:p>
        </w:tc>
      </w:tr>
      <w:tr>
        <w:trPr>
          <w:cantSplit/>
        </w:trPr>
        <w:tc>
          <w:tcPr>
            <w:tcW w:w="992" w:type="dxa"/>
            <w:gridSpan w:val="2"/>
            <w:vMerge w:val="restart"/>
          </w:tcPr>
          <w:p>
            <w:pPr>
              <w:pStyle w:val="yTableNAm"/>
              <w:spacing w:before="60"/>
              <w:rPr>
                <w:sz w:val="20"/>
              </w:rPr>
            </w:pPr>
            <w:r>
              <w:rPr>
                <w:sz w:val="20"/>
              </w:rPr>
              <w:t>Material</w:t>
            </w:r>
          </w:p>
        </w:tc>
        <w:tc>
          <w:tcPr>
            <w:tcW w:w="992" w:type="dxa"/>
            <w:gridSpan w:val="4"/>
            <w:vMerge w:val="restart"/>
          </w:tcPr>
          <w:p>
            <w:pPr>
              <w:pStyle w:val="yTableNAm"/>
              <w:spacing w:before="60"/>
              <w:rPr>
                <w:sz w:val="20"/>
              </w:rPr>
            </w:pPr>
            <w:r>
              <w:rPr>
                <w:sz w:val="20"/>
              </w:rPr>
              <w:t>Nominal bore</w:t>
            </w:r>
          </w:p>
        </w:tc>
        <w:tc>
          <w:tcPr>
            <w:tcW w:w="1134" w:type="dxa"/>
            <w:gridSpan w:val="4"/>
            <w:vMerge w:val="restart"/>
          </w:tcPr>
          <w:p>
            <w:pPr>
              <w:pStyle w:val="yTableNAm"/>
              <w:spacing w:before="60"/>
              <w:rPr>
                <w:sz w:val="20"/>
              </w:rPr>
            </w:pPr>
            <w:r>
              <w:rPr>
                <w:sz w:val="20"/>
              </w:rPr>
              <w:t>Diameter O.D (mm)</w:t>
            </w:r>
          </w:p>
        </w:tc>
        <w:tc>
          <w:tcPr>
            <w:tcW w:w="1418" w:type="dxa"/>
            <w:gridSpan w:val="3"/>
            <w:vMerge w:val="restart"/>
          </w:tcPr>
          <w:p>
            <w:pPr>
              <w:pStyle w:val="yTableNAm"/>
              <w:spacing w:before="60"/>
              <w:rPr>
                <w:sz w:val="20"/>
              </w:rPr>
            </w:pPr>
            <w:r>
              <w:rPr>
                <w:sz w:val="20"/>
              </w:rPr>
              <w:t>Wall thickness (mm)</w:t>
            </w:r>
          </w:p>
        </w:tc>
        <w:tc>
          <w:tcPr>
            <w:tcW w:w="2126" w:type="dxa"/>
            <w:gridSpan w:val="4"/>
          </w:tcPr>
          <w:p>
            <w:pPr>
              <w:pStyle w:val="yTableNAm"/>
              <w:spacing w:before="60"/>
              <w:jc w:val="center"/>
              <w:rPr>
                <w:sz w:val="20"/>
              </w:rPr>
            </w:pPr>
            <w:r>
              <w:rPr>
                <w:sz w:val="20"/>
              </w:rPr>
              <w:t>Depth</w:t>
            </w:r>
          </w:p>
        </w:tc>
      </w:tr>
      <w:tr>
        <w:trPr>
          <w:cantSplit/>
        </w:trPr>
        <w:tc>
          <w:tcPr>
            <w:tcW w:w="992" w:type="dxa"/>
            <w:gridSpan w:val="2"/>
            <w:vMerge/>
          </w:tcPr>
          <w:p>
            <w:pPr>
              <w:pStyle w:val="yTableNAm"/>
              <w:spacing w:before="60"/>
            </w:pPr>
          </w:p>
        </w:tc>
        <w:tc>
          <w:tcPr>
            <w:tcW w:w="992" w:type="dxa"/>
            <w:gridSpan w:val="4"/>
            <w:vMerge/>
          </w:tcPr>
          <w:p>
            <w:pPr>
              <w:pStyle w:val="yTableNAm"/>
              <w:spacing w:before="60"/>
            </w:pPr>
          </w:p>
        </w:tc>
        <w:tc>
          <w:tcPr>
            <w:tcW w:w="1134" w:type="dxa"/>
            <w:gridSpan w:val="4"/>
            <w:vMerge/>
          </w:tcPr>
          <w:p>
            <w:pPr>
              <w:pStyle w:val="yTableNAm"/>
              <w:spacing w:before="60"/>
            </w:pPr>
          </w:p>
        </w:tc>
        <w:tc>
          <w:tcPr>
            <w:tcW w:w="1418" w:type="dxa"/>
            <w:gridSpan w:val="3"/>
            <w:vMerge/>
          </w:tcPr>
          <w:p>
            <w:pPr>
              <w:pStyle w:val="yTableNAm"/>
              <w:spacing w:before="60"/>
            </w:pPr>
          </w:p>
        </w:tc>
        <w:tc>
          <w:tcPr>
            <w:tcW w:w="992" w:type="dxa"/>
            <w:gridSpan w:val="3"/>
          </w:tcPr>
          <w:p>
            <w:pPr>
              <w:pStyle w:val="yTableNAm"/>
              <w:spacing w:before="60"/>
              <w:rPr>
                <w:sz w:val="20"/>
              </w:rPr>
            </w:pPr>
            <w:r>
              <w:rPr>
                <w:sz w:val="20"/>
              </w:rPr>
              <w:t>From (m)</w:t>
            </w:r>
          </w:p>
        </w:tc>
        <w:tc>
          <w:tcPr>
            <w:tcW w:w="1134" w:type="dxa"/>
          </w:tcPr>
          <w:p>
            <w:pPr>
              <w:pStyle w:val="yTableNAm"/>
              <w:spacing w:before="60"/>
              <w:rPr>
                <w:sz w:val="20"/>
              </w:rPr>
            </w:pPr>
            <w:r>
              <w:rPr>
                <w:sz w:val="20"/>
              </w:rPr>
              <w:t>To (m)</w:t>
            </w: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blPrEx>
          <w:tblLook w:val="01E0" w:firstRow="1" w:lastRow="1" w:firstColumn="1" w:lastColumn="1" w:noHBand="0" w:noVBand="0"/>
        </w:tblPrEx>
        <w:tc>
          <w:tcPr>
            <w:tcW w:w="6662" w:type="dxa"/>
            <w:gridSpan w:val="17"/>
            <w:vAlign w:val="center"/>
          </w:tcPr>
          <w:p>
            <w:pPr>
              <w:pStyle w:val="yTableNAm"/>
              <w:spacing w:before="60"/>
              <w:jc w:val="center"/>
              <w:rPr>
                <w:b/>
                <w:sz w:val="20"/>
              </w:rPr>
            </w:pPr>
            <w:r>
              <w:rPr>
                <w:b/>
                <w:bCs/>
                <w:sz w:val="20"/>
              </w:rPr>
              <w:t>Screens</w:t>
            </w:r>
            <w:r>
              <w:rPr>
                <w:b/>
                <w:sz w:val="20"/>
              </w:rPr>
              <w:t>/slots</w:t>
            </w:r>
          </w:p>
        </w:tc>
      </w:tr>
      <w:tr>
        <w:tblPrEx>
          <w:tblLook w:val="01E0" w:firstRow="1" w:lastRow="1" w:firstColumn="1" w:lastColumn="1" w:noHBand="0" w:noVBand="0"/>
        </w:tblPrEx>
        <w:trPr>
          <w:trHeight w:val="430"/>
        </w:trPr>
        <w:tc>
          <w:tcPr>
            <w:tcW w:w="1417" w:type="dxa"/>
            <w:gridSpan w:val="4"/>
          </w:tcPr>
          <w:p>
            <w:pPr>
              <w:pStyle w:val="yTableNAm"/>
              <w:rPr>
                <w:sz w:val="20"/>
              </w:rPr>
            </w:pPr>
            <w:r>
              <w:rPr>
                <w:sz w:val="20"/>
              </w:rPr>
              <w:t>Screens/slot</w:t>
            </w:r>
            <w:r>
              <w:rPr>
                <w:sz w:val="20"/>
              </w:rPr>
              <w:br/>
              <w:t>(Type)</w:t>
            </w:r>
          </w:p>
        </w:tc>
        <w:tc>
          <w:tcPr>
            <w:tcW w:w="1134" w:type="dxa"/>
            <w:gridSpan w:val="3"/>
          </w:tcPr>
          <w:p>
            <w:pPr>
              <w:pStyle w:val="yTableNAm"/>
              <w:rPr>
                <w:sz w:val="20"/>
              </w:rPr>
            </w:pPr>
            <w:r>
              <w:rPr>
                <w:sz w:val="20"/>
              </w:rPr>
              <w:t>Diameter O.D (mm)</w:t>
            </w:r>
          </w:p>
        </w:tc>
        <w:tc>
          <w:tcPr>
            <w:tcW w:w="1418" w:type="dxa"/>
            <w:gridSpan w:val="5"/>
          </w:tcPr>
          <w:p>
            <w:pPr>
              <w:pStyle w:val="yTableNAm"/>
              <w:rPr>
                <w:sz w:val="20"/>
              </w:rPr>
            </w:pPr>
            <w:r>
              <w:rPr>
                <w:sz w:val="20"/>
              </w:rPr>
              <w:t>Aperture</w:t>
            </w:r>
            <w:r>
              <w:rPr>
                <w:sz w:val="20"/>
              </w:rPr>
              <w:br/>
              <w:t>(mm)</w:t>
            </w:r>
          </w:p>
        </w:tc>
        <w:tc>
          <w:tcPr>
            <w:tcW w:w="1275" w:type="dxa"/>
            <w:gridSpan w:val="3"/>
          </w:tcPr>
          <w:p>
            <w:pPr>
              <w:pStyle w:val="yTableNAm"/>
              <w:rPr>
                <w:sz w:val="20"/>
              </w:rPr>
            </w:pPr>
            <w:r>
              <w:rPr>
                <w:sz w:val="20"/>
              </w:rPr>
              <w:t>Top of screen (m)</w:t>
            </w:r>
          </w:p>
        </w:tc>
        <w:tc>
          <w:tcPr>
            <w:tcW w:w="1418" w:type="dxa"/>
            <w:gridSpan w:val="2"/>
          </w:tcPr>
          <w:p>
            <w:pPr>
              <w:pStyle w:val="yTableNAm"/>
              <w:rPr>
                <w:sz w:val="20"/>
              </w:rPr>
            </w:pPr>
            <w:r>
              <w:rPr>
                <w:sz w:val="20"/>
              </w:rPr>
              <w:t>Bottom of screen (m)</w:t>
            </w: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Gravel pack details</w:t>
            </w:r>
          </w:p>
        </w:tc>
      </w:tr>
      <w:tr>
        <w:trPr>
          <w:cantSplit/>
          <w:trHeight w:val="375"/>
        </w:trPr>
        <w:tc>
          <w:tcPr>
            <w:tcW w:w="2551" w:type="dxa"/>
            <w:vMerge w:val="restart"/>
          </w:tcPr>
          <w:p>
            <w:pPr>
              <w:pStyle w:val="yTableNAm"/>
              <w:spacing w:before="60"/>
              <w:rPr>
                <w:sz w:val="20"/>
              </w:rPr>
            </w:pPr>
            <w:r>
              <w:rPr>
                <w:sz w:val="20"/>
              </w:rPr>
              <w:t>Gravel size (mm)</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vMerge/>
          </w:tcPr>
          <w:p>
            <w:pPr>
              <w:pStyle w:val="yTableNAm"/>
              <w:spacing w:before="60"/>
              <w:rPr>
                <w:sz w:val="20"/>
              </w:rPr>
            </w:pPr>
          </w:p>
        </w:tc>
        <w:tc>
          <w:tcPr>
            <w:tcW w:w="1418" w:type="dxa"/>
          </w:tcPr>
          <w:p>
            <w:pPr>
              <w:pStyle w:val="yTableNAm"/>
              <w:spacing w:before="60"/>
              <w:rPr>
                <w:sz w:val="20"/>
              </w:rPr>
            </w:pPr>
          </w:p>
        </w:tc>
        <w:tc>
          <w:tcPr>
            <w:tcW w:w="2693" w:type="dxa"/>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Annular fill</w:t>
            </w:r>
          </w:p>
        </w:tc>
      </w:tr>
      <w:tr>
        <w:trPr>
          <w:cantSplit/>
          <w:trHeight w:val="375"/>
        </w:trPr>
        <w:tc>
          <w:tcPr>
            <w:tcW w:w="2551" w:type="dxa"/>
          </w:tcPr>
          <w:p>
            <w:pPr>
              <w:pStyle w:val="yTableNAm"/>
              <w:spacing w:before="60"/>
              <w:rPr>
                <w:sz w:val="20"/>
              </w:rPr>
            </w:pPr>
            <w:r>
              <w:rPr>
                <w:sz w:val="20"/>
              </w:rPr>
              <w:t>Material Type</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173"/>
        <w:gridCol w:w="2221"/>
      </w:tblGrid>
      <w:tr>
        <w:trPr>
          <w:cantSplit/>
          <w:trHeight w:val="93"/>
        </w:trPr>
        <w:tc>
          <w:tcPr>
            <w:tcW w:w="6662" w:type="dxa"/>
            <w:gridSpan w:val="3"/>
            <w:tcBorders>
              <w:bottom w:val="single" w:sz="4" w:space="0" w:color="auto"/>
            </w:tcBorders>
          </w:tcPr>
          <w:p>
            <w:pPr>
              <w:pStyle w:val="yTableNAm"/>
              <w:spacing w:before="60"/>
              <w:jc w:val="center"/>
              <w:rPr>
                <w:b/>
                <w:bCs/>
                <w:sz w:val="20"/>
              </w:rPr>
            </w:pPr>
            <w:r>
              <w:rPr>
                <w:b/>
                <w:bCs/>
                <w:sz w:val="20"/>
              </w:rPr>
              <w:t>Cementing detail</w:t>
            </w:r>
          </w:p>
        </w:tc>
      </w:tr>
      <w:tr>
        <w:trPr>
          <w:cantSplit/>
          <w:trHeight w:val="93"/>
        </w:trPr>
        <w:tc>
          <w:tcPr>
            <w:tcW w:w="6662" w:type="dxa"/>
            <w:gridSpan w:val="3"/>
            <w:tcBorders>
              <w:left w:val="nil"/>
              <w:right w:val="nil"/>
            </w:tcBorders>
          </w:tcPr>
          <w:p>
            <w:pPr>
              <w:pStyle w:val="yTableNAm"/>
              <w:tabs>
                <w:tab w:val="clear" w:pos="567"/>
              </w:tabs>
              <w:spacing w:before="60"/>
              <w:jc w:val="center"/>
              <w:rPr>
                <w:bCs/>
                <w:iCs/>
                <w:sz w:val="20"/>
              </w:rPr>
            </w:pPr>
            <w:r>
              <w:rPr>
                <w:sz w:val="20"/>
              </w:rPr>
              <w:sym w:font="Wingdings 2" w:char="F0A3"/>
            </w:r>
            <w:r>
              <w:rPr>
                <w:iCs/>
                <w:sz w:val="20"/>
                <w:szCs w:val="18"/>
              </w:rPr>
              <w:t xml:space="preserve"> Pressure cement grouted</w:t>
            </w:r>
            <w:r>
              <w:rPr>
                <w:iCs/>
                <w:sz w:val="20"/>
                <w:szCs w:val="18"/>
              </w:rPr>
              <w:tab/>
            </w:r>
            <w:r>
              <w:rPr>
                <w:sz w:val="20"/>
              </w:rPr>
              <w:sym w:font="Wingdings 2" w:char="F0A3"/>
            </w:r>
            <w:r>
              <w:rPr>
                <w:sz w:val="20"/>
              </w:rPr>
              <w:t xml:space="preserve"> </w:t>
            </w:r>
            <w:r>
              <w:rPr>
                <w:iCs/>
                <w:sz w:val="20"/>
                <w:szCs w:val="18"/>
              </w:rPr>
              <w:t>Tremmie</w:t>
            </w:r>
          </w:p>
        </w:tc>
      </w:tr>
      <w:tr>
        <w:trPr>
          <w:cantSplit/>
          <w:trHeight w:val="93"/>
        </w:trPr>
        <w:tc>
          <w:tcPr>
            <w:tcW w:w="2268" w:type="dxa"/>
            <w:vMerge w:val="restart"/>
          </w:tcPr>
          <w:p>
            <w:pPr>
              <w:pStyle w:val="yTableNAm"/>
              <w:spacing w:before="60"/>
              <w:rPr>
                <w:bCs/>
                <w:sz w:val="20"/>
              </w:rPr>
            </w:pPr>
            <w:r>
              <w:rPr>
                <w:bCs/>
                <w:sz w:val="20"/>
              </w:rPr>
              <w:t>Casing diameter</w:t>
            </w:r>
            <w:r>
              <w:rPr>
                <w:bCs/>
                <w:sz w:val="20"/>
              </w:rPr>
              <w:br/>
              <w:t>(mm O.D)</w:t>
            </w:r>
          </w:p>
        </w:tc>
        <w:tc>
          <w:tcPr>
            <w:tcW w:w="4394" w:type="dxa"/>
            <w:gridSpan w:val="2"/>
          </w:tcPr>
          <w:p>
            <w:pPr>
              <w:pStyle w:val="yTableNAm"/>
              <w:tabs>
                <w:tab w:val="clear" w:pos="567"/>
                <w:tab w:val="left" w:pos="1758"/>
              </w:tabs>
              <w:spacing w:before="60"/>
              <w:jc w:val="center"/>
              <w:rPr>
                <w:bCs/>
                <w:sz w:val="20"/>
              </w:rPr>
            </w:pPr>
            <w:r>
              <w:rPr>
                <w:bCs/>
                <w:sz w:val="20"/>
              </w:rPr>
              <w:t>Depth</w:t>
            </w:r>
          </w:p>
        </w:tc>
      </w:tr>
      <w:tr>
        <w:trPr>
          <w:cantSplit/>
          <w:trHeight w:val="93"/>
        </w:trPr>
        <w:tc>
          <w:tcPr>
            <w:tcW w:w="2268" w:type="dxa"/>
            <w:vMerge/>
          </w:tcPr>
          <w:p>
            <w:pPr>
              <w:pStyle w:val="yTableNAm"/>
              <w:spacing w:before="60"/>
              <w:rPr>
                <w:bCs/>
                <w:sz w:val="20"/>
              </w:rPr>
            </w:pPr>
          </w:p>
        </w:tc>
        <w:tc>
          <w:tcPr>
            <w:tcW w:w="2173" w:type="dxa"/>
          </w:tcPr>
          <w:p>
            <w:pPr>
              <w:pStyle w:val="yTableNAm"/>
              <w:spacing w:before="60"/>
              <w:rPr>
                <w:bCs/>
                <w:sz w:val="20"/>
              </w:rPr>
            </w:pPr>
            <w:r>
              <w:rPr>
                <w:bCs/>
                <w:sz w:val="20"/>
              </w:rPr>
              <w:t>From (m)</w:t>
            </w:r>
          </w:p>
        </w:tc>
        <w:tc>
          <w:tcPr>
            <w:tcW w:w="2221" w:type="dxa"/>
          </w:tcPr>
          <w:p>
            <w:pPr>
              <w:pStyle w:val="yTableNAm"/>
              <w:spacing w:before="60"/>
              <w:rPr>
                <w:bCs/>
                <w:sz w:val="20"/>
              </w:rPr>
            </w:pPr>
            <w:r>
              <w:rPr>
                <w:bCs/>
                <w:sz w:val="20"/>
              </w:rPr>
              <w:t>To (m)</w:t>
            </w: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bl>
    <w:p>
      <w:pPr>
        <w:pStyle w:val="yMiscellaneousBody"/>
        <w:spacing w:before="40"/>
      </w:pPr>
    </w:p>
    <w:tbl>
      <w:tblPr>
        <w:tblW w:w="6629" w:type="dxa"/>
        <w:tblInd w:w="567" w:type="dxa"/>
        <w:tblLook w:val="0000" w:firstRow="0" w:lastRow="0" w:firstColumn="0" w:lastColumn="0" w:noHBand="0" w:noVBand="0"/>
      </w:tblPr>
      <w:tblGrid>
        <w:gridCol w:w="1101"/>
        <w:gridCol w:w="1042"/>
        <w:gridCol w:w="1226"/>
        <w:gridCol w:w="992"/>
        <w:gridCol w:w="1276"/>
        <w:gridCol w:w="992"/>
      </w:tblGrid>
      <w:tr>
        <w:tc>
          <w:tcPr>
            <w:tcW w:w="1101" w:type="dxa"/>
            <w:tcBorders>
              <w:right w:val="single" w:sz="4" w:space="0" w:color="auto"/>
            </w:tcBorders>
          </w:tcPr>
          <w:p>
            <w:pPr>
              <w:pStyle w:val="yTableNAm"/>
              <w:spacing w:before="60"/>
              <w:rPr>
                <w:sz w:val="20"/>
              </w:rPr>
            </w:pPr>
            <w:r>
              <w:rPr>
                <w:sz w:val="20"/>
              </w:rPr>
              <w:t>Total depth drilled (from ground level)</w:t>
            </w:r>
          </w:p>
        </w:tc>
        <w:tc>
          <w:tcPr>
            <w:tcW w:w="104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26" w:type="dxa"/>
            <w:tcBorders>
              <w:left w:val="single" w:sz="4" w:space="0" w:color="auto"/>
              <w:right w:val="single" w:sz="4" w:space="0" w:color="auto"/>
            </w:tcBorders>
          </w:tcPr>
          <w:p>
            <w:pPr>
              <w:pStyle w:val="yTableNAm"/>
              <w:spacing w:before="60"/>
              <w:rPr>
                <w:sz w:val="20"/>
              </w:rPr>
            </w:pPr>
            <w:r>
              <w:rPr>
                <w:sz w:val="20"/>
              </w:rPr>
              <w:t>Geophysical log required as condition of licence?</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c>
          <w:tcPr>
            <w:tcW w:w="1276" w:type="dxa"/>
            <w:tcBorders>
              <w:left w:val="single" w:sz="4" w:space="0" w:color="auto"/>
              <w:right w:val="single" w:sz="4" w:space="0" w:color="auto"/>
            </w:tcBorders>
            <w:vAlign w:val="center"/>
          </w:tcPr>
          <w:p>
            <w:pPr>
              <w:pStyle w:val="yTableNAm"/>
              <w:spacing w:before="60"/>
              <w:rPr>
                <w:sz w:val="20"/>
              </w:rPr>
            </w:pPr>
            <w:r>
              <w:rPr>
                <w:sz w:val="20"/>
              </w:rPr>
              <w:t>Geophysical log taken? (If so, attach log and contractor details)</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r>
    </w:tbl>
    <w:p>
      <w:pPr>
        <w:pStyle w:val="yMiscellaneousBody"/>
        <w:spacing w:before="40"/>
        <w:rPr>
          <w:sz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5245"/>
      </w:tblGrid>
      <w:tr>
        <w:trPr>
          <w:trHeight w:val="225"/>
        </w:trPr>
        <w:tc>
          <w:tcPr>
            <w:tcW w:w="675" w:type="dxa"/>
          </w:tcPr>
          <w:p>
            <w:pPr>
              <w:pStyle w:val="yTableNAm"/>
              <w:spacing w:before="60"/>
              <w:rPr>
                <w:sz w:val="20"/>
              </w:rPr>
            </w:pPr>
            <w:r>
              <w:rPr>
                <w:sz w:val="20"/>
              </w:rPr>
              <w:t>From (m)</w:t>
            </w:r>
          </w:p>
        </w:tc>
        <w:tc>
          <w:tcPr>
            <w:tcW w:w="709" w:type="dxa"/>
          </w:tcPr>
          <w:p>
            <w:pPr>
              <w:pStyle w:val="yTableNAm"/>
              <w:spacing w:before="60"/>
              <w:rPr>
                <w:sz w:val="20"/>
              </w:rPr>
            </w:pPr>
            <w:r>
              <w:rPr>
                <w:sz w:val="20"/>
              </w:rPr>
              <w:t>To (m)</w:t>
            </w:r>
          </w:p>
        </w:tc>
        <w:tc>
          <w:tcPr>
            <w:tcW w:w="5245" w:type="dxa"/>
          </w:tcPr>
          <w:p>
            <w:pPr>
              <w:pStyle w:val="yTableNAm"/>
              <w:spacing w:before="60"/>
              <w:rPr>
                <w:sz w:val="20"/>
              </w:rPr>
            </w:pPr>
            <w:r>
              <w:rPr>
                <w:sz w:val="20"/>
              </w:rPr>
              <w:t>Strata description.*</w:t>
            </w: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Borders>
              <w:bottom w:val="single" w:sz="4" w:space="0" w:color="auto"/>
            </w:tcBorders>
          </w:tcPr>
          <w:p>
            <w:pPr>
              <w:pStyle w:val="yTableNAm"/>
              <w:spacing w:before="60"/>
              <w:rPr>
                <w:sz w:val="20"/>
              </w:rPr>
            </w:pPr>
          </w:p>
        </w:tc>
        <w:tc>
          <w:tcPr>
            <w:tcW w:w="709" w:type="dxa"/>
            <w:tcBorders>
              <w:bottom w:val="single" w:sz="4" w:space="0" w:color="auto"/>
            </w:tcBorders>
          </w:tcPr>
          <w:p>
            <w:pPr>
              <w:pStyle w:val="yTableNAm"/>
              <w:spacing w:before="60"/>
              <w:rPr>
                <w:sz w:val="20"/>
              </w:rPr>
            </w:pPr>
          </w:p>
        </w:tc>
        <w:tc>
          <w:tcPr>
            <w:tcW w:w="5245" w:type="dxa"/>
            <w:tcBorders>
              <w:bottom w:val="single" w:sz="4" w:space="0" w:color="auto"/>
            </w:tcBorders>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142"/>
        <w:gridCol w:w="1701"/>
        <w:gridCol w:w="1985"/>
        <w:gridCol w:w="1559"/>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5: Particulars of well</w:t>
            </w: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Well name / number</w:t>
            </w:r>
          </w:p>
        </w:tc>
        <w:tc>
          <w:tcPr>
            <w:tcW w:w="5245" w:type="dxa"/>
            <w:gridSpan w:val="3"/>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Times" w:hAnsi="Times"/>
                <w:bCs/>
                <w:sz w:val="20"/>
                <w:vertAlign w:val="superscript"/>
              </w:rPr>
            </w:pPr>
            <w:r>
              <w:rPr>
                <w:bCs/>
                <w:sz w:val="20"/>
              </w:rPr>
              <w:t>Drilling start</w:t>
            </w:r>
            <w:r>
              <w:rPr>
                <w:bCs/>
                <w:sz w:val="20"/>
                <w:vertAlign w:val="superscript"/>
              </w:rPr>
              <w:t>1</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60"/>
              <w:rPr>
                <w:rFonts w:ascii="Times" w:hAnsi="Times"/>
                <w:bCs/>
                <w:sz w:val="20"/>
                <w:vertAlign w:val="superscript"/>
              </w:rPr>
            </w:pPr>
            <w:r>
              <w:rPr>
                <w:bCs/>
                <w:sz w:val="20"/>
              </w:rPr>
              <w:t>Drilling completion</w:t>
            </w:r>
            <w:r>
              <w:rPr>
                <w:bCs/>
                <w:sz w:val="20"/>
                <w:vertAlign w:val="superscript"/>
              </w:rPr>
              <w:t>2</w:t>
            </w:r>
          </w:p>
        </w:tc>
        <w:tc>
          <w:tcPr>
            <w:tcW w:w="1559"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3118" w:type="dxa"/>
            <w:gridSpan w:val="3"/>
            <w:tcBorders>
              <w:top w:val="single" w:sz="4" w:space="0" w:color="auto"/>
              <w:left w:val="nil"/>
              <w:bottom w:val="single" w:sz="4" w:space="0" w:color="auto"/>
              <w:right w:val="nil"/>
            </w:tcBorders>
          </w:tcPr>
          <w:p>
            <w:pPr>
              <w:pStyle w:val="yTableNAm"/>
              <w:tabs>
                <w:tab w:val="clear" w:pos="567"/>
                <w:tab w:val="left" w:pos="306"/>
              </w:tabs>
              <w:spacing w:before="60"/>
              <w:ind w:left="306" w:hanging="327"/>
              <w:rPr>
                <w:sz w:val="14"/>
              </w:rPr>
            </w:pPr>
            <w:r>
              <w:rPr>
                <w:rFonts w:ascii="Arial" w:hAnsi="Arial" w:cs="Arial"/>
                <w:bCs/>
                <w:sz w:val="14"/>
              </w:rPr>
              <w:t>1.</w:t>
            </w:r>
            <w:r>
              <w:rPr>
                <w:rFonts w:ascii="Arial" w:hAnsi="Arial" w:cs="Arial"/>
                <w:bCs/>
                <w:sz w:val="14"/>
              </w:rPr>
              <w:tab/>
              <w:t>Drilling start date refers to the date drilling begins. Do not include set up date.</w:t>
            </w:r>
          </w:p>
        </w:tc>
        <w:tc>
          <w:tcPr>
            <w:tcW w:w="3544" w:type="dxa"/>
            <w:gridSpan w:val="2"/>
            <w:tcBorders>
              <w:top w:val="single" w:sz="4" w:space="0" w:color="auto"/>
              <w:left w:val="nil"/>
              <w:bottom w:val="single" w:sz="4" w:space="0" w:color="auto"/>
              <w:right w:val="nil"/>
            </w:tcBorders>
          </w:tcPr>
          <w:p>
            <w:pPr>
              <w:pStyle w:val="yTableNAm"/>
              <w:tabs>
                <w:tab w:val="clear" w:pos="567"/>
                <w:tab w:val="left" w:pos="308"/>
              </w:tabs>
              <w:spacing w:before="60"/>
              <w:ind w:left="308" w:hanging="308"/>
              <w:rPr>
                <w:sz w:val="14"/>
              </w:rPr>
            </w:pPr>
            <w:r>
              <w:rPr>
                <w:rFonts w:ascii="Arial" w:hAnsi="Arial" w:cs="Arial"/>
                <w:bCs/>
                <w:sz w:val="14"/>
              </w:rPr>
              <w:t>2.</w:t>
            </w:r>
            <w:r>
              <w:rPr>
                <w:rFonts w:ascii="Arial" w:hAnsi="Arial" w:cs="Arial"/>
                <w:bCs/>
                <w:sz w:val="14"/>
              </w:rPr>
              <w:tab/>
              <w:t>Drilling completion date includes well development and testing.</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Drilling method used</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Rotary air</w:t>
            </w:r>
            <w:r>
              <w:rPr>
                <w:sz w:val="20"/>
              </w:rPr>
              <w:tab/>
            </w:r>
            <w:r>
              <w:rPr>
                <w:sz w:val="20"/>
              </w:rPr>
              <w:sym w:font="Wingdings 2" w:char="F0A3"/>
            </w:r>
            <w:r>
              <w:rPr>
                <w:sz w:val="20"/>
              </w:rPr>
              <w:t xml:space="preserve"> Cable tool</w:t>
            </w:r>
            <w:r>
              <w:rPr>
                <w:sz w:val="20"/>
              </w:rPr>
              <w:tab/>
            </w:r>
            <w:r>
              <w:rPr>
                <w:sz w:val="20"/>
              </w:rPr>
              <w:sym w:font="Wingdings 2" w:char="F0A3"/>
            </w:r>
            <w:r>
              <w:rPr>
                <w:sz w:val="20"/>
              </w:rPr>
              <w:t xml:space="preserve"> Auger</w:t>
            </w:r>
            <w:r>
              <w:rPr>
                <w:sz w:val="20"/>
              </w:rPr>
              <w:tab/>
            </w:r>
            <w:r>
              <w:rPr>
                <w:sz w:val="20"/>
              </w:rPr>
              <w:sym w:font="Wingdings 2" w:char="F0A3"/>
            </w:r>
            <w:r>
              <w:rPr>
                <w:sz w:val="20"/>
              </w:rPr>
              <w:t xml:space="preserve"> Rotary mud</w:t>
            </w:r>
          </w:p>
          <w:p>
            <w:pPr>
              <w:pStyle w:val="yTableNAm"/>
              <w:spacing w:before="60"/>
              <w:rPr>
                <w:b/>
                <w:sz w:val="20"/>
              </w:rPr>
            </w:pPr>
            <w:r>
              <w:rPr>
                <w:sz w:val="20"/>
              </w:rPr>
              <w:sym w:font="Wingdings 2" w:char="F0A3"/>
            </w:r>
            <w:r>
              <w:rPr>
                <w:sz w:val="20"/>
              </w:rPr>
              <w:t xml:space="preserve"> Sludge</w:t>
            </w:r>
            <w:r>
              <w:rPr>
                <w:sz w:val="20"/>
              </w:rPr>
              <w:tab/>
            </w:r>
            <w:r>
              <w:rPr>
                <w:sz w:val="20"/>
              </w:rPr>
              <w:sym w:font="Wingdings 2" w:char="F0A3"/>
            </w:r>
            <w:r>
              <w:rPr>
                <w:sz w:val="20"/>
              </w:rPr>
              <w:t xml:space="preserve"> Other (</w:t>
            </w:r>
            <w:r>
              <w:rPr>
                <w:sz w:val="16"/>
              </w:rPr>
              <w:t>specify</w:t>
            </w:r>
            <w:r>
              <w:rPr>
                <w:sz w:val="20"/>
              </w:rPr>
              <w:t>) 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Final status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Ready to operate</w:t>
            </w:r>
            <w:r>
              <w:rPr>
                <w:sz w:val="20"/>
              </w:rPr>
              <w:tab/>
            </w:r>
            <w:r>
              <w:rPr>
                <w:sz w:val="20"/>
              </w:rPr>
              <w:sym w:font="Wingdings 2" w:char="F0A3"/>
            </w:r>
            <w:r>
              <w:rPr>
                <w:sz w:val="20"/>
              </w:rPr>
              <w:t xml:space="preserve"> Decommissioned</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Purpose (use)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tabs>
                <w:tab w:val="left" w:pos="1671"/>
              </w:tabs>
              <w:spacing w:before="60"/>
              <w:rPr>
                <w:sz w:val="20"/>
              </w:rPr>
            </w:pPr>
            <w:r>
              <w:rPr>
                <w:sz w:val="20"/>
              </w:rPr>
              <w:sym w:font="Wingdings 2" w:char="F0A3"/>
            </w:r>
            <w:r>
              <w:rPr>
                <w:sz w:val="20"/>
              </w:rPr>
              <w:t xml:space="preserve"> Production</w:t>
            </w:r>
            <w:r>
              <w:rPr>
                <w:sz w:val="20"/>
              </w:rPr>
              <w:tab/>
            </w:r>
            <w:r>
              <w:rPr>
                <w:sz w:val="20"/>
              </w:rPr>
              <w:sym w:font="Wingdings 2" w:char="F0A3"/>
            </w:r>
            <w:r>
              <w:rPr>
                <w:sz w:val="20"/>
              </w:rPr>
              <w:t xml:space="preserve"> Investigation</w:t>
            </w:r>
            <w:r>
              <w:rPr>
                <w:sz w:val="20"/>
              </w:rPr>
              <w:tab/>
            </w:r>
            <w:r>
              <w:rPr>
                <w:sz w:val="20"/>
              </w:rPr>
              <w:sym w:font="Wingdings 2" w:char="F0A3"/>
            </w:r>
            <w:r>
              <w:rPr>
                <w:sz w:val="20"/>
              </w:rPr>
              <w:t xml:space="preserve"> Monitoring</w:t>
            </w:r>
          </w:p>
          <w:p>
            <w:pPr>
              <w:pStyle w:val="yTableNAm"/>
              <w:spacing w:before="60"/>
              <w:rPr>
                <w:b/>
                <w:bCs/>
                <w:sz w:val="20"/>
              </w:rPr>
            </w:pPr>
            <w:r>
              <w:rPr>
                <w:sz w:val="20"/>
              </w:rPr>
              <w:sym w:font="Wingdings 2" w:char="F0A3"/>
            </w:r>
            <w:r>
              <w:rPr>
                <w:sz w:val="20"/>
              </w:rPr>
              <w:t xml:space="preserve"> Other (</w:t>
            </w:r>
            <w:r>
              <w:rPr>
                <w:sz w:val="16"/>
              </w:rPr>
              <w:t>specify</w:t>
            </w:r>
            <w:r>
              <w:rPr>
                <w:sz w:val="20"/>
              </w:rPr>
              <w:t>) __________________________________</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914"/>
        <w:gridCol w:w="71"/>
        <w:gridCol w:w="1594"/>
        <w:gridCol w:w="1666"/>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6: Well development</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Date</w:t>
            </w:r>
            <w:r>
              <w:rPr>
                <w:bCs/>
                <w:sz w:val="20"/>
              </w:rPr>
              <w:br/>
              <w:t>(dd/mm/yy)</w:t>
            </w:r>
          </w:p>
        </w:tc>
        <w:tc>
          <w:tcPr>
            <w:tcW w:w="1914"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665"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Duration of development</w:t>
            </w:r>
          </w:p>
        </w:tc>
        <w:tc>
          <w:tcPr>
            <w:tcW w:w="1666" w:type="dxa"/>
            <w:tcBorders>
              <w:top w:val="single" w:sz="4" w:space="0" w:color="auto"/>
              <w:left w:val="single" w:sz="4" w:space="0" w:color="auto"/>
              <w:bottom w:val="single" w:sz="4" w:space="0" w:color="auto"/>
              <w:right w:val="single" w:sz="4" w:space="0" w:color="auto"/>
            </w:tcBorders>
            <w:vAlign w:val="bottom"/>
          </w:tcPr>
          <w:p>
            <w:pPr>
              <w:pStyle w:val="yTableNAm"/>
              <w:spacing w:before="60"/>
              <w:rPr>
                <w:bCs/>
                <w:sz w:val="20"/>
              </w:rPr>
            </w:pPr>
            <w:r>
              <w:rPr>
                <w:bCs/>
                <w:sz w:val="20"/>
              </w:rPr>
              <w:t>................ hours</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bCs/>
                <w:sz w:val="20"/>
              </w:rPr>
              <w:t>Method</w:t>
            </w:r>
          </w:p>
        </w:tc>
        <w:tc>
          <w:tcPr>
            <w:tcW w:w="5245"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sz w:val="20"/>
              </w:rPr>
              <w:sym w:font="Wingdings 2" w:char="F0A3"/>
            </w:r>
            <w:r>
              <w:rPr>
                <w:bCs/>
                <w:sz w:val="20"/>
              </w:rPr>
              <w:t xml:space="preserve"> Airlift</w:t>
            </w:r>
            <w:r>
              <w:rPr>
                <w:bCs/>
                <w:sz w:val="20"/>
              </w:rPr>
              <w:tab/>
            </w:r>
            <w:r>
              <w:rPr>
                <w:sz w:val="20"/>
              </w:rPr>
              <w:sym w:font="Wingdings 2" w:char="F0A3"/>
            </w:r>
            <w:r>
              <w:rPr>
                <w:sz w:val="20"/>
              </w:rPr>
              <w:t xml:space="preserve"> </w:t>
            </w:r>
            <w:r>
              <w:rPr>
                <w:bCs/>
                <w:sz w:val="20"/>
              </w:rPr>
              <w:t>Pump</w:t>
            </w:r>
            <w:r>
              <w:rPr>
                <w:bCs/>
                <w:sz w:val="20"/>
              </w:rPr>
              <w:tab/>
            </w:r>
            <w:r>
              <w:rPr>
                <w:sz w:val="20"/>
              </w:rPr>
              <w:sym w:font="Wingdings 2" w:char="F0A3"/>
            </w:r>
            <w:r>
              <w:rPr>
                <w:sz w:val="20"/>
              </w:rPr>
              <w:t xml:space="preserve"> </w:t>
            </w:r>
            <w:r>
              <w:rPr>
                <w:bCs/>
                <w:sz w:val="20"/>
              </w:rPr>
              <w:t>Jetting</w:t>
            </w:r>
            <w:r>
              <w:rPr>
                <w:bCs/>
                <w:sz w:val="20"/>
              </w:rPr>
              <w:tab/>
            </w:r>
            <w:r>
              <w:rPr>
                <w:sz w:val="20"/>
              </w:rPr>
              <w:sym w:font="Wingdings 2" w:char="F0A3"/>
            </w:r>
            <w:r>
              <w:rPr>
                <w:sz w:val="20"/>
              </w:rPr>
              <w:t xml:space="preserve"> </w:t>
            </w:r>
            <w:r>
              <w:rPr>
                <w:bCs/>
                <w:sz w:val="20"/>
              </w:rPr>
              <w:t>Surging</w:t>
            </w:r>
          </w:p>
        </w:tc>
      </w:tr>
      <w:tr>
        <w:trPr>
          <w:cantSplit/>
          <w:trHeight w:val="375"/>
        </w:trPr>
        <w:tc>
          <w:tcPr>
            <w:tcW w:w="3402" w:type="dxa"/>
            <w:gridSpan w:val="3"/>
            <w:tcBorders>
              <w:top w:val="single" w:sz="4" w:space="0" w:color="auto"/>
              <w:left w:val="single" w:sz="4" w:space="0" w:color="auto"/>
              <w:bottom w:val="single" w:sz="4" w:space="0" w:color="auto"/>
              <w:right w:val="single" w:sz="4" w:space="0" w:color="auto"/>
            </w:tcBorders>
          </w:tcPr>
          <w:p>
            <w:pPr>
              <w:pStyle w:val="yTableNAm"/>
              <w:spacing w:before="60"/>
              <w:jc w:val="right"/>
              <w:rPr>
                <w:bCs/>
                <w:sz w:val="20"/>
              </w:rPr>
            </w:pPr>
            <w:r>
              <w:rPr>
                <w:bCs/>
                <w:sz w:val="20"/>
              </w:rPr>
              <w:t>Development pump rate</w:t>
            </w:r>
            <w:r>
              <w:rPr>
                <w:bCs/>
                <w:sz w:val="20"/>
              </w:rPr>
              <w:br/>
            </w:r>
            <w:r>
              <w:rPr>
                <w:bCs/>
                <w:sz w:val="16"/>
              </w:rPr>
              <w:t xml:space="preserve">(e.g. L/s, </w:t>
            </w:r>
            <w:r>
              <w:rPr>
                <w:sz w:val="16"/>
              </w:rPr>
              <w:t>m</w:t>
            </w:r>
            <w:r>
              <w:rPr>
                <w:sz w:val="16"/>
                <w:vertAlign w:val="superscript"/>
              </w:rPr>
              <w:t>3</w:t>
            </w:r>
            <w:r>
              <w:rPr>
                <w:sz w:val="16"/>
              </w:rPr>
              <w:t>/day</w:t>
            </w:r>
            <w:r>
              <w:rPr>
                <w:bCs/>
                <w:sz w:val="16"/>
              </w:rPr>
              <w:t>)</w:t>
            </w:r>
          </w:p>
        </w:tc>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90"/>
        <w:gridCol w:w="555"/>
        <w:gridCol w:w="189"/>
        <w:gridCol w:w="922"/>
        <w:gridCol w:w="71"/>
        <w:gridCol w:w="1039"/>
        <w:gridCol w:w="555"/>
        <w:gridCol w:w="248"/>
        <w:gridCol w:w="142"/>
        <w:gridCol w:w="1276"/>
      </w:tblGrid>
      <w:tr>
        <w:trPr>
          <w:cantSplit/>
          <w:trHeight w:val="375"/>
        </w:trPr>
        <w:tc>
          <w:tcPr>
            <w:tcW w:w="6662" w:type="dxa"/>
            <w:gridSpan w:val="11"/>
          </w:tcPr>
          <w:p>
            <w:pPr>
              <w:pStyle w:val="yTableNAm"/>
              <w:spacing w:before="60"/>
              <w:rPr>
                <w:b/>
                <w:bCs/>
                <w:sz w:val="20"/>
              </w:rPr>
            </w:pPr>
            <w:r>
              <w:rPr>
                <w:b/>
                <w:bCs/>
                <w:sz w:val="20"/>
              </w:rPr>
              <w:t>Part 7: Pump testing (If applicable)</w:t>
            </w:r>
          </w:p>
        </w:tc>
      </w:tr>
      <w:tr>
        <w:trPr>
          <w:cantSplit/>
          <w:trHeight w:val="375"/>
        </w:trPr>
        <w:tc>
          <w:tcPr>
            <w:tcW w:w="1275" w:type="dxa"/>
            <w:tcBorders>
              <w:bottom w:val="single" w:sz="4" w:space="0" w:color="auto"/>
            </w:tcBorders>
          </w:tcPr>
          <w:p>
            <w:pPr>
              <w:pStyle w:val="yTableNAm"/>
              <w:spacing w:before="60"/>
              <w:rPr>
                <w:b/>
                <w:bCs/>
                <w:sz w:val="20"/>
              </w:rPr>
            </w:pPr>
            <w:r>
              <w:rPr>
                <w:sz w:val="20"/>
              </w:rPr>
              <w:t>Date start</w:t>
            </w:r>
            <w:r>
              <w:rPr>
                <w:sz w:val="20"/>
              </w:rPr>
              <w:br/>
            </w:r>
            <w:r>
              <w:rPr>
                <w:sz w:val="16"/>
              </w:rPr>
              <w:t>(dd/mm/yy)</w:t>
            </w:r>
          </w:p>
        </w:tc>
        <w:tc>
          <w:tcPr>
            <w:tcW w:w="945" w:type="dxa"/>
            <w:gridSpan w:val="2"/>
            <w:tcBorders>
              <w:bottom w:val="single" w:sz="4" w:space="0" w:color="auto"/>
            </w:tcBorders>
          </w:tcPr>
          <w:p>
            <w:pPr>
              <w:pStyle w:val="yTableNAm"/>
              <w:spacing w:before="60"/>
              <w:rPr>
                <w:b/>
                <w:bCs/>
                <w:sz w:val="20"/>
              </w:rPr>
            </w:pPr>
          </w:p>
        </w:tc>
        <w:tc>
          <w:tcPr>
            <w:tcW w:w="1182" w:type="dxa"/>
            <w:gridSpan w:val="3"/>
            <w:tcBorders>
              <w:bottom w:val="single" w:sz="4" w:space="0" w:color="auto"/>
            </w:tcBorders>
          </w:tcPr>
          <w:p>
            <w:pPr>
              <w:pStyle w:val="yTableNAm"/>
              <w:spacing w:before="60"/>
              <w:rPr>
                <w:b/>
                <w:bCs/>
                <w:sz w:val="20"/>
              </w:rPr>
            </w:pPr>
            <w:r>
              <w:rPr>
                <w:sz w:val="20"/>
              </w:rPr>
              <w:t>Date end</w:t>
            </w:r>
            <w:r>
              <w:rPr>
                <w:sz w:val="20"/>
              </w:rPr>
              <w:br/>
            </w:r>
            <w:r>
              <w:rPr>
                <w:sz w:val="16"/>
              </w:rPr>
              <w:t>(dd/mm/yy)</w:t>
            </w:r>
          </w:p>
        </w:tc>
        <w:tc>
          <w:tcPr>
            <w:tcW w:w="1039" w:type="dxa"/>
            <w:tcBorders>
              <w:bottom w:val="single" w:sz="4" w:space="0" w:color="auto"/>
            </w:tcBorders>
          </w:tcPr>
          <w:p>
            <w:pPr>
              <w:pStyle w:val="yTableNAm"/>
              <w:spacing w:before="60"/>
              <w:rPr>
                <w:b/>
                <w:bCs/>
                <w:sz w:val="20"/>
              </w:rPr>
            </w:pPr>
          </w:p>
        </w:tc>
        <w:tc>
          <w:tcPr>
            <w:tcW w:w="945" w:type="dxa"/>
            <w:gridSpan w:val="3"/>
            <w:tcBorders>
              <w:bottom w:val="single" w:sz="4" w:space="0" w:color="auto"/>
            </w:tcBorders>
          </w:tcPr>
          <w:p>
            <w:pPr>
              <w:pStyle w:val="yTableNAm"/>
              <w:spacing w:before="60"/>
              <w:rPr>
                <w:b/>
                <w:bCs/>
                <w:sz w:val="20"/>
              </w:rPr>
            </w:pPr>
            <w:r>
              <w:rPr>
                <w:sz w:val="20"/>
              </w:rPr>
              <w:t>Duration of test</w:t>
            </w:r>
          </w:p>
        </w:tc>
        <w:tc>
          <w:tcPr>
            <w:tcW w:w="1276" w:type="dxa"/>
            <w:tcBorders>
              <w:bottom w:val="single" w:sz="4" w:space="0" w:color="auto"/>
            </w:tcBorders>
            <w:vAlign w:val="bottom"/>
          </w:tcPr>
          <w:p>
            <w:pPr>
              <w:pStyle w:val="yTableNAm"/>
              <w:spacing w:before="60"/>
              <w:rPr>
                <w:b/>
                <w:bCs/>
                <w:sz w:val="20"/>
              </w:rPr>
            </w:pPr>
            <w:r>
              <w:rPr>
                <w:sz w:val="20"/>
              </w:rPr>
              <w:t>........... hours</w:t>
            </w:r>
          </w:p>
        </w:tc>
      </w:tr>
      <w:tr>
        <w:trPr>
          <w:cantSplit/>
          <w:trHeight w:val="375"/>
        </w:trPr>
        <w:tc>
          <w:tcPr>
            <w:tcW w:w="6662" w:type="dxa"/>
            <w:gridSpan w:val="11"/>
            <w:tcBorders>
              <w:left w:val="single" w:sz="4" w:space="0" w:color="auto"/>
              <w:right w:val="single" w:sz="4" w:space="0" w:color="auto"/>
            </w:tcBorders>
          </w:tcPr>
          <w:p>
            <w:pPr>
              <w:pStyle w:val="yTableNAm"/>
              <w:spacing w:before="60"/>
              <w:jc w:val="center"/>
              <w:rPr>
                <w:sz w:val="20"/>
              </w:rPr>
            </w:pPr>
            <w:r>
              <w:rPr>
                <w:sz w:val="20"/>
              </w:rPr>
              <w:sym w:font="Wingdings 2" w:char="F0A3"/>
            </w:r>
            <w:r>
              <w:rPr>
                <w:sz w:val="20"/>
              </w:rPr>
              <w:t xml:space="preserve"> Step test        </w:t>
            </w:r>
            <w:r>
              <w:rPr>
                <w:sz w:val="20"/>
              </w:rPr>
              <w:sym w:font="Wingdings 2" w:char="F0A3"/>
            </w:r>
            <w:r>
              <w:rPr>
                <w:sz w:val="20"/>
              </w:rPr>
              <w:t xml:space="preserve"> Constant rate       </w:t>
            </w:r>
            <w:r>
              <w:rPr>
                <w:sz w:val="20"/>
              </w:rPr>
              <w:sym w:font="Wingdings 2" w:char="F0A3"/>
            </w:r>
            <w:r>
              <w:rPr>
                <w:sz w:val="20"/>
              </w:rPr>
              <w:t xml:space="preserve"> Other</w:t>
            </w:r>
          </w:p>
        </w:tc>
      </w:tr>
      <w:tr>
        <w:trPr>
          <w:cantSplit/>
          <w:trHeight w:val="375"/>
        </w:trPr>
        <w:tc>
          <w:tcPr>
            <w:tcW w:w="1665" w:type="dxa"/>
            <w:gridSpan w:val="2"/>
          </w:tcPr>
          <w:p>
            <w:pPr>
              <w:pStyle w:val="yTableNAm"/>
              <w:spacing w:before="60"/>
              <w:rPr>
                <w:sz w:val="20"/>
              </w:rPr>
            </w:pPr>
            <w:r>
              <w:rPr>
                <w:sz w:val="20"/>
              </w:rPr>
              <w:t xml:space="preserve">Constant rate </w:t>
            </w:r>
            <w:r>
              <w:rPr>
                <w:sz w:val="20"/>
              </w:rPr>
              <w:noBreakHyphen/>
              <w:t xml:space="preserve"> Pump rate </w:t>
            </w:r>
            <w:r>
              <w:rPr>
                <w:sz w:val="16"/>
              </w:rPr>
              <w:t>(e.g. m3/day)</w:t>
            </w:r>
          </w:p>
        </w:tc>
        <w:tc>
          <w:tcPr>
            <w:tcW w:w="1666" w:type="dxa"/>
            <w:gridSpan w:val="3"/>
          </w:tcPr>
          <w:p>
            <w:pPr>
              <w:pStyle w:val="yTableNAm"/>
              <w:spacing w:before="60"/>
              <w:rPr>
                <w:sz w:val="20"/>
              </w:rPr>
            </w:pPr>
          </w:p>
        </w:tc>
        <w:tc>
          <w:tcPr>
            <w:tcW w:w="1665" w:type="dxa"/>
            <w:gridSpan w:val="3"/>
          </w:tcPr>
          <w:p>
            <w:pPr>
              <w:pStyle w:val="yTableNAm"/>
              <w:spacing w:before="60"/>
              <w:rPr>
                <w:sz w:val="20"/>
              </w:rPr>
            </w:pPr>
            <w:r>
              <w:rPr>
                <w:sz w:val="20"/>
              </w:rPr>
              <w:t xml:space="preserve">Pump type </w:t>
            </w:r>
            <w:r>
              <w:rPr>
                <w:sz w:val="16"/>
              </w:rPr>
              <w:t>(e.g. submersible)</w:t>
            </w:r>
          </w:p>
        </w:tc>
        <w:tc>
          <w:tcPr>
            <w:tcW w:w="1666" w:type="dxa"/>
            <w:gridSpan w:val="3"/>
          </w:tcPr>
          <w:p>
            <w:pPr>
              <w:pStyle w:val="yTableNAm"/>
              <w:spacing w:before="60"/>
              <w:rPr>
                <w:sz w:val="20"/>
              </w:rPr>
            </w:pPr>
          </w:p>
        </w:tc>
      </w:tr>
      <w:tr>
        <w:trPr>
          <w:cantSplit/>
          <w:trHeight w:val="375"/>
        </w:trPr>
        <w:tc>
          <w:tcPr>
            <w:tcW w:w="3331" w:type="dxa"/>
            <w:gridSpan w:val="5"/>
          </w:tcPr>
          <w:p>
            <w:pPr>
              <w:pStyle w:val="yTableNAm"/>
              <w:spacing w:before="60"/>
              <w:rPr>
                <w:sz w:val="20"/>
              </w:rPr>
            </w:pPr>
          </w:p>
        </w:tc>
        <w:tc>
          <w:tcPr>
            <w:tcW w:w="1665" w:type="dxa"/>
            <w:gridSpan w:val="3"/>
          </w:tcPr>
          <w:p>
            <w:pPr>
              <w:pStyle w:val="yTableNAm"/>
              <w:spacing w:before="60"/>
              <w:rPr>
                <w:sz w:val="20"/>
              </w:rPr>
            </w:pPr>
            <w:r>
              <w:rPr>
                <w:rFonts w:cs="Arial"/>
                <w:sz w:val="20"/>
              </w:rPr>
              <w:t>Water rest level prior to test (m)</w:t>
            </w:r>
          </w:p>
        </w:tc>
        <w:tc>
          <w:tcPr>
            <w:tcW w:w="1666" w:type="dxa"/>
            <w:gridSpan w:val="3"/>
          </w:tcPr>
          <w:p>
            <w:pPr>
              <w:pStyle w:val="yTableNAm"/>
              <w:spacing w:before="60"/>
              <w:rPr>
                <w:sz w:val="20"/>
              </w:rPr>
            </w:pPr>
          </w:p>
        </w:tc>
      </w:tr>
      <w:tr>
        <w:trPr>
          <w:cantSplit/>
          <w:trHeight w:val="375"/>
        </w:trPr>
        <w:tc>
          <w:tcPr>
            <w:tcW w:w="6662" w:type="dxa"/>
            <w:gridSpan w:val="11"/>
          </w:tcPr>
          <w:p>
            <w:pPr>
              <w:pStyle w:val="yTableNAm"/>
              <w:spacing w:before="60"/>
              <w:rPr>
                <w:sz w:val="20"/>
              </w:rPr>
            </w:pPr>
            <w:r>
              <w:rPr>
                <w:sz w:val="20"/>
              </w:rPr>
              <w:t xml:space="preserve">Measurements taken from </w:t>
            </w:r>
            <w:r>
              <w:rPr>
                <w:sz w:val="20"/>
              </w:rPr>
              <w:tab/>
            </w:r>
            <w:r>
              <w:rPr>
                <w:sz w:val="20"/>
              </w:rPr>
              <w:sym w:font="Wingdings 2" w:char="F0A3"/>
            </w:r>
            <w:r>
              <w:rPr>
                <w:sz w:val="20"/>
              </w:rPr>
              <w:t xml:space="preserve"> Top of casing (TOC)</w:t>
            </w:r>
            <w:r>
              <w:rPr>
                <w:sz w:val="20"/>
              </w:rPr>
              <w:tab/>
            </w:r>
            <w:r>
              <w:rPr>
                <w:sz w:val="20"/>
              </w:rPr>
              <w:sym w:font="Wingdings 2" w:char="F0A3"/>
            </w:r>
            <w:r>
              <w:rPr>
                <w:sz w:val="20"/>
              </w:rPr>
              <w:t xml:space="preserve"> Ground level (GL)</w:t>
            </w:r>
          </w:p>
          <w:p>
            <w:pPr>
              <w:pStyle w:val="yTableNAm"/>
              <w:spacing w:before="60"/>
              <w:rPr>
                <w:sz w:val="20"/>
              </w:rPr>
            </w:pPr>
            <w:r>
              <w:rPr>
                <w:sz w:val="20"/>
              </w:rPr>
              <w:tab/>
            </w:r>
            <w:r>
              <w:rPr>
                <w:sz w:val="20"/>
              </w:rPr>
              <w:tab/>
            </w:r>
            <w:r>
              <w:rPr>
                <w:sz w:val="20"/>
              </w:rPr>
              <w:tab/>
            </w:r>
            <w:r>
              <w:rPr>
                <w:sz w:val="20"/>
              </w:rPr>
              <w:sym w:font="Wingdings 2" w:char="F0A3"/>
            </w:r>
            <w:r>
              <w:rPr>
                <w:sz w:val="20"/>
              </w:rPr>
              <w:t xml:space="preserve"> Other (</w:t>
            </w:r>
            <w:r>
              <w:rPr>
                <w:sz w:val="16"/>
              </w:rPr>
              <w:t>specify</w:t>
            </w:r>
            <w:r>
              <w:rPr>
                <w:sz w:val="20"/>
              </w:rPr>
              <w:t>) __________________________</w:t>
            </w:r>
          </w:p>
        </w:tc>
      </w:tr>
      <w:tr>
        <w:trPr>
          <w:cantSplit/>
          <w:trHeight w:val="375"/>
        </w:trPr>
        <w:tc>
          <w:tcPr>
            <w:tcW w:w="2409" w:type="dxa"/>
            <w:gridSpan w:val="4"/>
          </w:tcPr>
          <w:p>
            <w:pPr>
              <w:pStyle w:val="yTableNAm"/>
              <w:spacing w:before="60"/>
              <w:rPr>
                <w:sz w:val="20"/>
              </w:rPr>
            </w:pPr>
            <w:r>
              <w:rPr>
                <w:sz w:val="20"/>
              </w:rPr>
              <w:t xml:space="preserve">Elevation of measurement reference point if known </w:t>
            </w:r>
            <w:r>
              <w:rPr>
                <w:sz w:val="16"/>
              </w:rPr>
              <w:t>(metres AHD)</w:t>
            </w:r>
          </w:p>
        </w:tc>
        <w:tc>
          <w:tcPr>
            <w:tcW w:w="4253" w:type="dxa"/>
            <w:gridSpan w:val="7"/>
          </w:tcPr>
          <w:p>
            <w:pPr>
              <w:pStyle w:val="yTableNAm"/>
              <w:spacing w:before="60"/>
              <w:rPr>
                <w:sz w:val="20"/>
              </w:rPr>
            </w:pPr>
            <w:r>
              <w:rPr>
                <w:sz w:val="20"/>
              </w:rPr>
              <w:sym w:font="Wingdings 2" w:char="F0A3"/>
            </w:r>
            <w:r>
              <w:rPr>
                <w:sz w:val="20"/>
              </w:rPr>
              <w:t xml:space="preserve"> GPS</w:t>
            </w:r>
            <w:r>
              <w:rPr>
                <w:sz w:val="20"/>
              </w:rPr>
              <w:tab/>
            </w:r>
            <w:r>
              <w:rPr>
                <w:sz w:val="20"/>
              </w:rPr>
              <w:tab/>
            </w:r>
            <w:r>
              <w:rPr>
                <w:sz w:val="20"/>
              </w:rPr>
              <w:sym w:font="Wingdings 2" w:char="F0A3"/>
            </w:r>
            <w:r>
              <w:rPr>
                <w:sz w:val="20"/>
              </w:rPr>
              <w:t xml:space="preserve"> Estimate</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w:t>
            </w:r>
          </w:p>
        </w:tc>
      </w:tr>
      <w:tr>
        <w:trPr>
          <w:cantSplit/>
          <w:trHeight w:val="375"/>
        </w:trPr>
        <w:tc>
          <w:tcPr>
            <w:tcW w:w="1665" w:type="dxa"/>
            <w:gridSpan w:val="2"/>
          </w:tcPr>
          <w:p>
            <w:pPr>
              <w:pStyle w:val="yTableNAm"/>
              <w:spacing w:before="60"/>
              <w:rPr>
                <w:sz w:val="20"/>
              </w:rPr>
            </w:pPr>
            <w:r>
              <w:rPr>
                <w:sz w:val="20"/>
              </w:rPr>
              <w:t>Final drawdown</w:t>
            </w:r>
          </w:p>
        </w:tc>
        <w:tc>
          <w:tcPr>
            <w:tcW w:w="744" w:type="dxa"/>
            <w:gridSpan w:val="2"/>
          </w:tcPr>
          <w:p>
            <w:pPr>
              <w:pStyle w:val="yTableNAm"/>
              <w:spacing w:before="60"/>
              <w:rPr>
                <w:sz w:val="20"/>
              </w:rPr>
            </w:pPr>
            <w:r>
              <w:rPr>
                <w:sz w:val="20"/>
              </w:rPr>
              <w:t>m</w:t>
            </w:r>
          </w:p>
        </w:tc>
        <w:tc>
          <w:tcPr>
            <w:tcW w:w="2835" w:type="dxa"/>
            <w:gridSpan w:val="5"/>
          </w:tcPr>
          <w:p>
            <w:pPr>
              <w:pStyle w:val="yTableNAm"/>
              <w:spacing w:before="60"/>
              <w:rPr>
                <w:sz w:val="20"/>
              </w:rPr>
            </w:pPr>
            <w:r>
              <w:rPr>
                <w:sz w:val="20"/>
              </w:rPr>
              <w:t xml:space="preserve">Recommended supply </w:t>
            </w:r>
            <w:r>
              <w:rPr>
                <w:sz w:val="16"/>
              </w:rPr>
              <w:t>(e.g. m3/day)</w:t>
            </w:r>
          </w:p>
        </w:tc>
        <w:tc>
          <w:tcPr>
            <w:tcW w:w="1418" w:type="dxa"/>
            <w:gridSpan w:val="2"/>
          </w:tcPr>
          <w:p>
            <w:pPr>
              <w:pStyle w:val="yTableNAm"/>
              <w:spacing w:before="60"/>
              <w:rPr>
                <w:sz w:val="20"/>
              </w:rPr>
            </w:pPr>
          </w:p>
        </w:tc>
      </w:tr>
      <w:tr>
        <w:trPr>
          <w:cantSplit/>
          <w:trHeight w:val="375"/>
        </w:trPr>
        <w:tc>
          <w:tcPr>
            <w:tcW w:w="6662" w:type="dxa"/>
            <w:gridSpan w:val="11"/>
          </w:tcPr>
          <w:p>
            <w:pPr>
              <w:pStyle w:val="yTableNAm"/>
              <w:tabs>
                <w:tab w:val="clear" w:pos="567"/>
              </w:tabs>
              <w:spacing w:before="60"/>
              <w:ind w:hanging="21"/>
              <w:rPr>
                <w:rFonts w:ascii="Arial" w:hAnsi="Arial" w:cs="Arial"/>
                <w:bCs/>
                <w:sz w:val="20"/>
              </w:rPr>
            </w:pPr>
            <w:r>
              <w:rPr>
                <w:rFonts w:ascii="Arial" w:hAnsi="Arial" w:cs="Arial"/>
                <w:bCs/>
                <w:sz w:val="14"/>
              </w:rPr>
              <w:t>Final drawdown is the distance between the static water level measured prior to the test and the water level measured at the end of the pumping test.</w:t>
            </w:r>
          </w:p>
        </w:tc>
      </w:tr>
    </w:tbl>
    <w:p>
      <w:pPr>
        <w:pStyle w:val="yTableNAm"/>
        <w:spacing w:before="60"/>
        <w:rPr>
          <w:sz w:val="20"/>
        </w:rPr>
      </w:pPr>
      <w:r>
        <w:rPr>
          <w:sz w:val="20"/>
        </w:rPr>
        <w:tab/>
        <w:t>Comments ...............................................................................................................</w:t>
      </w:r>
    </w:p>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142"/>
        <w:gridCol w:w="2835"/>
        <w:gridCol w:w="709"/>
        <w:gridCol w:w="992"/>
      </w:tblGrid>
      <w:tr>
        <w:trPr>
          <w:cantSplit/>
          <w:trHeight w:val="375"/>
        </w:trPr>
        <w:tc>
          <w:tcPr>
            <w:tcW w:w="6662" w:type="dxa"/>
            <w:gridSpan w:val="6"/>
          </w:tcPr>
          <w:p>
            <w:pPr>
              <w:pStyle w:val="yTableNAm"/>
              <w:spacing w:before="60"/>
              <w:rPr>
                <w:b/>
                <w:sz w:val="20"/>
              </w:rPr>
            </w:pPr>
            <w:r>
              <w:rPr>
                <w:b/>
                <w:sz w:val="20"/>
              </w:rPr>
              <w:t>Part 8: Field samples</w:t>
            </w:r>
          </w:p>
        </w:tc>
      </w:tr>
      <w:tr>
        <w:trPr>
          <w:cantSplit/>
          <w:trHeight w:val="375"/>
        </w:trPr>
        <w:tc>
          <w:tcPr>
            <w:tcW w:w="2126" w:type="dxa"/>
            <w:gridSpan w:val="3"/>
          </w:tcPr>
          <w:p>
            <w:pPr>
              <w:pStyle w:val="yTableNAm"/>
              <w:spacing w:before="60"/>
              <w:rPr>
                <w:bCs/>
                <w:sz w:val="20"/>
              </w:rPr>
            </w:pPr>
            <w:r>
              <w:rPr>
                <w:bCs/>
                <w:sz w:val="20"/>
              </w:rPr>
              <w:t xml:space="preserve">Collection method </w:t>
            </w:r>
            <w:r>
              <w:rPr>
                <w:rFonts w:ascii="Arial" w:hAnsi="Arial" w:cs="Arial"/>
                <w:bCs/>
                <w:sz w:val="14"/>
              </w:rPr>
              <w:t>(e.g. pump test, airlift)</w:t>
            </w:r>
          </w:p>
        </w:tc>
        <w:tc>
          <w:tcPr>
            <w:tcW w:w="4536" w:type="dxa"/>
            <w:gridSpan w:val="3"/>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 xml:space="preserve">Conductivity </w:t>
            </w:r>
            <w:r>
              <w:rPr>
                <w:rFonts w:ascii="Arial" w:hAnsi="Arial" w:cs="Arial"/>
                <w:bCs/>
                <w:sz w:val="14"/>
              </w:rPr>
              <w:t>(e.g. mS/m)</w:t>
            </w:r>
          </w:p>
        </w:tc>
        <w:tc>
          <w:tcPr>
            <w:tcW w:w="709" w:type="dxa"/>
          </w:tcPr>
          <w:p>
            <w:pPr>
              <w:pStyle w:val="yTableNAm"/>
              <w:spacing w:before="60"/>
              <w:rPr>
                <w:bCs/>
                <w:sz w:val="20"/>
              </w:rPr>
            </w:pPr>
          </w:p>
        </w:tc>
        <w:tc>
          <w:tcPr>
            <w:tcW w:w="2977" w:type="dxa"/>
            <w:gridSpan w:val="2"/>
          </w:tcPr>
          <w:p>
            <w:pPr>
              <w:pStyle w:val="yTableNAm"/>
              <w:spacing w:before="60"/>
              <w:rPr>
                <w:bCs/>
                <w:sz w:val="20"/>
              </w:rPr>
            </w:pPr>
            <w:r>
              <w:rPr>
                <w:sz w:val="20"/>
              </w:rPr>
              <w:sym w:font="Wingdings 2" w:char="F0A3"/>
            </w:r>
            <w:r>
              <w:rPr>
                <w:sz w:val="20"/>
              </w:rPr>
              <w:t xml:space="preserve"> Temperature compensated</w:t>
            </w:r>
            <w:r>
              <w:rPr>
                <w:sz w:val="20"/>
              </w:rPr>
              <w:br/>
            </w:r>
            <w:r>
              <w:rPr>
                <w:sz w:val="20"/>
              </w:rPr>
              <w:sym w:font="Wingdings 2" w:char="F0A3"/>
            </w:r>
            <w:r>
              <w:rPr>
                <w:sz w:val="20"/>
              </w:rPr>
              <w:t xml:space="preserve"> Temperature uncompensated</w:t>
            </w:r>
          </w:p>
        </w:tc>
        <w:tc>
          <w:tcPr>
            <w:tcW w:w="709" w:type="dxa"/>
          </w:tcPr>
          <w:p>
            <w:pPr>
              <w:pStyle w:val="yTableNAm"/>
              <w:spacing w:before="60"/>
              <w:jc w:val="right"/>
              <w:rPr>
                <w:sz w:val="20"/>
              </w:rPr>
            </w:pPr>
            <w:r>
              <w:rPr>
                <w:sz w:val="20"/>
              </w:rPr>
              <w:t>pH</w:t>
            </w:r>
          </w:p>
        </w:tc>
        <w:tc>
          <w:tcPr>
            <w:tcW w:w="992" w:type="dxa"/>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Water temperature at test</w:t>
            </w:r>
          </w:p>
        </w:tc>
        <w:tc>
          <w:tcPr>
            <w:tcW w:w="709" w:type="dxa"/>
          </w:tcPr>
          <w:p>
            <w:pPr>
              <w:pStyle w:val="yTableNAm"/>
              <w:spacing w:before="60"/>
              <w:rPr>
                <w:sz w:val="20"/>
              </w:rPr>
            </w:pPr>
          </w:p>
        </w:tc>
        <w:tc>
          <w:tcPr>
            <w:tcW w:w="4678" w:type="dxa"/>
            <w:gridSpan w:val="4"/>
          </w:tcPr>
          <w:p>
            <w:pPr>
              <w:pStyle w:val="yTableNAm"/>
              <w:spacing w:before="60"/>
              <w:rPr>
                <w:bCs/>
                <w:sz w:val="20"/>
              </w:rPr>
            </w:pPr>
          </w:p>
        </w:tc>
      </w:tr>
    </w:tbl>
    <w:p>
      <w:pPr>
        <w:pStyle w:val="yTableNAm"/>
        <w:spacing w:before="60"/>
        <w:rPr>
          <w:sz w:val="20"/>
        </w:rPr>
      </w:pPr>
      <w:r>
        <w:rPr>
          <w:sz w:val="20"/>
        </w:rPr>
        <w:tab/>
        <w:t>Comments ...............................................................................................................</w:t>
      </w:r>
    </w:p>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936"/>
        <w:gridCol w:w="1134"/>
        <w:gridCol w:w="850"/>
        <w:gridCol w:w="2410"/>
      </w:tblGrid>
      <w:tr>
        <w:trPr>
          <w:cantSplit/>
          <w:trHeight w:val="375"/>
        </w:trPr>
        <w:tc>
          <w:tcPr>
            <w:tcW w:w="6662" w:type="dxa"/>
            <w:gridSpan w:val="5"/>
          </w:tcPr>
          <w:p>
            <w:pPr>
              <w:pStyle w:val="yTableNAm"/>
              <w:spacing w:before="60"/>
              <w:rPr>
                <w:b/>
                <w:bCs/>
                <w:sz w:val="20"/>
              </w:rPr>
            </w:pPr>
            <w:r>
              <w:rPr>
                <w:b/>
                <w:bCs/>
                <w:sz w:val="20"/>
              </w:rPr>
              <w:t>Part 9: Lab samples</w:t>
            </w:r>
          </w:p>
        </w:tc>
      </w:tr>
      <w:tr>
        <w:trPr>
          <w:cantSplit/>
          <w:trHeight w:val="375"/>
        </w:trPr>
        <w:tc>
          <w:tcPr>
            <w:tcW w:w="1332" w:type="dxa"/>
          </w:tcPr>
          <w:p>
            <w:pPr>
              <w:pStyle w:val="yTableNAm"/>
              <w:spacing w:before="60"/>
              <w:rPr>
                <w:bCs/>
                <w:iCs/>
                <w:sz w:val="20"/>
                <w:szCs w:val="18"/>
              </w:rPr>
            </w:pPr>
            <w:r>
              <w:rPr>
                <w:iCs/>
                <w:sz w:val="20"/>
                <w:szCs w:val="18"/>
              </w:rPr>
              <w:t>Lab samples taken (Please attach)</w:t>
            </w:r>
          </w:p>
        </w:tc>
        <w:tc>
          <w:tcPr>
            <w:tcW w:w="936" w:type="dxa"/>
          </w:tcPr>
          <w:p>
            <w:pPr>
              <w:pStyle w:val="yTableNAm"/>
              <w:spacing w:before="60"/>
              <w:rPr>
                <w:sz w:val="20"/>
              </w:rPr>
            </w:pPr>
            <w:r>
              <w:rPr>
                <w:sz w:val="20"/>
              </w:rPr>
              <w:sym w:font="Wingdings 2" w:char="F0A3"/>
            </w:r>
            <w:r>
              <w:rPr>
                <w:sz w:val="20"/>
              </w:rPr>
              <w:t xml:space="preserve"> Yes</w:t>
            </w:r>
          </w:p>
          <w:p>
            <w:pPr>
              <w:pStyle w:val="yTableNAm"/>
              <w:spacing w:before="60"/>
              <w:rPr>
                <w:bCs/>
                <w:sz w:val="20"/>
              </w:rPr>
            </w:pPr>
            <w:r>
              <w:rPr>
                <w:sz w:val="20"/>
              </w:rPr>
              <w:sym w:font="Wingdings 2" w:char="F0A3"/>
            </w:r>
            <w:r>
              <w:rPr>
                <w:sz w:val="20"/>
              </w:rPr>
              <w:t xml:space="preserve"> No</w:t>
            </w:r>
          </w:p>
        </w:tc>
        <w:tc>
          <w:tcPr>
            <w:tcW w:w="1134" w:type="dxa"/>
          </w:tcPr>
          <w:p>
            <w:pPr>
              <w:pStyle w:val="yTableNAm"/>
              <w:spacing w:before="60"/>
              <w:rPr>
                <w:bCs/>
                <w:iCs/>
                <w:sz w:val="20"/>
                <w:szCs w:val="18"/>
              </w:rPr>
            </w:pPr>
            <w:r>
              <w:rPr>
                <w:iCs/>
                <w:sz w:val="20"/>
                <w:szCs w:val="18"/>
              </w:rPr>
              <w:t>TDS (e.g. mg/l)</w:t>
            </w:r>
          </w:p>
        </w:tc>
        <w:tc>
          <w:tcPr>
            <w:tcW w:w="850" w:type="dxa"/>
          </w:tcPr>
          <w:p>
            <w:pPr>
              <w:pStyle w:val="yTableNAm"/>
              <w:spacing w:before="60"/>
              <w:rPr>
                <w:bCs/>
                <w:iCs/>
                <w:sz w:val="20"/>
                <w:szCs w:val="18"/>
              </w:rPr>
            </w:pPr>
          </w:p>
        </w:tc>
        <w:tc>
          <w:tcPr>
            <w:tcW w:w="2410" w:type="dxa"/>
          </w:tcPr>
          <w:p>
            <w:pPr>
              <w:pStyle w:val="yTableNAm"/>
              <w:spacing w:before="60"/>
              <w:rPr>
                <w:bCs/>
                <w:iCs/>
                <w:sz w:val="20"/>
                <w:szCs w:val="18"/>
              </w:rPr>
            </w:pPr>
            <w:r>
              <w:rPr>
                <w:iCs/>
                <w:sz w:val="20"/>
              </w:rPr>
              <w:t>Please submit samples separately to form if not received before the one month submission deadline.</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25"/>
        <w:gridCol w:w="1560"/>
        <w:gridCol w:w="1594"/>
        <w:gridCol w:w="1666"/>
      </w:tblGrid>
      <w:tr>
        <w:trPr>
          <w:cantSplit/>
          <w:trHeight w:val="375"/>
        </w:trPr>
        <w:tc>
          <w:tcPr>
            <w:tcW w:w="6662" w:type="dxa"/>
            <w:gridSpan w:val="5"/>
          </w:tcPr>
          <w:p>
            <w:pPr>
              <w:pStyle w:val="yTableNAm"/>
              <w:spacing w:before="60"/>
              <w:rPr>
                <w:b/>
                <w:bCs/>
                <w:sz w:val="20"/>
              </w:rPr>
            </w:pPr>
            <w:r>
              <w:rPr>
                <w:b/>
                <w:bCs/>
                <w:sz w:val="20"/>
              </w:rPr>
              <w:t>Part 10: Water levels</w:t>
            </w:r>
          </w:p>
        </w:tc>
      </w:tr>
      <w:tr>
        <w:trPr>
          <w:cantSplit/>
          <w:trHeight w:val="375"/>
        </w:trPr>
        <w:tc>
          <w:tcPr>
            <w:tcW w:w="1842" w:type="dxa"/>
            <w:gridSpan w:val="2"/>
          </w:tcPr>
          <w:p>
            <w:pPr>
              <w:pStyle w:val="yTableNAm"/>
              <w:spacing w:before="60"/>
              <w:jc w:val="right"/>
              <w:rPr>
                <w:bCs/>
                <w:iCs/>
                <w:sz w:val="20"/>
                <w:szCs w:val="18"/>
              </w:rPr>
            </w:pPr>
            <w:r>
              <w:rPr>
                <w:bCs/>
                <w:iCs/>
                <w:sz w:val="20"/>
                <w:szCs w:val="18"/>
              </w:rPr>
              <w:t>SWL</w:t>
            </w:r>
          </w:p>
          <w:p>
            <w:pPr>
              <w:pStyle w:val="yTableNAm"/>
              <w:spacing w:before="60"/>
              <w:jc w:val="right"/>
              <w:rPr>
                <w:bCs/>
                <w:iCs/>
                <w:sz w:val="18"/>
                <w:szCs w:val="18"/>
              </w:rPr>
            </w:pPr>
            <w:r>
              <w:rPr>
                <w:bCs/>
                <w:iCs/>
                <w:sz w:val="18"/>
                <w:szCs w:val="18"/>
              </w:rPr>
              <w:t>(Static water level)</w:t>
            </w:r>
          </w:p>
        </w:tc>
        <w:tc>
          <w:tcPr>
            <w:tcW w:w="1560" w:type="dxa"/>
          </w:tcPr>
          <w:p>
            <w:pPr>
              <w:pStyle w:val="yTableNAm"/>
              <w:spacing w:before="60"/>
              <w:jc w:val="right"/>
              <w:rPr>
                <w:bCs/>
                <w:iCs/>
                <w:sz w:val="20"/>
                <w:szCs w:val="18"/>
              </w:rPr>
            </w:pPr>
            <w:r>
              <w:rPr>
                <w:bCs/>
                <w:iCs/>
                <w:sz w:val="20"/>
                <w:szCs w:val="18"/>
              </w:rPr>
              <w:t>m</w:t>
            </w:r>
          </w:p>
        </w:tc>
        <w:tc>
          <w:tcPr>
            <w:tcW w:w="1594" w:type="dxa"/>
          </w:tcPr>
          <w:p>
            <w:pPr>
              <w:pStyle w:val="yTableNAm"/>
              <w:spacing w:before="60"/>
              <w:jc w:val="right"/>
              <w:rPr>
                <w:bCs/>
                <w:iCs/>
                <w:sz w:val="20"/>
                <w:szCs w:val="18"/>
              </w:rPr>
            </w:pPr>
            <w:r>
              <w:rPr>
                <w:bCs/>
                <w:iCs/>
                <w:sz w:val="20"/>
                <w:szCs w:val="18"/>
              </w:rPr>
              <w:t>Water cut at</w:t>
            </w:r>
          </w:p>
        </w:tc>
        <w:tc>
          <w:tcPr>
            <w:tcW w:w="1666" w:type="dxa"/>
          </w:tcPr>
          <w:p>
            <w:pPr>
              <w:pStyle w:val="yTableNAm"/>
              <w:spacing w:before="60"/>
              <w:jc w:val="right"/>
              <w:rPr>
                <w:bCs/>
                <w:iCs/>
                <w:sz w:val="20"/>
                <w:szCs w:val="18"/>
              </w:rPr>
            </w:pPr>
            <w:r>
              <w:rPr>
                <w:bCs/>
                <w:iCs/>
                <w:sz w:val="20"/>
                <w:szCs w:val="18"/>
              </w:rPr>
              <w:t>m</w:t>
            </w:r>
          </w:p>
        </w:tc>
      </w:tr>
      <w:tr>
        <w:trPr>
          <w:cantSplit/>
          <w:trHeight w:val="375"/>
        </w:trPr>
        <w:tc>
          <w:tcPr>
            <w:tcW w:w="1417" w:type="dxa"/>
          </w:tcPr>
          <w:p>
            <w:pPr>
              <w:pStyle w:val="yTableNAm"/>
              <w:spacing w:before="60"/>
              <w:rPr>
                <w:bCs/>
                <w:iCs/>
                <w:sz w:val="20"/>
                <w:szCs w:val="18"/>
              </w:rPr>
            </w:pPr>
            <w:r>
              <w:rPr>
                <w:iCs/>
                <w:sz w:val="20"/>
                <w:szCs w:val="18"/>
              </w:rPr>
              <w:t>Measurements taken from</w:t>
            </w:r>
          </w:p>
        </w:tc>
        <w:tc>
          <w:tcPr>
            <w:tcW w:w="5245" w:type="dxa"/>
            <w:gridSpan w:val="4"/>
          </w:tcPr>
          <w:p>
            <w:pPr>
              <w:pStyle w:val="yTableNAm"/>
              <w:spacing w:before="60"/>
              <w:rPr>
                <w:sz w:val="20"/>
              </w:rPr>
            </w:pPr>
            <w:r>
              <w:rPr>
                <w:sz w:val="20"/>
              </w:rPr>
              <w:sym w:font="Wingdings 2" w:char="F0A3"/>
            </w:r>
            <w:r>
              <w:rPr>
                <w:sz w:val="20"/>
              </w:rPr>
              <w:t xml:space="preserve"> Top of casing </w:t>
            </w:r>
            <w:r>
              <w:rPr>
                <w:sz w:val="18"/>
              </w:rPr>
              <w:t>(TOC)</w:t>
            </w:r>
            <w:r>
              <w:rPr>
                <w:sz w:val="20"/>
              </w:rPr>
              <w:tab/>
            </w:r>
            <w:r>
              <w:rPr>
                <w:sz w:val="20"/>
              </w:rPr>
              <w:sym w:font="Wingdings 2" w:char="F0A3"/>
            </w:r>
            <w:r>
              <w:rPr>
                <w:sz w:val="20"/>
              </w:rPr>
              <w:t xml:space="preserve"> Ground level </w:t>
            </w:r>
            <w:r>
              <w:rPr>
                <w:sz w:val="18"/>
              </w:rPr>
              <w:t>(GL)</w:t>
            </w:r>
          </w:p>
          <w:p>
            <w:pPr>
              <w:pStyle w:val="yTableNAm"/>
              <w:spacing w:before="60"/>
              <w:rPr>
                <w:bCs/>
                <w:sz w:val="20"/>
              </w:rPr>
            </w:pPr>
            <w:r>
              <w:rPr>
                <w:sz w:val="20"/>
              </w:rPr>
              <w:sym w:font="Wingdings 2" w:char="F0A3"/>
            </w:r>
            <w:r>
              <w:rPr>
                <w:sz w:val="20"/>
              </w:rPr>
              <w:t xml:space="preserve"> Other </w:t>
            </w:r>
            <w:r>
              <w:rPr>
                <w:sz w:val="18"/>
              </w:rPr>
              <w:t>(</w:t>
            </w:r>
            <w:r>
              <w:rPr>
                <w:sz w:val="16"/>
              </w:rPr>
              <w:t>specify</w:t>
            </w:r>
            <w:r>
              <w:rPr>
                <w:sz w:val="18"/>
              </w:rPr>
              <w:t>)</w:t>
            </w:r>
            <w:r>
              <w:rPr>
                <w:sz w:val="20"/>
              </w:rPr>
              <w:t xml:space="preserve"> _______________________________</w:t>
            </w:r>
          </w:p>
        </w:tc>
      </w:tr>
      <w:tr>
        <w:trPr>
          <w:cantSplit/>
          <w:trHeight w:val="375"/>
        </w:trPr>
        <w:tc>
          <w:tcPr>
            <w:tcW w:w="1842" w:type="dxa"/>
            <w:gridSpan w:val="2"/>
          </w:tcPr>
          <w:p>
            <w:pPr>
              <w:pStyle w:val="yTableNAm"/>
              <w:spacing w:before="60"/>
              <w:rPr>
                <w:bCs/>
                <w:iCs/>
                <w:sz w:val="20"/>
                <w:szCs w:val="18"/>
              </w:rPr>
            </w:pPr>
            <w:r>
              <w:rPr>
                <w:iCs/>
                <w:sz w:val="20"/>
                <w:szCs w:val="18"/>
              </w:rPr>
              <w:t>Date of reading</w:t>
            </w:r>
            <w:r>
              <w:rPr>
                <w:iCs/>
                <w:sz w:val="20"/>
                <w:szCs w:val="18"/>
              </w:rPr>
              <w:br/>
            </w:r>
            <w:r>
              <w:rPr>
                <w:iCs/>
                <w:sz w:val="18"/>
                <w:szCs w:val="18"/>
              </w:rPr>
              <w:t>(dd/mm/yy)</w:t>
            </w:r>
          </w:p>
        </w:tc>
        <w:tc>
          <w:tcPr>
            <w:tcW w:w="4820" w:type="dxa"/>
            <w:gridSpan w:val="3"/>
          </w:tcPr>
          <w:p>
            <w:pPr>
              <w:pStyle w:val="yTableNAm"/>
              <w:spacing w:before="60"/>
              <w:rPr>
                <w:sz w:val="20"/>
              </w:rPr>
            </w:pPr>
          </w:p>
        </w:tc>
      </w:tr>
    </w:tbl>
    <w:p>
      <w:pPr>
        <w:pStyle w:val="yMiscellaneousBody"/>
        <w:spacing w:before="40"/>
        <w:rPr>
          <w:sz w:val="20"/>
        </w:rPr>
      </w:pPr>
    </w:p>
    <w:p>
      <w:pPr>
        <w:pStyle w:val="yTableNAm"/>
        <w:spacing w:before="60"/>
        <w:rPr>
          <w:sz w:val="20"/>
        </w:rPr>
      </w:pPr>
      <w:r>
        <w:rPr>
          <w:sz w:val="20"/>
        </w:rPr>
        <w:tab/>
        <w:t>Comments ...............................................................................................................</w:t>
      </w:r>
    </w:p>
    <w:p>
      <w:pPr>
        <w:pStyle w:val="yMiscellaneousBody"/>
        <w:spacing w:before="40"/>
        <w:rPr>
          <w:sz w:val="20"/>
        </w:rPr>
      </w:pPr>
    </w:p>
    <w:tbl>
      <w:tblPr>
        <w:tblW w:w="676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4"/>
        <w:gridCol w:w="3384"/>
      </w:tblGrid>
      <w:tr>
        <w:trPr>
          <w:cantSplit/>
          <w:trHeight w:val="375"/>
        </w:trPr>
        <w:tc>
          <w:tcPr>
            <w:tcW w:w="6768" w:type="dxa"/>
            <w:gridSpan w:val="2"/>
          </w:tcPr>
          <w:p>
            <w:pPr>
              <w:pStyle w:val="yTableNAm"/>
              <w:spacing w:before="60"/>
              <w:rPr>
                <w:b/>
                <w:bCs/>
                <w:sz w:val="20"/>
              </w:rPr>
            </w:pPr>
            <w:r>
              <w:rPr>
                <w:b/>
                <w:bCs/>
                <w:sz w:val="20"/>
              </w:rPr>
              <w:t xml:space="preserve">Part 11: Declaration and signature </w:t>
            </w:r>
          </w:p>
        </w:tc>
      </w:tr>
      <w:tr>
        <w:trPr>
          <w:cantSplit/>
          <w:trHeight w:val="375"/>
        </w:trPr>
        <w:tc>
          <w:tcPr>
            <w:tcW w:w="3384" w:type="dxa"/>
          </w:tcPr>
          <w:p>
            <w:pPr>
              <w:pStyle w:val="yTableNAm"/>
              <w:spacing w:before="60"/>
              <w:rPr>
                <w:sz w:val="20"/>
              </w:rPr>
            </w:pPr>
          </w:p>
          <w:p>
            <w:pPr>
              <w:pStyle w:val="yTableNAm"/>
              <w:spacing w:before="60"/>
              <w:rPr>
                <w:sz w:val="20"/>
              </w:rPr>
            </w:pPr>
            <w:r>
              <w:rPr>
                <w:sz w:val="20"/>
              </w:rPr>
              <w:t xml:space="preserve">Capacity of person making </w:t>
            </w:r>
            <w:r>
              <w:rPr>
                <w:sz w:val="20"/>
              </w:rPr>
              <w:br/>
              <w:t>declaration</w:t>
            </w:r>
          </w:p>
          <w:p>
            <w:pPr>
              <w:pStyle w:val="yTableNAm"/>
              <w:spacing w:before="60"/>
              <w:rPr>
                <w:sz w:val="20"/>
              </w:rPr>
            </w:pPr>
          </w:p>
          <w:p>
            <w:pPr>
              <w:pStyle w:val="yTableNAm"/>
              <w:spacing w:before="60"/>
            </w:pPr>
            <w:r>
              <w:rPr>
                <w:sz w:val="20"/>
              </w:rPr>
              <w:t>[tick one box]</w:t>
            </w:r>
          </w:p>
        </w:tc>
        <w:tc>
          <w:tcPr>
            <w:tcW w:w="3384" w:type="dxa"/>
          </w:tcPr>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individual who </w:t>
            </w:r>
            <w:r>
              <w:rPr>
                <w:sz w:val="20"/>
              </w:rPr>
              <w:br/>
              <w:t>carried out the work.</w:t>
            </w:r>
          </w:p>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officer who is a </w:t>
            </w:r>
            <w:r>
              <w:rPr>
                <w:sz w:val="20"/>
              </w:rPr>
              <w:br/>
              <w:t>director or secretary of a corporation that carried out the work.</w:t>
            </w:r>
          </w:p>
          <w:p>
            <w:pPr>
              <w:pStyle w:val="yTableNAm"/>
              <w:spacing w:before="60"/>
              <w:ind w:hanging="285"/>
              <w:rPr>
                <w:sz w:val="20"/>
              </w:rPr>
            </w:pPr>
          </w:p>
          <w:p>
            <w:pPr>
              <w:pStyle w:val="yTableNAm"/>
              <w:tabs>
                <w:tab w:val="clear" w:pos="567"/>
                <w:tab w:val="left" w:pos="882"/>
              </w:tabs>
              <w:spacing w:before="60"/>
              <w:ind w:left="282"/>
              <w:rPr>
                <w:sz w:val="20"/>
              </w:rPr>
            </w:pPr>
            <w:r>
              <w:rPr>
                <w:sz w:val="20"/>
              </w:rPr>
              <w:sym w:font="Symbol" w:char="F08F"/>
            </w:r>
            <w:r>
              <w:rPr>
                <w:sz w:val="20"/>
              </w:rPr>
              <w:tab/>
              <w:t>other [describe]</w:t>
            </w:r>
          </w:p>
          <w:p>
            <w:pPr>
              <w:pStyle w:val="yTableNAm"/>
              <w:spacing w:before="60"/>
              <w:rPr>
                <w:sz w:val="20"/>
              </w:rPr>
            </w:pPr>
          </w:p>
        </w:tc>
      </w:tr>
    </w:tbl>
    <w:p>
      <w:pPr>
        <w:pStyle w:val="yMiscellaneousBody"/>
        <w:spacing w:before="60"/>
        <w:ind w:left="480"/>
      </w:pPr>
      <w:r>
        <w:t>I, ______(name of person making declaration) declare that the information provided on this form is true and correct.</w:t>
      </w:r>
    </w:p>
    <w:p>
      <w:pPr>
        <w:pStyle w:val="yMiscellaneousBody"/>
        <w:spacing w:before="60"/>
        <w:ind w:left="480"/>
      </w:pPr>
    </w:p>
    <w:p>
      <w:pPr>
        <w:pStyle w:val="yMiscellaneousBody"/>
        <w:spacing w:before="60"/>
        <w:ind w:left="480"/>
      </w:pPr>
    </w:p>
    <w:p>
      <w:pPr>
        <w:pStyle w:val="yMiscellaneousBody"/>
        <w:spacing w:before="60"/>
        <w:ind w:left="480"/>
      </w:pPr>
      <w:r>
        <w:t>__________________________________</w:t>
      </w:r>
    </w:p>
    <w:p>
      <w:pPr>
        <w:pStyle w:val="yMiscellaneousBody"/>
        <w:spacing w:before="60"/>
        <w:ind w:left="480"/>
      </w:pPr>
      <w:r>
        <w:t>Signature of person making declaration</w:t>
      </w:r>
    </w:p>
    <w:p>
      <w:pPr>
        <w:pStyle w:val="yMiscellaneousBody"/>
        <w:spacing w:before="60"/>
        <w:ind w:left="480"/>
      </w:pPr>
    </w:p>
    <w:p>
      <w:pPr>
        <w:pStyle w:val="yMiscellaneousBody"/>
        <w:spacing w:before="60"/>
        <w:ind w:left="480"/>
      </w:pPr>
      <w:r>
        <w:t>_____________________</w:t>
      </w:r>
    </w:p>
    <w:p>
      <w:pPr>
        <w:pStyle w:val="yMiscellaneousBody"/>
        <w:spacing w:before="60"/>
        <w:ind w:left="480"/>
      </w:pPr>
      <w:r>
        <w:t>Date</w:t>
      </w:r>
    </w:p>
    <w:p>
      <w:pPr>
        <w:pStyle w:val="yMiscellaneousBody"/>
        <w:spacing w:before="60"/>
        <w:ind w:left="480"/>
      </w:pPr>
    </w:p>
    <w:p>
      <w:pPr>
        <w:pStyle w:val="yMiscellaneousBody"/>
        <w:spacing w:before="60"/>
        <w:ind w:left="480"/>
      </w:pPr>
    </w:p>
    <w:p>
      <w:pPr>
        <w:pStyle w:val="yMiscellaneousBody"/>
        <w:spacing w:before="60"/>
        <w:ind w:left="480"/>
      </w:pPr>
      <w:r>
        <w:t>*  If there is insufficient space, please use, and attach, a separate page.</w:t>
      </w:r>
    </w:p>
    <w:p>
      <w:pPr>
        <w:pStyle w:val="yFootnotesection"/>
      </w:pPr>
      <w:r>
        <w:tab/>
        <w:t>[Form 2 inserted in Gazette 15 Sep 2009 p. 3599</w:t>
      </w:r>
      <w:r>
        <w:noBreakHyphen/>
        <w:t>604.]</w:t>
      </w:r>
    </w:p>
    <w:p>
      <w:pPr>
        <w:pStyle w:val="yMiscellaneousHeading"/>
        <w:rPr>
          <w:b/>
        </w:rPr>
      </w:pPr>
      <w:r>
        <w:rPr>
          <w:b/>
        </w:rPr>
        <w:t>Form 3</w:t>
      </w:r>
    </w:p>
    <w:p>
      <w:pPr>
        <w:pStyle w:val="yShoulderClause"/>
      </w:pPr>
      <w:r>
        <w:t>[r. 53]</w:t>
      </w:r>
    </w:p>
    <w:p>
      <w:pPr>
        <w:pStyle w:val="yMiscellaneousHeading"/>
        <w:rPr>
          <w:iCs/>
        </w:rPr>
      </w:pPr>
      <w:r>
        <w:rPr>
          <w:i/>
          <w:iCs/>
        </w:rPr>
        <w:t>Water Agencies (Powers) Act 1984</w:t>
      </w:r>
      <w:r>
        <w:rPr>
          <w:iCs/>
        </w:rPr>
        <w:t xml:space="preserve"> s. 103(2)</w:t>
      </w:r>
    </w:p>
    <w:p>
      <w:pPr>
        <w:pStyle w:val="yMiscellaneousHeading"/>
        <w:rPr>
          <w:b/>
          <w:bCs/>
        </w:rPr>
      </w:pPr>
      <w:r>
        <w:rPr>
          <w:b/>
          <w:bCs/>
        </w:rPr>
        <w:t>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after="60"/>
      </w:pPr>
      <w:r>
        <w:t xml:space="preserve">It is alleged that you committed an </w:t>
      </w:r>
      <w:r>
        <w:rPr>
          <w:b/>
          <w:bCs/>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NAm"/>
              <w:spacing w:before="60"/>
              <w:rPr>
                <w:b/>
                <w:bCs/>
              </w:rPr>
            </w:pPr>
            <w:r>
              <w:rPr>
                <w:b/>
                <w:bCs/>
              </w:rPr>
              <w:t>Where and when</w:t>
            </w:r>
          </w:p>
        </w:tc>
        <w:tc>
          <w:tcPr>
            <w:tcW w:w="5386" w:type="dxa"/>
          </w:tcPr>
          <w:p>
            <w:pPr>
              <w:pStyle w:val="yTableNAm"/>
              <w:spacing w:before="60"/>
            </w:pPr>
            <w:r>
              <w:t>At ............................................................ on the ................</w:t>
            </w:r>
            <w:r>
              <w:br/>
              <w:t>day of ...................................................... 2000</w:t>
            </w:r>
          </w:p>
        </w:tc>
      </w:tr>
      <w:tr>
        <w:tc>
          <w:tcPr>
            <w:tcW w:w="1418" w:type="dxa"/>
          </w:tcPr>
          <w:p>
            <w:pPr>
              <w:pStyle w:val="yTableNAm"/>
              <w:spacing w:before="60"/>
              <w:rPr>
                <w:b/>
                <w:bCs/>
              </w:rPr>
            </w:pPr>
            <w:r>
              <w:rPr>
                <w:b/>
                <w:bCs/>
              </w:rPr>
              <w:t>Details of offence</w:t>
            </w:r>
          </w:p>
        </w:tc>
        <w:tc>
          <w:tcPr>
            <w:tcW w:w="5386" w:type="dxa"/>
          </w:tcPr>
          <w:p>
            <w:pPr>
              <w:pStyle w:val="yTableNAm"/>
              <w:spacing w:before="60"/>
            </w:pPr>
            <w:r>
              <w:t>Section/Regulation...............................................................</w:t>
            </w:r>
            <w:r>
              <w:br/>
              <w:t>Description of offence .........................................................</w:t>
            </w:r>
            <w:r>
              <w:br/>
              <w:t>..............................................................................................</w:t>
            </w:r>
          </w:p>
        </w:tc>
      </w:tr>
      <w:tr>
        <w:tc>
          <w:tcPr>
            <w:tcW w:w="1418" w:type="dxa"/>
          </w:tcPr>
          <w:p>
            <w:pPr>
              <w:pStyle w:val="yTableNAm"/>
              <w:spacing w:before="60"/>
              <w:rPr>
                <w:b/>
                <w:bCs/>
              </w:rPr>
            </w:pPr>
            <w:r>
              <w:rPr>
                <w:b/>
                <w:bCs/>
              </w:rPr>
              <w:t>Modified penalty</w:t>
            </w:r>
          </w:p>
        </w:tc>
        <w:tc>
          <w:tcPr>
            <w:tcW w:w="5386" w:type="dxa"/>
          </w:tcPr>
          <w:p>
            <w:pPr>
              <w:pStyle w:val="yTableNAm"/>
              <w:spacing w:before="60"/>
            </w:pPr>
            <w:r>
              <w:br/>
              <w:t>$</w:t>
            </w:r>
          </w:p>
        </w:tc>
      </w:tr>
      <w:tr>
        <w:tc>
          <w:tcPr>
            <w:tcW w:w="1418" w:type="dxa"/>
          </w:tcPr>
          <w:p>
            <w:pPr>
              <w:pStyle w:val="yTableNAm"/>
              <w:spacing w:before="60"/>
              <w:rPr>
                <w:b/>
                <w:bCs/>
              </w:rPr>
            </w:pPr>
            <w:r>
              <w:rPr>
                <w:b/>
                <w:bCs/>
              </w:rPr>
              <w:t>Information about this notice</w:t>
            </w:r>
          </w:p>
        </w:tc>
        <w:tc>
          <w:tcPr>
            <w:tcW w:w="5386" w:type="dxa"/>
          </w:tcPr>
          <w:p>
            <w:pPr>
              <w:pStyle w:val="yTableNAm"/>
              <w:spacing w:before="60"/>
            </w:pPr>
            <w:r>
              <w:t>Date: ....................................................................................</w:t>
            </w:r>
            <w:r>
              <w:br/>
              <w:t>Issued at: .............................................................................</w:t>
            </w:r>
            <w:r>
              <w:br/>
              <w:t>By: .......................................................................................</w:t>
            </w:r>
            <w:r>
              <w:br/>
              <w:t>Signature of authorised person: ..........................................</w:t>
            </w:r>
          </w:p>
        </w:tc>
      </w:tr>
    </w:tbl>
    <w:p>
      <w:pPr>
        <w:pStyle w:val="yMiscellaneousBody"/>
        <w:spacing w:before="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NAm"/>
              <w:spacing w:before="60"/>
              <w:rPr>
                <w:b/>
                <w:bCs/>
              </w:rPr>
            </w:pPr>
            <w:r>
              <w:rPr>
                <w:b/>
                <w:bCs/>
              </w:rPr>
              <w:t>1.</w:t>
            </w:r>
          </w:p>
        </w:tc>
        <w:tc>
          <w:tcPr>
            <w:tcW w:w="6237" w:type="dxa"/>
          </w:tcPr>
          <w:p>
            <w:pPr>
              <w:pStyle w:val="yTableNAm"/>
              <w:spacing w:before="60"/>
              <w:rPr>
                <w:b/>
                <w:bCs/>
              </w:rPr>
            </w:pPr>
            <w:r>
              <w:rPr>
                <w:b/>
                <w:bCs/>
              </w:rPr>
              <w:t>You may dispose of this matter by paying the modified penalty within a period of 21 days after this notice is given.</w:t>
            </w:r>
          </w:p>
        </w:tc>
      </w:tr>
      <w:tr>
        <w:trPr>
          <w:cantSplit/>
        </w:trPr>
        <w:tc>
          <w:tcPr>
            <w:tcW w:w="709" w:type="dxa"/>
          </w:tcPr>
          <w:p>
            <w:pPr>
              <w:pStyle w:val="yTableNAm"/>
              <w:spacing w:before="60"/>
              <w:rPr>
                <w:b/>
                <w:bCs/>
              </w:rPr>
            </w:pPr>
          </w:p>
        </w:tc>
        <w:tc>
          <w:tcPr>
            <w:tcW w:w="6237" w:type="dxa"/>
          </w:tcPr>
          <w:p>
            <w:pPr>
              <w:pStyle w:val="yTableNAm"/>
              <w:spacing w:before="60"/>
            </w:pPr>
            <w:r>
              <w:t>PAY THE MODIFIED PENALTY TO:</w:t>
            </w: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The Chief Finance Officer</w:t>
            </w:r>
            <w:r>
              <w:rPr>
                <w:b/>
                <w:bCs/>
              </w:rPr>
              <w:br/>
            </w:r>
            <w:r>
              <w:rPr>
                <w:b/>
              </w:rPr>
              <w:t>Department of Water and Environmental Regulation</w:t>
            </w:r>
            <w:r>
              <w:rPr>
                <w:b/>
              </w:rPr>
              <w:br/>
              <w:t xml:space="preserve">Locked Bag 33 Cloisters Square </w:t>
            </w:r>
            <w:r>
              <w:rPr>
                <w:b/>
              </w:rPr>
              <w:br/>
              <w:t>PERTH WA 6850</w:t>
            </w:r>
          </w:p>
        </w:tc>
      </w:tr>
      <w:tr>
        <w:trPr>
          <w:cantSplit/>
        </w:trPr>
        <w:tc>
          <w:tcPr>
            <w:tcW w:w="709" w:type="dxa"/>
          </w:tcPr>
          <w:p>
            <w:pPr>
              <w:pStyle w:val="yTableNAm"/>
              <w:spacing w:before="60"/>
              <w:rPr>
                <w:b/>
                <w:bCs/>
              </w:rPr>
            </w:pPr>
          </w:p>
        </w:tc>
        <w:tc>
          <w:tcPr>
            <w:tcW w:w="6237" w:type="dxa"/>
          </w:tcPr>
          <w:p>
            <w:pPr>
              <w:pStyle w:val="yTableNAm"/>
              <w:spacing w:before="60"/>
            </w:pPr>
            <w:r>
              <w:t>If you wish to do so but are unable to make payment within 21 days you may apply to the Department for an extension of time within which the modified penalty may be paid.</w:t>
            </w:r>
          </w:p>
        </w:tc>
      </w:tr>
      <w:tr>
        <w:trPr>
          <w:cantSplit/>
        </w:trPr>
        <w:tc>
          <w:tcPr>
            <w:tcW w:w="709" w:type="dxa"/>
          </w:tcPr>
          <w:p>
            <w:pPr>
              <w:pStyle w:val="yTableNAm"/>
              <w:keepNext/>
              <w:spacing w:before="60"/>
              <w:rPr>
                <w:b/>
                <w:bCs/>
              </w:rPr>
            </w:pPr>
            <w:r>
              <w:rPr>
                <w:b/>
                <w:bCs/>
              </w:rPr>
              <w:t>OR</w:t>
            </w:r>
          </w:p>
        </w:tc>
        <w:tc>
          <w:tcPr>
            <w:tcW w:w="6237" w:type="dxa"/>
          </w:tcPr>
          <w:p>
            <w:pPr>
              <w:pStyle w:val="yTableNAm"/>
              <w:keepNext/>
              <w:spacing w:before="60"/>
            </w:pPr>
            <w:r>
              <w:t>IF YOU DO NOT PAY THE MODIFIED PENALTY</w:t>
            </w:r>
          </w:p>
        </w:tc>
      </w:tr>
      <w:tr>
        <w:trPr>
          <w:cantSplit/>
        </w:trPr>
        <w:tc>
          <w:tcPr>
            <w:tcW w:w="709" w:type="dxa"/>
          </w:tcPr>
          <w:p>
            <w:pPr>
              <w:pStyle w:val="yTableNAm"/>
              <w:spacing w:before="60"/>
              <w:rPr>
                <w:b/>
                <w:bCs/>
              </w:rPr>
            </w:pPr>
            <w:r>
              <w:rPr>
                <w:b/>
                <w:bCs/>
              </w:rPr>
              <w:t>2.</w:t>
            </w:r>
          </w:p>
        </w:tc>
        <w:tc>
          <w:tcPr>
            <w:tcW w:w="6237" w:type="dxa"/>
          </w:tcPr>
          <w:p>
            <w:pPr>
              <w:pStyle w:val="yTableNAm"/>
              <w:spacing w:before="60"/>
              <w:rPr>
                <w:b/>
                <w:bCs/>
              </w:rPr>
            </w:pPr>
            <w:r>
              <w:rPr>
                <w:b/>
                <w:bCs/>
              </w:rPr>
              <w:t>A prosecution notice may be issued against you for the alleged offence, in which case the matter will be dealt with by a COURT.</w:t>
            </w:r>
          </w:p>
        </w:tc>
      </w:tr>
      <w:tr>
        <w:trPr>
          <w:cantSplit/>
        </w:trPr>
        <w:tc>
          <w:tcPr>
            <w:tcW w:w="709" w:type="dxa"/>
          </w:tcPr>
          <w:p>
            <w:pPr>
              <w:pStyle w:val="yTableNAm"/>
              <w:spacing w:before="60"/>
              <w:rPr>
                <w:b/>
                <w:bCs/>
              </w:rPr>
            </w:pPr>
            <w:r>
              <w:rPr>
                <w:b/>
                <w:bCs/>
              </w:rPr>
              <w:t>OR</w:t>
            </w:r>
          </w:p>
        </w:tc>
        <w:tc>
          <w:tcPr>
            <w:tcW w:w="6237" w:type="dxa"/>
          </w:tcPr>
          <w:p>
            <w:pPr>
              <w:pStyle w:val="yTableNAm"/>
              <w:spacing w:before="60"/>
              <w:rPr>
                <w:b/>
                <w:bCs/>
              </w:rPr>
            </w:pP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 xml:space="preserve">The modified penalty may be recovered by the Fines Enforcement Registry, in which case — </w:t>
            </w:r>
          </w:p>
          <w:p>
            <w:pPr>
              <w:pStyle w:val="yTableNAm"/>
              <w:spacing w:before="60"/>
              <w:rPr>
                <w:b/>
                <w:bCs/>
              </w:rPr>
            </w:pPr>
            <w:r>
              <w:rPr>
                <w:b/>
                <w:bCs/>
              </w:rPr>
              <w:tab/>
              <w:t>(a)</w:t>
            </w:r>
            <w:r>
              <w:rPr>
                <w:b/>
                <w:bCs/>
              </w:rPr>
              <w:tab/>
              <w:t>additional administrative charges may be incurred;</w:t>
            </w:r>
          </w:p>
          <w:p>
            <w:pPr>
              <w:pStyle w:val="yTableNAm"/>
              <w:spacing w:before="60"/>
              <w:ind w:left="1140" w:hanging="1140"/>
              <w:rPr>
                <w:b/>
                <w:bCs/>
              </w:rPr>
            </w:pPr>
            <w:r>
              <w:rPr>
                <w:b/>
                <w:bCs/>
              </w:rPr>
              <w:tab/>
              <w:t>(b)</w:t>
            </w:r>
            <w:r>
              <w:rPr>
                <w:b/>
                <w:bCs/>
              </w:rPr>
              <w:tab/>
            </w:r>
            <w:r>
              <w:rPr>
                <w:b/>
                <w:szCs w:val="22"/>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NAm"/>
              <w:spacing w:before="60"/>
              <w:ind w:left="1140" w:hanging="1140"/>
              <w:rPr>
                <w:b/>
                <w:bCs/>
              </w:rPr>
            </w:pPr>
            <w:r>
              <w:rPr>
                <w:b/>
                <w:bCs/>
              </w:rPr>
              <w:tab/>
              <w:t>(c)</w:t>
            </w:r>
            <w:r>
              <w:rPr>
                <w:b/>
                <w:bCs/>
              </w:rPr>
              <w:tab/>
              <w:t>you will be given an opportunity to elect to have a prosecution notice for the alleged offence dealt with by a COURT.</w:t>
            </w:r>
          </w:p>
          <w:p>
            <w:pPr>
              <w:pStyle w:val="yTableNAm"/>
              <w:spacing w:before="60"/>
              <w:rPr>
                <w:b/>
                <w:bCs/>
              </w:rPr>
            </w:pPr>
            <w:r>
              <w:rPr>
                <w:b/>
                <w:bCs/>
              </w:rPr>
              <w:t>PAYMENTS AFTER THE DUE DATE CAN ONLY BE MADE WITH A FINAL DEMAND LETTER WHICH INCURS AN ADDITIONAL ENFORCEMENT FEE.</w:t>
            </w:r>
          </w:p>
        </w:tc>
      </w:tr>
    </w:tbl>
    <w:p>
      <w:pPr>
        <w:pStyle w:val="yFootnotesection"/>
      </w:pPr>
      <w:r>
        <w:tab/>
        <w:t>[Form 3 amended in Gazette 14 Jun 2002 p. 2837; 5 Sep 2006 p. 3625; 4 Apr 2008 p. 1313; 23 Jun 2009 p. 2500; 20 Aug 2013 p. 3846; 15 Sep 2017 p. 4795.]</w:t>
      </w:r>
    </w:p>
    <w:p>
      <w:pPr>
        <w:pStyle w:val="yMiscellaneousHeading"/>
        <w:pageBreakBefore/>
        <w:rPr>
          <w:b/>
        </w:rPr>
      </w:pPr>
      <w:r>
        <w:rPr>
          <w:b/>
        </w:rPr>
        <w:t>Form 4</w:t>
      </w:r>
    </w:p>
    <w:p>
      <w:pPr>
        <w:pStyle w:val="yMiscellaneousHeading"/>
        <w:jc w:val="right"/>
      </w:pPr>
      <w:r>
        <w:t>[r. 54]</w:t>
      </w:r>
    </w:p>
    <w:p>
      <w:pPr>
        <w:pStyle w:val="yMiscellaneousHeading"/>
        <w:rPr>
          <w:iCs/>
        </w:rPr>
      </w:pPr>
      <w:r>
        <w:rPr>
          <w:i/>
          <w:iCs/>
        </w:rPr>
        <w:t>Water Agencies (Powers) Act 1984</w:t>
      </w:r>
      <w:r>
        <w:rPr>
          <w:iCs/>
        </w:rPr>
        <w:t xml:space="preserve"> s. 103(6)</w:t>
      </w:r>
    </w:p>
    <w:p>
      <w:pPr>
        <w:pStyle w:val="yMiscellaneousHeading"/>
        <w:rPr>
          <w:b/>
          <w:bCs/>
        </w:rPr>
      </w:pPr>
      <w:r>
        <w:rPr>
          <w:b/>
          <w:bCs/>
        </w:rPr>
        <w:t>Notice of withdrawal of 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NAm"/>
              <w:rPr>
                <w:b/>
                <w:bCs/>
              </w:rPr>
            </w:pPr>
          </w:p>
        </w:tc>
        <w:tc>
          <w:tcPr>
            <w:tcW w:w="6237" w:type="dxa"/>
            <w:gridSpan w:val="2"/>
            <w:tcBorders>
              <w:top w:val="nil"/>
              <w:left w:val="nil"/>
              <w:right w:val="nil"/>
            </w:tcBorders>
          </w:tcPr>
          <w:p>
            <w:pPr>
              <w:pStyle w:val="yTableNAm"/>
              <w:rPr>
                <w:b/>
                <w:bCs/>
              </w:rPr>
            </w:pPr>
            <w:r>
              <w:rPr>
                <w:b/>
                <w:bCs/>
              </w:rPr>
              <w:t>AN INFRINGEMENT NOTICE GIVEN TO YOU HAS BEEN WITHDRAWN AND NO FURTHER ACTION WILL BE TAKEN*/A SUMMONS WILL BE ISSUED*</w:t>
            </w:r>
          </w:p>
          <w:p>
            <w:pPr>
              <w:pStyle w:val="yTableNAm"/>
              <w:spacing w:after="60"/>
            </w:pPr>
            <w:r>
              <w:t>*  Delete where not applicable.</w:t>
            </w:r>
          </w:p>
        </w:tc>
      </w:tr>
      <w:tr>
        <w:tc>
          <w:tcPr>
            <w:tcW w:w="1418" w:type="dxa"/>
            <w:gridSpan w:val="2"/>
          </w:tcPr>
          <w:p>
            <w:pPr>
              <w:pStyle w:val="yTableNAm"/>
              <w:rPr>
                <w:b/>
                <w:bCs/>
              </w:rPr>
            </w:pPr>
            <w:r>
              <w:rPr>
                <w:b/>
                <w:bCs/>
              </w:rPr>
              <w:t>Information about the withdrawn notice</w:t>
            </w:r>
          </w:p>
        </w:tc>
        <w:tc>
          <w:tcPr>
            <w:tcW w:w="5386" w:type="dxa"/>
          </w:tcPr>
          <w:p>
            <w:pPr>
              <w:pStyle w:val="yTableNAm"/>
            </w:pPr>
            <w:r>
              <w:t>Date of issue: .......................................................................</w:t>
            </w:r>
          </w:p>
          <w:p>
            <w:pPr>
              <w:pStyle w:val="yTableNAm"/>
            </w:pPr>
            <w:r>
              <w:t>Alleged offence: ..................................................................</w:t>
            </w:r>
          </w:p>
          <w:p>
            <w:pPr>
              <w:pStyle w:val="yTableNAm"/>
            </w:pPr>
            <w:r>
              <w:t>Notice number: ....................................................................</w:t>
            </w:r>
          </w:p>
        </w:tc>
      </w:tr>
      <w:tr>
        <w:tc>
          <w:tcPr>
            <w:tcW w:w="1418" w:type="dxa"/>
            <w:gridSpan w:val="2"/>
          </w:tcPr>
          <w:p>
            <w:pPr>
              <w:pStyle w:val="yTableNAm"/>
              <w:rPr>
                <w:b/>
                <w:bCs/>
              </w:rPr>
            </w:pPr>
            <w:r>
              <w:rPr>
                <w:b/>
                <w:bCs/>
              </w:rPr>
              <w:t>Information about this notice</w:t>
            </w:r>
          </w:p>
        </w:tc>
        <w:tc>
          <w:tcPr>
            <w:tcW w:w="5386" w:type="dxa"/>
          </w:tcPr>
          <w:p>
            <w:pPr>
              <w:pStyle w:val="yTableNAm"/>
            </w:pPr>
            <w:r>
              <w:t>Date: ....................................................................................</w:t>
            </w:r>
          </w:p>
          <w:p>
            <w:pPr>
              <w:pStyle w:val="yTableNAm"/>
            </w:pPr>
            <w:r>
              <w:t>Issued at: .............................................................................</w:t>
            </w:r>
          </w:p>
          <w:p>
            <w:pPr>
              <w:pStyle w:val="yTableNAm"/>
            </w:pPr>
            <w:r>
              <w:t>By: .......................................................................................</w:t>
            </w:r>
          </w:p>
          <w:p>
            <w:pPr>
              <w:pStyle w:val="yTableNAm"/>
            </w:pPr>
            <w:r>
              <w:t>Signature of prescribed person: ..........................................</w:t>
            </w:r>
          </w:p>
          <w:p>
            <w:pPr>
              <w:pStyle w:val="yTableNAm"/>
            </w:pPr>
            <w:r>
              <w:t>Title of the office held by the prescribed person: ...............</w:t>
            </w:r>
          </w:p>
        </w:tc>
      </w:tr>
    </w:tbl>
    <w:p>
      <w:pPr>
        <w:pStyle w:val="yFootnotesection"/>
        <w:rPr>
          <w:b/>
        </w:rPr>
      </w:pPr>
      <w:r>
        <w:tab/>
        <w:t>[Form 4 amended in Gazette 14 Jun 2002 p. 2837; 23 Jun 2009 p. 2500.]</w:t>
      </w:r>
    </w:p>
    <w:p>
      <w:pPr>
        <w:pStyle w:val="yMiscellaneousHeading"/>
        <w:pageBreakBefore/>
        <w:rPr>
          <w:b/>
        </w:rPr>
      </w:pPr>
      <w:r>
        <w:rPr>
          <w:b/>
        </w:rPr>
        <w:t>Form 5</w:t>
      </w:r>
    </w:p>
    <w:p>
      <w:pPr>
        <w:pStyle w:val="yMiscellaneousHeading"/>
        <w:spacing w:before="120"/>
        <w:rPr>
          <w:i/>
          <w:iCs/>
        </w:rPr>
      </w:pPr>
      <w:r>
        <w:rPr>
          <w:i/>
          <w:iCs/>
        </w:rPr>
        <w:t>Rights in Water and Irrigation Act 1914</w:t>
      </w:r>
    </w:p>
    <w:p>
      <w:pPr>
        <w:pStyle w:val="yMiscellaneousHeading"/>
        <w:spacing w:before="0"/>
        <w:rPr>
          <w:iCs/>
        </w:rPr>
      </w:pPr>
      <w:r>
        <w:rPr>
          <w:i/>
          <w:iCs/>
        </w:rPr>
        <w:t>Water Agencies (Powers) Act 1984</w:t>
      </w:r>
      <w:r>
        <w:rPr>
          <w:iCs/>
        </w:rPr>
        <w:t xml:space="preserve"> s. 103(11)</w:t>
      </w:r>
    </w:p>
    <w:p>
      <w:pPr>
        <w:pStyle w:val="yMiscellaneousHeading"/>
        <w:spacing w:before="120"/>
        <w:rPr>
          <w:b/>
          <w:bCs/>
        </w:rPr>
      </w:pPr>
      <w:r>
        <w:rPr>
          <w:b/>
          <w:bCs/>
        </w:rPr>
        <w:t>Certificate that person is an authorised person</w:t>
      </w:r>
    </w:p>
    <w:p>
      <w:pPr>
        <w:pStyle w:val="yMiscellaneousBody"/>
        <w:spacing w:before="60"/>
      </w:pPr>
    </w:p>
    <w:p>
      <w:pPr>
        <w:pStyle w:val="yMiscellaneousBody"/>
        <w:spacing w:before="60"/>
      </w:pPr>
      <w:r>
        <w:t>No. .............................................</w:t>
      </w:r>
    </w:p>
    <w:p>
      <w:pPr>
        <w:pStyle w:val="yMiscellaneousBody"/>
        <w:spacing w:before="60"/>
      </w:pPr>
      <w:r>
        <w:t>Photograph of authorised person</w:t>
      </w:r>
    </w:p>
    <w:p>
      <w:pPr>
        <w:pStyle w:val="yMiscellaneousBody"/>
        <w:spacing w:before="0"/>
      </w:pPr>
    </w:p>
    <w:p>
      <w:pPr>
        <w:pStyle w:val="yMiscellaneousBody"/>
        <w:spacing w:before="60"/>
      </w:pPr>
      <w:r>
        <w:t>.................................................................</w:t>
      </w:r>
      <w:r>
        <w:br/>
        <w:t>(Name)</w:t>
      </w:r>
    </w:p>
    <w:p>
      <w:pPr>
        <w:pStyle w:val="yMiscellaneousBody"/>
        <w:spacing w:before="0"/>
      </w:pPr>
    </w:p>
    <w:p>
      <w:pPr>
        <w:pStyle w:val="yMiscellaneousBody"/>
        <w:spacing w:before="60"/>
      </w:pPr>
      <w:r>
        <w:t>..................................................................</w:t>
      </w:r>
      <w:r>
        <w:br/>
        <w:t>(Signature)</w:t>
      </w:r>
    </w:p>
    <w:p>
      <w:pPr>
        <w:pStyle w:val="yMiscellaneousBody"/>
        <w:spacing w:before="0"/>
      </w:pPr>
    </w:p>
    <w:p>
      <w:pPr>
        <w:pStyle w:val="yMiscellaneousBody"/>
        <w:spacing w:before="60"/>
      </w:pPr>
      <w:r>
        <w:t>..................................................................</w:t>
      </w:r>
    </w:p>
    <w:p>
      <w:pPr>
        <w:pStyle w:val="yMiscellaneousBody"/>
        <w:spacing w:before="0"/>
      </w:pPr>
      <w:r>
        <w:t>(Title of the office held by the authorised person)</w:t>
      </w:r>
    </w:p>
    <w:p>
      <w:pPr>
        <w:pStyle w:val="yMiscellaneousBody"/>
        <w:spacing w:before="0"/>
      </w:pPr>
    </w:p>
    <w:p>
      <w:pPr>
        <w:pStyle w:val="yMiscellaneousBody"/>
        <w:spacing w:before="60"/>
      </w:pPr>
      <w:r>
        <w:t>...................................................................</w:t>
      </w:r>
      <w:r>
        <w:br/>
        <w:t>(Date of issue)</w:t>
      </w:r>
    </w:p>
    <w:p>
      <w:pPr>
        <w:pStyle w:val="yMiscellaneousBody"/>
        <w:spacing w:before="0"/>
      </w:pPr>
    </w:p>
    <w:p>
      <w:pPr>
        <w:pStyle w:val="yMiscellaneousBody"/>
        <w:spacing w:before="60"/>
      </w:pPr>
      <w:r>
        <w:t>...................................................................</w:t>
      </w:r>
      <w:r>
        <w:br/>
        <w:t>(Date of expiry)</w:t>
      </w:r>
    </w:p>
    <w:p>
      <w:pPr>
        <w:pStyle w:val="yMiscellaneousBody"/>
        <w:spacing w:before="0"/>
      </w:pPr>
    </w:p>
    <w:p>
      <w:pPr>
        <w:pStyle w:val="yMiscellaneousBody"/>
        <w:spacing w:before="60"/>
        <w:rPr>
          <w:iCs/>
        </w:rPr>
      </w:pPr>
      <w:r>
        <w:t xml:space="preserve">This is to certify that the person identified on this certificate is authorised, in accordance with section 103 of the </w:t>
      </w:r>
      <w:r>
        <w:rPr>
          <w:i/>
        </w:rPr>
        <w:t>Water Agencies (Powers) Act 1984</w:t>
      </w:r>
      <w:r>
        <w:t xml:space="preserve">, to give infringement notices under the </w:t>
      </w:r>
      <w:r>
        <w:rPr>
          <w:i/>
          <w:iCs/>
        </w:rPr>
        <w:t>Rights in Water and Irrigation Regulations 2000</w:t>
      </w:r>
      <w:r>
        <w:rPr>
          <w:iCs/>
        </w:rPr>
        <w:t>.</w:t>
      </w:r>
    </w:p>
    <w:p>
      <w:pPr>
        <w:pStyle w:val="ySubsection"/>
        <w:spacing w:before="120"/>
      </w:pPr>
      <w:r>
        <w:t>Signed: .......................................................................</w:t>
      </w:r>
    </w:p>
    <w:p>
      <w:pPr>
        <w:pStyle w:val="ySubsection"/>
        <w:tabs>
          <w:tab w:val="clear" w:pos="595"/>
          <w:tab w:val="clear" w:pos="879"/>
        </w:tabs>
        <w:spacing w:before="120"/>
        <w:ind w:left="0" w:firstLine="0"/>
      </w:pPr>
      <w:r>
        <w:t xml:space="preserve">Chief executive officer of the Department </w:t>
      </w:r>
      <w:r>
        <w:rPr>
          <w:i/>
        </w:rPr>
        <w:t xml:space="preserve">or </w:t>
      </w:r>
      <w:r>
        <w:t>Chief executive officer of the Water Corporation on behalf of the Water Corporation.*</w:t>
      </w:r>
    </w:p>
    <w:p>
      <w:pPr>
        <w:pStyle w:val="ySubsection"/>
        <w:spacing w:before="120"/>
      </w:pPr>
      <w:r>
        <w:t>* Delete the inapplicable.</w:t>
      </w:r>
    </w:p>
    <w:p>
      <w:pPr>
        <w:pStyle w:val="yFootnotesection"/>
      </w:pPr>
      <w:r>
        <w:tab/>
        <w:t>[Form 5 amended in Gazette 14 Jun 2002 p. 2837; 23 Jun 2009 p. 2501; 15 Sep 2017 p. 4795.]</w:t>
      </w:r>
    </w:p>
    <w:p>
      <w:pPr>
        <w:pStyle w:val="yScheduleHeading"/>
      </w:pPr>
      <w:bookmarkStart w:id="114" w:name="_Toc500246102"/>
      <w:bookmarkStart w:id="115" w:name="_Toc500246116"/>
      <w:bookmarkStart w:id="116" w:name="_Toc500246420"/>
      <w:bookmarkStart w:id="117" w:name="_Toc500247468"/>
      <w:bookmarkStart w:id="118" w:name="_Toc500247569"/>
      <w:bookmarkStart w:id="119" w:name="_Toc500314868"/>
      <w:bookmarkStart w:id="120" w:name="_Toc500315225"/>
      <w:bookmarkStart w:id="121" w:name="_Toc503513208"/>
      <w:bookmarkStart w:id="122" w:name="_Toc506886897"/>
      <w:r>
        <w:rPr>
          <w:rStyle w:val="CharSchNo"/>
        </w:rPr>
        <w:t>Schedule 4</w:t>
      </w:r>
      <w:r>
        <w:t> —</w:t>
      </w:r>
      <w:r>
        <w:rPr>
          <w:sz w:val="24"/>
        </w:rPr>
        <w:t> </w:t>
      </w:r>
      <w:r>
        <w:rPr>
          <w:rStyle w:val="CharSchText"/>
        </w:rPr>
        <w:t>Gnangara groundwater plan area</w:t>
      </w:r>
      <w:bookmarkEnd w:id="114"/>
      <w:bookmarkEnd w:id="115"/>
      <w:bookmarkEnd w:id="116"/>
      <w:bookmarkEnd w:id="117"/>
      <w:bookmarkEnd w:id="118"/>
      <w:bookmarkEnd w:id="119"/>
      <w:bookmarkEnd w:id="120"/>
      <w:bookmarkEnd w:id="121"/>
      <w:bookmarkEnd w:id="122"/>
    </w:p>
    <w:p>
      <w:pPr>
        <w:pStyle w:val="yShoulderClause"/>
      </w:pPr>
      <w:r>
        <w:t>[r. 41A]</w:t>
      </w:r>
    </w:p>
    <w:p>
      <w:pPr>
        <w:pStyle w:val="yFootnoteheading"/>
        <w:spacing w:after="80"/>
      </w:pPr>
      <w:r>
        <w:tab/>
        <w:t>[Heading inserted in Gazette 20 Feb 2018 p. 500.]</w:t>
      </w:r>
    </w:p>
    <w:p>
      <w:pPr>
        <w:pStyle w:val="yMiscellaneousBody"/>
        <w:jc w:val="center"/>
      </w:pPr>
      <w:r>
        <w:rPr>
          <w:noProof/>
        </w:rPr>
        <w:drawing>
          <wp:inline distT="0" distB="0" distL="0" distR="0">
            <wp:extent cx="3852765" cy="5387249"/>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3869884" cy="5411186"/>
                    </a:xfrm>
                    <a:prstGeom prst="rect">
                      <a:avLst/>
                    </a:prstGeom>
                  </pic:spPr>
                </pic:pic>
              </a:graphicData>
            </a:graphic>
          </wp:inline>
        </w:drawing>
      </w:r>
    </w:p>
    <w:p>
      <w:pPr>
        <w:pStyle w:val="yFootnotesection"/>
      </w:pPr>
      <w:r>
        <w:tab/>
        <w:t>[Schedule 4 inserted in Gazette 20 Feb 2018 p. 500.]</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24" w:name="_Toc493168686"/>
      <w:bookmarkStart w:id="125" w:name="_Toc493233836"/>
      <w:bookmarkStart w:id="126" w:name="_Toc506886898"/>
      <w:r>
        <w:t>Notes</w:t>
      </w:r>
      <w:bookmarkEnd w:id="124"/>
      <w:bookmarkEnd w:id="125"/>
      <w:bookmarkEnd w:id="126"/>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127" w:name="_Toc506886899"/>
      <w:r>
        <w:t>Compilation table</w:t>
      </w:r>
      <w:bookmarkEnd w:id="1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rPr>
                <w:i/>
              </w:rPr>
            </w:pPr>
            <w:r>
              <w:rPr>
                <w:i/>
              </w:rPr>
              <w:t>Rights in Water and Irrigation Regulations 2000</w:t>
            </w:r>
          </w:p>
        </w:tc>
        <w:tc>
          <w:tcPr>
            <w:tcW w:w="1276" w:type="dxa"/>
            <w:tcBorders>
              <w:top w:val="single" w:sz="8" w:space="0" w:color="auto"/>
            </w:tcBorders>
          </w:tcPr>
          <w:p>
            <w:pPr>
              <w:pStyle w:val="nTable"/>
              <w:spacing w:after="40"/>
            </w:pPr>
            <w:r>
              <w:t>10 Jan 2001 p. 165</w:t>
            </w:r>
            <w:r>
              <w:noBreakHyphen/>
              <w:t>210</w:t>
            </w:r>
          </w:p>
        </w:tc>
        <w:tc>
          <w:tcPr>
            <w:tcW w:w="2693" w:type="dxa"/>
            <w:tcBorders>
              <w:top w:val="single" w:sz="8" w:space="0" w:color="auto"/>
            </w:tcBorders>
          </w:tcPr>
          <w:p>
            <w:pPr>
              <w:pStyle w:val="nTable"/>
              <w:spacing w:after="40"/>
            </w:pPr>
            <w:r>
              <w:t>10 Jan 2001 (see r. 2 and </w:t>
            </w:r>
            <w:r>
              <w:rPr>
                <w:i/>
              </w:rPr>
              <w:t xml:space="preserve">Gazette </w:t>
            </w:r>
            <w:r>
              <w:t>10 Jan 2001 p. 163)</w:t>
            </w:r>
          </w:p>
        </w:tc>
      </w:tr>
      <w:tr>
        <w:trPr>
          <w:cantSplit/>
        </w:trPr>
        <w:tc>
          <w:tcPr>
            <w:tcW w:w="3118" w:type="dxa"/>
          </w:tcPr>
          <w:p>
            <w:pPr>
              <w:pStyle w:val="nTable"/>
              <w:spacing w:after="40"/>
              <w:ind w:right="113"/>
              <w:rPr>
                <w:i/>
              </w:rPr>
            </w:pPr>
            <w:r>
              <w:rPr>
                <w:i/>
              </w:rPr>
              <w:t>Rights in Water and Irrigation Amendment Regulations 2002</w:t>
            </w:r>
          </w:p>
        </w:tc>
        <w:tc>
          <w:tcPr>
            <w:tcW w:w="1276" w:type="dxa"/>
          </w:tcPr>
          <w:p>
            <w:pPr>
              <w:pStyle w:val="nTable"/>
              <w:spacing w:after="40"/>
            </w:pPr>
            <w:r>
              <w:t>14 Jun 2002 p. 2835</w:t>
            </w:r>
            <w:r>
              <w:noBreakHyphen/>
              <w:t>7</w:t>
            </w:r>
          </w:p>
        </w:tc>
        <w:tc>
          <w:tcPr>
            <w:tcW w:w="2693" w:type="dxa"/>
          </w:tcPr>
          <w:p>
            <w:pPr>
              <w:pStyle w:val="nTable"/>
              <w:spacing w:after="40"/>
            </w:pPr>
            <w:r>
              <w:t xml:space="preserve">14 Jun 2002 </w:t>
            </w:r>
          </w:p>
        </w:tc>
      </w:tr>
      <w:tr>
        <w:trPr>
          <w:cantSplit/>
        </w:trPr>
        <w:tc>
          <w:tcPr>
            <w:tcW w:w="3118" w:type="dxa"/>
          </w:tcPr>
          <w:p>
            <w:pPr>
              <w:pStyle w:val="nTable"/>
              <w:spacing w:after="40"/>
              <w:ind w:right="113"/>
              <w:rPr>
                <w:i/>
              </w:rPr>
            </w:pPr>
            <w:r>
              <w:rPr>
                <w:i/>
              </w:rPr>
              <w:t>Rights in Water and Irrigation Amendment Regulations (No. 2) 2002</w:t>
            </w:r>
          </w:p>
        </w:tc>
        <w:tc>
          <w:tcPr>
            <w:tcW w:w="1276" w:type="dxa"/>
          </w:tcPr>
          <w:p>
            <w:pPr>
              <w:pStyle w:val="nTable"/>
              <w:spacing w:after="40"/>
            </w:pPr>
            <w:r>
              <w:t>17 Dec 2002 p. 5911</w:t>
            </w:r>
            <w:r>
              <w:noBreakHyphen/>
              <w:t>18</w:t>
            </w:r>
          </w:p>
        </w:tc>
        <w:tc>
          <w:tcPr>
            <w:tcW w:w="2693" w:type="dxa"/>
          </w:tcPr>
          <w:p>
            <w:pPr>
              <w:pStyle w:val="nTable"/>
              <w:spacing w:after="40"/>
            </w:pPr>
            <w:r>
              <w:t>17 Dec 2002</w:t>
            </w:r>
          </w:p>
        </w:tc>
      </w:tr>
      <w:tr>
        <w:trPr>
          <w:cantSplit/>
        </w:trPr>
        <w:tc>
          <w:tcPr>
            <w:tcW w:w="3118" w:type="dxa"/>
          </w:tcPr>
          <w:p>
            <w:pPr>
              <w:pStyle w:val="nTable"/>
              <w:spacing w:after="40"/>
              <w:ind w:right="113"/>
              <w:rPr>
                <w:i/>
              </w:rPr>
            </w:pPr>
            <w:r>
              <w:rPr>
                <w:i/>
              </w:rPr>
              <w:t>Rights in Water and Irrigation Amendment Regulations 2004</w:t>
            </w:r>
          </w:p>
        </w:tc>
        <w:tc>
          <w:tcPr>
            <w:tcW w:w="1276" w:type="dxa"/>
          </w:tcPr>
          <w:p>
            <w:pPr>
              <w:pStyle w:val="nTable"/>
              <w:spacing w:after="40"/>
            </w:pPr>
            <w:r>
              <w:t>30 Dec 2004 p. 7000</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Rights in Water and Irrigation Amendment Regulations 2006</w:t>
            </w:r>
          </w:p>
        </w:tc>
        <w:tc>
          <w:tcPr>
            <w:tcW w:w="1276" w:type="dxa"/>
          </w:tcPr>
          <w:p>
            <w:pPr>
              <w:pStyle w:val="nTable"/>
              <w:spacing w:after="40"/>
            </w:pPr>
            <w:r>
              <w:t>5 Sep 2006 p. 3623</w:t>
            </w:r>
            <w:r>
              <w:noBreakHyphen/>
              <w:t>5</w:t>
            </w:r>
          </w:p>
        </w:tc>
        <w:tc>
          <w:tcPr>
            <w:tcW w:w="2693" w:type="dxa"/>
          </w:tcPr>
          <w:p>
            <w:pPr>
              <w:pStyle w:val="nTable"/>
              <w:spacing w:after="40"/>
            </w:pPr>
            <w:r>
              <w:t>5 Sep 2006</w:t>
            </w:r>
          </w:p>
        </w:tc>
      </w:tr>
      <w:tr>
        <w:trPr>
          <w:cantSplit/>
        </w:trPr>
        <w:tc>
          <w:tcPr>
            <w:tcW w:w="7087" w:type="dxa"/>
            <w:gridSpan w:val="3"/>
          </w:tcPr>
          <w:p>
            <w:pPr>
              <w:pStyle w:val="nTable"/>
              <w:spacing w:after="40"/>
            </w:pPr>
            <w:r>
              <w:rPr>
                <w:b/>
                <w:bCs/>
              </w:rPr>
              <w:t xml:space="preserve">Reprint 1:  The </w:t>
            </w:r>
            <w:r>
              <w:rPr>
                <w:b/>
                <w:bCs/>
                <w:i/>
              </w:rPr>
              <w:t xml:space="preserve">Rights in Water and Irrigation Regulations 2000 </w:t>
            </w:r>
            <w:r>
              <w:rPr>
                <w:b/>
                <w:bCs/>
              </w:rPr>
              <w:t xml:space="preserve">as at 9 Feb 2007 </w:t>
            </w:r>
            <w:r>
              <w:t>(includes amendments listed above)</w:t>
            </w:r>
          </w:p>
        </w:tc>
      </w:tr>
      <w:tr>
        <w:trPr>
          <w:cantSplit/>
        </w:trPr>
        <w:tc>
          <w:tcPr>
            <w:tcW w:w="3118" w:type="dxa"/>
          </w:tcPr>
          <w:p>
            <w:pPr>
              <w:pStyle w:val="nTable"/>
              <w:spacing w:after="40"/>
              <w:ind w:right="113"/>
              <w:rPr>
                <w:i/>
              </w:rPr>
            </w:pPr>
            <w:r>
              <w:rPr>
                <w:i/>
              </w:rPr>
              <w:t>Rights in Water and Irrigation Amendment Regulations 2007</w:t>
            </w:r>
            <w:r>
              <w:rPr>
                <w:iCs/>
                <w:vertAlign w:val="superscript"/>
              </w:rPr>
              <w:t> 4</w:t>
            </w:r>
          </w:p>
        </w:tc>
        <w:tc>
          <w:tcPr>
            <w:tcW w:w="1276" w:type="dxa"/>
          </w:tcPr>
          <w:p>
            <w:pPr>
              <w:pStyle w:val="nTable"/>
              <w:spacing w:after="40"/>
            </w:pPr>
            <w:r>
              <w:t>22 Jun 2007 p. 2877</w:t>
            </w:r>
            <w:r>
              <w:noBreakHyphen/>
              <w:t>83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8" w:type="dxa"/>
          </w:tcPr>
          <w:p>
            <w:pPr>
              <w:pStyle w:val="nTable"/>
              <w:spacing w:after="40"/>
              <w:ind w:right="113"/>
              <w:rPr>
                <w:i/>
              </w:rPr>
            </w:pPr>
            <w:r>
              <w:rPr>
                <w:i/>
              </w:rPr>
              <w:t>Rights in Water and Irrigation Amendment Regulations (No. 2) 2007</w:t>
            </w:r>
          </w:p>
        </w:tc>
        <w:tc>
          <w:tcPr>
            <w:tcW w:w="1276" w:type="dxa"/>
          </w:tcPr>
          <w:p>
            <w:pPr>
              <w:pStyle w:val="nTable"/>
              <w:spacing w:after="40"/>
            </w:pPr>
            <w:r>
              <w:t>12 Oct 2007 p. 5510-11</w:t>
            </w:r>
          </w:p>
        </w:tc>
        <w:tc>
          <w:tcPr>
            <w:tcW w:w="2693" w:type="dxa"/>
          </w:tcPr>
          <w:p>
            <w:pPr>
              <w:pStyle w:val="nTable"/>
              <w:spacing w:after="40"/>
              <w:rPr>
                <w:snapToGrid w:val="0"/>
              </w:rPr>
            </w:pPr>
            <w:r>
              <w:rPr>
                <w:snapToGrid w:val="0"/>
              </w:rPr>
              <w:t>r. 1 and 2: 12 Oct 2007 (see r. 2(a));</w:t>
            </w:r>
            <w:r>
              <w:rPr>
                <w:snapToGrid w:val="0"/>
              </w:rPr>
              <w:br/>
              <w:t>Regulations other than r. 1 and 2: 13 Oct 2007 (see r. 2(b))</w:t>
            </w:r>
          </w:p>
        </w:tc>
      </w:tr>
      <w:tr>
        <w:trPr>
          <w:cantSplit/>
        </w:trPr>
        <w:tc>
          <w:tcPr>
            <w:tcW w:w="3118" w:type="dxa"/>
          </w:tcPr>
          <w:p>
            <w:pPr>
              <w:pStyle w:val="nTable"/>
              <w:spacing w:after="40"/>
              <w:ind w:right="113"/>
              <w:rPr>
                <w:iCs/>
              </w:rPr>
            </w:pPr>
            <w:r>
              <w:rPr>
                <w:i/>
              </w:rPr>
              <w:t>Rights in Water and Irrigation Amendment Regulations (No. 3) 2007</w:t>
            </w:r>
            <w:r>
              <w:rPr>
                <w:iCs/>
                <w:vertAlign w:val="superscript"/>
              </w:rPr>
              <w:t> 5</w:t>
            </w:r>
          </w:p>
        </w:tc>
        <w:tc>
          <w:tcPr>
            <w:tcW w:w="1276" w:type="dxa"/>
          </w:tcPr>
          <w:p>
            <w:pPr>
              <w:pStyle w:val="nTable"/>
              <w:spacing w:after="40"/>
            </w:pPr>
            <w:r>
              <w:t>28 Dec 2007 p. 6425-31</w:t>
            </w:r>
          </w:p>
        </w:tc>
        <w:tc>
          <w:tcPr>
            <w:tcW w:w="2693" w:type="dxa"/>
          </w:tcPr>
          <w:p>
            <w:pPr>
              <w:pStyle w:val="nTable"/>
              <w:spacing w:after="40"/>
              <w:rPr>
                <w:snapToGrid w:val="0"/>
              </w:rPr>
            </w:pPr>
            <w:r>
              <w:rPr>
                <w:snapToGrid w:val="0"/>
              </w:rPr>
              <w:t>r. 1 and 2: 28 Dec 2007 (see r. 2(a));</w:t>
            </w:r>
            <w:r>
              <w:rPr>
                <w:snapToGrid w:val="0"/>
              </w:rPr>
              <w:br/>
              <w:t>Regulations other than r. 1 and 2: 29 Dec 2007 (see r. 2(b))</w:t>
            </w:r>
          </w:p>
        </w:tc>
      </w:tr>
      <w:tr>
        <w:trPr>
          <w:cantSplit/>
        </w:trPr>
        <w:tc>
          <w:tcPr>
            <w:tcW w:w="3118" w:type="dxa"/>
          </w:tcPr>
          <w:p>
            <w:pPr>
              <w:pStyle w:val="nTable"/>
              <w:spacing w:after="40"/>
              <w:ind w:right="113"/>
              <w:rPr>
                <w:i/>
              </w:rPr>
            </w:pPr>
            <w:r>
              <w:rPr>
                <w:i/>
              </w:rPr>
              <w:t>Rights in Water and Irrigation Amendment Regulations 2008</w:t>
            </w:r>
          </w:p>
        </w:tc>
        <w:tc>
          <w:tcPr>
            <w:tcW w:w="1276" w:type="dxa"/>
          </w:tcPr>
          <w:p>
            <w:pPr>
              <w:pStyle w:val="nTable"/>
              <w:spacing w:after="40"/>
            </w:pPr>
            <w:r>
              <w:t>4 Apr 2008 p. 1312-13</w:t>
            </w:r>
          </w:p>
        </w:tc>
        <w:tc>
          <w:tcPr>
            <w:tcW w:w="2693" w:type="dxa"/>
          </w:tcPr>
          <w:p>
            <w:pPr>
              <w:pStyle w:val="nTable"/>
              <w:spacing w:after="40"/>
              <w:rPr>
                <w:snapToGrid w:val="0"/>
              </w:rPr>
            </w:pPr>
            <w:r>
              <w:rPr>
                <w:snapToGrid w:val="0"/>
              </w:rPr>
              <w:t>r. 1 and 2: 4 Apr 2008 (see r. 2(a));</w:t>
            </w:r>
            <w:r>
              <w:rPr>
                <w:snapToGrid w:val="0"/>
              </w:rPr>
              <w:br/>
              <w:t>Regulations other than r. 1 and 2: 5 Apr 2008 (see r. 2(b))</w:t>
            </w:r>
          </w:p>
        </w:tc>
      </w:tr>
      <w:tr>
        <w:trPr>
          <w:cantSplit/>
        </w:trPr>
        <w:tc>
          <w:tcPr>
            <w:tcW w:w="3118" w:type="dxa"/>
          </w:tcPr>
          <w:p>
            <w:pPr>
              <w:pStyle w:val="nTable"/>
              <w:spacing w:after="40"/>
              <w:ind w:right="113"/>
              <w:rPr>
                <w:i/>
              </w:rPr>
            </w:pPr>
            <w:r>
              <w:rPr>
                <w:i/>
              </w:rPr>
              <w:t>Rights in Water and Irrigation Amendment Regulations 2009</w:t>
            </w:r>
          </w:p>
        </w:tc>
        <w:tc>
          <w:tcPr>
            <w:tcW w:w="1276" w:type="dxa"/>
          </w:tcPr>
          <w:p>
            <w:pPr>
              <w:pStyle w:val="nTable"/>
              <w:spacing w:after="40"/>
            </w:pPr>
            <w:r>
              <w:t>23 Jun 2009 p. 2495-501</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7087" w:type="dxa"/>
            <w:gridSpan w:val="3"/>
          </w:tcPr>
          <w:p>
            <w:pPr>
              <w:pStyle w:val="nTable"/>
              <w:spacing w:after="40"/>
              <w:rPr>
                <w:snapToGrid w:val="0"/>
              </w:rPr>
            </w:pPr>
            <w:r>
              <w:rPr>
                <w:b/>
                <w:bCs/>
              </w:rPr>
              <w:t xml:space="preserve">Reprint 2:  The </w:t>
            </w:r>
            <w:r>
              <w:rPr>
                <w:b/>
                <w:bCs/>
                <w:i/>
              </w:rPr>
              <w:t xml:space="preserve">Rights in Water and Irrigation Regulations 2000 </w:t>
            </w:r>
            <w:r>
              <w:rPr>
                <w:b/>
                <w:bCs/>
              </w:rPr>
              <w:t xml:space="preserve">as at 7 Aug 2009 </w:t>
            </w:r>
            <w:r>
              <w:t>(includes amendments listed above)</w:t>
            </w:r>
          </w:p>
        </w:tc>
      </w:tr>
      <w:tr>
        <w:trPr>
          <w:cantSplit/>
        </w:trPr>
        <w:tc>
          <w:tcPr>
            <w:tcW w:w="3118" w:type="dxa"/>
          </w:tcPr>
          <w:p>
            <w:pPr>
              <w:pStyle w:val="nTable"/>
              <w:spacing w:after="40"/>
              <w:ind w:right="113"/>
              <w:rPr>
                <w:i/>
              </w:rPr>
            </w:pPr>
            <w:r>
              <w:rPr>
                <w:i/>
              </w:rPr>
              <w:t>Rights in Water and Irrigation Amendment Regulations (No. 2) 2009</w:t>
            </w:r>
          </w:p>
        </w:tc>
        <w:tc>
          <w:tcPr>
            <w:tcW w:w="1276" w:type="dxa"/>
          </w:tcPr>
          <w:p>
            <w:pPr>
              <w:pStyle w:val="nTable"/>
              <w:spacing w:after="40"/>
            </w:pPr>
            <w:r>
              <w:t>15 Sep 2009 p. 3599</w:t>
            </w:r>
            <w:r>
              <w:noBreakHyphen/>
              <w:t>604</w:t>
            </w:r>
          </w:p>
        </w:tc>
        <w:tc>
          <w:tcPr>
            <w:tcW w:w="2693"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Rights in Water and Irrigation Amendment Regulations 2010</w:t>
            </w:r>
          </w:p>
        </w:tc>
        <w:tc>
          <w:tcPr>
            <w:tcW w:w="1276" w:type="dxa"/>
          </w:tcPr>
          <w:p>
            <w:pPr>
              <w:pStyle w:val="nTable"/>
              <w:spacing w:after="40"/>
            </w:pPr>
            <w:r>
              <w:t>16 Mar 2010 p. 985</w:t>
            </w:r>
          </w:p>
        </w:tc>
        <w:tc>
          <w:tcPr>
            <w:tcW w:w="2693" w:type="dxa"/>
          </w:tcPr>
          <w:p>
            <w:pPr>
              <w:pStyle w:val="nTable"/>
              <w:spacing w:after="40"/>
              <w:rPr>
                <w:snapToGrid w:val="0"/>
              </w:rPr>
            </w:pPr>
            <w:r>
              <w:rPr>
                <w:snapToGrid w:val="0"/>
              </w:rPr>
              <w:t>r. 1 and 2: 16 Mar 2010 (see r. 2(a));</w:t>
            </w:r>
            <w:r>
              <w:rPr>
                <w:snapToGrid w:val="0"/>
              </w:rPr>
              <w:br/>
              <w:t>Regulations other than r. 1 and 2: 1 Apr 2010 (see r. 2(b))</w:t>
            </w:r>
          </w:p>
        </w:tc>
      </w:tr>
      <w:tr>
        <w:trPr>
          <w:cantSplit/>
        </w:trPr>
        <w:tc>
          <w:tcPr>
            <w:tcW w:w="3118" w:type="dxa"/>
          </w:tcPr>
          <w:p>
            <w:pPr>
              <w:pStyle w:val="nTable"/>
              <w:spacing w:after="40"/>
              <w:ind w:right="113"/>
              <w:rPr>
                <w:i/>
              </w:rPr>
            </w:pPr>
            <w:r>
              <w:rPr>
                <w:i/>
              </w:rPr>
              <w:t>Rights in Water and Irrigation Amendment Regulations 2011</w:t>
            </w:r>
          </w:p>
        </w:tc>
        <w:tc>
          <w:tcPr>
            <w:tcW w:w="1276" w:type="dxa"/>
          </w:tcPr>
          <w:p>
            <w:pPr>
              <w:pStyle w:val="nTable"/>
              <w:spacing w:after="40"/>
            </w:pPr>
            <w:r>
              <w:t>20 Dec 2011 p. 5411</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ind w:right="113"/>
              <w:rPr>
                <w:i/>
              </w:rPr>
            </w:pPr>
            <w:r>
              <w:rPr>
                <w:i/>
              </w:rPr>
              <w:t>Rights in Water and Irrigation Amendment Regulations 2013</w:t>
            </w:r>
          </w:p>
        </w:tc>
        <w:tc>
          <w:tcPr>
            <w:tcW w:w="1276" w:type="dxa"/>
          </w:tcPr>
          <w:p>
            <w:pPr>
              <w:pStyle w:val="nTable"/>
              <w:spacing w:after="40"/>
            </w:pPr>
            <w:r>
              <w:t>20 Aug 2013 p. 3846</w:t>
            </w:r>
          </w:p>
        </w:tc>
        <w:tc>
          <w:tcPr>
            <w:tcW w:w="2693"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shd w:val="clear" w:color="auto" w:fill="auto"/>
          </w:tcPr>
          <w:p>
            <w:pPr>
              <w:pStyle w:val="nTable"/>
              <w:spacing w:after="40"/>
              <w:ind w:right="113"/>
              <w:rPr>
                <w:i/>
              </w:rPr>
            </w:pPr>
            <w:r>
              <w:rPr>
                <w:i/>
              </w:rPr>
              <w:t>Rights in Water and Irrigation Amendment Regulations 2014</w:t>
            </w:r>
          </w:p>
        </w:tc>
        <w:tc>
          <w:tcPr>
            <w:tcW w:w="1276" w:type="dxa"/>
            <w:shd w:val="clear" w:color="auto" w:fill="auto"/>
          </w:tcPr>
          <w:p>
            <w:pPr>
              <w:pStyle w:val="nTable"/>
              <w:spacing w:after="40"/>
            </w:pPr>
            <w:r>
              <w:t>16 Dec 2014 p. 4766</w:t>
            </w:r>
          </w:p>
        </w:tc>
        <w:tc>
          <w:tcPr>
            <w:tcW w:w="2693" w:type="dxa"/>
            <w:shd w:val="clear" w:color="auto" w:fill="auto"/>
          </w:tcPr>
          <w:p>
            <w:pPr>
              <w:pStyle w:val="nTable"/>
              <w:spacing w:after="40"/>
              <w:rPr>
                <w:snapToGrid w:val="0"/>
              </w:rPr>
            </w:pPr>
            <w:r>
              <w:rPr>
                <w:bCs/>
                <w:snapToGrid w:val="0"/>
                <w:spacing w:val="-2"/>
              </w:rPr>
              <w:t>r. 1 and 2: 16 Dec 2014 (see r. 2(a));</w:t>
            </w:r>
            <w:r>
              <w:rPr>
                <w:bCs/>
                <w:snapToGrid w:val="0"/>
                <w:spacing w:val="-2"/>
              </w:rPr>
              <w:br/>
              <w:t>Regulations other than r. 1 and 2: 17 Dec 2014 (see r. 2(b))</w:t>
            </w:r>
          </w:p>
        </w:tc>
      </w:tr>
      <w:tr>
        <w:trPr>
          <w:cantSplit/>
        </w:trPr>
        <w:tc>
          <w:tcPr>
            <w:tcW w:w="3118" w:type="dxa"/>
            <w:shd w:val="clear" w:color="auto" w:fill="auto"/>
          </w:tcPr>
          <w:p>
            <w:pPr>
              <w:pStyle w:val="nTable"/>
              <w:spacing w:after="40"/>
              <w:ind w:right="113"/>
            </w:pPr>
            <w:r>
              <w:rPr>
                <w:i/>
              </w:rPr>
              <w:t>Water Legislation Amendment Regulations 2017</w:t>
            </w:r>
            <w:r>
              <w:t xml:space="preserve"> Pt. 2</w:t>
            </w:r>
          </w:p>
        </w:tc>
        <w:tc>
          <w:tcPr>
            <w:tcW w:w="1276" w:type="dxa"/>
            <w:shd w:val="clear" w:color="auto" w:fill="auto"/>
          </w:tcPr>
          <w:p>
            <w:pPr>
              <w:pStyle w:val="nTable"/>
              <w:spacing w:after="40"/>
            </w:pPr>
            <w:r>
              <w:t>15 Sep 2017 p. 4794</w:t>
            </w:r>
            <w:r>
              <w:noBreakHyphen/>
              <w:t>6</w:t>
            </w:r>
          </w:p>
        </w:tc>
        <w:tc>
          <w:tcPr>
            <w:tcW w:w="2693" w:type="dxa"/>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Rights in Water and Irrigation Amendment Regulations 2018</w:t>
            </w:r>
          </w:p>
        </w:tc>
        <w:tc>
          <w:tcPr>
            <w:tcW w:w="1276" w:type="dxa"/>
            <w:tcBorders>
              <w:bottom w:val="single" w:sz="4" w:space="0" w:color="auto"/>
            </w:tcBorders>
            <w:shd w:val="clear" w:color="auto" w:fill="auto"/>
          </w:tcPr>
          <w:p>
            <w:pPr>
              <w:pStyle w:val="nTable"/>
              <w:spacing w:after="40"/>
            </w:pPr>
            <w:r>
              <w:t>20 Feb 2018 p. 495</w:t>
            </w:r>
            <w:r>
              <w:noBreakHyphen/>
              <w:t>501</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r. 1 and 2: 20 Feb 2018 (see r. 2(a));</w:t>
            </w:r>
            <w:r>
              <w:rPr>
                <w:bCs/>
                <w:snapToGrid w:val="0"/>
                <w:spacing w:val="-2"/>
              </w:rPr>
              <w:br/>
              <w:t>Regulations other than r. 1 and 2: 21 Feb 2018 (see r. 2(b))</w:t>
            </w:r>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pPr>
      <w:r>
        <w:rPr>
          <w:vertAlign w:val="superscript"/>
        </w:rPr>
        <w:t>4</w:t>
      </w:r>
      <w:r>
        <w:tab/>
        <w:t xml:space="preserve">Disallowed 22 Nov 2007 see </w:t>
      </w:r>
      <w:r>
        <w:rPr>
          <w:i/>
          <w:iCs/>
        </w:rPr>
        <w:t>Gazette</w:t>
      </w:r>
      <w:r>
        <w:t xml:space="preserve"> 27 Nov 2007 p. 5910.</w:t>
      </w:r>
    </w:p>
    <w:p>
      <w:pPr>
        <w:pStyle w:val="nSubsection"/>
      </w:pPr>
      <w:r>
        <w:rPr>
          <w:vertAlign w:val="superscript"/>
        </w:rPr>
        <w:t>5</w:t>
      </w:r>
      <w:r>
        <w:tab/>
        <w:t xml:space="preserve">Disallowed 8 Apr 2008 see </w:t>
      </w:r>
      <w:r>
        <w:rPr>
          <w:i/>
          <w:iCs/>
        </w:rPr>
        <w:t>Gazette</w:t>
      </w:r>
      <w:r>
        <w:t xml:space="preserve"> 11 Apr 2008 p. 1396.</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29" w:name="_Toc506886900"/>
      <w:r>
        <w:rPr>
          <w:sz w:val="28"/>
        </w:rPr>
        <w:t>Defined terms</w:t>
      </w:r>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w:t>
      </w:r>
      <w:r>
        <w:tab/>
        <w:t>3</w:t>
      </w:r>
    </w:p>
    <w:p>
      <w:pPr>
        <w:pStyle w:val="DefinedTerms"/>
      </w:pPr>
      <w:r>
        <w:t>clause</w:t>
      </w:r>
      <w:r>
        <w:tab/>
        <w:t>47</w:t>
      </w:r>
    </w:p>
    <w:p>
      <w:pPr>
        <w:pStyle w:val="DefinedTerms"/>
      </w:pPr>
      <w:r>
        <w:t>coordinate references</w:t>
      </w:r>
      <w:r>
        <w:tab/>
        <w:t>41A</w:t>
      </w:r>
    </w:p>
    <w:p>
      <w:pPr>
        <w:pStyle w:val="DefinedTerms"/>
      </w:pPr>
      <w:r>
        <w:t>Department</w:t>
      </w:r>
      <w:r>
        <w:tab/>
        <w:t>3</w:t>
      </w:r>
    </w:p>
    <w:p>
      <w:pPr>
        <w:pStyle w:val="DefinedTerms"/>
      </w:pPr>
      <w:r>
        <w:t>form</w:t>
      </w:r>
      <w:r>
        <w:tab/>
        <w:t>3</w:t>
      </w:r>
    </w:p>
    <w:p>
      <w:pPr>
        <w:pStyle w:val="DefinedTerms"/>
      </w:pPr>
      <w:r>
        <w:t>Gnangara groundwater plan area</w:t>
      </w:r>
      <w:r>
        <w:tab/>
        <w:t>41A</w:t>
      </w:r>
    </w:p>
    <w:p>
      <w:pPr>
        <w:pStyle w:val="DefinedTerms"/>
      </w:pPr>
      <w:r>
        <w:t>licence</w:t>
      </w:r>
      <w:r>
        <w:tab/>
        <w:t>3, 32</w:t>
      </w:r>
    </w:p>
    <w:p>
      <w:pPr>
        <w:pStyle w:val="DefinedTerms"/>
      </w:pPr>
      <w:r>
        <w:t>meter</w:t>
      </w:r>
      <w:r>
        <w:tab/>
        <w:t>41A</w:t>
      </w:r>
    </w:p>
    <w:p>
      <w:pPr>
        <w:pStyle w:val="DefinedTerms"/>
      </w:pPr>
      <w:r>
        <w:t>new owner</w:t>
      </w:r>
      <w:r>
        <w:tab/>
        <w:t>16(1)</w:t>
      </w:r>
    </w:p>
    <w:p>
      <w:pPr>
        <w:pStyle w:val="DefinedTerms"/>
      </w:pPr>
      <w:r>
        <w:t>permit</w:t>
      </w:r>
      <w:r>
        <w:tab/>
        <w:t>3</w:t>
      </w:r>
    </w:p>
    <w:p>
      <w:pPr>
        <w:pStyle w:val="DefinedTerms"/>
      </w:pPr>
      <w:r>
        <w:t>register</w:t>
      </w:r>
      <w:r>
        <w:tab/>
        <w:t>47</w:t>
      </w:r>
    </w:p>
    <w:p>
      <w:pPr>
        <w:pStyle w:val="DefinedTerms"/>
      </w:pPr>
      <w:r>
        <w:t>section</w:t>
      </w:r>
      <w:r>
        <w:tab/>
        <w:t>3</w:t>
      </w:r>
    </w:p>
    <w:p>
      <w:pPr>
        <w:pStyle w:val="DefinedTerms"/>
      </w:pPr>
      <w:r>
        <w:t>water entitlement</w:t>
      </w:r>
      <w:r>
        <w:tab/>
        <w:t>23(1), 41A</w:t>
      </w:r>
    </w:p>
    <w:p>
      <w:pPr>
        <w:pStyle w:val="DefinedTerms"/>
      </w:pPr>
      <w:r>
        <w:t>water year</w:t>
      </w:r>
      <w:r>
        <w:tab/>
        <w:t>41A</w:t>
      </w:r>
    </w:p>
    <w:p>
      <w:pPr>
        <w:pStyle w:val="DefinedTerms"/>
      </w:pPr>
      <w:r>
        <w:t>well</w:t>
      </w:r>
      <w:r>
        <w:tab/>
        <w:t>32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3" w:name="Schedule"/>
    <w:bookmarkEnd w:id="1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 w:name="Coversheet"/>
    <w:bookmarkEnd w:id="1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B6A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1D6B4D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A4AC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4CA7F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F44B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AE8E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004FC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CDAA0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8C58F6"/>
    <w:lvl w:ilvl="0">
      <w:start w:val="1"/>
      <w:numFmt w:val="decimal"/>
      <w:pStyle w:val="ListNumber"/>
      <w:lvlText w:val="%1."/>
      <w:lvlJc w:val="left"/>
      <w:pPr>
        <w:tabs>
          <w:tab w:val="num" w:pos="360"/>
        </w:tabs>
        <w:ind w:left="360" w:hanging="360"/>
      </w:pPr>
    </w:lvl>
  </w:abstractNum>
  <w:abstractNum w:abstractNumId="9">
    <w:nsid w:val="FFFFFF89"/>
    <w:multiLevelType w:val="singleLevel"/>
    <w:tmpl w:val="EAAA28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3608C7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A2114E3"/>
    <w:multiLevelType w:val="hybridMultilevel"/>
    <w:tmpl w:val="1EEC9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14152015"/>
    <w:docVar w:name="WAFER_20140110100112" w:val="RemoveTocBookmarks,RemoveUnusedBookmarks,RemoveLanguageTags,UsedStyles,ResetPageSize,UpdateArrangement"/>
    <w:docVar w:name="WAFER_20140110100112_GUID" w:val="05ac1e4b-45f0-4fb8-9298-468a3ff12880"/>
    <w:docVar w:name="WAFER_20140110100446" w:val="RemoveTocBookmarks,RunningHeaders"/>
    <w:docVar w:name="WAFER_20140110100446_GUID" w:val="ae612553-6efe-4bbf-b95d-08167f57be27"/>
    <w:docVar w:name="WAFER_20150720160817" w:val="ResetPageSize,UpdateArrangement,UpdateNTable"/>
    <w:docVar w:name="WAFER_20150720160817_GUID" w:val="a3f4b5e8-c2d2-4ad0-ad18-785781913fb1"/>
    <w:docVar w:name="WAFER_20151112113912" w:val="UpdateStyles,UsedStyles"/>
    <w:docVar w:name="WAFER_20151112113912_GUID" w:val="fb1093ae-8434-4f96-8c46-b051590021ef"/>
    <w:docVar w:name="WAFER_20151201111350" w:val="RemoveTrackChanges"/>
    <w:docVar w:name="WAFER_20151201111350_GUID" w:val="878377bf-6b9a-4649-8cc3-b22b33ef14d3"/>
    <w:docVar w:name="WAFER_20170914152015" w:val="RemoveTocBookmarks,RemoveUnusedBookmarks,RemoveLanguageTags,UsedStyles,ResetPageSize"/>
    <w:docVar w:name="WAFER_20170914152015_GUID" w:val="b1f0cc07-e5e3-4c04-b01b-887676c265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07040-FBFB-46BE-B945-39D91EC22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12286</Words>
  <Characters>63032</Characters>
  <Application>Microsoft Office Word</Application>
  <DocSecurity>0</DocSecurity>
  <Lines>2173</Lines>
  <Paragraphs>1255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74063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2000 - 02-i0-01</dc:title>
  <dc:subject/>
  <dc:creator/>
  <cp:keywords/>
  <dc:description/>
  <cp:lastModifiedBy>svcMRProcess</cp:lastModifiedBy>
  <cp:revision>4</cp:revision>
  <cp:lastPrinted>2009-08-21T06:53:00Z</cp:lastPrinted>
  <dcterms:created xsi:type="dcterms:W3CDTF">2018-06-07T04:18:00Z</dcterms:created>
  <dcterms:modified xsi:type="dcterms:W3CDTF">2018-06-07T04:18:00Z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DocumentType">
    <vt:lpwstr>Reg</vt:lpwstr>
  </property>
  <property fmtid="{D5CDD505-2E9C-101B-9397-08002B2CF9AE}" pid="4" name="OwlsUID">
    <vt:i4>2584</vt:i4>
  </property>
  <property fmtid="{D5CDD505-2E9C-101B-9397-08002B2CF9AE}" pid="5" name="ReprintNo">
    <vt:lpwstr>2</vt:lpwstr>
  </property>
  <property fmtid="{D5CDD505-2E9C-101B-9397-08002B2CF9AE}" pid="6" name="CommencementDate">
    <vt:lpwstr>20180221</vt:lpwstr>
  </property>
  <property fmtid="{D5CDD505-2E9C-101B-9397-08002B2CF9AE}" pid="7" name="AsAtDate">
    <vt:lpwstr>21 Feb 2018</vt:lpwstr>
  </property>
  <property fmtid="{D5CDD505-2E9C-101B-9397-08002B2CF9AE}" pid="8" name="Suffix">
    <vt:lpwstr>02-i0-01</vt:lpwstr>
  </property>
</Properties>
</file>