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_Toc507596948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_Toc507596949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_Toc507596950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_Toc507596952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_Toc507596954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_Toc507596955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_Toc507596956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_Toc507596957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_Toc507596958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_Toc507596959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_Toc507596960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_Toc507596961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_Toc507596962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_Toc507596963 \h </w:instrText>
      </w:r>
      <w:r>
        <w:fldChar w:fldCharType="separate"/>
      </w:r>
      <w:r>
        <w:t>16</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_Toc507596964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_Toc507596965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_Toc507596966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_Toc507596967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_Toc507596969 \h </w:instrText>
      </w:r>
      <w:r>
        <w:fldChar w:fldCharType="separate"/>
      </w:r>
      <w:r>
        <w:t>21</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_Toc507596970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_Toc507596971 \h </w:instrText>
      </w:r>
      <w:r>
        <w:fldChar w:fldCharType="separate"/>
      </w:r>
      <w:r>
        <w:t>22</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_Toc507596972 \h </w:instrText>
      </w:r>
      <w:r>
        <w:fldChar w:fldCharType="separate"/>
      </w:r>
      <w:r>
        <w:t>24</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_Toc507596973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_Toc507596974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_Toc507596976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_Toc507596978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_Toc507596979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_Toc507596983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507595216"/>
      <w:bookmarkStart w:id="4" w:name="_Toc507596946"/>
      <w:r>
        <w:rPr>
          <w:rStyle w:val="CharPartNo"/>
        </w:rPr>
        <w:t>Part I</w:t>
      </w:r>
      <w:r>
        <w:t> — </w:t>
      </w:r>
      <w:r>
        <w:rPr>
          <w:rStyle w:val="CharPartText"/>
        </w:rPr>
        <w:t>The Tribunal</w:t>
      </w:r>
      <w:bookmarkEnd w:id="3"/>
      <w:bookmarkEnd w:id="4"/>
      <w:r>
        <w:rPr>
          <w:rStyle w:val="CharPartText"/>
        </w:rPr>
        <w:t xml:space="preserve"> </w:t>
      </w:r>
    </w:p>
    <w:p>
      <w:pPr>
        <w:pStyle w:val="Heading3"/>
      </w:pPr>
      <w:bookmarkStart w:id="5" w:name="_Toc507595217"/>
      <w:bookmarkStart w:id="6" w:name="_Toc507596947"/>
      <w:r>
        <w:rPr>
          <w:rStyle w:val="CharDivNo"/>
        </w:rPr>
        <w:t>Division 1</w:t>
      </w:r>
      <w:r>
        <w:t> — </w:t>
      </w:r>
      <w:r>
        <w:rPr>
          <w:rStyle w:val="CharDivText"/>
        </w:rPr>
        <w:t>Preliminary</w:t>
      </w:r>
      <w:bookmarkEnd w:id="5"/>
      <w:bookmarkEnd w:id="6"/>
    </w:p>
    <w:p>
      <w:pPr>
        <w:pStyle w:val="Footnoteheading"/>
      </w:pPr>
      <w:r>
        <w:tab/>
        <w:t>[Heading inserted by No. 1 of 2018 s. 4.]</w:t>
      </w:r>
    </w:p>
    <w:p>
      <w:pPr>
        <w:pStyle w:val="Heading5"/>
        <w:rPr>
          <w:snapToGrid w:val="0"/>
        </w:rPr>
      </w:pPr>
      <w:bookmarkStart w:id="7" w:name="_Toc507596948"/>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8" w:name="_Toc507596949"/>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9" w:name="_Toc507596950"/>
      <w:r>
        <w:rPr>
          <w:rStyle w:val="CharSectno"/>
        </w:rPr>
        <w:t>4</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6; No. 46 of 2016 s. 4.]</w:t>
      </w:r>
    </w:p>
    <w:p>
      <w:pPr>
        <w:pStyle w:val="Heading3"/>
      </w:pPr>
      <w:bookmarkStart w:id="10" w:name="_Toc507595221"/>
      <w:bookmarkStart w:id="11" w:name="_Toc507596951"/>
      <w:r>
        <w:rPr>
          <w:rStyle w:val="CharDivNo"/>
        </w:rPr>
        <w:t>Division 2</w:t>
      </w:r>
      <w:r>
        <w:t> — </w:t>
      </w:r>
      <w:r>
        <w:rPr>
          <w:rStyle w:val="CharDivText"/>
        </w:rPr>
        <w:t>Tribunal established</w:t>
      </w:r>
      <w:bookmarkEnd w:id="10"/>
      <w:bookmarkEnd w:id="11"/>
    </w:p>
    <w:p>
      <w:pPr>
        <w:pStyle w:val="Footnoteheading"/>
      </w:pPr>
      <w:r>
        <w:tab/>
        <w:t>[Heading inserted by No. 1 of 2018 s. 5.]</w:t>
      </w:r>
    </w:p>
    <w:p>
      <w:pPr>
        <w:pStyle w:val="Heading5"/>
        <w:rPr>
          <w:snapToGrid w:val="0"/>
        </w:rPr>
      </w:pPr>
      <w:bookmarkStart w:id="12" w:name="_Toc507596952"/>
      <w:r>
        <w:rPr>
          <w:rStyle w:val="CharSectno"/>
        </w:rPr>
        <w:t>5</w:t>
      </w:r>
      <w:r>
        <w:rPr>
          <w:snapToGrid w:val="0"/>
        </w:rPr>
        <w:t>.</w:t>
      </w:r>
      <w:r>
        <w:rPr>
          <w:snapToGrid w:val="0"/>
        </w:rPr>
        <w:tab/>
        <w:t>Establishment of Tribunal</w:t>
      </w:r>
      <w:bookmarkEnd w:id="12"/>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3"/>
      </w:pPr>
      <w:bookmarkStart w:id="13" w:name="_Toc507595223"/>
      <w:bookmarkStart w:id="14" w:name="_Toc507596953"/>
      <w:r>
        <w:rPr>
          <w:rStyle w:val="CharDivNo"/>
        </w:rPr>
        <w:t>Division 3</w:t>
      </w:r>
      <w:r>
        <w:t> — </w:t>
      </w:r>
      <w:r>
        <w:rPr>
          <w:rStyle w:val="CharDivText"/>
        </w:rPr>
        <w:t>Inquiries, determinations and reports</w:t>
      </w:r>
      <w:bookmarkEnd w:id="13"/>
      <w:bookmarkEnd w:id="14"/>
    </w:p>
    <w:p>
      <w:pPr>
        <w:pStyle w:val="Footnoteheading"/>
      </w:pPr>
      <w:r>
        <w:tab/>
        <w:t>[Heading inserted by No. 1 of 2018 s. 6.]</w:t>
      </w:r>
    </w:p>
    <w:p>
      <w:pPr>
        <w:pStyle w:val="Heading5"/>
        <w:rPr>
          <w:snapToGrid w:val="0"/>
        </w:rPr>
      </w:pPr>
      <w:bookmarkStart w:id="15" w:name="_Toc507596954"/>
      <w:r>
        <w:rPr>
          <w:rStyle w:val="CharSectno"/>
        </w:rPr>
        <w:t>5A</w:t>
      </w:r>
      <w:r>
        <w:rPr>
          <w:snapToGrid w:val="0"/>
        </w:rPr>
        <w:t>.</w:t>
      </w:r>
      <w:r>
        <w:rPr>
          <w:snapToGrid w:val="0"/>
        </w:rPr>
        <w:tab/>
        <w:t>Inquiry into and determination of remuneration of Governor</w:t>
      </w:r>
      <w:bookmarkEnd w:id="1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16" w:name="_Toc507596955"/>
      <w:r>
        <w:rPr>
          <w:rStyle w:val="CharSectno"/>
        </w:rPr>
        <w:t>6</w:t>
      </w:r>
      <w:r>
        <w:rPr>
          <w:snapToGrid w:val="0"/>
        </w:rPr>
        <w:t>.</w:t>
      </w:r>
      <w:r>
        <w:rPr>
          <w:snapToGrid w:val="0"/>
        </w:rPr>
        <w:tab/>
        <w:t>Other inquiries into and determinations of remuneration</w:t>
      </w:r>
      <w:bookmarkEnd w:id="16"/>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No. 32 of 2016 s. 192; amended in Gazette 15 Aug 2003 p. 3691.]</w:t>
      </w:r>
    </w:p>
    <w:p>
      <w:pPr>
        <w:pStyle w:val="Heading5"/>
        <w:spacing w:before="180"/>
      </w:pPr>
      <w:bookmarkStart w:id="17" w:name="_Toc507596956"/>
      <w:r>
        <w:rPr>
          <w:rStyle w:val="CharSectno"/>
        </w:rPr>
        <w:t>6A</w:t>
      </w:r>
      <w:r>
        <w:t>.</w:t>
      </w:r>
      <w:r>
        <w:tab/>
        <w:t xml:space="preserve">Tribunal’s functions under </w:t>
      </w:r>
      <w:r>
        <w:rPr>
          <w:i/>
        </w:rPr>
        <w:t>Parliamentary Superannuation Act 1970</w:t>
      </w:r>
      <w:bookmarkEnd w:id="17"/>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18" w:name="_Toc507596957"/>
      <w:r>
        <w:rPr>
          <w:rStyle w:val="CharSectno"/>
        </w:rPr>
        <w:t>6AA</w:t>
      </w:r>
      <w:r>
        <w:t>.</w:t>
      </w:r>
      <w:r>
        <w:tab/>
        <w:t>Redundancy benefits for members of Parliament</w:t>
      </w:r>
      <w:bookmarkEnd w:id="18"/>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9" w:name="_Toc507596958"/>
      <w:r>
        <w:rPr>
          <w:rStyle w:val="CharSectno"/>
        </w:rPr>
        <w:t>6B</w:t>
      </w:r>
      <w:r>
        <w:rPr>
          <w:snapToGrid w:val="0"/>
        </w:rPr>
        <w:t>.</w:t>
      </w:r>
      <w:r>
        <w:rPr>
          <w:snapToGrid w:val="0"/>
        </w:rPr>
        <w:tab/>
        <w:t>Determinations relating to entitlements of former Premiers, Ministers and members of Parliament</w:t>
      </w:r>
      <w:bookmarkEnd w:id="19"/>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20" w:name="_Toc507596959"/>
      <w:r>
        <w:rPr>
          <w:rStyle w:val="CharSectno"/>
        </w:rPr>
        <w:t>6C</w:t>
      </w:r>
      <w:r>
        <w:rPr>
          <w:snapToGrid w:val="0"/>
        </w:rPr>
        <w:t>.</w:t>
      </w:r>
      <w:r>
        <w:rPr>
          <w:snapToGrid w:val="0"/>
        </w:rPr>
        <w:tab/>
        <w:t>Forfeiture of former office entitlements</w:t>
      </w:r>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21" w:name="_Toc507596960"/>
      <w:r>
        <w:rPr>
          <w:rStyle w:val="CharSectno"/>
        </w:rPr>
        <w:t>7</w:t>
      </w:r>
      <w:r>
        <w:rPr>
          <w:snapToGrid w:val="0"/>
        </w:rPr>
        <w:t>.</w:t>
      </w:r>
      <w:r>
        <w:rPr>
          <w:snapToGrid w:val="0"/>
        </w:rPr>
        <w:tab/>
        <w:t>Inquiry into and report on judicial salaries</w:t>
      </w:r>
      <w:bookmarkEnd w:id="21"/>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2" w:name="_Toc507596961"/>
      <w:r>
        <w:rPr>
          <w:rStyle w:val="CharSectno"/>
        </w:rPr>
        <w:t>7A</w:t>
      </w:r>
      <w:r>
        <w:t>.</w:t>
      </w:r>
      <w:r>
        <w:tab/>
        <w:t>Determinations as to remuneration of local government CEOs</w:t>
      </w:r>
      <w:bookmarkEnd w:id="22"/>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23" w:name="_Toc507596962"/>
      <w:r>
        <w:rPr>
          <w:rStyle w:val="CharSectno"/>
        </w:rPr>
        <w:t>7B</w:t>
      </w:r>
      <w:r>
        <w:t>.</w:t>
      </w:r>
      <w:r>
        <w:tab/>
        <w:t>Determinations as to fees and allowances of local government councillors</w:t>
      </w:r>
      <w:bookmarkEnd w:id="23"/>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pPr>
      <w:bookmarkStart w:id="24" w:name="_Toc507596963"/>
      <w:r>
        <w:rPr>
          <w:rStyle w:val="CharSectno"/>
        </w:rPr>
        <w:t>7C</w:t>
      </w:r>
      <w:r>
        <w:t>.</w:t>
      </w:r>
      <w:r>
        <w:tab/>
        <w:t>Determinations as to remuneration of certain executive officers of Government entities</w:t>
      </w:r>
      <w:bookmarkEnd w:id="24"/>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by No. 46 of 2016 s. 5.]</w:t>
      </w:r>
    </w:p>
    <w:p>
      <w:pPr>
        <w:pStyle w:val="Heading5"/>
        <w:spacing w:before="180"/>
      </w:pPr>
      <w:bookmarkStart w:id="25" w:name="_Toc507596964"/>
      <w:r>
        <w:rPr>
          <w:rStyle w:val="CharSectno"/>
        </w:rPr>
        <w:t>8</w:t>
      </w:r>
      <w:r>
        <w:t>.</w:t>
      </w:r>
      <w:r>
        <w:tab/>
        <w:t>Tribunal to report and make a determination annually</w:t>
      </w:r>
      <w:bookmarkEnd w:id="25"/>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by No. 37 of 2000 s. 21; amended by No. 49 of 2004 s. 13; No. 2 of 2012 s. 40; No. 46 of 2016 s. 6; No. 1 of 2018 s. 7.]</w:t>
      </w:r>
    </w:p>
    <w:p>
      <w:pPr>
        <w:pStyle w:val="Heading5"/>
        <w:rPr>
          <w:snapToGrid w:val="0"/>
        </w:rPr>
      </w:pPr>
      <w:bookmarkStart w:id="26" w:name="_Toc507596965"/>
      <w:r>
        <w:rPr>
          <w:rStyle w:val="CharSectno"/>
        </w:rPr>
        <w:t>9</w:t>
      </w:r>
      <w:r>
        <w:rPr>
          <w:snapToGrid w:val="0"/>
        </w:rPr>
        <w:t>.</w:t>
      </w:r>
      <w:r>
        <w:rPr>
          <w:snapToGrid w:val="0"/>
        </w:rPr>
        <w:tab/>
        <w:t>Meetings of Tribunal</w:t>
      </w:r>
      <w:bookmarkEnd w:id="2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27" w:name="_Toc507596966"/>
      <w:r>
        <w:rPr>
          <w:rStyle w:val="CharSectno"/>
        </w:rPr>
        <w:t>10</w:t>
      </w:r>
      <w:r>
        <w:rPr>
          <w:snapToGrid w:val="0"/>
        </w:rPr>
        <w:t>.</w:t>
      </w:r>
      <w:r>
        <w:rPr>
          <w:snapToGrid w:val="0"/>
        </w:rPr>
        <w:tab/>
        <w:t>Method of inquiry by Tribunal</w:t>
      </w:r>
      <w:bookmarkEnd w:id="2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by No. 33 of 1979 s. 4; No. 38 of 1990 s. 9; No. 68 of 1992 s. 4(3); No. 32 of 1994 s. 19; No. 73 of 1994 s. 4; No. 49 of 2004 s. 13; No. 39 of 2010 s. 83; No. 2 of 2012 s. 41; No. 32 of 2016 s. 193; No. 46 of 2016 s. 7; No. 1 of 2018 s. 8.] </w:t>
      </w:r>
    </w:p>
    <w:p>
      <w:pPr>
        <w:pStyle w:val="Heading5"/>
      </w:pPr>
      <w:bookmarkStart w:id="28" w:name="_Toc507596967"/>
      <w:r>
        <w:rPr>
          <w:rStyle w:val="CharSectno"/>
        </w:rPr>
        <w:t>10A</w:t>
      </w:r>
      <w:r>
        <w:t>.</w:t>
      </w:r>
      <w:r>
        <w:tab/>
        <w:t>Tribunal to have regard to government financial matters</w:t>
      </w:r>
      <w:bookmarkEnd w:id="28"/>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 amended by No. 46 of 2016 s. 8.]</w:t>
      </w:r>
    </w:p>
    <w:p>
      <w:pPr>
        <w:pStyle w:val="Heading3"/>
      </w:pPr>
      <w:bookmarkStart w:id="29" w:name="_Toc507595238"/>
      <w:bookmarkStart w:id="30" w:name="_Toc507596968"/>
      <w:r>
        <w:rPr>
          <w:rStyle w:val="CharDivNo"/>
        </w:rPr>
        <w:t>Division 4</w:t>
      </w:r>
      <w:r>
        <w:t> — </w:t>
      </w:r>
      <w:r>
        <w:rPr>
          <w:rStyle w:val="CharDivText"/>
        </w:rPr>
        <w:t>No remuneration increases before 1 July 2021</w:t>
      </w:r>
      <w:bookmarkEnd w:id="29"/>
      <w:bookmarkEnd w:id="30"/>
    </w:p>
    <w:p>
      <w:pPr>
        <w:pStyle w:val="Footnoteheading"/>
      </w:pPr>
      <w:r>
        <w:tab/>
        <w:t>[Heading inserted by No. 1 of 2018 s. 9.]</w:t>
      </w:r>
    </w:p>
    <w:p>
      <w:pPr>
        <w:pStyle w:val="Heading5"/>
      </w:pPr>
      <w:bookmarkStart w:id="31" w:name="_Toc507594334"/>
      <w:bookmarkStart w:id="32" w:name="_Toc507596969"/>
      <w:r>
        <w:rPr>
          <w:rStyle w:val="CharSectno"/>
        </w:rPr>
        <w:t>10B</w:t>
      </w:r>
      <w:r>
        <w:t>.</w:t>
      </w:r>
      <w:r>
        <w:tab/>
        <w:t>Term used: commencement day</w:t>
      </w:r>
      <w:bookmarkEnd w:id="31"/>
      <w:bookmarkEnd w:id="3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spacing w:before="100"/>
        <w:ind w:left="890" w:hanging="890"/>
      </w:pPr>
      <w:r>
        <w:tab/>
        <w:t>[Section 10B inserted by No. 1 of 2018 s. 9.]</w:t>
      </w:r>
    </w:p>
    <w:p>
      <w:pPr>
        <w:pStyle w:val="Heading5"/>
      </w:pPr>
      <w:bookmarkStart w:id="33" w:name="_Toc507596970"/>
      <w:r>
        <w:rPr>
          <w:rStyle w:val="CharSectno"/>
        </w:rPr>
        <w:t>10C</w:t>
      </w:r>
      <w:r>
        <w:t>.</w:t>
      </w:r>
      <w:r>
        <w:tab/>
        <w:t>No increases in Governor’s remuneration before 1 July 2021</w:t>
      </w:r>
      <w:bookmarkEnd w:id="33"/>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by No. 1 of 2018 s. 9.]</w:t>
      </w:r>
    </w:p>
    <w:p>
      <w:pPr>
        <w:pStyle w:val="Heading5"/>
      </w:pPr>
      <w:bookmarkStart w:id="34" w:name="_Toc507596971"/>
      <w:r>
        <w:rPr>
          <w:rStyle w:val="CharSectno"/>
        </w:rPr>
        <w:t>10D</w:t>
      </w:r>
      <w:r>
        <w:t>.</w:t>
      </w:r>
      <w:r>
        <w:tab/>
        <w:t>No increases in remuneration under s. 6 before 1 July 2021</w:t>
      </w:r>
      <w:bookmarkEnd w:id="34"/>
    </w:p>
    <w:p>
      <w:pPr>
        <w:pStyle w:val="Subsection"/>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by No. 1 of 2018 s. 9.]</w:t>
      </w:r>
    </w:p>
    <w:p>
      <w:pPr>
        <w:pStyle w:val="Heading5"/>
      </w:pPr>
      <w:bookmarkStart w:id="35" w:name="_Toc507596972"/>
      <w:r>
        <w:rPr>
          <w:rStyle w:val="CharSectno"/>
        </w:rPr>
        <w:t>10E</w:t>
      </w:r>
      <w:r>
        <w:t>.</w:t>
      </w:r>
      <w:r>
        <w:tab/>
        <w:t>No increases in judicial remuneration before 1 July 2021</w:t>
      </w:r>
      <w:bookmarkEnd w:id="35"/>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by No. 1 of 2018 s. 9.]</w:t>
      </w:r>
    </w:p>
    <w:p>
      <w:pPr>
        <w:pStyle w:val="Heading5"/>
      </w:pPr>
      <w:bookmarkStart w:id="36" w:name="_Toc507596973"/>
      <w:r>
        <w:rPr>
          <w:rStyle w:val="CharSectno"/>
        </w:rPr>
        <w:t>10F</w:t>
      </w:r>
      <w:r>
        <w:t>.</w:t>
      </w:r>
      <w:r>
        <w:tab/>
        <w:t>No increases in remuneration of certain executive officers of Government entities before 1 July 2021</w:t>
      </w:r>
      <w:bookmarkEnd w:id="36"/>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by No. 1 of 2018 s. 9.]</w:t>
      </w:r>
    </w:p>
    <w:p>
      <w:pPr>
        <w:pStyle w:val="Heading5"/>
      </w:pPr>
      <w:bookmarkStart w:id="37" w:name="_Toc507596974"/>
      <w:r>
        <w:rPr>
          <w:rStyle w:val="CharSectno"/>
        </w:rPr>
        <w:t>10G</w:t>
      </w:r>
      <w:r>
        <w:t>.</w:t>
      </w:r>
      <w:r>
        <w:tab/>
        <w:t>Compensatory and catch-up determinations after 1 July 2021 prohibited</w:t>
      </w:r>
      <w:bookmarkEnd w:id="37"/>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by No. 1 of 2018 s. 9.]</w:t>
      </w:r>
    </w:p>
    <w:p>
      <w:pPr>
        <w:pStyle w:val="Heading3"/>
      </w:pPr>
      <w:bookmarkStart w:id="38" w:name="_Toc507595245"/>
      <w:bookmarkStart w:id="39" w:name="_Toc507596975"/>
      <w:r>
        <w:rPr>
          <w:rStyle w:val="CharDivNo"/>
        </w:rPr>
        <w:t>Division 5</w:t>
      </w:r>
      <w:r>
        <w:t> — </w:t>
      </w:r>
      <w:r>
        <w:rPr>
          <w:rStyle w:val="CharDivText"/>
        </w:rPr>
        <w:t>Miscellaneous</w:t>
      </w:r>
      <w:bookmarkEnd w:id="38"/>
      <w:bookmarkEnd w:id="39"/>
    </w:p>
    <w:p>
      <w:pPr>
        <w:pStyle w:val="Footnoteheading"/>
      </w:pPr>
      <w:r>
        <w:tab/>
        <w:t>[Heading inserted by No. 1 of 2018 s. 10.]</w:t>
      </w:r>
    </w:p>
    <w:p>
      <w:pPr>
        <w:pStyle w:val="Heading5"/>
        <w:rPr>
          <w:snapToGrid w:val="0"/>
        </w:rPr>
      </w:pPr>
      <w:bookmarkStart w:id="40" w:name="_Toc507596976"/>
      <w:r>
        <w:rPr>
          <w:rStyle w:val="CharSectno"/>
        </w:rPr>
        <w:t>11</w:t>
      </w:r>
      <w:r>
        <w:rPr>
          <w:snapToGrid w:val="0"/>
        </w:rPr>
        <w:t>.</w:t>
      </w:r>
      <w:r>
        <w:rPr>
          <w:snapToGrid w:val="0"/>
        </w:rPr>
        <w:tab/>
        <w:t>Fees and allowances</w:t>
      </w:r>
      <w:bookmarkEnd w:id="40"/>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1" w:name="_Toc507595247"/>
      <w:bookmarkStart w:id="42" w:name="_Toc50759697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41"/>
      <w:bookmarkEnd w:id="42"/>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43" w:name="_Toc507596978"/>
      <w:r>
        <w:rPr>
          <w:rStyle w:val="CharSectno"/>
        </w:rPr>
        <w:t>11A</w:t>
      </w:r>
      <w:r>
        <w:rPr>
          <w:snapToGrid w:val="0"/>
        </w:rPr>
        <w:t>.</w:t>
      </w:r>
      <w:r>
        <w:rPr>
          <w:snapToGrid w:val="0"/>
        </w:rPr>
        <w:tab/>
        <w:t>Arrangements for payment of travelling expenses by Treasurer</w:t>
      </w:r>
      <w:bookmarkEnd w:id="4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44" w:name="_Toc507596979"/>
      <w:r>
        <w:rPr>
          <w:rStyle w:val="CharSectno"/>
        </w:rPr>
        <w:t>12</w:t>
      </w:r>
      <w:r>
        <w:rPr>
          <w:snapToGrid w:val="0"/>
        </w:rPr>
        <w:t>.</w:t>
      </w:r>
      <w:r>
        <w:rPr>
          <w:snapToGrid w:val="0"/>
        </w:rPr>
        <w:tab/>
        <w:t>Regulations</w:t>
      </w:r>
      <w:bookmarkEnd w:id="4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5" w:name="_Toc507595250"/>
      <w:bookmarkStart w:id="46" w:name="_Toc507596980"/>
      <w:r>
        <w:rPr>
          <w:rStyle w:val="CharSchNo"/>
        </w:rPr>
        <w:t>Schedule 1</w:t>
      </w:r>
      <w:r>
        <w:t> — </w:t>
      </w:r>
      <w:r>
        <w:rPr>
          <w:rStyle w:val="CharSchText"/>
        </w:rPr>
        <w:t>Offences</w:t>
      </w:r>
      <w:bookmarkEnd w:id="45"/>
      <w:bookmarkEnd w:id="4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pPr>
      <w:bookmarkStart w:id="47" w:name="_Toc507595251"/>
      <w:bookmarkStart w:id="48" w:name="_Toc507596981"/>
      <w:r>
        <w:rPr>
          <w:rStyle w:val="CharSchNo"/>
        </w:rPr>
        <w:t>Schedule 2</w:t>
      </w:r>
      <w:r>
        <w:t> — </w:t>
      </w:r>
      <w:r>
        <w:rPr>
          <w:rStyle w:val="CharSchText"/>
        </w:rPr>
        <w:t>Entities that may be prescribed as Government entities and their executive officers</w:t>
      </w:r>
      <w:bookmarkEnd w:id="47"/>
      <w:bookmarkEnd w:id="48"/>
    </w:p>
    <w:p>
      <w:pPr>
        <w:pStyle w:val="yShoulderClause"/>
        <w:spacing w:after="120"/>
      </w:pPr>
      <w:r>
        <w:t>[s. 7C]</w:t>
      </w:r>
    </w:p>
    <w:p>
      <w:pPr>
        <w:pStyle w:val="yFootnoteheading"/>
      </w:pPr>
      <w:r>
        <w:tab/>
        <w:t>[Heading inserted by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by No. 46 of 2016 s. 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0" w:name="_Toc507595252"/>
      <w:bookmarkStart w:id="51" w:name="_Toc507596982"/>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507596983"/>
      <w: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rPr>
            </w:pPr>
            <w:r>
              <w:rPr>
                <w:i/>
              </w:rPr>
              <w:t>Salaries and Allowances Amendment (Debt and Deficit Remediation) Act 2018</w:t>
            </w:r>
          </w:p>
        </w:tc>
        <w:tc>
          <w:tcPr>
            <w:tcW w:w="1134" w:type="dxa"/>
            <w:gridSpan w:val="2"/>
            <w:tcBorders>
              <w:bottom w:val="single" w:sz="4" w:space="0" w:color="auto"/>
            </w:tcBorders>
            <w:shd w:val="clear" w:color="auto" w:fill="auto"/>
          </w:tcPr>
          <w:p>
            <w:pPr>
              <w:pStyle w:val="nTable"/>
              <w:spacing w:after="40"/>
              <w:rPr>
                <w:snapToGrid w:val="0"/>
              </w:rPr>
            </w:pPr>
            <w:r>
              <w:rPr>
                <w:snapToGrid w:val="0"/>
              </w:rPr>
              <w:t>1 of 2018</w:t>
            </w:r>
          </w:p>
        </w:tc>
        <w:tc>
          <w:tcPr>
            <w:tcW w:w="1134" w:type="dxa"/>
            <w:gridSpan w:val="2"/>
            <w:tcBorders>
              <w:bottom w:val="single" w:sz="4" w:space="0" w:color="auto"/>
            </w:tcBorders>
            <w:shd w:val="clear" w:color="auto" w:fill="auto"/>
          </w:tcPr>
          <w:p>
            <w:pPr>
              <w:pStyle w:val="nTable"/>
              <w:spacing w:after="40"/>
            </w:pPr>
            <w:r>
              <w:t>27 Feb 2018</w:t>
            </w:r>
          </w:p>
        </w:tc>
        <w:tc>
          <w:tcPr>
            <w:tcW w:w="2551" w:type="dxa"/>
            <w:gridSpan w:val="2"/>
            <w:tcBorders>
              <w:bottom w:val="single" w:sz="4" w:space="0" w:color="auto"/>
            </w:tcBorders>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Footnote no longer applicable.</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4" w:name="_Toc507596984"/>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Government entity</w:t>
      </w:r>
      <w:r>
        <w:tab/>
        <w:t>7C(1), 10F(3)</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w:t>
      </w:r>
    </w:p>
    <w:p>
      <w:pPr>
        <w:pStyle w:val="DefinedTerms"/>
      </w:pPr>
      <w:r>
        <w:t>Tribunal</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814501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10295</Words>
  <Characters>48596</Characters>
  <Application>Microsoft Office Word</Application>
  <DocSecurity>0</DocSecurity>
  <Lines>1518</Lines>
  <Paragraphs>785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1975 - 05-o0-01</dc:title>
  <dc:subject/>
  <dc:creator/>
  <cp:keywords/>
  <dc:description/>
  <cp:lastModifiedBy>svcMRProcess</cp:lastModifiedBy>
  <cp:revision>4</cp:revision>
  <cp:lastPrinted>2010-06-23T03:13:00Z</cp:lastPrinted>
  <dcterms:created xsi:type="dcterms:W3CDTF">2018-09-07T22:09:00Z</dcterms:created>
  <dcterms:modified xsi:type="dcterms:W3CDTF">2018-09-07T22:09:00Z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CommencementDate">
    <vt:lpwstr>20180228</vt:lpwstr>
  </property>
  <property fmtid="{D5CDD505-2E9C-101B-9397-08002B2CF9AE}" pid="7" name="AsAtDate">
    <vt:lpwstr>28 Feb 2018</vt:lpwstr>
  </property>
  <property fmtid="{D5CDD505-2E9C-101B-9397-08002B2CF9AE}" pid="8" name="Suffix">
    <vt:lpwstr>05-o0-01</vt:lpwstr>
  </property>
</Properties>
</file>