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Salaries and Allowances Amendment (Debt and Deficit Remediation) Act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Salaries and Allowances Amendment (Debt and Deficit Remediation) Act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Short title</w:t>
      </w:r>
      <w:r>
        <w:tab/>
      </w:r>
      <w:r>
        <w:fldChar w:fldCharType="begin"/>
      </w:r>
      <w:r>
        <w:instrText xml:space="preserve"> PAGEREF _Toc507657077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_Toc507657078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amended</w:t>
      </w:r>
      <w:r>
        <w:tab/>
      </w:r>
      <w:r>
        <w:fldChar w:fldCharType="begin"/>
      </w:r>
      <w:r>
        <w:instrText xml:space="preserve"> PAGEREF _Toc507657079 \h </w:instrText>
      </w:r>
      <w:r>
        <w:fldChar w:fldCharType="separate"/>
      </w:r>
      <w:r>
        <w:t>2</w:t>
      </w:r>
      <w:r>
        <w:fldChar w:fldCharType="end"/>
      </w:r>
    </w:p>
    <w:p>
      <w:pPr>
        <w:pStyle w:val="TOC8"/>
        <w:rPr>
          <w:rFonts w:asciiTheme="minorHAnsi" w:eastAsiaTheme="minorEastAsia" w:hAnsiTheme="minorHAnsi" w:cstheme="minorBidi"/>
          <w:szCs w:val="22"/>
        </w:rPr>
      </w:pPr>
      <w:r>
        <w:t>4.</w:t>
      </w:r>
      <w:r>
        <w:tab/>
        <w:t>Part I Division 1 heading inserted</w:t>
      </w:r>
      <w:r>
        <w:tab/>
      </w:r>
      <w:r>
        <w:fldChar w:fldCharType="begin"/>
      </w:r>
      <w:r>
        <w:instrText xml:space="preserve"> PAGEREF _Toc507657080 \h </w:instrText>
      </w:r>
      <w:r>
        <w:fldChar w:fldCharType="separate"/>
      </w:r>
      <w:r>
        <w:t>2</w:t>
      </w:r>
      <w:r>
        <w:fldChar w:fldCharType="end"/>
      </w:r>
    </w:p>
    <w:p>
      <w:pPr>
        <w:pStyle w:val="TOC5"/>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5.</w:t>
      </w:r>
      <w:r>
        <w:tab/>
        <w:t>Part I Division 2 heading inserted</w:t>
      </w:r>
      <w:r>
        <w:tab/>
      </w:r>
      <w:r>
        <w:fldChar w:fldCharType="begin"/>
      </w:r>
      <w:r>
        <w:instrText xml:space="preserve"> PAGEREF _Toc507657082 \h </w:instrText>
      </w:r>
      <w:r>
        <w:fldChar w:fldCharType="separate"/>
      </w:r>
      <w:r>
        <w:t>2</w:t>
      </w:r>
      <w:r>
        <w:fldChar w:fldCharType="end"/>
      </w:r>
    </w:p>
    <w:p>
      <w:pPr>
        <w:pStyle w:val="TOC5"/>
        <w:tabs>
          <w:tab w:val="right" w:leader="dot" w:pos="7077"/>
        </w:tabs>
        <w:rPr>
          <w:rFonts w:asciiTheme="minorHAnsi" w:eastAsiaTheme="minorEastAsia" w:hAnsiTheme="minorHAnsi" w:cstheme="minorBidi"/>
          <w:b w:val="0"/>
          <w:sz w:val="22"/>
          <w:szCs w:val="22"/>
        </w:rPr>
      </w:pPr>
      <w:r>
        <w:t>Division 2 — Tribunal established</w:t>
      </w:r>
    </w:p>
    <w:p>
      <w:pPr>
        <w:pStyle w:val="TOC8"/>
        <w:rPr>
          <w:rFonts w:asciiTheme="minorHAnsi" w:eastAsiaTheme="minorEastAsia" w:hAnsiTheme="minorHAnsi" w:cstheme="minorBidi"/>
          <w:szCs w:val="22"/>
        </w:rPr>
      </w:pPr>
      <w:r>
        <w:t>6.</w:t>
      </w:r>
      <w:r>
        <w:tab/>
        <w:t>Part I Division 3 heading inserted</w:t>
      </w:r>
      <w:r>
        <w:tab/>
      </w:r>
      <w:r>
        <w:fldChar w:fldCharType="begin"/>
      </w:r>
      <w:r>
        <w:instrText xml:space="preserve"> PAGEREF _Toc507657084 \h </w:instrText>
      </w:r>
      <w:r>
        <w:fldChar w:fldCharType="separate"/>
      </w:r>
      <w:r>
        <w:t>3</w:t>
      </w:r>
      <w:r>
        <w:fldChar w:fldCharType="end"/>
      </w:r>
    </w:p>
    <w:p>
      <w:pPr>
        <w:pStyle w:val="TOC5"/>
        <w:tabs>
          <w:tab w:val="right" w:leader="dot" w:pos="7077"/>
        </w:tabs>
        <w:rPr>
          <w:rFonts w:asciiTheme="minorHAnsi" w:eastAsiaTheme="minorEastAsia" w:hAnsiTheme="minorHAnsi" w:cstheme="minorBidi"/>
          <w:b w:val="0"/>
          <w:sz w:val="22"/>
          <w:szCs w:val="22"/>
        </w:rPr>
      </w:pPr>
      <w:r>
        <w:t>Division 3 — Inquiries, determinations and reports</w:t>
      </w:r>
    </w:p>
    <w:p>
      <w:pPr>
        <w:pStyle w:val="TOC8"/>
        <w:rPr>
          <w:rFonts w:asciiTheme="minorHAnsi" w:eastAsiaTheme="minorEastAsia" w:hAnsiTheme="minorHAnsi" w:cstheme="minorBidi"/>
          <w:szCs w:val="22"/>
        </w:rPr>
      </w:pPr>
      <w:r>
        <w:t>7.</w:t>
      </w:r>
      <w:r>
        <w:tab/>
        <w:t>Section 8 amended</w:t>
      </w:r>
      <w:r>
        <w:tab/>
      </w:r>
      <w:r>
        <w:fldChar w:fldCharType="begin"/>
      </w:r>
      <w:r>
        <w:instrText xml:space="preserve"> PAGEREF _Toc507657086 \h </w:instrText>
      </w:r>
      <w:r>
        <w:fldChar w:fldCharType="separate"/>
      </w:r>
      <w:r>
        <w:t>3</w:t>
      </w:r>
      <w:r>
        <w:fldChar w:fldCharType="end"/>
      </w:r>
    </w:p>
    <w:p>
      <w:pPr>
        <w:pStyle w:val="TOC8"/>
        <w:rPr>
          <w:rFonts w:asciiTheme="minorHAnsi" w:eastAsiaTheme="minorEastAsia" w:hAnsiTheme="minorHAnsi" w:cstheme="minorBidi"/>
          <w:szCs w:val="22"/>
        </w:rPr>
      </w:pPr>
      <w:r>
        <w:t>8.</w:t>
      </w:r>
      <w:r>
        <w:tab/>
        <w:t>Section 10 amended</w:t>
      </w:r>
      <w:r>
        <w:tab/>
      </w:r>
      <w:r>
        <w:fldChar w:fldCharType="begin"/>
      </w:r>
      <w:r>
        <w:instrText xml:space="preserve"> PAGEREF _Toc507657087 \h </w:instrText>
      </w:r>
      <w:r>
        <w:fldChar w:fldCharType="separate"/>
      </w:r>
      <w:r>
        <w:t>4</w:t>
      </w:r>
      <w:r>
        <w:fldChar w:fldCharType="end"/>
      </w:r>
    </w:p>
    <w:p>
      <w:pPr>
        <w:pStyle w:val="TOC8"/>
        <w:rPr>
          <w:rFonts w:asciiTheme="minorHAnsi" w:eastAsiaTheme="minorEastAsia" w:hAnsiTheme="minorHAnsi" w:cstheme="minorBidi"/>
          <w:szCs w:val="22"/>
        </w:rPr>
      </w:pPr>
      <w:r>
        <w:t>9.</w:t>
      </w:r>
      <w:r>
        <w:tab/>
        <w:t>Part I Division 4 inserted</w:t>
      </w:r>
      <w:r>
        <w:tab/>
      </w:r>
      <w:r>
        <w:fldChar w:fldCharType="begin"/>
      </w:r>
      <w:r>
        <w:instrText xml:space="preserve"> PAGEREF _Toc507657088 \h </w:instrText>
      </w:r>
      <w:r>
        <w:fldChar w:fldCharType="separate"/>
      </w:r>
      <w:r>
        <w:t>4</w:t>
      </w:r>
      <w:r>
        <w:fldChar w:fldCharType="end"/>
      </w:r>
    </w:p>
    <w:p>
      <w:pPr>
        <w:pStyle w:val="TOC5"/>
        <w:tabs>
          <w:tab w:val="right" w:leader="dot" w:pos="7077"/>
        </w:tabs>
        <w:rPr>
          <w:rFonts w:asciiTheme="minorHAnsi" w:eastAsiaTheme="minorEastAsia" w:hAnsiTheme="minorHAnsi" w:cstheme="minorBidi"/>
          <w:b w:val="0"/>
          <w:sz w:val="22"/>
          <w:szCs w:val="22"/>
        </w:rPr>
      </w:pPr>
      <w:r>
        <w:t>Division 4 — No remuneration increases before 1 July 2021</w:t>
      </w:r>
    </w:p>
    <w:p>
      <w:pPr>
        <w:pStyle w:val="TOC9"/>
        <w:rPr>
          <w:rFonts w:asciiTheme="minorHAnsi" w:eastAsiaTheme="minorEastAsia" w:hAnsiTheme="minorHAnsi" w:cstheme="minorBidi"/>
          <w:noProof/>
          <w:sz w:val="22"/>
          <w:szCs w:val="22"/>
        </w:rPr>
      </w:pPr>
      <w:r>
        <w:rPr>
          <w:noProof/>
        </w:rPr>
        <w:t>10B.</w:t>
      </w:r>
      <w:r>
        <w:rPr>
          <w:noProof/>
        </w:rPr>
        <w:tab/>
        <w:t>Term used: commencement day</w:t>
      </w:r>
      <w:r>
        <w:rPr>
          <w:noProof/>
        </w:rPr>
        <w:tab/>
      </w:r>
      <w:r>
        <w:rPr>
          <w:noProof/>
        </w:rPr>
        <w:fldChar w:fldCharType="begin"/>
      </w:r>
      <w:r>
        <w:rPr>
          <w:noProof/>
        </w:rPr>
        <w:instrText xml:space="preserve"> PAGEREF _Toc507657090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10C.</w:t>
      </w:r>
      <w:r>
        <w:rPr>
          <w:noProof/>
        </w:rPr>
        <w:tab/>
        <w:t>No increases in Governor’s remuneration before 1 July 2021</w:t>
      </w:r>
      <w:r>
        <w:rPr>
          <w:noProof/>
        </w:rPr>
        <w:tab/>
      </w:r>
      <w:r>
        <w:rPr>
          <w:noProof/>
        </w:rPr>
        <w:fldChar w:fldCharType="begin"/>
      </w:r>
      <w:r>
        <w:rPr>
          <w:noProof/>
        </w:rPr>
        <w:instrText xml:space="preserve"> PAGEREF _Toc507657091 \h </w:instrText>
      </w:r>
      <w:r>
        <w:rPr>
          <w:noProof/>
        </w:rPr>
      </w:r>
      <w:r>
        <w:rPr>
          <w:noProof/>
        </w:rPr>
        <w:fldChar w:fldCharType="separate"/>
      </w:r>
      <w:r>
        <w:rPr>
          <w:noProof/>
        </w:rPr>
        <w:t>4</w:t>
      </w:r>
      <w:r>
        <w:rPr>
          <w:noProof/>
        </w:rPr>
        <w:fldChar w:fldCharType="end"/>
      </w:r>
    </w:p>
    <w:p>
      <w:pPr>
        <w:pStyle w:val="TOC9"/>
        <w:rPr>
          <w:rFonts w:asciiTheme="minorHAnsi" w:eastAsiaTheme="minorEastAsia" w:hAnsiTheme="minorHAnsi" w:cstheme="minorBidi"/>
          <w:noProof/>
          <w:sz w:val="22"/>
          <w:szCs w:val="22"/>
        </w:rPr>
      </w:pPr>
      <w:r>
        <w:rPr>
          <w:noProof/>
        </w:rPr>
        <w:t>10D.</w:t>
      </w:r>
      <w:r>
        <w:rPr>
          <w:noProof/>
        </w:rPr>
        <w:tab/>
        <w:t>No increases in remuneration under s. 6 before 1 July 2021</w:t>
      </w:r>
      <w:r>
        <w:rPr>
          <w:noProof/>
        </w:rPr>
        <w:tab/>
      </w:r>
      <w:r>
        <w:rPr>
          <w:noProof/>
        </w:rPr>
        <w:fldChar w:fldCharType="begin"/>
      </w:r>
      <w:r>
        <w:rPr>
          <w:noProof/>
        </w:rPr>
        <w:instrText xml:space="preserve"> PAGEREF _Toc507657092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10E.</w:t>
      </w:r>
      <w:r>
        <w:rPr>
          <w:noProof/>
        </w:rPr>
        <w:tab/>
        <w:t>No increases in judicial remuneration before 1 July 2021</w:t>
      </w:r>
      <w:r>
        <w:rPr>
          <w:noProof/>
        </w:rPr>
        <w:tab/>
      </w:r>
      <w:r>
        <w:rPr>
          <w:noProof/>
        </w:rPr>
        <w:fldChar w:fldCharType="begin"/>
      </w:r>
      <w:r>
        <w:rPr>
          <w:noProof/>
        </w:rPr>
        <w:instrText xml:space="preserve"> PAGEREF _Toc507657093 \h </w:instrText>
      </w:r>
      <w:r>
        <w:rPr>
          <w:noProof/>
        </w:rPr>
      </w:r>
      <w:r>
        <w:rPr>
          <w:noProof/>
        </w:rPr>
        <w:fldChar w:fldCharType="separate"/>
      </w:r>
      <w:r>
        <w:rPr>
          <w:noProof/>
        </w:rPr>
        <w:t>7</w:t>
      </w:r>
      <w:r>
        <w:rPr>
          <w:noProof/>
        </w:rPr>
        <w:fldChar w:fldCharType="end"/>
      </w:r>
    </w:p>
    <w:p>
      <w:pPr>
        <w:pStyle w:val="TOC9"/>
        <w:rPr>
          <w:rFonts w:asciiTheme="minorHAnsi" w:eastAsiaTheme="minorEastAsia" w:hAnsiTheme="minorHAnsi" w:cstheme="minorBidi"/>
          <w:noProof/>
          <w:sz w:val="22"/>
          <w:szCs w:val="22"/>
        </w:rPr>
      </w:pPr>
      <w:r>
        <w:rPr>
          <w:noProof/>
        </w:rPr>
        <w:t>10F.</w:t>
      </w:r>
      <w:r>
        <w:rPr>
          <w:noProof/>
        </w:rPr>
        <w:tab/>
        <w:t>No increases in remuneration of certain executive officers of Government entities before 1 July 2021</w:t>
      </w:r>
      <w:r>
        <w:rPr>
          <w:noProof/>
        </w:rPr>
        <w:tab/>
      </w:r>
      <w:r>
        <w:rPr>
          <w:noProof/>
        </w:rPr>
        <w:fldChar w:fldCharType="begin"/>
      </w:r>
      <w:r>
        <w:rPr>
          <w:noProof/>
        </w:rPr>
        <w:instrText xml:space="preserve"> PAGEREF _Toc507657094 \h </w:instrText>
      </w:r>
      <w:r>
        <w:rPr>
          <w:noProof/>
        </w:rPr>
      </w:r>
      <w:r>
        <w:rPr>
          <w:noProof/>
        </w:rPr>
        <w:fldChar w:fldCharType="separate"/>
      </w:r>
      <w:r>
        <w:rPr>
          <w:noProof/>
        </w:rPr>
        <w:t>8</w:t>
      </w:r>
      <w:r>
        <w:rPr>
          <w:noProof/>
        </w:rPr>
        <w:fldChar w:fldCharType="end"/>
      </w:r>
    </w:p>
    <w:p>
      <w:pPr>
        <w:pStyle w:val="TOC9"/>
        <w:rPr>
          <w:rFonts w:asciiTheme="minorHAnsi" w:eastAsiaTheme="minorEastAsia" w:hAnsiTheme="minorHAnsi" w:cstheme="minorBidi"/>
          <w:noProof/>
          <w:sz w:val="22"/>
          <w:szCs w:val="22"/>
        </w:rPr>
      </w:pPr>
      <w:r>
        <w:rPr>
          <w:noProof/>
        </w:rPr>
        <w:t>10G.</w:t>
      </w:r>
      <w:r>
        <w:rPr>
          <w:noProof/>
        </w:rPr>
        <w:tab/>
        <w:t>Compensatory and catch-up determinations after 1 July 2021 prohibited</w:t>
      </w:r>
      <w:r>
        <w:rPr>
          <w:noProof/>
        </w:rPr>
        <w:tab/>
      </w:r>
      <w:r>
        <w:rPr>
          <w:noProof/>
        </w:rPr>
        <w:fldChar w:fldCharType="begin"/>
      </w:r>
      <w:r>
        <w:rPr>
          <w:noProof/>
        </w:rPr>
        <w:instrText xml:space="preserve"> PAGEREF _Toc507657095 \h </w:instrText>
      </w:r>
      <w:r>
        <w:rPr>
          <w:noProof/>
        </w:rPr>
      </w:r>
      <w:r>
        <w:rPr>
          <w:noProof/>
        </w:rPr>
        <w:fldChar w:fldCharType="separate"/>
      </w:r>
      <w:r>
        <w:rPr>
          <w:noProof/>
        </w:rPr>
        <w:t>10</w:t>
      </w:r>
      <w:r>
        <w:rPr>
          <w:noProof/>
        </w:rPr>
        <w:fldChar w:fldCharType="end"/>
      </w:r>
    </w:p>
    <w:p>
      <w:pPr>
        <w:pStyle w:val="TOC8"/>
        <w:rPr>
          <w:rFonts w:asciiTheme="minorHAnsi" w:eastAsiaTheme="minorEastAsia" w:hAnsiTheme="minorHAnsi" w:cstheme="minorBidi"/>
          <w:szCs w:val="22"/>
        </w:rPr>
      </w:pPr>
      <w:r>
        <w:t>10.</w:t>
      </w:r>
      <w:r>
        <w:tab/>
        <w:t>Part I Division 5 heading inserted</w:t>
      </w:r>
      <w:r>
        <w:tab/>
      </w:r>
      <w:r>
        <w:fldChar w:fldCharType="begin"/>
      </w:r>
      <w:r>
        <w:instrText xml:space="preserve"> PAGEREF _Toc507657096 \h </w:instrText>
      </w:r>
      <w:r>
        <w:fldChar w:fldCharType="separate"/>
      </w:r>
      <w:r>
        <w:t>11</w:t>
      </w:r>
      <w:r>
        <w:fldChar w:fldCharType="end"/>
      </w:r>
    </w:p>
    <w:p>
      <w:pPr>
        <w:pStyle w:val="TOC5"/>
        <w:tabs>
          <w:tab w:val="right" w:leader="dot" w:pos="7077"/>
        </w:tabs>
        <w:rPr>
          <w:rFonts w:asciiTheme="minorHAnsi" w:eastAsiaTheme="minorEastAsia" w:hAnsiTheme="minorHAnsi" w:cstheme="minorBidi"/>
          <w:b w:val="0"/>
          <w:sz w:val="22"/>
          <w:szCs w:val="22"/>
        </w:rPr>
      </w:pPr>
      <w:r>
        <w:t>Division 5 — Miscellaneous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uppressLineNumbers/>
        <w:spacing w:after="480"/>
        <w:outlineLvl w:val="0"/>
      </w:pPr>
      <w:r>
        <w:rPr>
          <w:noProof/>
        </w:rPr>
        <w:drawing>
          <wp:anchor distT="0" distB="0" distL="114300" distR="114300" simplePos="0" relativeHeight="251658240" behindDoc="0" locked="0" layoutInCell="1" allowOverlap="1">
            <wp:simplePos x="0" y="0"/>
            <wp:positionH relativeFrom="page">
              <wp:posOffset>3455670</wp:posOffset>
            </wp:positionH>
            <wp:positionV relativeFrom="page">
              <wp:posOffset>1033351</wp:posOffset>
            </wp:positionV>
            <wp:extent cx="648000" cy="411892"/>
            <wp:effectExtent l="0" t="0" r="0" b="7620"/>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48000" cy="411892"/>
                    </a:xfrm>
                    <a:prstGeom prst="rect">
                      <a:avLst/>
                    </a:prstGeom>
                  </pic:spPr>
                </pic:pic>
              </a:graphicData>
            </a:graphic>
            <wp14:sizeRelH relativeFrom="margin">
              <wp14:pctWidth>0</wp14:pctWidth>
            </wp14:sizeRelH>
          </wp:anchor>
        </w:drawing>
      </w:r>
      <w:r>
        <w:t>Western Australia</w:t>
      </w:r>
    </w:p>
    <w:p>
      <w:pPr>
        <w:pStyle w:val="NameofActReg"/>
        <w:suppressLineNumbers/>
      </w:pPr>
      <w:r>
        <w:t>Salaries and Allowances Amendment (Debt and Deficit Remediation) Act 2018</w:t>
      </w:r>
    </w:p>
    <w:p>
      <w:pPr>
        <w:pStyle w:val="ABillFor"/>
        <w:pBdr>
          <w:top w:val="single" w:sz="4" w:space="6" w:color="auto"/>
          <w:bottom w:val="single" w:sz="4" w:space="6" w:color="auto"/>
        </w:pBdr>
        <w:spacing w:before="0" w:after="240"/>
        <w:ind w:left="2551" w:right="2551"/>
      </w:pPr>
      <w:bookmarkStart w:id="3" w:name="BillCited"/>
      <w:bookmarkEnd w:id="3"/>
      <w:r>
        <w:t>No. 1 of 2018</w:t>
      </w:r>
    </w:p>
    <w:p>
      <w:pPr>
        <w:pStyle w:val="LongTitle"/>
        <w:suppressLineNumbers/>
      </w:pPr>
      <w:r>
        <w:t xml:space="preserve">An Act to amend, for the purposes of debt and deficit remediation, the </w:t>
      </w:r>
      <w:r>
        <w:rPr>
          <w:i/>
        </w:rPr>
        <w:t>Salaries and Allowances Act 1975</w:t>
      </w:r>
      <w:r>
        <w:t xml:space="preserve"> to prevent increases in the remuneration of certain public offices.</w:t>
      </w:r>
    </w:p>
    <w:p>
      <w:pPr>
        <w:pStyle w:val="AssentNote"/>
      </w:pPr>
      <w:r>
        <w:t>[Assented to 27 February 2018]</w:t>
      </w:r>
    </w:p>
    <w:p>
      <w:pPr>
        <w:pStyle w:val="Enactment"/>
      </w:pPr>
      <w:r>
        <w:t>The Parliament of Western Australia enacts as follows:</w:t>
      </w:r>
    </w:p>
    <w:p>
      <w:pPr>
        <w:sectPr>
          <w:headerReference w:type="even" r:id="rId23"/>
          <w:headerReference w:type="default" r:id="rId24"/>
          <w:headerReference w:type="first" r:id="rId25"/>
          <w:endnotePr>
            <w:numFmt w:val="decimal"/>
          </w:endnotePr>
          <w:pgSz w:w="11907" w:h="16840" w:code="9"/>
          <w:pgMar w:top="2381" w:right="2410" w:bottom="3544" w:left="2410" w:header="720" w:footer="3544" w:gutter="0"/>
          <w:pgNumType w:start="1"/>
          <w:cols w:space="720"/>
          <w:noEndnote/>
          <w:titlePg/>
          <w:docGrid w:linePitch="326"/>
        </w:sectPr>
      </w:pPr>
    </w:p>
    <w:p>
      <w:pPr>
        <w:pStyle w:val="Heading5"/>
      </w:pPr>
      <w:bookmarkStart w:id="4" w:name="_Toc507650271"/>
      <w:bookmarkStart w:id="5" w:name="_Toc507657052"/>
      <w:bookmarkStart w:id="6" w:name="_Toc507657077"/>
      <w:r>
        <w:rPr>
          <w:rStyle w:val="CharSectno"/>
        </w:rPr>
        <w:t>1</w:t>
      </w:r>
      <w:r>
        <w:t>.</w:t>
      </w:r>
      <w:r>
        <w:tab/>
        <w:t>Short title</w:t>
      </w:r>
      <w:bookmarkEnd w:id="4"/>
      <w:bookmarkEnd w:id="5"/>
      <w:bookmarkEnd w:id="6"/>
    </w:p>
    <w:p>
      <w:pPr>
        <w:pStyle w:val="Subsection"/>
      </w:pPr>
      <w:r>
        <w:tab/>
      </w:r>
      <w:r>
        <w:tab/>
        <w:t>This is the</w:t>
      </w:r>
      <w:r>
        <w:rPr>
          <w:i/>
        </w:rPr>
        <w:t xml:space="preserve"> Salaries and Allowances Amendment (Debt and Deficit Remediation) Act 2018</w:t>
      </w:r>
      <w:r>
        <w:t>.</w:t>
      </w:r>
    </w:p>
    <w:p>
      <w:pPr>
        <w:pStyle w:val="Heading5"/>
      </w:pPr>
      <w:bookmarkStart w:id="7" w:name="_Toc507650272"/>
      <w:bookmarkStart w:id="8" w:name="_Toc507657053"/>
      <w:bookmarkStart w:id="9" w:name="_Toc507657078"/>
      <w:r>
        <w:rPr>
          <w:rStyle w:val="CharSectno"/>
        </w:rPr>
        <w:t>2</w:t>
      </w:r>
      <w:r>
        <w:t>.</w:t>
      </w:r>
      <w:r>
        <w:tab/>
        <w:t>Commencement</w:t>
      </w:r>
      <w:bookmarkEnd w:id="7"/>
      <w:bookmarkEnd w:id="8"/>
      <w:bookmarkEnd w:id="9"/>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the day after that day.</w:t>
      </w:r>
    </w:p>
    <w:p>
      <w:pPr>
        <w:pStyle w:val="Heading5"/>
        <w:rPr>
          <w:snapToGrid w:val="0"/>
        </w:rPr>
      </w:pPr>
      <w:bookmarkStart w:id="10" w:name="_Toc507650273"/>
      <w:bookmarkStart w:id="11" w:name="_Toc507657054"/>
      <w:bookmarkStart w:id="12" w:name="_Toc507657079"/>
      <w:r>
        <w:rPr>
          <w:rStyle w:val="CharSectno"/>
        </w:rPr>
        <w:t>3</w:t>
      </w:r>
      <w:r>
        <w:rPr>
          <w:snapToGrid w:val="0"/>
        </w:rPr>
        <w:t>.</w:t>
      </w:r>
      <w:r>
        <w:rPr>
          <w:snapToGrid w:val="0"/>
        </w:rPr>
        <w:tab/>
        <w:t>Act amended</w:t>
      </w:r>
      <w:bookmarkEnd w:id="10"/>
      <w:bookmarkEnd w:id="11"/>
      <w:bookmarkEnd w:id="12"/>
    </w:p>
    <w:p>
      <w:pPr>
        <w:pStyle w:val="Subsection"/>
      </w:pPr>
      <w:r>
        <w:tab/>
      </w:r>
      <w:r>
        <w:tab/>
        <w:t xml:space="preserve">This Act amends the </w:t>
      </w:r>
      <w:r>
        <w:rPr>
          <w:i/>
        </w:rPr>
        <w:t>Salaries and Allowances Act 1975</w:t>
      </w:r>
      <w:r>
        <w:t>.</w:t>
      </w:r>
    </w:p>
    <w:p>
      <w:pPr>
        <w:pStyle w:val="Heading5"/>
      </w:pPr>
      <w:bookmarkStart w:id="13" w:name="_Toc507650274"/>
      <w:bookmarkStart w:id="14" w:name="_Toc507657055"/>
      <w:bookmarkStart w:id="15" w:name="_Toc507657080"/>
      <w:r>
        <w:rPr>
          <w:rStyle w:val="CharSectno"/>
        </w:rPr>
        <w:t>4</w:t>
      </w:r>
      <w:r>
        <w:t>.</w:t>
      </w:r>
      <w:r>
        <w:tab/>
        <w:t>Part I Division 1 heading inserted</w:t>
      </w:r>
      <w:bookmarkEnd w:id="13"/>
      <w:bookmarkEnd w:id="14"/>
      <w:bookmarkEnd w:id="15"/>
    </w:p>
    <w:p>
      <w:pPr>
        <w:pStyle w:val="Subsection"/>
      </w:pPr>
      <w:r>
        <w:tab/>
      </w:r>
      <w:r>
        <w:tab/>
        <w:t>Before section 1 insert:</w:t>
      </w:r>
    </w:p>
    <w:p>
      <w:pPr>
        <w:pStyle w:val="BlankOpen"/>
      </w:pPr>
    </w:p>
    <w:p>
      <w:pPr>
        <w:pStyle w:val="zHeading3"/>
      </w:pPr>
      <w:bookmarkStart w:id="16" w:name="_Toc493834326"/>
      <w:bookmarkStart w:id="17" w:name="_Toc494809970"/>
      <w:bookmarkStart w:id="18" w:name="_Toc494809991"/>
      <w:bookmarkStart w:id="19" w:name="_Toc494810211"/>
      <w:bookmarkStart w:id="20" w:name="_Toc494810288"/>
      <w:bookmarkStart w:id="21" w:name="_Toc506985522"/>
      <w:bookmarkStart w:id="22" w:name="_Toc507405614"/>
      <w:bookmarkStart w:id="23" w:name="_Toc507650275"/>
      <w:bookmarkStart w:id="24" w:name="_Toc507657056"/>
      <w:bookmarkStart w:id="25" w:name="_Toc507657081"/>
      <w:r>
        <w:t>Division 1 — Preliminary</w:t>
      </w:r>
      <w:bookmarkEnd w:id="16"/>
      <w:bookmarkEnd w:id="17"/>
      <w:bookmarkEnd w:id="18"/>
      <w:bookmarkEnd w:id="19"/>
      <w:bookmarkEnd w:id="20"/>
      <w:bookmarkEnd w:id="21"/>
      <w:bookmarkEnd w:id="22"/>
      <w:bookmarkEnd w:id="23"/>
      <w:bookmarkEnd w:id="24"/>
      <w:bookmarkEnd w:id="25"/>
    </w:p>
    <w:p>
      <w:pPr>
        <w:pStyle w:val="BlankClose"/>
      </w:pPr>
    </w:p>
    <w:p>
      <w:pPr>
        <w:pStyle w:val="Heading5"/>
      </w:pPr>
      <w:bookmarkStart w:id="26" w:name="_Toc507650276"/>
      <w:bookmarkStart w:id="27" w:name="_Toc507657057"/>
      <w:bookmarkStart w:id="28" w:name="_Toc507657082"/>
      <w:r>
        <w:rPr>
          <w:rStyle w:val="CharSectno"/>
        </w:rPr>
        <w:t>5</w:t>
      </w:r>
      <w:r>
        <w:t>.</w:t>
      </w:r>
      <w:r>
        <w:tab/>
        <w:t>Part I Division 2 heading inserted</w:t>
      </w:r>
      <w:bookmarkEnd w:id="26"/>
      <w:bookmarkEnd w:id="27"/>
      <w:bookmarkEnd w:id="28"/>
    </w:p>
    <w:p>
      <w:pPr>
        <w:pStyle w:val="Subsection"/>
      </w:pPr>
      <w:r>
        <w:tab/>
      </w:r>
      <w:r>
        <w:tab/>
        <w:t>After section 4 insert:</w:t>
      </w:r>
    </w:p>
    <w:p>
      <w:pPr>
        <w:pStyle w:val="BlankOpen"/>
      </w:pPr>
    </w:p>
    <w:p>
      <w:pPr>
        <w:pStyle w:val="zHeading3"/>
      </w:pPr>
      <w:bookmarkStart w:id="29" w:name="_Toc493834328"/>
      <w:bookmarkStart w:id="30" w:name="_Toc494809972"/>
      <w:bookmarkStart w:id="31" w:name="_Toc494809993"/>
      <w:bookmarkStart w:id="32" w:name="_Toc494810213"/>
      <w:bookmarkStart w:id="33" w:name="_Toc494810290"/>
      <w:bookmarkStart w:id="34" w:name="_Toc506985524"/>
      <w:bookmarkStart w:id="35" w:name="_Toc507405616"/>
      <w:bookmarkStart w:id="36" w:name="_Toc507650277"/>
      <w:bookmarkStart w:id="37" w:name="_Toc507657058"/>
      <w:bookmarkStart w:id="38" w:name="_Toc507657083"/>
      <w:r>
        <w:t>Division 2 — Tribunal established</w:t>
      </w:r>
      <w:bookmarkEnd w:id="29"/>
      <w:bookmarkEnd w:id="30"/>
      <w:bookmarkEnd w:id="31"/>
      <w:bookmarkEnd w:id="32"/>
      <w:bookmarkEnd w:id="33"/>
      <w:bookmarkEnd w:id="34"/>
      <w:bookmarkEnd w:id="35"/>
      <w:bookmarkEnd w:id="36"/>
      <w:bookmarkEnd w:id="37"/>
      <w:bookmarkEnd w:id="38"/>
    </w:p>
    <w:p>
      <w:pPr>
        <w:pStyle w:val="BlankClose"/>
      </w:pPr>
    </w:p>
    <w:p>
      <w:pPr>
        <w:pStyle w:val="Heading5"/>
        <w:pageBreakBefore/>
        <w:spacing w:before="0"/>
      </w:pPr>
      <w:bookmarkStart w:id="39" w:name="_Toc507650278"/>
      <w:bookmarkStart w:id="40" w:name="_Toc507657059"/>
      <w:bookmarkStart w:id="41" w:name="_Toc507657084"/>
      <w:r>
        <w:rPr>
          <w:rStyle w:val="CharSectno"/>
        </w:rPr>
        <w:t>6</w:t>
      </w:r>
      <w:r>
        <w:t>.</w:t>
      </w:r>
      <w:r>
        <w:tab/>
        <w:t>Part I Division 3 heading inserted</w:t>
      </w:r>
      <w:bookmarkEnd w:id="39"/>
      <w:bookmarkEnd w:id="40"/>
      <w:bookmarkEnd w:id="41"/>
    </w:p>
    <w:p>
      <w:pPr>
        <w:pStyle w:val="Subsection"/>
        <w:keepNext/>
      </w:pPr>
      <w:r>
        <w:tab/>
      </w:r>
      <w:r>
        <w:tab/>
        <w:t>After section 5 insert:</w:t>
      </w:r>
    </w:p>
    <w:p>
      <w:pPr>
        <w:pStyle w:val="BlankOpen"/>
      </w:pPr>
    </w:p>
    <w:p>
      <w:pPr>
        <w:pStyle w:val="zHeading3"/>
      </w:pPr>
      <w:bookmarkStart w:id="42" w:name="_Toc493834330"/>
      <w:bookmarkStart w:id="43" w:name="_Toc494809974"/>
      <w:bookmarkStart w:id="44" w:name="_Toc494809995"/>
      <w:bookmarkStart w:id="45" w:name="_Toc494810215"/>
      <w:bookmarkStart w:id="46" w:name="_Toc494810292"/>
      <w:bookmarkStart w:id="47" w:name="_Toc506985526"/>
      <w:bookmarkStart w:id="48" w:name="_Toc507405618"/>
      <w:bookmarkStart w:id="49" w:name="_Toc507650279"/>
      <w:bookmarkStart w:id="50" w:name="_Toc507657060"/>
      <w:bookmarkStart w:id="51" w:name="_Toc507657085"/>
      <w:r>
        <w:t>Division 3 — Inquiries, determinations and reports</w:t>
      </w:r>
      <w:bookmarkEnd w:id="42"/>
      <w:bookmarkEnd w:id="43"/>
      <w:bookmarkEnd w:id="44"/>
      <w:bookmarkEnd w:id="45"/>
      <w:bookmarkEnd w:id="46"/>
      <w:bookmarkEnd w:id="47"/>
      <w:bookmarkEnd w:id="48"/>
      <w:bookmarkEnd w:id="49"/>
      <w:bookmarkEnd w:id="50"/>
      <w:bookmarkEnd w:id="51"/>
    </w:p>
    <w:p>
      <w:pPr>
        <w:pStyle w:val="BlankClose"/>
      </w:pPr>
    </w:p>
    <w:p>
      <w:pPr>
        <w:pStyle w:val="Heading5"/>
      </w:pPr>
      <w:bookmarkStart w:id="52" w:name="_Toc507650280"/>
      <w:bookmarkStart w:id="53" w:name="_Toc507657061"/>
      <w:bookmarkStart w:id="54" w:name="_Toc507657086"/>
      <w:r>
        <w:rPr>
          <w:rStyle w:val="CharSectno"/>
        </w:rPr>
        <w:t>7</w:t>
      </w:r>
      <w:r>
        <w:t>.</w:t>
      </w:r>
      <w:r>
        <w:tab/>
        <w:t>Section 8 amended</w:t>
      </w:r>
      <w:bookmarkEnd w:id="52"/>
      <w:bookmarkEnd w:id="53"/>
      <w:bookmarkEnd w:id="54"/>
    </w:p>
    <w:p>
      <w:pPr>
        <w:pStyle w:val="Subsection"/>
      </w:pPr>
      <w:r>
        <w:tab/>
        <w:t>(1)</w:t>
      </w:r>
      <w:r>
        <w:tab/>
        <w:t>In section 8 delete “The Tribunal” and insert:</w:t>
      </w:r>
    </w:p>
    <w:p>
      <w:pPr>
        <w:pStyle w:val="BlankOpen"/>
      </w:pPr>
    </w:p>
    <w:p>
      <w:pPr>
        <w:pStyle w:val="zSubsection"/>
      </w:pPr>
      <w:r>
        <w:tab/>
        <w:t>(1)</w:t>
      </w:r>
      <w:r>
        <w:tab/>
        <w:t>The Tribunal</w:t>
      </w:r>
    </w:p>
    <w:p>
      <w:pPr>
        <w:pStyle w:val="BlankClose"/>
      </w:pPr>
    </w:p>
    <w:p>
      <w:pPr>
        <w:pStyle w:val="Subsection"/>
        <w:keepNext/>
      </w:pPr>
      <w:r>
        <w:tab/>
        <w:t>(2)</w:t>
      </w:r>
      <w:r>
        <w:tab/>
        <w:t>At the end of section 8 insert:</w:t>
      </w:r>
    </w:p>
    <w:p>
      <w:pPr>
        <w:pStyle w:val="BlankOpen"/>
      </w:pPr>
    </w:p>
    <w:p>
      <w:pPr>
        <w:pStyle w:val="zSubsection"/>
      </w:pPr>
      <w:r>
        <w:tab/>
        <w:t>(2)</w:t>
      </w:r>
      <w:r>
        <w:tab/>
        <w:t xml:space="preserve">Despite subsection (1) — </w:t>
      </w:r>
    </w:p>
    <w:p>
      <w:pPr>
        <w:pStyle w:val="zIndenta"/>
      </w:pPr>
      <w:r>
        <w:tab/>
        <w:t>(a)</w:t>
      </w:r>
      <w:r>
        <w:tab/>
        <w:t>the Tribunal is not required to make an annual determination under section 6(1), or an annual report under section 7(1), before 1 July 2021; and</w:t>
      </w:r>
    </w:p>
    <w:p>
      <w:pPr>
        <w:pStyle w:val="zIndenta"/>
      </w:pPr>
      <w:r>
        <w:tab/>
        <w:t>(b)</w:t>
      </w:r>
      <w:r>
        <w:tab/>
        <w:t>the Tribunal must not make a determination under section 7C(2) that comes into operation while section 10F applies.</w:t>
      </w:r>
    </w:p>
    <w:p>
      <w:pPr>
        <w:pStyle w:val="zSubsection"/>
      </w:pPr>
      <w:r>
        <w:tab/>
        <w:t>(3)</w:t>
      </w:r>
      <w:r>
        <w:tab/>
        <w:t>Subsection (2)(a) does not prevent the Tribunal from making a determination or report referred to in that subsection if the Tribunal considers the circumstances require it.</w:t>
      </w:r>
    </w:p>
    <w:p>
      <w:pPr>
        <w:pStyle w:val="BlankClose"/>
      </w:pPr>
    </w:p>
    <w:p>
      <w:pPr>
        <w:pStyle w:val="Heading5"/>
        <w:pageBreakBefore/>
        <w:spacing w:before="0"/>
      </w:pPr>
      <w:bookmarkStart w:id="55" w:name="_Toc507650281"/>
      <w:bookmarkStart w:id="56" w:name="_Toc507657062"/>
      <w:bookmarkStart w:id="57" w:name="_Toc507657087"/>
      <w:r>
        <w:rPr>
          <w:rStyle w:val="CharSectno"/>
        </w:rPr>
        <w:t>8</w:t>
      </w:r>
      <w:r>
        <w:t>.</w:t>
      </w:r>
      <w:r>
        <w:tab/>
        <w:t>Section 10 amended</w:t>
      </w:r>
      <w:bookmarkEnd w:id="55"/>
      <w:bookmarkEnd w:id="56"/>
      <w:bookmarkEnd w:id="57"/>
    </w:p>
    <w:p>
      <w:pPr>
        <w:pStyle w:val="Subsection"/>
        <w:keepNext/>
      </w:pPr>
      <w:r>
        <w:tab/>
      </w:r>
      <w:r>
        <w:tab/>
        <w:t>In section 10(4)(d) delete “section 7C(2).” and insert:</w:t>
      </w:r>
    </w:p>
    <w:p>
      <w:pPr>
        <w:pStyle w:val="BlankOpen"/>
      </w:pPr>
    </w:p>
    <w:p>
      <w:pPr>
        <w:pStyle w:val="zIndenta"/>
      </w:pPr>
      <w:r>
        <w:tab/>
      </w:r>
      <w:r>
        <w:tab/>
        <w:t>section 7C(2) or the amount of remuneration to be paid or provided to those officers as referred to in section 10F(3).</w:t>
      </w:r>
    </w:p>
    <w:p>
      <w:pPr>
        <w:pStyle w:val="BlankClose"/>
      </w:pPr>
    </w:p>
    <w:p>
      <w:pPr>
        <w:pStyle w:val="Heading5"/>
      </w:pPr>
      <w:bookmarkStart w:id="58" w:name="_Toc507650282"/>
      <w:bookmarkStart w:id="59" w:name="_Toc507657063"/>
      <w:bookmarkStart w:id="60" w:name="_Toc507657088"/>
      <w:r>
        <w:rPr>
          <w:rStyle w:val="CharSectno"/>
        </w:rPr>
        <w:t>9</w:t>
      </w:r>
      <w:r>
        <w:t>.</w:t>
      </w:r>
      <w:r>
        <w:tab/>
        <w:t>Part I Division 4 inserted</w:t>
      </w:r>
      <w:bookmarkEnd w:id="58"/>
      <w:bookmarkEnd w:id="59"/>
      <w:bookmarkEnd w:id="60"/>
    </w:p>
    <w:p>
      <w:pPr>
        <w:pStyle w:val="Subsection"/>
      </w:pPr>
      <w:r>
        <w:tab/>
      </w:r>
      <w:r>
        <w:tab/>
        <w:t>After section 10A insert:</w:t>
      </w:r>
    </w:p>
    <w:p>
      <w:pPr>
        <w:pStyle w:val="BlankOpen"/>
      </w:pPr>
    </w:p>
    <w:p>
      <w:pPr>
        <w:pStyle w:val="zHeading3"/>
      </w:pPr>
      <w:bookmarkStart w:id="61" w:name="_Toc493834334"/>
      <w:bookmarkStart w:id="62" w:name="_Toc494809978"/>
      <w:bookmarkStart w:id="63" w:name="_Toc494809999"/>
      <w:bookmarkStart w:id="64" w:name="_Toc494810219"/>
      <w:bookmarkStart w:id="65" w:name="_Toc494810296"/>
      <w:bookmarkStart w:id="66" w:name="_Toc506985530"/>
      <w:bookmarkStart w:id="67" w:name="_Toc507405622"/>
      <w:bookmarkStart w:id="68" w:name="_Toc507650283"/>
      <w:bookmarkStart w:id="69" w:name="_Toc507657064"/>
      <w:bookmarkStart w:id="70" w:name="_Toc507657089"/>
      <w:r>
        <w:t>Division 4 — No remuneration increases before 1 July 2021</w:t>
      </w:r>
      <w:bookmarkEnd w:id="61"/>
      <w:bookmarkEnd w:id="62"/>
      <w:bookmarkEnd w:id="63"/>
      <w:bookmarkEnd w:id="64"/>
      <w:bookmarkEnd w:id="65"/>
      <w:bookmarkEnd w:id="66"/>
      <w:bookmarkEnd w:id="67"/>
      <w:bookmarkEnd w:id="68"/>
      <w:bookmarkEnd w:id="69"/>
      <w:bookmarkEnd w:id="70"/>
    </w:p>
    <w:p>
      <w:pPr>
        <w:pStyle w:val="zHeading5"/>
      </w:pPr>
      <w:bookmarkStart w:id="71" w:name="_Toc507650284"/>
      <w:bookmarkStart w:id="72" w:name="_Toc507657065"/>
      <w:bookmarkStart w:id="73" w:name="_Toc507657090"/>
      <w:r>
        <w:t>10B.</w:t>
      </w:r>
      <w:r>
        <w:tab/>
        <w:t>Term used: commencement day</w:t>
      </w:r>
      <w:bookmarkEnd w:id="71"/>
      <w:bookmarkEnd w:id="72"/>
      <w:bookmarkEnd w:id="73"/>
    </w:p>
    <w:p>
      <w:pPr>
        <w:pStyle w:val="zSubsection"/>
      </w:pPr>
      <w:r>
        <w:tab/>
      </w:r>
      <w:r>
        <w:tab/>
        <w:t xml:space="preserve">In this Division — </w:t>
      </w:r>
    </w:p>
    <w:p>
      <w:pPr>
        <w:pStyle w:val="zDefstar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zHeading5"/>
      </w:pPr>
      <w:bookmarkStart w:id="74" w:name="_Toc507650285"/>
      <w:bookmarkStart w:id="75" w:name="_Toc507657066"/>
      <w:bookmarkStart w:id="76" w:name="_Toc507657091"/>
      <w:r>
        <w:t>10C.</w:t>
      </w:r>
      <w:r>
        <w:tab/>
        <w:t>No increases in Governor’s remuneration before 1 July 2021</w:t>
      </w:r>
      <w:bookmarkEnd w:id="74"/>
      <w:bookmarkEnd w:id="75"/>
      <w:bookmarkEnd w:id="76"/>
    </w:p>
    <w:p>
      <w:pPr>
        <w:pStyle w:val="zSubsection"/>
      </w:pPr>
      <w:r>
        <w:tab/>
        <w:t>(1)</w:t>
      </w:r>
      <w:r>
        <w:tab/>
        <w:t>This section applies to a determination made by the Tribunal under section 5A that comes into operation before 1 July 2021.</w:t>
      </w:r>
    </w:p>
    <w:p>
      <w:pPr>
        <w:pStyle w:val="z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z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z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zSubsection"/>
      </w:pPr>
      <w:r>
        <w:tab/>
        <w:t>(5)</w:t>
      </w:r>
      <w:r>
        <w:tab/>
        <w:t>The regulations may prescribe a kind or class of remuneration to which this section does not apply.</w:t>
      </w:r>
    </w:p>
    <w:p>
      <w:pPr>
        <w:pStyle w:val="zHeading5"/>
      </w:pPr>
      <w:bookmarkStart w:id="77" w:name="_Toc507650286"/>
      <w:bookmarkStart w:id="78" w:name="_Toc507657067"/>
      <w:bookmarkStart w:id="79" w:name="_Toc507657092"/>
      <w:r>
        <w:t>10D.</w:t>
      </w:r>
      <w:r>
        <w:tab/>
        <w:t>No increases in remuneration under s. 6 before 1 July 2021</w:t>
      </w:r>
      <w:bookmarkEnd w:id="77"/>
      <w:bookmarkEnd w:id="78"/>
      <w:bookmarkEnd w:id="79"/>
    </w:p>
    <w:p>
      <w:pPr>
        <w:pStyle w:val="zSubsection"/>
      </w:pPr>
      <w:r>
        <w:tab/>
        <w:t>(1)</w:t>
      </w:r>
      <w:r>
        <w:tab/>
        <w:t xml:space="preserve">In this section — </w:t>
      </w:r>
    </w:p>
    <w:p>
      <w:pPr>
        <w:pStyle w:val="zDefstart"/>
      </w:pPr>
      <w:r>
        <w:tab/>
      </w:r>
      <w:r>
        <w:rPr>
          <w:rStyle w:val="CharDefText"/>
        </w:rPr>
        <w:t>classification framework</w:t>
      </w:r>
      <w:r>
        <w:t xml:space="preserve"> means a framework under which the Tribunal, in respect of the offices referred to in section 6(1)(d) —</w:t>
      </w:r>
    </w:p>
    <w:p>
      <w:pPr>
        <w:pStyle w:val="zDefpara"/>
      </w:pPr>
      <w:r>
        <w:tab/>
        <w:t>(a)</w:t>
      </w:r>
      <w:r>
        <w:tab/>
        <w:t>assesses the work value of each of the offices using established principles and methodologies; and</w:t>
      </w:r>
    </w:p>
    <w:p>
      <w:pPr>
        <w:pStyle w:val="zDefpara"/>
      </w:pPr>
      <w:r>
        <w:tab/>
        <w:t>(b)</w:t>
      </w:r>
      <w:r>
        <w:tab/>
        <w:t>based on that assessment, assigns each of the offices to a level of classification, known as a band; and</w:t>
      </w:r>
    </w:p>
    <w:p>
      <w:pPr>
        <w:pStyle w:val="zDefpara"/>
      </w:pPr>
      <w:r>
        <w:tab/>
        <w:t>(c)</w:t>
      </w:r>
      <w:r>
        <w:tab/>
        <w:t xml:space="preserve">specifies in respect of each band minimum and maximum amounts of annual salary. </w:t>
      </w:r>
    </w:p>
    <w:p>
      <w:pPr>
        <w:pStyle w:val="zSubsection"/>
      </w:pPr>
      <w:r>
        <w:tab/>
        <w:t>(2)</w:t>
      </w:r>
      <w:r>
        <w:tab/>
        <w:t>This section applies to a determination made by the Tribunal under section 6 that comes into operation before 1 July 2021, other than a determination made under section 6(1)(ea).</w:t>
      </w:r>
    </w:p>
    <w:p>
      <w:pPr>
        <w:pStyle w:val="z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z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zSubsection"/>
      </w:pPr>
      <w:r>
        <w:tab/>
        <w:t>(5)</w:t>
      </w:r>
      <w:r>
        <w:tab/>
        <w:t xml:space="preserve">Subsection (6) applies if — </w:t>
      </w:r>
    </w:p>
    <w:p>
      <w:pPr>
        <w:pStyle w:val="zIndenta"/>
      </w:pPr>
      <w:r>
        <w:tab/>
        <w:t>(a)</w:t>
      </w:r>
      <w:r>
        <w:tab/>
        <w:t>an office referred to in section 6(1)(d) or (e) was vacant immediately before commencement day, and the last person to hold the office before commencement day was not in office on or after 1 July 2016; or</w:t>
      </w:r>
    </w:p>
    <w:p>
      <w:pPr>
        <w:pStyle w:val="zIndenta"/>
      </w:pPr>
      <w:r>
        <w:tab/>
        <w:t>(b)</w:t>
      </w:r>
      <w:r>
        <w:tab/>
        <w:t>the Tribunal has not previously determined the remuneration to be paid or provided in respect of an office referred to in section 6(1)(d) or (e), for example because it is a new office.</w:t>
      </w:r>
    </w:p>
    <w:p>
      <w:pPr>
        <w:pStyle w:val="zSubsection"/>
      </w:pPr>
      <w:r>
        <w:tab/>
        <w:t>(6)</w:t>
      </w:r>
      <w:r>
        <w:tab/>
        <w:t xml:space="preserve">In determining the remuneration to be paid or provided in respect of the office, the Tribunal — </w:t>
      </w:r>
    </w:p>
    <w:p>
      <w:pPr>
        <w:pStyle w:val="z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zIndenta"/>
      </w:pPr>
      <w:r>
        <w:tab/>
        <w:t>(b)</w:t>
      </w:r>
      <w:r>
        <w:tab/>
        <w:t>must not, in the case of any subsequent determination, determine remuneration that is more than the remuneration determined by the Tribunal in accordance with paragraph (a).</w:t>
      </w:r>
    </w:p>
    <w:p>
      <w:pPr>
        <w:pStyle w:val="zSubsection"/>
      </w:pPr>
      <w:r>
        <w:tab/>
        <w:t>(7)</w:t>
      </w:r>
      <w:r>
        <w:tab/>
        <w:t xml:space="preserve">If a determination made by the Tribunal includes a classification framework in respect of the offices referred to in section 6(1)(d) — </w:t>
      </w:r>
    </w:p>
    <w:p>
      <w:pPr>
        <w:pStyle w:val="zIndenta"/>
      </w:pPr>
      <w:r>
        <w:tab/>
        <w:t>(a)</w:t>
      </w:r>
      <w:r>
        <w:tab/>
        <w:t>the principles and methodologies the Tribunal uses to assess the work value of each of the offices must not differ from the principles and methodologies the Tribunal used immediately before commencement day; and</w:t>
      </w:r>
    </w:p>
    <w:p>
      <w:pPr>
        <w:pStyle w:val="zIndenta"/>
      </w:pPr>
      <w:r>
        <w:tab/>
        <w:t>(b)</w:t>
      </w:r>
      <w:r>
        <w:tab/>
        <w:t>the number of bands in the classification framework must not differ from the number of bands in the classification framework that applied immediately before commencement day; and</w:t>
      </w:r>
    </w:p>
    <w:p>
      <w:pPr>
        <w:pStyle w:val="zIndenta"/>
      </w:pPr>
      <w:r>
        <w:tab/>
        <w:t>(c)</w:t>
      </w:r>
      <w:r>
        <w:tab/>
        <w:t>the minimum and maximum amounts of salary specified in respect of a band must not differ from the minimum and maximum amounts of salary that applied in respect of that band immediately before commencement day.</w:t>
      </w:r>
    </w:p>
    <w:p>
      <w:pPr>
        <w:pStyle w:val="z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zSubsection"/>
      </w:pPr>
      <w:r>
        <w:tab/>
        <w:t>(9)</w:t>
      </w:r>
      <w:r>
        <w:tab/>
        <w:t>The regulations may prescribe a kind or class of remuneration to which this section does not apply.</w:t>
      </w:r>
    </w:p>
    <w:p>
      <w:pPr>
        <w:pStyle w:val="zHeading5"/>
      </w:pPr>
      <w:bookmarkStart w:id="80" w:name="_Toc507650287"/>
      <w:bookmarkStart w:id="81" w:name="_Toc507657068"/>
      <w:bookmarkStart w:id="82" w:name="_Toc507657093"/>
      <w:r>
        <w:t>10E.</w:t>
      </w:r>
      <w:r>
        <w:tab/>
        <w:t>No increases in judicial remuneration before 1 July 2021</w:t>
      </w:r>
      <w:bookmarkEnd w:id="80"/>
      <w:bookmarkEnd w:id="81"/>
      <w:bookmarkEnd w:id="82"/>
    </w:p>
    <w:p>
      <w:pPr>
        <w:pStyle w:val="zSubsection"/>
      </w:pPr>
      <w:r>
        <w:tab/>
        <w:t>(1)</w:t>
      </w:r>
      <w:r>
        <w:tab/>
        <w:t>This section applies to a report made by the Tribunal under section 7 that comes into operation before 1 July 2021.</w:t>
      </w:r>
    </w:p>
    <w:p>
      <w:pPr>
        <w:pStyle w:val="z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zSubsection"/>
      </w:pPr>
      <w:r>
        <w:tab/>
        <w:t>(3)</w:t>
      </w:r>
      <w:r>
        <w:tab/>
        <w:t>The regulations may prescribe a kind or class of remuneration to which this section does not apply.</w:t>
      </w:r>
    </w:p>
    <w:p>
      <w:pPr>
        <w:pStyle w:val="zHeading5"/>
      </w:pPr>
      <w:bookmarkStart w:id="83" w:name="_Toc507650288"/>
      <w:bookmarkStart w:id="84" w:name="_Toc507657069"/>
      <w:bookmarkStart w:id="85" w:name="_Toc507657094"/>
      <w:r>
        <w:t>10F.</w:t>
      </w:r>
      <w:r>
        <w:tab/>
        <w:t>No increases in remuneration of certain executive officers of Government entities before 1 July 2021</w:t>
      </w:r>
      <w:bookmarkEnd w:id="83"/>
      <w:bookmarkEnd w:id="84"/>
      <w:bookmarkEnd w:id="85"/>
    </w:p>
    <w:p>
      <w:pPr>
        <w:pStyle w:val="zSubsection"/>
      </w:pPr>
      <w:r>
        <w:tab/>
        <w:t>(1)</w:t>
      </w:r>
      <w:r>
        <w:tab/>
        <w:t xml:space="preserve">In this section — </w:t>
      </w:r>
    </w:p>
    <w:p>
      <w:pPr>
        <w:pStyle w:val="zDefstart"/>
      </w:pPr>
      <w:r>
        <w:tab/>
      </w:r>
      <w:r>
        <w:rPr>
          <w:rStyle w:val="CharDefText"/>
        </w:rPr>
        <w:t>entity</w:t>
      </w:r>
      <w:r>
        <w:t xml:space="preserve"> means an entity that is specified in column 1 of Schedule 2;</w:t>
      </w:r>
    </w:p>
    <w:p>
      <w:pPr>
        <w:pStyle w:val="zDefstart"/>
      </w:pPr>
      <w:r>
        <w:tab/>
      </w:r>
      <w:r>
        <w:rPr>
          <w:rStyle w:val="CharDefText"/>
        </w:rPr>
        <w:t>executive officer</w:t>
      </w:r>
      <w:r>
        <w:t>, of an entity, has the meaning given in section 7C(1) and (4).</w:t>
      </w:r>
    </w:p>
    <w:p>
      <w:pPr>
        <w:pStyle w:val="zSubsection"/>
      </w:pPr>
      <w:r>
        <w:tab/>
        <w:t>(2)</w:t>
      </w:r>
      <w:r>
        <w:tab/>
        <w:t>This section applies until the beginning of 1 July 2021.</w:t>
      </w:r>
    </w:p>
    <w:p>
      <w:pPr>
        <w:pStyle w:val="zSubsection"/>
      </w:pPr>
      <w:r>
        <w:tab/>
        <w:t>(3)</w:t>
      </w:r>
      <w:r>
        <w:tab/>
        <w:t xml:space="preserve">If, on or after commencement day, an entity is prescribed by the regulations for the purposes of paragraph (b) of the definition of </w:t>
      </w:r>
      <w:r>
        <w:rPr>
          <w:b/>
          <w:i/>
        </w:rPr>
        <w:t>Government entity</w:t>
      </w:r>
      <w:r>
        <w:t xml:space="preserve"> in section 7C(1), the Tribunal is to inquire into and determine the amount of remuneration to be paid or provided to executive officers of the entity.</w:t>
      </w:r>
    </w:p>
    <w:p>
      <w:pPr>
        <w:pStyle w:val="z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zSubsection"/>
      </w:pPr>
      <w:r>
        <w:tab/>
        <w:t>(5)</w:t>
      </w:r>
      <w:r>
        <w:tab/>
        <w:t xml:space="preserve">If, in respect of an executive officer of an entity, there was no person holding the office immediately before commencement day, the Tribunal — </w:t>
      </w:r>
    </w:p>
    <w:p>
      <w:pPr>
        <w:pStyle w:val="z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zIndenta"/>
      </w:pPr>
      <w:r>
        <w:tab/>
        <w:t>(b)</w:t>
      </w:r>
      <w:r>
        <w:tab/>
        <w:t>must not, in the case of any subsequent determination under subsection (3), determine remuneration that is more than the remuneration determined by the Tribunal in accordance with paragraph (a).</w:t>
      </w:r>
    </w:p>
    <w:p>
      <w:pPr>
        <w:pStyle w:val="zSubsection"/>
      </w:pPr>
      <w:r>
        <w:tab/>
        <w:t>(6)</w:t>
      </w:r>
      <w:r>
        <w:tab/>
        <w:t>Section 6(2) and (3) apply to a determination under subsection (3).</w:t>
      </w:r>
    </w:p>
    <w:p>
      <w:pPr>
        <w:pStyle w:val="z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zSubsection"/>
      </w:pPr>
      <w:r>
        <w:tab/>
        <w:t>(8)</w:t>
      </w:r>
      <w:r>
        <w:tab/>
        <w:t xml:space="preserve">While this section applies — </w:t>
      </w:r>
    </w:p>
    <w:p>
      <w:pPr>
        <w:pStyle w:val="z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zIndenta"/>
      </w:pPr>
      <w:r>
        <w:tab/>
        <w:t>(b)</w:t>
      </w:r>
      <w:r>
        <w:tab/>
        <w:t>the executive officer is to be paid or provided the remuneration determined by the Tribunal under subsection (3).</w:t>
      </w:r>
    </w:p>
    <w:p>
      <w:pPr>
        <w:pStyle w:val="z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zSubsection"/>
      </w:pPr>
      <w:r>
        <w:tab/>
        <w:t>(10)</w:t>
      </w:r>
      <w:r>
        <w:tab/>
        <w:t>The regulations may prescribe a kind or class of remuneration to which this section does not apply.</w:t>
      </w:r>
    </w:p>
    <w:p>
      <w:pPr>
        <w:pStyle w:val="zHeading5"/>
      </w:pPr>
      <w:bookmarkStart w:id="86" w:name="_Toc507650289"/>
      <w:bookmarkStart w:id="87" w:name="_Toc507657070"/>
      <w:bookmarkStart w:id="88" w:name="_Toc507657095"/>
      <w:r>
        <w:t>10G.</w:t>
      </w:r>
      <w:r>
        <w:tab/>
        <w:t>Compensatory and catch-up determinations after 1 July 2021 prohibited</w:t>
      </w:r>
      <w:bookmarkEnd w:id="86"/>
      <w:bookmarkEnd w:id="87"/>
      <w:bookmarkEnd w:id="88"/>
    </w:p>
    <w:p>
      <w:pPr>
        <w:pStyle w:val="zSubsection"/>
      </w:pPr>
      <w:r>
        <w:tab/>
        <w:t>(1)</w:t>
      </w:r>
      <w:r>
        <w:tab/>
        <w:t>This section applies to a determination or report of the Tribunal that comes into operation on or after 1 July 2021.</w:t>
      </w:r>
    </w:p>
    <w:p>
      <w:pPr>
        <w:pStyle w:val="zSubsection"/>
      </w:pPr>
      <w:r>
        <w:tab/>
        <w:t>(2)</w:t>
      </w:r>
      <w:r>
        <w:tab/>
        <w:t>The Tribunal must not make a determination under section 5A, 6 or 7C, or a report under section 7, which —</w:t>
      </w:r>
    </w:p>
    <w:p>
      <w:pPr>
        <w:pStyle w:val="z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zIndenta"/>
      </w:pPr>
      <w:r>
        <w:tab/>
        <w:t>(b)</w:t>
      </w:r>
      <w:r>
        <w:tab/>
        <w:t>takes into account any increase in the cost of living that occurred between commencement day and 1 July 2021.</w:t>
      </w:r>
    </w:p>
    <w:p>
      <w:pPr>
        <w:pStyle w:val="BlankClose"/>
      </w:pPr>
    </w:p>
    <w:p>
      <w:pPr>
        <w:pStyle w:val="Heading5"/>
      </w:pPr>
      <w:bookmarkStart w:id="89" w:name="_Toc507650290"/>
      <w:bookmarkStart w:id="90" w:name="_Toc507657071"/>
      <w:bookmarkStart w:id="91" w:name="_Toc507657096"/>
      <w:r>
        <w:rPr>
          <w:rStyle w:val="CharSectno"/>
        </w:rPr>
        <w:t>10</w:t>
      </w:r>
      <w:r>
        <w:t>.</w:t>
      </w:r>
      <w:r>
        <w:tab/>
        <w:t>Part I Division 5 heading inserted</w:t>
      </w:r>
      <w:bookmarkEnd w:id="89"/>
      <w:bookmarkEnd w:id="90"/>
      <w:bookmarkEnd w:id="91"/>
    </w:p>
    <w:p>
      <w:pPr>
        <w:pStyle w:val="Subsection"/>
        <w:keepNext/>
      </w:pPr>
      <w:r>
        <w:tab/>
      </w:r>
      <w:r>
        <w:tab/>
        <w:t>Before section 11 insert:</w:t>
      </w:r>
    </w:p>
    <w:p>
      <w:pPr>
        <w:pStyle w:val="BlankOpen"/>
      </w:pPr>
    </w:p>
    <w:p>
      <w:pPr>
        <w:pStyle w:val="zHeading3"/>
      </w:pPr>
      <w:bookmarkStart w:id="92" w:name="_Toc493834343"/>
      <w:bookmarkStart w:id="93" w:name="_Toc494809986"/>
      <w:bookmarkStart w:id="94" w:name="_Toc494810007"/>
      <w:bookmarkStart w:id="95" w:name="_Toc494810227"/>
      <w:bookmarkStart w:id="96" w:name="_Toc494810304"/>
      <w:bookmarkStart w:id="97" w:name="_Toc506985538"/>
      <w:bookmarkStart w:id="98" w:name="_Toc507405630"/>
      <w:bookmarkStart w:id="99" w:name="_Toc507650291"/>
      <w:bookmarkStart w:id="100" w:name="_Toc507657072"/>
      <w:bookmarkStart w:id="101" w:name="_Toc507657097"/>
      <w:r>
        <w:t>Division 5 — Miscellaneous</w:t>
      </w:r>
      <w:bookmarkEnd w:id="92"/>
      <w:bookmarkEnd w:id="93"/>
      <w:bookmarkEnd w:id="94"/>
      <w:bookmarkEnd w:id="95"/>
      <w:bookmarkEnd w:id="96"/>
      <w:bookmarkEnd w:id="97"/>
      <w:bookmarkEnd w:id="98"/>
      <w:bookmarkEnd w:id="99"/>
      <w:bookmarkEnd w:id="100"/>
      <w:bookmarkEnd w:id="101"/>
    </w:p>
    <w:p>
      <w:pPr>
        <w:pStyle w:val="BlankClose"/>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sectPr>
          <w:headerReference w:type="even" r:id="rId27"/>
          <w:headerReference w:type="default" r:id="rId28"/>
          <w:endnotePr>
            <w:numFmt w:val="decimal"/>
          </w:endnotePr>
          <w:pgSz w:w="11907" w:h="16840" w:code="9"/>
          <w:pgMar w:top="2381" w:right="2410" w:bottom="3544" w:left="2410" w:header="720" w:footer="3544" w:gutter="0"/>
          <w:cols w:space="720"/>
          <w:docGrid w:linePitch="326"/>
        </w:sectPr>
      </w:pPr>
    </w:p>
    <w:p>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bottom</wp:align>
                </wp:positionV>
                <wp:extent cx="132521" cy="2566430"/>
                <wp:effectExtent l="0" t="0" r="1905" b="5715"/>
                <wp:wrapNone/>
                <wp:docPr id="3" name="Authority"/>
                <wp:cNvGraphicFramePr/>
                <a:graphic xmlns:a="http://schemas.openxmlformats.org/drawingml/2006/main">
                  <a:graphicData uri="http://schemas.microsoft.com/office/word/2010/wordprocessingShape">
                    <wps:wsp>
                      <wps:cNvSpPr txBox="1"/>
                      <wps:spPr>
                        <a:xfrm>
                          <a:off x="0" y="0"/>
                          <a:ext cx="132521" cy="256643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KEVIN J. McRAE,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0;width:10.45pt;height:202.1pt;z-index:251664384;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" stroked="f" strokeweight=".5pt">
                <v:textbox>
                  <w:txbxContent>
                    <w:p w:rsidR="00F5171C" w:rsidRDefault="00F5171C">
                      <w:pPr>
                        <w:pBdr>
                          <w:top w:val="double" w:sz="4" w:space="0" w:color="auto"/>
                        </w:pBdr>
                        <w:ind w:left="2381" w:right="2381"/>
                        <w:jc w:val="center"/>
                        <w:rPr>
                          <w:rFonts w:ascii="Arial" w:hAnsi="Arial" w:cs="Arial"/>
                          <w:sz w:val="12"/>
                        </w:rPr>
                      </w:pPr>
                      <w:r>
                        <w:rPr>
                          <w:rFonts w:ascii="Arial" w:hAnsi="Arial" w:cs="Arial"/>
                          <w:sz w:val="12"/>
                        </w:rPr>
                        <w:t xml:space="preserve">By Authority: KEVIN J. </w:t>
                      </w:r>
                      <w:proofErr w:type="spellStart"/>
                      <w:r>
                        <w:rPr>
                          <w:rFonts w:ascii="Arial" w:hAnsi="Arial" w:cs="Arial"/>
                          <w:sz w:val="12"/>
                        </w:rPr>
                        <w:t>McRAE</w:t>
                      </w:r>
                      <w:proofErr w:type="spellEnd"/>
                      <w:r>
                        <w:rPr>
                          <w:rFonts w:ascii="Arial" w:hAnsi="Arial" w:cs="Arial"/>
                          <w:sz w:val="12"/>
                        </w:rPr>
                        <w:t>,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2410" w:bottom="567" w:left="2410" w:header="720" w:footer="720"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"ActNoFooter" </w:instrText>
    </w:r>
    <w:r>
      <w:rPr>
        <w:sz w:val="20"/>
      </w:rPr>
      <w:fldChar w:fldCharType="separate"/>
    </w:r>
    <w:r>
      <w:rPr>
        <w:sz w:val="20"/>
      </w:rPr>
      <w:t>No. 1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2018</w:t>
    </w:r>
    <w:r>
      <w:rPr>
        <w:sz w:val="20"/>
      </w:rPr>
      <w:fldChar w:fldCharType="end"/>
    </w:r>
    <w:r>
      <w:rPr>
        <w:sz w:val="20"/>
      </w:rPr>
      <w:tab/>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Feb 2018</w:t>
    </w:r>
    <w:r>
      <w:rPr>
        <w:sz w:val="20"/>
      </w:rPr>
      <w:fldChar w:fldCharType="end"/>
    </w:r>
    <w:r>
      <w:rPr>
        <w:sz w:val="20"/>
      </w:rPr>
      <w:tab/>
    </w:r>
    <w:r>
      <w:rPr>
        <w:sz w:val="20"/>
      </w:rPr>
      <w:fldChar w:fldCharType="begin"/>
    </w:r>
    <w:r>
      <w:rPr>
        <w:sz w:val="20"/>
      </w:rPr>
      <w:instrText xml:space="preserve"> DOCPROPERTY "ActNoFooter" </w:instrText>
    </w:r>
    <w:r>
      <w:rPr>
        <w:sz w:val="20"/>
      </w:rPr>
      <w:fldChar w:fldCharType="separate"/>
    </w:r>
    <w:r>
      <w:rPr>
        <w:sz w:val="20"/>
      </w:rPr>
      <w:t>No. 1 of 2018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Amendment (Debt and Deficit Remediation) Act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Amendment (Debt and Deficit Remediation) Act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Amendment (Debt and Deficit Remediation) Act 2018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Salaries and Allowances Amendment (Debt and Deficit Remediation)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Salaries and Allowances Amendment (Debt and Deficit Remediation) Act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firstLine="284"/>
            <w:jc w:val="right"/>
          </w:pPr>
          <w:r>
            <w:rPr>
              <w:b/>
              <w:i/>
            </w:rPr>
            <w:fldChar w:fldCharType="begin"/>
          </w:r>
          <w:r>
            <w:rPr>
              <w:b/>
              <w:i/>
            </w:rPr>
            <w:instrText xml:space="preserve"> STYLEREF "Name of Act/Reg" </w:instrText>
          </w:r>
          <w:r>
            <w:rPr>
              <w:b/>
              <w:i/>
            </w:rPr>
            <w:fldChar w:fldCharType="separate"/>
          </w:r>
          <w:r>
            <w:rPr>
              <w:b/>
              <w:i/>
            </w:rPr>
            <w:t>Salaries and Allowances Amendment (Debt and Deficit Remediation) Act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102" w:name="Compilation"/>
    <w:bookmarkEnd w:id="10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3" w:name="Coversheet"/>
    <w:bookmarkEnd w:id="10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2E234BC"/>
    <w:multiLevelType w:val="hybridMultilevel"/>
    <w:tmpl w:val="BE567B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5"/>
  </w:num>
  <w:num w:numId="3">
    <w:abstractNumId w:val="11"/>
  </w:num>
  <w:num w:numId="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21102946"/>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70828102224" w:val="RemoveTocBookmarks,RemoveUnusedBookmarks,RemoveLanguageTags,UsedStyles,ResetPageSize"/>
    <w:docVar w:name="WAFER_20170828102224_GUID" w:val="55bd8f73-765e-47d7-869b-7b3f86176951"/>
    <w:docVar w:name="WAFER_20170920162051" w:val="RemoveTocBookmarks,RemoveUnusedBookmarks,RemoveLanguageTags,UsedStyles,ResetPageSize"/>
    <w:docVar w:name="WAFER_20170920162051_GUID" w:val="3eba5f87-e82e-4a6e-a978-d909b207dbaf"/>
    <w:docVar w:name="WAFER_20170921102946" w:val="RemoveTocBookmarks,RunningHeaders"/>
    <w:docVar w:name="WAFER_20170921102946_GUID" w:val="09b6cdf8-2cec-42b0-88f6-858e3f882e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tif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A6C3EA-BE41-4FCD-80C1-AE6D19E9D1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2149</Words>
  <Characters>10772</Characters>
  <Application>Microsoft Office Word</Application>
  <DocSecurity>0</DocSecurity>
  <Lines>347</Lines>
  <Paragraphs>157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12764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Amendment (Debt and Deficit Remediation) Act 2018 - 00-00-02</dc:title>
  <dc:subject/>
  <dc:creator/>
  <cp:keywords/>
  <dc:description/>
  <cp:lastModifiedBy>svcMRProcess</cp:lastModifiedBy>
  <cp:revision>4</cp:revision>
  <cp:lastPrinted>2018-02-28T22:55:00Z</cp:lastPrinted>
  <dcterms:created xsi:type="dcterms:W3CDTF">2018-08-23T01:18:00Z</dcterms:created>
  <dcterms:modified xsi:type="dcterms:W3CDTF">2018-08-23T01:18:00Z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2562</vt:lpwstr>
  </property>
  <property fmtid="{D5CDD505-2E9C-101B-9397-08002B2CF9AE}" pid="3" name="ShortTitle">
    <vt:lpwstr>Salaries and Allowances Amendment (Debt and Deficit Remediation) Act 2018</vt:lpwstr>
  </property>
  <property fmtid="{D5CDD505-2E9C-101B-9397-08002B2CF9AE}" pid="4" name="Citation">
    <vt:lpwstr>Salaries and Allowances Amendment (Debt and Deficit Remediation) Act 2018</vt:lpwstr>
  </property>
  <property fmtid="{D5CDD505-2E9C-101B-9397-08002B2CF9AE}" pid="5" name="PrincipalAct">
    <vt:lpwstr>Salaries and Allowances Act 1975</vt:lpwstr>
  </property>
  <property fmtid="{D5CDD505-2E9C-101B-9397-08002B2CF9AE}" pid="6" name="SLPBillNumber">
    <vt:lpwstr>34—1</vt:lpwstr>
  </property>
  <property fmtid="{D5CDD505-2E9C-101B-9397-08002B2CF9AE}" pid="7" name="ActNo">
    <vt:lpwstr>1 of 2018</vt:lpwstr>
  </property>
  <property fmtid="{D5CDD505-2E9C-101B-9397-08002B2CF9AE}" pid="8" name="Assent Date">
    <vt:lpwstr>27 February 2018</vt:lpwstr>
  </property>
  <property fmtid="{D5CDD505-2E9C-101B-9397-08002B2CF9AE}" pid="9" name="DocumentType">
    <vt:lpwstr>Act</vt:lpwstr>
  </property>
  <property fmtid="{D5CDD505-2E9C-101B-9397-08002B2CF9AE}" pid="10" name="CommencementDate">
    <vt:lpwstr>20180227</vt:lpwstr>
  </property>
  <property fmtid="{D5CDD505-2E9C-101B-9397-08002B2CF9AE}" pid="11" name="AsAtDate">
    <vt:lpwstr>27 Feb 2018</vt:lpwstr>
  </property>
  <property fmtid="{D5CDD505-2E9C-101B-9397-08002B2CF9AE}" pid="12" name="Suffix">
    <vt:lpwstr>00-00-02</vt:lpwstr>
  </property>
  <property fmtid="{D5CDD505-2E9C-101B-9397-08002B2CF9AE}" pid="13" name="ActNoFooter">
    <vt:lpwstr>No. 1 of 2018</vt:lpwstr>
  </property>
</Properties>
</file>