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Gaming and Wagering Commission Act 1987</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_Toc501526413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_Toc501526414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compliance with forms</w:t>
      </w:r>
      <w:r>
        <w:tab/>
      </w:r>
      <w:r>
        <w:fldChar w:fldCharType="begin"/>
      </w:r>
      <w:r>
        <w:instrText xml:space="preserve"> PAGEREF _Toc501526415 \h </w:instrText>
      </w:r>
      <w:r>
        <w:fldChar w:fldCharType="separate"/>
      </w:r>
      <w:r>
        <w:t>1</w:t>
      </w:r>
      <w:r>
        <w:fldChar w:fldCharType="end"/>
      </w:r>
    </w:p>
    <w:p>
      <w:pPr>
        <w:pStyle w:val="TOC8"/>
        <w:rPr>
          <w:rFonts w:asciiTheme="minorHAnsi" w:eastAsiaTheme="minorEastAsia" w:hAnsiTheme="minorHAnsi" w:cstheme="minorBidi"/>
          <w:szCs w:val="22"/>
        </w:rPr>
      </w:pPr>
      <w:r>
        <w:t>4A.</w:t>
      </w:r>
      <w:r>
        <w:tab/>
        <w:t>Notes in the text</w:t>
      </w:r>
      <w:r>
        <w:tab/>
      </w:r>
      <w:r>
        <w:fldChar w:fldCharType="begin"/>
      </w:r>
      <w:r>
        <w:instrText xml:space="preserve"> PAGEREF _Toc501526416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w:t>
      </w:r>
      <w:r>
        <w:tab/>
      </w:r>
      <w:r>
        <w:fldChar w:fldCharType="begin"/>
      </w:r>
      <w:r>
        <w:instrText xml:space="preserve"> PAGEREF _Toc501526417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Enforcement</w:t>
      </w:r>
    </w:p>
    <w:p>
      <w:pPr>
        <w:pStyle w:val="TOC8"/>
        <w:rPr>
          <w:rFonts w:asciiTheme="minorHAnsi" w:eastAsiaTheme="minorEastAsia" w:hAnsiTheme="minorHAnsi" w:cstheme="minorBidi"/>
          <w:szCs w:val="22"/>
        </w:rPr>
      </w:pPr>
      <w:r>
        <w:t>5</w:t>
      </w:r>
      <w:r>
        <w:rPr>
          <w:snapToGrid w:val="0"/>
        </w:rPr>
        <w:t>.</w:t>
      </w:r>
      <w:r>
        <w:rPr>
          <w:snapToGrid w:val="0"/>
        </w:rPr>
        <w:tab/>
        <w:t>Forfeiture, offences prescribed (Act s. 32(2))</w:t>
      </w:r>
      <w:r>
        <w:tab/>
      </w:r>
      <w:r>
        <w:fldChar w:fldCharType="begin"/>
      </w:r>
      <w:r>
        <w:instrText xml:space="preserve"> PAGEREF _Toc501526419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Modified penalties and infringement notices (Act s. 36(1))</w:t>
      </w:r>
      <w:r>
        <w:tab/>
      </w:r>
      <w:r>
        <w:fldChar w:fldCharType="begin"/>
      </w:r>
      <w:r>
        <w:instrText xml:space="preserve"> PAGEREF _Toc501526420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Warrant, form of (Act s. 25)</w:t>
      </w:r>
      <w:r>
        <w:tab/>
      </w:r>
      <w:r>
        <w:fldChar w:fldCharType="begin"/>
      </w:r>
      <w:r>
        <w:instrText xml:space="preserve"> PAGEREF _Toc501526421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7</w:t>
      </w:r>
      <w:r>
        <w:rPr>
          <w:snapToGrid w:val="0"/>
        </w:rPr>
        <w:t>.</w:t>
      </w:r>
      <w:r>
        <w:rPr>
          <w:snapToGrid w:val="0"/>
        </w:rPr>
        <w:tab/>
        <w:t>Manner of recording and search fees prescribed (Act s. 50)</w:t>
      </w:r>
      <w:r>
        <w:tab/>
      </w:r>
      <w:r>
        <w:fldChar w:fldCharType="begin"/>
      </w:r>
      <w:r>
        <w:instrText xml:space="preserve"> PAGEREF _Toc501526423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Permitted gaming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8A.</w:t>
      </w:r>
      <w:r>
        <w:tab/>
        <w:t>Gaming on cruise ships</w:t>
      </w:r>
      <w:r>
        <w:tab/>
      </w:r>
      <w:r>
        <w:fldChar w:fldCharType="begin"/>
      </w:r>
      <w:r>
        <w:instrText xml:space="preserve"> PAGEREF _Toc501526426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Gaming permits, form and conditions of (Act s. 47(1)(a) or (b))</w:t>
      </w:r>
      <w:r>
        <w:tab/>
      </w:r>
      <w:r>
        <w:fldChar w:fldCharType="begin"/>
      </w:r>
      <w:r>
        <w:instrText xml:space="preserve"> PAGEREF _Toc501526427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Gaming permits, application for</w:t>
      </w:r>
      <w:r>
        <w:tab/>
      </w:r>
      <w:r>
        <w:fldChar w:fldCharType="begin"/>
      </w:r>
      <w:r>
        <w:instrText xml:space="preserve"> PAGEREF _Toc501526428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to use premises, application for (Act s. 55)</w:t>
      </w:r>
      <w:r>
        <w:tab/>
      </w:r>
      <w:r>
        <w:fldChar w:fldCharType="begin"/>
      </w:r>
      <w:r>
        <w:instrText xml:space="preserve"> PAGEREF _Toc501526429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Renewals etc., applications for (Act s. 56)</w:t>
      </w:r>
      <w:r>
        <w:tab/>
      </w:r>
      <w:r>
        <w:fldChar w:fldCharType="begin"/>
      </w:r>
      <w:r>
        <w:instrText xml:space="preserve"> PAGEREF _Toc501526430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Financial statements, permit holders to provide etc.</w:t>
      </w:r>
      <w:r>
        <w:tab/>
      </w:r>
      <w:r>
        <w:fldChar w:fldCharType="begin"/>
      </w:r>
      <w:r>
        <w:instrText xml:space="preserve"> PAGEREF _Toc501526431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permit required if gaming etc. deemed permitted</w:t>
      </w:r>
      <w:r>
        <w:tab/>
      </w:r>
      <w:r>
        <w:fldChar w:fldCharType="begin"/>
      </w:r>
      <w:r>
        <w:instrText xml:space="preserve"> PAGEREF _Toc501526432 \h </w:instrText>
      </w:r>
      <w:r>
        <w:fldChar w:fldCharType="separate"/>
      </w:r>
      <w:r>
        <w:t>11</w:t>
      </w:r>
      <w:r>
        <w:fldChar w:fldCharType="end"/>
      </w:r>
    </w:p>
    <w:p>
      <w:pPr>
        <w:pStyle w:val="TOC8"/>
        <w:rPr>
          <w:rFonts w:asciiTheme="minorHAnsi" w:eastAsiaTheme="minorEastAsia" w:hAnsiTheme="minorHAnsi" w:cstheme="minorBidi"/>
          <w:szCs w:val="22"/>
        </w:rPr>
      </w:pPr>
      <w:r>
        <w:t>13A.</w:t>
      </w:r>
      <w:r>
        <w:tab/>
        <w:t>Conviction of license holder etc., holders to notify Commission</w:t>
      </w:r>
      <w:r>
        <w:tab/>
      </w:r>
      <w:r>
        <w:fldChar w:fldCharType="begin"/>
      </w:r>
      <w:r>
        <w:instrText xml:space="preserve"> PAGEREF _Toc501526433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Continuing lotteries</w:t>
      </w:r>
    </w:p>
    <w:p>
      <w:pPr>
        <w:pStyle w:val="TOC8"/>
        <w:rPr>
          <w:rFonts w:asciiTheme="minorHAnsi" w:eastAsiaTheme="minorEastAsia" w:hAnsiTheme="minorHAnsi" w:cstheme="minorBidi"/>
          <w:szCs w:val="22"/>
        </w:rPr>
      </w:pPr>
      <w:r>
        <w:t>14.</w:t>
      </w:r>
      <w:r>
        <w:tab/>
        <w:t>Maximum number of tickets prescribed (Act s. 104L(1))</w:t>
      </w:r>
      <w:r>
        <w:tab/>
      </w:r>
      <w:r>
        <w:fldChar w:fldCharType="begin"/>
      </w:r>
      <w:r>
        <w:instrText xml:space="preserve"> PAGEREF _Toc501526435 \h </w:instrText>
      </w:r>
      <w:r>
        <w:fldChar w:fldCharType="separate"/>
      </w:r>
      <w:r>
        <w:t>12</w:t>
      </w:r>
      <w:r>
        <w:fldChar w:fldCharType="end"/>
      </w:r>
    </w:p>
    <w:p>
      <w:pPr>
        <w:pStyle w:val="TOC8"/>
        <w:rPr>
          <w:rFonts w:asciiTheme="minorHAnsi" w:eastAsiaTheme="minorEastAsia" w:hAnsiTheme="minorHAnsi" w:cstheme="minorBidi"/>
          <w:szCs w:val="22"/>
        </w:rPr>
      </w:pPr>
      <w:r>
        <w:t>15.</w:t>
      </w:r>
      <w:r>
        <w:tab/>
        <w:t>Records to be kept by licensed suppliers for Act Part V Div. 7</w:t>
      </w:r>
      <w:r>
        <w:tab/>
      </w:r>
      <w:r>
        <w:fldChar w:fldCharType="begin"/>
      </w:r>
      <w:r>
        <w:instrText xml:space="preserve"> PAGEREF _Toc501526436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Permitted two</w:t>
      </w:r>
      <w:r>
        <w:noBreakHyphen/>
        <w:t>up</w:t>
      </w:r>
    </w:p>
    <w:p>
      <w:pPr>
        <w:pStyle w:val="TOC8"/>
        <w:rPr>
          <w:rFonts w:asciiTheme="minorHAnsi" w:eastAsiaTheme="minorEastAsia" w:hAnsiTheme="minorHAnsi" w:cstheme="minorBidi"/>
          <w:szCs w:val="22"/>
        </w:rPr>
      </w:pPr>
      <w:r>
        <w:t>16</w:t>
      </w:r>
      <w:r>
        <w:rPr>
          <w:snapToGrid w:val="0"/>
        </w:rPr>
        <w:t>.</w:t>
      </w:r>
      <w:r>
        <w:rPr>
          <w:snapToGrid w:val="0"/>
        </w:rPr>
        <w:tab/>
        <w:t>Financial information to be provided about games</w:t>
      </w:r>
      <w:r>
        <w:tab/>
      </w:r>
      <w:r>
        <w:fldChar w:fldCharType="begin"/>
      </w:r>
      <w:r>
        <w:instrText xml:space="preserve"> PAGEREF _Toc501526438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Suspending permit for game</w:t>
      </w:r>
      <w:r>
        <w:tab/>
      </w:r>
      <w:r>
        <w:fldChar w:fldCharType="begin"/>
      </w:r>
      <w:r>
        <w:instrText xml:space="preserve"> PAGEREF _Toc501526439 \h </w:instrText>
      </w:r>
      <w:r>
        <w:fldChar w:fldCharType="separate"/>
      </w:r>
      <w:r>
        <w:t>15</w:t>
      </w:r>
      <w:r>
        <w:fldChar w:fldCharType="end"/>
      </w:r>
    </w:p>
    <w:p>
      <w:pPr>
        <w:pStyle w:val="TOC8"/>
        <w:rPr>
          <w:rFonts w:asciiTheme="minorHAnsi" w:eastAsiaTheme="minorEastAsia" w:hAnsiTheme="minorHAnsi" w:cstheme="minorBidi"/>
          <w:szCs w:val="22"/>
        </w:rPr>
      </w:pPr>
      <w:r>
        <w:t>17A.</w:t>
      </w:r>
      <w:r>
        <w:tab/>
        <w:t>Prescribed gaming equipment (Act s. 84(1))</w:t>
      </w:r>
      <w:r>
        <w:tab/>
      </w:r>
      <w:r>
        <w:fldChar w:fldCharType="begin"/>
      </w:r>
      <w:r>
        <w:instrText xml:space="preserve"> PAGEREF _Toc501526440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Gaming machines and other equipment</w:t>
      </w:r>
    </w:p>
    <w:p>
      <w:pPr>
        <w:pStyle w:val="TOC8"/>
        <w:rPr>
          <w:rFonts w:asciiTheme="minorHAnsi" w:eastAsiaTheme="minorEastAsia" w:hAnsiTheme="minorHAnsi" w:cstheme="minorBidi"/>
          <w:szCs w:val="22"/>
        </w:rPr>
      </w:pPr>
      <w:r>
        <w:t>18</w:t>
      </w:r>
      <w:r>
        <w:rPr>
          <w:snapToGrid w:val="0"/>
        </w:rPr>
        <w:t>.</w:t>
      </w:r>
      <w:r>
        <w:rPr>
          <w:snapToGrid w:val="0"/>
        </w:rPr>
        <w:tab/>
        <w:t>Records etc. to be kept etc. by persons renting equipment from others</w:t>
      </w:r>
      <w:r>
        <w:tab/>
      </w:r>
      <w:r>
        <w:fldChar w:fldCharType="begin"/>
      </w:r>
      <w:r>
        <w:instrText xml:space="preserve"> PAGEREF _Toc501526442 \h </w:instrText>
      </w:r>
      <w:r>
        <w:fldChar w:fldCharType="separate"/>
      </w:r>
      <w:r>
        <w:t>15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Skilltester, Merchandiser and similar machines, possession etc. of</w:t>
      </w:r>
      <w:r>
        <w:tab/>
      </w:r>
      <w:r>
        <w:fldChar w:fldCharType="begin"/>
      </w:r>
      <w:r>
        <w:instrText xml:space="preserve"> PAGEREF _Toc501526443 \h </w:instrText>
      </w:r>
      <w:r>
        <w:fldChar w:fldCharType="separate"/>
      </w:r>
      <w:r>
        <w:t>16</w:t>
      </w:r>
      <w:r>
        <w:fldChar w:fldCharType="end"/>
      </w:r>
    </w:p>
    <w:p>
      <w:pPr>
        <w:pStyle w:val="TOC8"/>
        <w:rPr>
          <w:rFonts w:asciiTheme="minorHAnsi" w:eastAsiaTheme="minorEastAsia" w:hAnsiTheme="minorHAnsi" w:cstheme="minorBidi"/>
          <w:szCs w:val="22"/>
        </w:rPr>
      </w:pPr>
      <w:r>
        <w:t>18AA</w:t>
      </w:r>
      <w:r>
        <w:rPr>
          <w:snapToGrid w:val="0"/>
        </w:rPr>
        <w:t>.</w:t>
      </w:r>
      <w:r>
        <w:rPr>
          <w:snapToGrid w:val="0"/>
        </w:rPr>
        <w:tab/>
        <w:t>Video lottery terminals, possession etc. of</w:t>
      </w:r>
      <w:r>
        <w:tab/>
      </w:r>
      <w:r>
        <w:fldChar w:fldCharType="begin"/>
      </w:r>
      <w:r>
        <w:instrText xml:space="preserve"> PAGEREF _Toc501526444 \h </w:instrText>
      </w:r>
      <w:r>
        <w:fldChar w:fldCharType="separate"/>
      </w:r>
      <w:r>
        <w:t>17</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Machines that dispense vouchers, possession etc. of</w:t>
      </w:r>
      <w:r>
        <w:tab/>
      </w:r>
      <w:r>
        <w:fldChar w:fldCharType="begin"/>
      </w:r>
      <w:r>
        <w:instrText xml:space="preserve"> PAGEREF _Toc501526445 \h </w:instrText>
      </w:r>
      <w:r>
        <w:fldChar w:fldCharType="separate"/>
      </w:r>
      <w:r>
        <w:t>18</w:t>
      </w:r>
      <w:r>
        <w:fldChar w:fldCharType="end"/>
      </w:r>
    </w:p>
    <w:p>
      <w:pPr>
        <w:pStyle w:val="TOC8"/>
        <w:rPr>
          <w:rFonts w:asciiTheme="minorHAnsi" w:eastAsiaTheme="minorEastAsia" w:hAnsiTheme="minorHAnsi" w:cstheme="minorBidi"/>
          <w:szCs w:val="22"/>
        </w:rPr>
      </w:pPr>
      <w:r>
        <w:t>18C.</w:t>
      </w:r>
      <w:r>
        <w:tab/>
        <w:t>Possession of certain gaming machines on cruise ships</w:t>
      </w:r>
      <w:r>
        <w:tab/>
      </w:r>
      <w:r>
        <w:fldChar w:fldCharType="begin"/>
      </w:r>
      <w:r>
        <w:instrText xml:space="preserve"> PAGEREF _Toc501526446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Permitted bingo</w:t>
      </w:r>
    </w:p>
    <w:p>
      <w:pPr>
        <w:pStyle w:val="TOC8"/>
        <w:rPr>
          <w:rFonts w:asciiTheme="minorHAnsi" w:eastAsiaTheme="minorEastAsia" w:hAnsiTheme="minorHAnsi" w:cstheme="minorBidi"/>
          <w:szCs w:val="22"/>
        </w:rPr>
      </w:pPr>
      <w:r>
        <w:t>19</w:t>
      </w:r>
      <w:r>
        <w:rPr>
          <w:snapToGrid w:val="0"/>
        </w:rPr>
        <w:t>.</w:t>
      </w:r>
      <w:r>
        <w:rPr>
          <w:snapToGrid w:val="0"/>
        </w:rPr>
        <w:tab/>
        <w:t>Rules for conducting bingo; rules to be displayed</w:t>
      </w:r>
      <w:r>
        <w:tab/>
      </w:r>
      <w:r>
        <w:fldChar w:fldCharType="begin"/>
      </w:r>
      <w:r>
        <w:instrText xml:space="preserve"> PAGEREF _Toc501526448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Bingo for senior citizens’ clubs, no fees payable for</w:t>
      </w:r>
      <w:r>
        <w:tab/>
      </w:r>
      <w:r>
        <w:fldChar w:fldCharType="begin"/>
      </w:r>
      <w:r>
        <w:instrText xml:space="preserve"> PAGEREF _Toc501526449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Percentage of receipts to be paid to Commission</w:t>
      </w:r>
      <w:r>
        <w:tab/>
      </w:r>
      <w:r>
        <w:fldChar w:fldCharType="begin"/>
      </w:r>
      <w:r>
        <w:instrText xml:space="preserve"> PAGEREF _Toc501526450 \h </w:instrText>
      </w:r>
      <w:r>
        <w:fldChar w:fldCharType="separate"/>
      </w:r>
      <w:r>
        <w:t>21</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Times and number of sessions</w:t>
      </w:r>
      <w:r>
        <w:tab/>
      </w:r>
      <w:r>
        <w:fldChar w:fldCharType="begin"/>
      </w:r>
      <w:r>
        <w:instrText xml:space="preserve"> PAGEREF _Toc501526451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Sessions of bingo</w:t>
      </w:r>
      <w:r>
        <w:tab/>
      </w:r>
      <w:r>
        <w:fldChar w:fldCharType="begin"/>
      </w:r>
      <w:r>
        <w:instrText xml:space="preserve"> PAGEREF _Toc501526452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Controllers of sessions, appointment and duties of</w:t>
      </w:r>
      <w:r>
        <w:tab/>
      </w:r>
      <w:r>
        <w:fldChar w:fldCharType="begin"/>
      </w:r>
      <w:r>
        <w:instrText xml:space="preserve"> PAGEREF _Toc501526453 \h </w:instrText>
      </w:r>
      <w:r>
        <w:fldChar w:fldCharType="separate"/>
      </w:r>
      <w:r>
        <w:t>22</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Advertising value of prizes prohibited</w:t>
      </w:r>
      <w:r>
        <w:tab/>
      </w:r>
      <w:r>
        <w:fldChar w:fldCharType="begin"/>
      </w:r>
      <w:r>
        <w:instrText xml:space="preserve"> PAGEREF _Toc501526454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Prizes, permitted value of</w:t>
      </w:r>
      <w:r>
        <w:tab/>
      </w:r>
      <w:r>
        <w:fldChar w:fldCharType="begin"/>
      </w:r>
      <w:r>
        <w:instrText xml:space="preserve"> PAGEREF _Toc501526455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Expenses, maximum and calculation of</w:t>
      </w:r>
      <w:r>
        <w:tab/>
      </w:r>
      <w:r>
        <w:fldChar w:fldCharType="begin"/>
      </w:r>
      <w:r>
        <w:instrText xml:space="preserve"> PAGEREF _Toc501526456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Playing other games of chance at bingo premises</w:t>
      </w:r>
      <w:r>
        <w:tab/>
      </w:r>
      <w:r>
        <w:fldChar w:fldCharType="begin"/>
      </w:r>
      <w:r>
        <w:instrText xml:space="preserve"> PAGEREF _Toc501526457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Lotteries, etc.</w:t>
      </w:r>
    </w:p>
    <w:p>
      <w:pPr>
        <w:pStyle w:val="TOC6"/>
        <w:tabs>
          <w:tab w:val="right" w:leader="dot" w:pos="7077"/>
        </w:tabs>
        <w:rPr>
          <w:rFonts w:asciiTheme="minorHAnsi" w:eastAsiaTheme="minorEastAsia" w:hAnsiTheme="minorHAnsi" w:cstheme="minorBidi"/>
          <w:b w:val="0"/>
          <w:sz w:val="22"/>
          <w:szCs w:val="22"/>
        </w:rPr>
      </w:pPr>
      <w:r>
        <w:rPr>
          <w:snapToGrid w:val="0"/>
        </w:rPr>
        <w:t>Subdivision 1 — Standard lotteries</w:t>
      </w:r>
    </w:p>
    <w:p>
      <w:pPr>
        <w:pStyle w:val="TOC8"/>
        <w:rPr>
          <w:rFonts w:asciiTheme="minorHAnsi" w:eastAsiaTheme="minorEastAsia" w:hAnsiTheme="minorHAnsi" w:cstheme="minorBidi"/>
          <w:szCs w:val="22"/>
        </w:rPr>
      </w:pPr>
      <w:r>
        <w:t>27</w:t>
      </w:r>
      <w:r>
        <w:rPr>
          <w:snapToGrid w:val="0"/>
        </w:rPr>
        <w:t>.</w:t>
      </w:r>
      <w:r>
        <w:rPr>
          <w:snapToGrid w:val="0"/>
        </w:rPr>
        <w:tab/>
        <w:t>Rules for conducting standard lottery</w:t>
      </w:r>
      <w:r>
        <w:tab/>
      </w:r>
      <w:r>
        <w:fldChar w:fldCharType="begin"/>
      </w:r>
      <w:r>
        <w:instrText xml:space="preserve"> PAGEREF _Toc501526460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relating to standard lottery</w:t>
      </w:r>
      <w:r>
        <w:tab/>
      </w:r>
      <w:r>
        <w:fldChar w:fldCharType="begin"/>
      </w:r>
      <w:r>
        <w:instrText xml:space="preserve"> PAGEREF _Toc501526461 \h </w:instrText>
      </w:r>
      <w:r>
        <w:fldChar w:fldCharType="separate"/>
      </w:r>
      <w:r>
        <w:t>26</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Lottery tickets etc. not to be sent etc. to persons for sale etc. without their consent</w:t>
      </w:r>
      <w:r>
        <w:tab/>
      </w:r>
      <w:r>
        <w:fldChar w:fldCharType="begin"/>
      </w:r>
      <w:r>
        <w:instrText xml:space="preserve"> PAGEREF _Toc501526462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When standard lottery must be drawn</w:t>
      </w:r>
      <w:r>
        <w:tab/>
      </w:r>
      <w:r>
        <w:fldChar w:fldCharType="begin"/>
      </w:r>
      <w:r>
        <w:instrText xml:space="preserve"> PAGEREF _Toc501526463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Unclaimed prizes in standard lotteries</w:t>
      </w:r>
      <w:r>
        <w:tab/>
      </w:r>
      <w:r>
        <w:fldChar w:fldCharType="begin"/>
      </w:r>
      <w:r>
        <w:instrText xml:space="preserve"> PAGEREF _Toc501526464 \h </w:instrText>
      </w:r>
      <w:r>
        <w:fldChar w:fldCharType="separate"/>
      </w:r>
      <w:r>
        <w:t>27</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Prizes from donor organizations</w:t>
      </w:r>
      <w:r>
        <w:tab/>
      </w:r>
      <w:r>
        <w:fldChar w:fldCharType="begin"/>
      </w:r>
      <w:r>
        <w:instrText xml:space="preserve"> PAGEREF _Toc501526465 \h </w:instrText>
      </w:r>
      <w:r>
        <w:fldChar w:fldCharType="separate"/>
      </w:r>
      <w:r>
        <w:t>28</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Body not to buy ticket etc. in its own lottery</w:t>
      </w:r>
      <w:r>
        <w:tab/>
      </w:r>
      <w:r>
        <w:fldChar w:fldCharType="begin"/>
      </w:r>
      <w:r>
        <w:instrText xml:space="preserve"> PAGEREF _Toc501526466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Small private lotteries (Act s. 103)</w:t>
      </w:r>
      <w:r>
        <w:tab/>
      </w:r>
      <w:r>
        <w:fldChar w:fldCharType="begin"/>
      </w:r>
      <w:r>
        <w:instrText xml:space="preserve"> PAGEREF _Toc501526467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Continuing lotteries</w:t>
      </w:r>
    </w:p>
    <w:p>
      <w:pPr>
        <w:pStyle w:val="TOC8"/>
        <w:rPr>
          <w:rFonts w:asciiTheme="minorHAnsi" w:eastAsiaTheme="minorEastAsia" w:hAnsiTheme="minorHAnsi" w:cstheme="minorBidi"/>
          <w:szCs w:val="22"/>
        </w:rPr>
      </w:pPr>
      <w:r>
        <w:t>32</w:t>
      </w:r>
      <w:r>
        <w:rPr>
          <w:snapToGrid w:val="0"/>
        </w:rPr>
        <w:t>.</w:t>
      </w:r>
      <w:r>
        <w:rPr>
          <w:snapToGrid w:val="0"/>
        </w:rPr>
        <w:tab/>
        <w:t>Rules for conducting continuing lotteries</w:t>
      </w:r>
      <w:r>
        <w:tab/>
      </w:r>
      <w:r>
        <w:fldChar w:fldCharType="begin"/>
      </w:r>
      <w:r>
        <w:instrText xml:space="preserve"> PAGEREF _Toc501526469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relating to continuing lottery</w:t>
      </w:r>
      <w:r>
        <w:tab/>
      </w:r>
      <w:r>
        <w:fldChar w:fldCharType="begin"/>
      </w:r>
      <w:r>
        <w:instrText xml:space="preserve"> PAGEREF _Toc501526470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Vending machines for continuing lotteries, location of and conditions as to (Act s. 105(2))</w:t>
      </w:r>
      <w:r>
        <w:tab/>
      </w:r>
      <w:r>
        <w:fldChar w:fldCharType="begin"/>
      </w:r>
      <w:r>
        <w:instrText xml:space="preserve"> PAGEREF _Toc501526471 \h </w:instrText>
      </w:r>
      <w:r>
        <w:fldChar w:fldCharType="separate"/>
      </w:r>
      <w:r>
        <w:t>30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Accounts etc. of continuing lottery to be available for inspection</w:t>
      </w:r>
      <w:r>
        <w:tab/>
      </w:r>
      <w:r>
        <w:fldChar w:fldCharType="begin"/>
      </w:r>
      <w:r>
        <w:instrText xml:space="preserve"> PAGEREF _Toc501526472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Distribution of benefit</w:t>
      </w:r>
      <w:r>
        <w:tab/>
      </w:r>
      <w:r>
        <w:fldChar w:fldCharType="begin"/>
      </w:r>
      <w:r>
        <w:instrText xml:space="preserve"> PAGEREF _Toc501526473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Trade promotion lotteries</w:t>
      </w:r>
    </w:p>
    <w:p>
      <w:pPr>
        <w:pStyle w:val="TOC8"/>
        <w:rPr>
          <w:rFonts w:asciiTheme="minorHAnsi" w:eastAsiaTheme="minorEastAsia" w:hAnsiTheme="minorHAnsi" w:cstheme="minorBidi"/>
          <w:szCs w:val="22"/>
        </w:rPr>
      </w:pPr>
      <w:r>
        <w:t>36A.</w:t>
      </w:r>
      <w:r>
        <w:tab/>
        <w:t>Prescribed conditions for trade promotion lottery (Act s. 102)</w:t>
      </w:r>
      <w:r>
        <w:tab/>
      </w:r>
      <w:r>
        <w:fldChar w:fldCharType="begin"/>
      </w:r>
      <w:r>
        <w:instrText xml:space="preserve"> PAGEREF _Toc501526475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Lotteries generally</w:t>
      </w:r>
    </w:p>
    <w:p>
      <w:pPr>
        <w:pStyle w:val="TOC8"/>
        <w:rPr>
          <w:rFonts w:asciiTheme="minorHAnsi" w:eastAsiaTheme="minorEastAsia" w:hAnsiTheme="minorHAnsi" w:cstheme="minorBidi"/>
          <w:szCs w:val="22"/>
        </w:rPr>
      </w:pPr>
      <w:r>
        <w:t>37</w:t>
      </w:r>
      <w:r>
        <w:rPr>
          <w:snapToGrid w:val="0"/>
        </w:rPr>
        <w:t>.</w:t>
      </w:r>
      <w:r>
        <w:rPr>
          <w:snapToGrid w:val="0"/>
        </w:rPr>
        <w:tab/>
        <w:t>Account book, form of (Act s. 104(3)(a))</w:t>
      </w:r>
      <w:r>
        <w:tab/>
      </w:r>
      <w:r>
        <w:fldChar w:fldCharType="begin"/>
      </w:r>
      <w:r>
        <w:instrText xml:space="preserve"> PAGEREF _Toc501526477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Prohibition as to private gain etc.</w:t>
      </w:r>
      <w:r>
        <w:tab/>
      </w:r>
      <w:r>
        <w:fldChar w:fldCharType="begin"/>
      </w:r>
      <w:r>
        <w:instrText xml:space="preserve"> PAGEREF _Toc501526478 \h </w:instrText>
      </w:r>
      <w:r>
        <w:fldChar w:fldCharType="separate"/>
      </w:r>
      <w:r>
        <w:t>33</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Offences related to permitted lotteries</w:t>
      </w:r>
      <w:r>
        <w:tab/>
      </w:r>
      <w:r>
        <w:fldChar w:fldCharType="begin"/>
      </w:r>
      <w:r>
        <w:instrText xml:space="preserve"> PAGEREF _Toc501526479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Amusements, etc.</w:t>
      </w:r>
    </w:p>
    <w:p>
      <w:pPr>
        <w:pStyle w:val="TOC8"/>
        <w:rPr>
          <w:rFonts w:asciiTheme="minorHAnsi" w:eastAsiaTheme="minorEastAsia" w:hAnsiTheme="minorHAnsi" w:cstheme="minorBidi"/>
          <w:szCs w:val="22"/>
        </w:rPr>
      </w:pPr>
      <w:r>
        <w:t>39</w:t>
      </w:r>
      <w:r>
        <w:rPr>
          <w:snapToGrid w:val="0"/>
        </w:rPr>
        <w:t>.</w:t>
      </w:r>
      <w:r>
        <w:rPr>
          <w:snapToGrid w:val="0"/>
        </w:rPr>
        <w:tab/>
        <w:t>Amusements with prizes at agricultural shows etc., matters prescribed for (Act s. 107(4))</w:t>
      </w:r>
      <w:r>
        <w:tab/>
      </w:r>
      <w:r>
        <w:fldChar w:fldCharType="begin"/>
      </w:r>
      <w:r>
        <w:instrText xml:space="preserve"> PAGEREF _Toc501526481 \h </w:instrText>
      </w:r>
      <w:r>
        <w:fldChar w:fldCharType="separate"/>
      </w:r>
      <w:r>
        <w:t>34</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Amusements with prizes at sporting events etc., matters prescribed for (Act s. 107(1))</w:t>
      </w:r>
      <w:r>
        <w:tab/>
      </w:r>
      <w:r>
        <w:fldChar w:fldCharType="begin"/>
      </w:r>
      <w:r>
        <w:instrText xml:space="preserve"> PAGEREF _Toc501526482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Minor fund raising activities (Act s. 108)</w:t>
      </w:r>
      <w:r>
        <w:tab/>
      </w:r>
      <w:r>
        <w:fldChar w:fldCharType="begin"/>
      </w:r>
      <w:r>
        <w:instrText xml:space="preserve"> PAGEREF _Toc501526483 \h </w:instrText>
      </w:r>
      <w:r>
        <w:fldChar w:fldCharType="separate"/>
      </w:r>
      <w:r>
        <w:t>34</w:t>
      </w:r>
      <w:r>
        <w:fldChar w:fldCharType="end"/>
      </w:r>
    </w:p>
    <w:p>
      <w:pPr>
        <w:pStyle w:val="TOC8"/>
        <w:rPr>
          <w:rFonts w:asciiTheme="minorHAnsi" w:eastAsiaTheme="minorEastAsia" w:hAnsiTheme="minorHAnsi" w:cstheme="minorBidi"/>
          <w:szCs w:val="22"/>
        </w:rPr>
      </w:pPr>
      <w:r>
        <w:t>40A.</w:t>
      </w:r>
      <w:r>
        <w:tab/>
        <w:t>Football tipping competitions (Act s. 108)</w:t>
      </w:r>
      <w:r>
        <w:tab/>
      </w:r>
      <w:r>
        <w:fldChar w:fldCharType="begin"/>
      </w:r>
      <w:r>
        <w:instrText xml:space="preserve"> PAGEREF _Toc501526484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41.</w:t>
      </w:r>
      <w:r>
        <w:tab/>
        <w:t>Premises where amusement machines are permitted (Act s. 39(2)(e))</w:t>
      </w:r>
      <w:r>
        <w:tab/>
      </w:r>
      <w:r>
        <w:fldChar w:fldCharType="begin"/>
      </w:r>
      <w:r>
        <w:instrText xml:space="preserve"> PAGEREF _Toc501526486 \h </w:instrText>
      </w:r>
      <w:r>
        <w:fldChar w:fldCharType="separate"/>
      </w:r>
      <w:r>
        <w:t>36</w:t>
      </w:r>
      <w:r>
        <w:fldChar w:fldCharType="end"/>
      </w:r>
    </w:p>
    <w:p>
      <w:pPr>
        <w:pStyle w:val="TOC8"/>
        <w:rPr>
          <w:rFonts w:asciiTheme="minorHAnsi" w:eastAsiaTheme="minorEastAsia" w:hAnsiTheme="minorHAnsi" w:cstheme="minorBidi"/>
          <w:szCs w:val="22"/>
        </w:rPr>
      </w:pPr>
      <w:r>
        <w:t>42.</w:t>
      </w:r>
      <w:r>
        <w:tab/>
        <w:t>Unclaimed winnings (Act s. 109B(1))</w:t>
      </w:r>
      <w:r>
        <w:tab/>
      </w:r>
      <w:r>
        <w:fldChar w:fldCharType="begin"/>
      </w:r>
      <w:r>
        <w:instrText xml:space="preserve"> PAGEREF _Toc501526487 \h </w:instrText>
      </w:r>
      <w:r>
        <w:fldChar w:fldCharType="separate"/>
      </w:r>
      <w:r>
        <w:t>36</w:t>
      </w:r>
      <w:r>
        <w:fldChar w:fldCharType="end"/>
      </w:r>
    </w:p>
    <w:p>
      <w:pPr>
        <w:pStyle w:val="TOC8"/>
        <w:rPr>
          <w:rFonts w:asciiTheme="minorHAnsi" w:eastAsiaTheme="minorEastAsia" w:hAnsiTheme="minorHAnsi" w:cstheme="minorBidi"/>
          <w:szCs w:val="22"/>
        </w:rPr>
      </w:pPr>
      <w:r>
        <w:t>43.</w:t>
      </w:r>
      <w:r>
        <w:tab/>
        <w:t>Certain advertising prohibited</w:t>
      </w:r>
      <w:r>
        <w:tab/>
      </w:r>
      <w:r>
        <w:fldChar w:fldCharType="begin"/>
      </w:r>
      <w:r>
        <w:instrText xml:space="preserve"> PAGEREF _Toc501526488 \h </w:instrText>
      </w:r>
      <w:r>
        <w:fldChar w:fldCharType="separate"/>
      </w:r>
      <w:r>
        <w:t>36</w:t>
      </w:r>
      <w:r>
        <w:fldChar w:fldCharType="end"/>
      </w:r>
    </w:p>
    <w:p>
      <w:pPr>
        <w:pStyle w:val="TOC8"/>
        <w:rPr>
          <w:rFonts w:asciiTheme="minorHAnsi" w:eastAsiaTheme="minorEastAsia" w:hAnsiTheme="minorHAnsi" w:cstheme="minorBidi"/>
          <w:szCs w:val="22"/>
        </w:rPr>
      </w:pPr>
      <w:r>
        <w:t>44.</w:t>
      </w:r>
      <w:r>
        <w:tab/>
        <w:t>Prescribed interval (Act s. 110B(4)(b))</w:t>
      </w:r>
      <w:r>
        <w:tab/>
      </w:r>
      <w:r>
        <w:fldChar w:fldCharType="begin"/>
      </w:r>
      <w:r>
        <w:instrText xml:space="preserve"> PAGEREF _Toc501526489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 — Prescribed penalties under section 36(1)</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Rules for the conduct of permitted games</w:t>
      </w:r>
    </w:p>
    <w:p>
      <w:pPr>
        <w:pStyle w:val="TOC4"/>
        <w:tabs>
          <w:tab w:val="right" w:leader="dot" w:pos="7077"/>
        </w:tabs>
        <w:rPr>
          <w:rFonts w:asciiTheme="minorHAnsi" w:eastAsiaTheme="minorEastAsia" w:hAnsiTheme="minorHAnsi" w:cstheme="minorBidi"/>
          <w:b w:val="0"/>
          <w:szCs w:val="22"/>
        </w:rPr>
      </w:pPr>
      <w:r>
        <w:t>Part 1 — Permitted bingo</w:t>
      </w:r>
    </w:p>
    <w:p>
      <w:pPr>
        <w:pStyle w:val="TOC8"/>
        <w:rPr>
          <w:rFonts w:asciiTheme="minorHAnsi" w:eastAsiaTheme="minorEastAsia" w:hAnsiTheme="minorHAnsi" w:cstheme="minorBidi"/>
          <w:szCs w:val="22"/>
        </w:rPr>
      </w:pPr>
      <w:r>
        <w:t>1</w:t>
      </w:r>
      <w:r>
        <w:rPr>
          <w:snapToGrid w:val="0"/>
        </w:rPr>
        <w:t>.</w:t>
      </w:r>
      <w:r>
        <w:rPr>
          <w:snapToGrid w:val="0"/>
        </w:rPr>
        <w:tab/>
        <w:t>Children cannot play</w:t>
      </w:r>
      <w:r>
        <w:tab/>
      </w:r>
      <w:r>
        <w:fldChar w:fldCharType="begin"/>
      </w:r>
      <w:r>
        <w:instrText xml:space="preserve"> PAGEREF _Toc501526497 \h </w:instrText>
      </w:r>
      <w:r>
        <w:fldChar w:fldCharType="separate"/>
      </w:r>
      <w:r>
        <w:t>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Spotters cannot play</w:t>
      </w:r>
      <w:r>
        <w:tab/>
      </w:r>
      <w:r>
        <w:fldChar w:fldCharType="begin"/>
      </w:r>
      <w:r>
        <w:instrText xml:space="preserve"> PAGEREF _Toc501526498 \h </w:instrText>
      </w:r>
      <w:r>
        <w:fldChar w:fldCharType="separate"/>
      </w:r>
      <w:r>
        <w:t>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Call backs, who can take part in</w:t>
      </w:r>
      <w:r>
        <w:tab/>
      </w:r>
      <w:r>
        <w:fldChar w:fldCharType="begin"/>
      </w:r>
      <w:r>
        <w:instrText xml:space="preserve"> PAGEREF _Toc501526499 \h </w:instrText>
      </w:r>
      <w:r>
        <w:fldChar w:fldCharType="separate"/>
      </w:r>
      <w:r>
        <w:t>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Bingo cards</w:t>
      </w:r>
      <w:r>
        <w:tab/>
      </w:r>
      <w:r>
        <w:fldChar w:fldCharType="begin"/>
      </w:r>
      <w:r>
        <w:instrText xml:space="preserve"> PAGEREF _Toc501526500 \h </w:instrText>
      </w:r>
      <w:r>
        <w:fldChar w:fldCharType="separate"/>
      </w:r>
      <w:r>
        <w:t>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Split games</w:t>
      </w:r>
      <w:r>
        <w:tab/>
      </w:r>
      <w:r>
        <w:fldChar w:fldCharType="begin"/>
      </w:r>
      <w:r>
        <w:instrText xml:space="preserve"> PAGEREF _Toc501526501 \h </w:instrText>
      </w:r>
      <w:r>
        <w:fldChar w:fldCharType="separate"/>
      </w:r>
      <w:r>
        <w:t>49</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Prizes, who is eligible for</w:t>
      </w:r>
      <w:r>
        <w:tab/>
      </w:r>
      <w:r>
        <w:fldChar w:fldCharType="begin"/>
      </w:r>
      <w:r>
        <w:instrText xml:space="preserve"> PAGEREF _Toc501526502 \h </w:instrText>
      </w:r>
      <w:r>
        <w:fldChar w:fldCharType="separate"/>
      </w:r>
      <w:r>
        <w:t>50</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When games conclude</w:t>
      </w:r>
      <w:r>
        <w:tab/>
      </w:r>
      <w:r>
        <w:fldChar w:fldCharType="begin"/>
      </w:r>
      <w:r>
        <w:instrText xml:space="preserve"> PAGEREF _Toc501526503 \h </w:instrText>
      </w:r>
      <w:r>
        <w:fldChar w:fldCharType="separate"/>
      </w:r>
      <w:r>
        <w:t>50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Miscellaneous rules</w:t>
      </w:r>
      <w:r>
        <w:tab/>
      </w:r>
      <w:r>
        <w:fldChar w:fldCharType="begin"/>
      </w:r>
      <w:r>
        <w:instrText xml:space="preserve"> PAGEREF _Toc501526504 \h </w:instrText>
      </w:r>
      <w:r>
        <w:fldChar w:fldCharType="separate"/>
      </w:r>
      <w:r>
        <w:t>50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Prizes, announcement of etc.</w:t>
      </w:r>
      <w:r>
        <w:tab/>
      </w:r>
      <w:r>
        <w:fldChar w:fldCharType="begin"/>
      </w:r>
      <w:r>
        <w:instrText xml:space="preserve"> PAGEREF _Toc501526505 \h </w:instrText>
      </w:r>
      <w:r>
        <w:fldChar w:fldCharType="separate"/>
      </w:r>
      <w:r>
        <w:t>51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Prize shared if more than one winner</w:t>
      </w:r>
      <w:r>
        <w:tab/>
      </w:r>
      <w:r>
        <w:fldChar w:fldCharType="begin"/>
      </w:r>
      <w:r>
        <w:instrText xml:space="preserve"> PAGEREF _Toc501526506 \h </w:instrText>
      </w:r>
      <w:r>
        <w:fldChar w:fldCharType="separate"/>
      </w:r>
      <w:r>
        <w:t>51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Prizes paid as soon as practicable</w:t>
      </w:r>
      <w:r>
        <w:tab/>
      </w:r>
      <w:r>
        <w:fldChar w:fldCharType="begin"/>
      </w:r>
      <w:r>
        <w:instrText xml:space="preserve"> PAGEREF _Toc501526507 \h </w:instrText>
      </w:r>
      <w:r>
        <w:fldChar w:fldCharType="separate"/>
      </w:r>
      <w:r>
        <w:t>52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Player who makes incorrect call allowed to continue play</w:t>
      </w:r>
      <w:r>
        <w:tab/>
      </w:r>
      <w:r>
        <w:fldChar w:fldCharType="begin"/>
      </w:r>
      <w:r>
        <w:instrText xml:space="preserve"> PAGEREF _Toc501526508 \h </w:instrText>
      </w:r>
      <w:r>
        <w:fldChar w:fldCharType="separate"/>
      </w:r>
      <w:r>
        <w:t>52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Late calls by players</w:t>
      </w:r>
      <w:r>
        <w:tab/>
      </w:r>
      <w:r>
        <w:fldChar w:fldCharType="begin"/>
      </w:r>
      <w:r>
        <w:instrText xml:space="preserve"> PAGEREF _Toc501526509 \h </w:instrText>
      </w:r>
      <w:r>
        <w:fldChar w:fldCharType="separate"/>
      </w:r>
      <w:r>
        <w:t>52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Calls must be acknowledged</w:t>
      </w:r>
      <w:r>
        <w:tab/>
      </w:r>
      <w:r>
        <w:fldChar w:fldCharType="begin"/>
      </w:r>
      <w:r>
        <w:instrText xml:space="preserve"> PAGEREF _Toc501526510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Part 2 — Permitted lotteries</w:t>
      </w:r>
    </w:p>
    <w:p>
      <w:pPr>
        <w:pStyle w:val="TOC6"/>
        <w:tabs>
          <w:tab w:val="right" w:leader="dot" w:pos="7077"/>
        </w:tabs>
        <w:rPr>
          <w:rFonts w:asciiTheme="minorHAnsi" w:eastAsiaTheme="minorEastAsia" w:hAnsiTheme="minorHAnsi" w:cstheme="minorBidi"/>
          <w:b w:val="0"/>
          <w:sz w:val="22"/>
          <w:szCs w:val="22"/>
        </w:rPr>
      </w:pPr>
      <w:r>
        <w:rPr>
          <w:snapToGrid w:val="0"/>
        </w:rPr>
        <w:t>Division 1 — Rules for the conduct of a standard lottery</w:t>
      </w:r>
    </w:p>
    <w:p>
      <w:pPr>
        <w:pStyle w:val="TOC8"/>
        <w:rPr>
          <w:rFonts w:asciiTheme="minorHAnsi" w:eastAsiaTheme="minorEastAsia" w:hAnsiTheme="minorHAnsi" w:cstheme="minorBidi"/>
          <w:szCs w:val="22"/>
        </w:rPr>
      </w:pPr>
      <w:r>
        <w:t>1</w:t>
      </w:r>
      <w:r>
        <w:rPr>
          <w:snapToGrid w:val="0"/>
        </w:rPr>
        <w:t>.</w:t>
      </w:r>
      <w:r>
        <w:rPr>
          <w:snapToGrid w:val="0"/>
        </w:rPr>
        <w:tab/>
        <w:t>Chances, number of etc.</w:t>
      </w:r>
      <w:r>
        <w:tab/>
      </w:r>
      <w:r>
        <w:fldChar w:fldCharType="begin"/>
      </w:r>
      <w:r>
        <w:instrText xml:space="preserve"> PAGEREF _Toc501526513 \h </w:instrText>
      </w:r>
      <w:r>
        <w:fldChar w:fldCharType="separate"/>
      </w:r>
      <w:r>
        <w:t>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Chances, information on</w:t>
      </w:r>
      <w:r>
        <w:tab/>
      </w:r>
      <w:r>
        <w:fldChar w:fldCharType="begin"/>
      </w:r>
      <w:r>
        <w:instrText xml:space="preserve"> PAGEREF _Toc501526514 \h </w:instrText>
      </w:r>
      <w:r>
        <w:fldChar w:fldCharType="separate"/>
      </w:r>
      <w:r>
        <w:t>53</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Chance holders, identification of</w:t>
      </w:r>
      <w:r>
        <w:tab/>
      </w:r>
      <w:r>
        <w:fldChar w:fldCharType="begin"/>
      </w:r>
      <w:r>
        <w:instrText xml:space="preserve"> PAGEREF _Toc501526515 \h </w:instrText>
      </w:r>
      <w:r>
        <w:fldChar w:fldCharType="separate"/>
      </w:r>
      <w:r>
        <w:t>54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Results of draw</w:t>
      </w:r>
      <w:r>
        <w:tab/>
      </w:r>
      <w:r>
        <w:fldChar w:fldCharType="begin"/>
      </w:r>
      <w:r>
        <w:instrText xml:space="preserve"> PAGEREF _Toc501526516 \h </w:instrText>
      </w:r>
      <w:r>
        <w:fldChar w:fldCharType="separate"/>
      </w:r>
      <w:r>
        <w:t>54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 in which prizes are to be drawn</w:t>
      </w:r>
      <w:r>
        <w:tab/>
      </w:r>
      <w:r>
        <w:fldChar w:fldCharType="begin"/>
      </w:r>
      <w:r>
        <w:instrText xml:space="preserve"> PAGEREF _Toc501526517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Division 2 — Rules for the conduct of a continuing lottery</w:t>
      </w:r>
    </w:p>
    <w:p>
      <w:pPr>
        <w:pStyle w:val="TOC8"/>
        <w:rPr>
          <w:rFonts w:asciiTheme="minorHAnsi" w:eastAsiaTheme="minorEastAsia" w:hAnsiTheme="minorHAnsi" w:cstheme="minorBidi"/>
          <w:szCs w:val="22"/>
        </w:rPr>
      </w:pPr>
      <w:r>
        <w:t>1</w:t>
      </w:r>
      <w:r>
        <w:rPr>
          <w:snapToGrid w:val="0"/>
        </w:rPr>
        <w:t>.</w:t>
      </w:r>
      <w:r>
        <w:rPr>
          <w:snapToGrid w:val="0"/>
        </w:rPr>
        <w:tab/>
        <w:t>Information on each ticket</w:t>
      </w:r>
      <w:r>
        <w:tab/>
      </w:r>
      <w:r>
        <w:fldChar w:fldCharType="begin"/>
      </w:r>
      <w:r>
        <w:instrText xml:space="preserve"> PAGEREF _Toc501526519 \h </w:instrText>
      </w:r>
      <w:r>
        <w:fldChar w:fldCharType="separate"/>
      </w:r>
      <w:r>
        <w:t>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Where tickets may be sold</w:t>
      </w:r>
      <w:r>
        <w:tab/>
      </w:r>
      <w:r>
        <w:fldChar w:fldCharType="begin"/>
      </w:r>
      <w:r>
        <w:instrText xml:space="preserve"> PAGEREF _Toc501526520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5 — Conditions for trade promotion lottery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_Toc501526523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3" w:name="_Toc498094472"/>
      <w:bookmarkStart w:id="4" w:name="_Toc501526412"/>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501526413"/>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6" w:name="_Toc501526414"/>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7" w:name="_Toc501526415"/>
      <w:r>
        <w:rPr>
          <w:rStyle w:val="CharSectno"/>
        </w:rPr>
        <w:t>3</w:t>
      </w:r>
      <w:r>
        <w:rPr>
          <w:snapToGrid w:val="0"/>
        </w:rPr>
        <w:t>.</w:t>
      </w:r>
      <w:r>
        <w:rPr>
          <w:snapToGrid w:val="0"/>
        </w:rPr>
        <w:tab/>
        <w:t>Interpretation; compliance with forms</w:t>
      </w:r>
      <w:bookmarkEnd w:id="7"/>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8" w:name="_Toc501526416"/>
      <w:r>
        <w:rPr>
          <w:rStyle w:val="CharSectno"/>
        </w:rPr>
        <w:t>4A</w:t>
      </w:r>
      <w:r>
        <w:t>.</w:t>
      </w:r>
      <w:r>
        <w:tab/>
        <w:t>Notes in the text</w:t>
      </w:r>
      <w:bookmarkEnd w:id="8"/>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9" w:name="_Toc501526417"/>
      <w:r>
        <w:rPr>
          <w:rStyle w:val="CharSectno"/>
        </w:rPr>
        <w:t>4</w:t>
      </w:r>
      <w:r>
        <w:rPr>
          <w:snapToGrid w:val="0"/>
        </w:rPr>
        <w:t>.</w:t>
      </w:r>
      <w:r>
        <w:rPr>
          <w:snapToGrid w:val="0"/>
        </w:rPr>
        <w:tab/>
        <w:t>Prescribed fees</w:t>
      </w:r>
      <w:bookmarkEnd w:id="9"/>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10" w:name="_Toc498094478"/>
      <w:bookmarkStart w:id="11" w:name="_Toc501526418"/>
      <w:r>
        <w:rPr>
          <w:rStyle w:val="CharPartNo"/>
        </w:rPr>
        <w:t>Part 2</w:t>
      </w:r>
      <w:r>
        <w:rPr>
          <w:rStyle w:val="CharDivNo"/>
        </w:rPr>
        <w:t> </w:t>
      </w:r>
      <w:r>
        <w:t>—</w:t>
      </w:r>
      <w:r>
        <w:rPr>
          <w:rStyle w:val="CharDivText"/>
        </w:rPr>
        <w:t> </w:t>
      </w:r>
      <w:r>
        <w:rPr>
          <w:rStyle w:val="CharPartText"/>
        </w:rPr>
        <w:t>Enforcement</w:t>
      </w:r>
      <w:bookmarkEnd w:id="10"/>
      <w:bookmarkEnd w:id="11"/>
    </w:p>
    <w:p>
      <w:pPr>
        <w:pStyle w:val="Heading5"/>
        <w:rPr>
          <w:snapToGrid w:val="0"/>
        </w:rPr>
      </w:pPr>
      <w:bookmarkStart w:id="12" w:name="_Toc501526419"/>
      <w:r>
        <w:rPr>
          <w:rStyle w:val="CharSectno"/>
        </w:rPr>
        <w:t>5</w:t>
      </w:r>
      <w:r>
        <w:rPr>
          <w:snapToGrid w:val="0"/>
        </w:rPr>
        <w:t>.</w:t>
      </w:r>
      <w:r>
        <w:rPr>
          <w:snapToGrid w:val="0"/>
        </w:rPr>
        <w:tab/>
        <w:t>Forfeiture, offences prescribed (Act s. 32(2))</w:t>
      </w:r>
      <w:bookmarkEnd w:id="12"/>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3" w:name="_Toc501526420"/>
      <w:r>
        <w:rPr>
          <w:rStyle w:val="CharSectno"/>
        </w:rPr>
        <w:t>6</w:t>
      </w:r>
      <w:r>
        <w:rPr>
          <w:snapToGrid w:val="0"/>
        </w:rPr>
        <w:t>.</w:t>
      </w:r>
      <w:r>
        <w:rPr>
          <w:snapToGrid w:val="0"/>
        </w:rPr>
        <w:tab/>
        <w:t>Modified penalties and infringement notices (Act s. 36(1))</w:t>
      </w:r>
      <w:bookmarkEnd w:id="13"/>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4" w:name="_Toc501526421"/>
      <w:r>
        <w:rPr>
          <w:rStyle w:val="CharSectno"/>
        </w:rPr>
        <w:t>6A</w:t>
      </w:r>
      <w:r>
        <w:rPr>
          <w:snapToGrid w:val="0"/>
        </w:rPr>
        <w:t>.</w:t>
      </w:r>
      <w:r>
        <w:rPr>
          <w:snapToGrid w:val="0"/>
        </w:rPr>
        <w:tab/>
        <w:t>Warrant, form of (Act s. 25)</w:t>
      </w:r>
      <w:bookmarkEnd w:id="14"/>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5" w:name="_Toc498094482"/>
      <w:bookmarkStart w:id="16" w:name="_Toc501526422"/>
      <w:r>
        <w:rPr>
          <w:rStyle w:val="CharPartNo"/>
        </w:rPr>
        <w:t>Part 3</w:t>
      </w:r>
      <w:r>
        <w:rPr>
          <w:rStyle w:val="CharDivNo"/>
        </w:rPr>
        <w:t> </w:t>
      </w:r>
      <w:r>
        <w:t>—</w:t>
      </w:r>
      <w:r>
        <w:rPr>
          <w:rStyle w:val="CharDivText"/>
        </w:rPr>
        <w:t> </w:t>
      </w:r>
      <w:r>
        <w:rPr>
          <w:rStyle w:val="CharPartText"/>
        </w:rPr>
        <w:t>The register</w:t>
      </w:r>
      <w:bookmarkEnd w:id="15"/>
      <w:bookmarkEnd w:id="16"/>
    </w:p>
    <w:p>
      <w:pPr>
        <w:pStyle w:val="Heading5"/>
        <w:rPr>
          <w:snapToGrid w:val="0"/>
        </w:rPr>
      </w:pPr>
      <w:bookmarkStart w:id="17" w:name="_Toc501526423"/>
      <w:r>
        <w:rPr>
          <w:rStyle w:val="CharSectno"/>
        </w:rPr>
        <w:t>7</w:t>
      </w:r>
      <w:r>
        <w:rPr>
          <w:snapToGrid w:val="0"/>
        </w:rPr>
        <w:t>.</w:t>
      </w:r>
      <w:r>
        <w:rPr>
          <w:snapToGrid w:val="0"/>
        </w:rPr>
        <w:tab/>
        <w:t>Manner of recording and search fees prescribed (Act s. 50)</w:t>
      </w:r>
      <w:bookmarkEnd w:id="17"/>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8" w:name="_Toc498094484"/>
      <w:bookmarkStart w:id="19" w:name="_Toc501526424"/>
      <w:r>
        <w:rPr>
          <w:rStyle w:val="CharPartNo"/>
        </w:rPr>
        <w:t>Part 4</w:t>
      </w:r>
      <w:r>
        <w:t> — </w:t>
      </w:r>
      <w:r>
        <w:rPr>
          <w:rStyle w:val="CharPartText"/>
        </w:rPr>
        <w:t>Permitted gaming</w:t>
      </w:r>
      <w:bookmarkEnd w:id="18"/>
      <w:bookmarkEnd w:id="19"/>
    </w:p>
    <w:p>
      <w:pPr>
        <w:pStyle w:val="Heading3"/>
        <w:spacing w:before="220"/>
      </w:pPr>
      <w:bookmarkStart w:id="20" w:name="_Toc498094485"/>
      <w:bookmarkStart w:id="21" w:name="_Toc501526425"/>
      <w:r>
        <w:rPr>
          <w:rStyle w:val="CharDivNo"/>
        </w:rPr>
        <w:t>Division 1</w:t>
      </w:r>
      <w:r>
        <w:rPr>
          <w:snapToGrid w:val="0"/>
        </w:rPr>
        <w:t> — </w:t>
      </w:r>
      <w:r>
        <w:rPr>
          <w:rStyle w:val="CharDivText"/>
        </w:rPr>
        <w:t>Gaming generally</w:t>
      </w:r>
      <w:bookmarkEnd w:id="20"/>
      <w:bookmarkEnd w:id="21"/>
    </w:p>
    <w:p>
      <w:pPr>
        <w:pStyle w:val="Heading5"/>
      </w:pPr>
      <w:bookmarkStart w:id="22" w:name="_Toc501526426"/>
      <w:r>
        <w:rPr>
          <w:rStyle w:val="CharSectno"/>
        </w:rPr>
        <w:t>8A</w:t>
      </w:r>
      <w:r>
        <w:t>.</w:t>
      </w:r>
      <w:r>
        <w:tab/>
        <w:t>Gaming on cruise ships</w:t>
      </w:r>
      <w:bookmarkEnd w:id="22"/>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tab/>
        <w:t>(b)</w:t>
      </w:r>
      <w:r>
        <w:tab/>
        <w:t>the gaming is operated only as an ancillary service on the cruise ship.</w:t>
      </w:r>
    </w:p>
    <w:p>
      <w:pPr>
        <w:pStyle w:val="Footnotesection"/>
      </w:pPr>
      <w:r>
        <w:tab/>
        <w:t>[Regulation 8A inserted in Gazette 26 May 2017 p. 2633.]</w:t>
      </w:r>
    </w:p>
    <w:p>
      <w:pPr>
        <w:pStyle w:val="Heading5"/>
        <w:rPr>
          <w:snapToGrid w:val="0"/>
        </w:rPr>
      </w:pPr>
      <w:bookmarkStart w:id="23" w:name="_Toc501526427"/>
      <w:r>
        <w:rPr>
          <w:rStyle w:val="CharSectno"/>
        </w:rPr>
        <w:t>8</w:t>
      </w:r>
      <w:r>
        <w:rPr>
          <w:snapToGrid w:val="0"/>
        </w:rPr>
        <w:t>.</w:t>
      </w:r>
      <w:r>
        <w:rPr>
          <w:snapToGrid w:val="0"/>
        </w:rPr>
        <w:tab/>
        <w:t>Gaming permits, form and conditions of (Act s. 47(1)(a) or (b))</w:t>
      </w:r>
      <w:bookmarkEnd w:id="23"/>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24" w:name="_Toc501526428"/>
      <w:r>
        <w:rPr>
          <w:rStyle w:val="CharSectno"/>
        </w:rPr>
        <w:t>9</w:t>
      </w:r>
      <w:r>
        <w:rPr>
          <w:snapToGrid w:val="0"/>
        </w:rPr>
        <w:t>.</w:t>
      </w:r>
      <w:r>
        <w:rPr>
          <w:snapToGrid w:val="0"/>
        </w:rPr>
        <w:tab/>
        <w:t>Gaming permits, application for</w:t>
      </w:r>
      <w:bookmarkEnd w:id="24"/>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in Gazette 30 Jan 2004 p. 415; 18 May 2004 p. 1572.]</w:t>
      </w:r>
    </w:p>
    <w:p>
      <w:pPr>
        <w:pStyle w:val="Heading5"/>
        <w:rPr>
          <w:snapToGrid w:val="0"/>
        </w:rPr>
      </w:pPr>
      <w:bookmarkStart w:id="25" w:name="_Toc501526429"/>
      <w:r>
        <w:rPr>
          <w:rStyle w:val="CharSectno"/>
        </w:rPr>
        <w:t>10</w:t>
      </w:r>
      <w:r>
        <w:rPr>
          <w:snapToGrid w:val="0"/>
        </w:rPr>
        <w:t>.</w:t>
      </w:r>
      <w:r>
        <w:rPr>
          <w:snapToGrid w:val="0"/>
        </w:rPr>
        <w:tab/>
        <w:t>Approval to use premises, application for (Act s. 55)</w:t>
      </w:r>
      <w:bookmarkEnd w:id="25"/>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26" w:name="_Toc501526430"/>
      <w:r>
        <w:rPr>
          <w:rStyle w:val="CharSectno"/>
        </w:rPr>
        <w:t>11</w:t>
      </w:r>
      <w:r>
        <w:rPr>
          <w:snapToGrid w:val="0"/>
        </w:rPr>
        <w:t>.</w:t>
      </w:r>
      <w:r>
        <w:rPr>
          <w:snapToGrid w:val="0"/>
        </w:rPr>
        <w:tab/>
        <w:t>Renewals etc., applications for (Act s. 56)</w:t>
      </w:r>
      <w:bookmarkEnd w:id="26"/>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27" w:name="_Toc501526431"/>
      <w:r>
        <w:rPr>
          <w:rStyle w:val="CharSectno"/>
        </w:rPr>
        <w:t>12</w:t>
      </w:r>
      <w:r>
        <w:rPr>
          <w:snapToGrid w:val="0"/>
        </w:rPr>
        <w:t>.</w:t>
      </w:r>
      <w:r>
        <w:rPr>
          <w:snapToGrid w:val="0"/>
        </w:rPr>
        <w:tab/>
        <w:t>Financial statements, permit holders to provide etc.</w:t>
      </w:r>
      <w:bookmarkEnd w:id="27"/>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in Gazette 28 Jun 1996 p. 3099; 16 May 1997 p. 2393.]</w:t>
      </w:r>
    </w:p>
    <w:p>
      <w:pPr>
        <w:pStyle w:val="Heading5"/>
        <w:rPr>
          <w:snapToGrid w:val="0"/>
        </w:rPr>
      </w:pPr>
      <w:bookmarkStart w:id="28" w:name="_Toc501526432"/>
      <w:r>
        <w:rPr>
          <w:rStyle w:val="CharSectno"/>
        </w:rPr>
        <w:t>13</w:t>
      </w:r>
      <w:r>
        <w:rPr>
          <w:snapToGrid w:val="0"/>
        </w:rPr>
        <w:t>.</w:t>
      </w:r>
      <w:r>
        <w:rPr>
          <w:snapToGrid w:val="0"/>
        </w:rPr>
        <w:tab/>
        <w:t>No permit required if gaming etc. deemed permitted</w:t>
      </w:r>
      <w:bookmarkEnd w:id="28"/>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29" w:name="_Toc501526433"/>
      <w:r>
        <w:rPr>
          <w:rStyle w:val="CharSectno"/>
        </w:rPr>
        <w:t>13A</w:t>
      </w:r>
      <w:r>
        <w:t>.</w:t>
      </w:r>
      <w:r>
        <w:tab/>
        <w:t>Conviction of license holder etc., holders to notify Commission</w:t>
      </w:r>
      <w:bookmarkEnd w:id="29"/>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30" w:name="_Toc498094494"/>
      <w:bookmarkStart w:id="31" w:name="_Toc501526434"/>
      <w:r>
        <w:rPr>
          <w:rStyle w:val="CharDivNo"/>
        </w:rPr>
        <w:t>Division 2</w:t>
      </w:r>
      <w:r>
        <w:t> — </w:t>
      </w:r>
      <w:r>
        <w:rPr>
          <w:rStyle w:val="CharDivText"/>
        </w:rPr>
        <w:t>Continuing lotteries</w:t>
      </w:r>
      <w:bookmarkEnd w:id="30"/>
      <w:bookmarkEnd w:id="31"/>
    </w:p>
    <w:p>
      <w:pPr>
        <w:pStyle w:val="Footnoteheading"/>
      </w:pPr>
      <w:r>
        <w:tab/>
        <w:t>[Heading inserted in Gazette 23 Jun 2000 p. 3206]</w:t>
      </w:r>
    </w:p>
    <w:p>
      <w:pPr>
        <w:pStyle w:val="Heading5"/>
        <w:keepLines w:val="0"/>
        <w:spacing w:before="240"/>
      </w:pPr>
      <w:bookmarkStart w:id="32" w:name="_Toc501526435"/>
      <w:r>
        <w:rPr>
          <w:rStyle w:val="CharSectno"/>
        </w:rPr>
        <w:t>14</w:t>
      </w:r>
      <w:r>
        <w:t>.</w:t>
      </w:r>
      <w:r>
        <w:tab/>
        <w:t>Maximum number of tickets prescribed (Act s. 104L(1))</w:t>
      </w:r>
      <w:bookmarkEnd w:id="32"/>
    </w:p>
    <w:p>
      <w:pPr>
        <w:pStyle w:val="Subsection"/>
        <w:spacing w:before="180"/>
      </w:pPr>
      <w:r>
        <w:tab/>
      </w:r>
      <w:r>
        <w:tab/>
        <w:t>For the purposes of section 104L(1) of the Act the maximum number of tickets that may be in one batch shall be 5 000.</w:t>
      </w:r>
    </w:p>
    <w:p>
      <w:pPr>
        <w:pStyle w:val="Footnotesection"/>
      </w:pPr>
      <w:r>
        <w:tab/>
        <w:t>[Regulation 14 inserted in Gazette 23 Jun 2000 p. 3206.]</w:t>
      </w:r>
    </w:p>
    <w:p>
      <w:pPr>
        <w:pStyle w:val="Heading5"/>
        <w:spacing w:before="240"/>
      </w:pPr>
      <w:bookmarkStart w:id="33" w:name="_Toc501526436"/>
      <w:r>
        <w:rPr>
          <w:rStyle w:val="CharSectno"/>
        </w:rPr>
        <w:t>15</w:t>
      </w:r>
      <w:r>
        <w:t>.</w:t>
      </w:r>
      <w:r>
        <w:tab/>
        <w:t>Records to be kept by licensed suppliers for Act Part V Div. 7</w:t>
      </w:r>
      <w:bookmarkEnd w:id="33"/>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34" w:name="_Toc498094497"/>
      <w:bookmarkStart w:id="35" w:name="_Toc501526437"/>
      <w:r>
        <w:rPr>
          <w:rStyle w:val="CharDivNo"/>
        </w:rPr>
        <w:t>Division 3</w:t>
      </w:r>
      <w:r>
        <w:rPr>
          <w:snapToGrid w:val="0"/>
        </w:rPr>
        <w:t> — </w:t>
      </w:r>
      <w:r>
        <w:rPr>
          <w:rStyle w:val="CharDivText"/>
        </w:rPr>
        <w:t>Permitted two</w:t>
      </w:r>
      <w:r>
        <w:rPr>
          <w:rStyle w:val="CharDivText"/>
        </w:rPr>
        <w:noBreakHyphen/>
        <w:t>up</w:t>
      </w:r>
      <w:bookmarkEnd w:id="34"/>
      <w:bookmarkEnd w:id="35"/>
    </w:p>
    <w:p>
      <w:pPr>
        <w:pStyle w:val="Heading5"/>
        <w:spacing w:before="240"/>
        <w:rPr>
          <w:snapToGrid w:val="0"/>
        </w:rPr>
      </w:pPr>
      <w:bookmarkStart w:id="36" w:name="_Toc501526438"/>
      <w:r>
        <w:rPr>
          <w:rStyle w:val="CharSectno"/>
        </w:rPr>
        <w:t>16</w:t>
      </w:r>
      <w:r>
        <w:rPr>
          <w:snapToGrid w:val="0"/>
        </w:rPr>
        <w:t>.</w:t>
      </w:r>
      <w:r>
        <w:rPr>
          <w:snapToGrid w:val="0"/>
        </w:rPr>
        <w:tab/>
        <w:t>Financial information to be provided about games</w:t>
      </w:r>
      <w:bookmarkEnd w:id="36"/>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in Gazette 28 Jun 1996 p. 3099; 16 May 1997 p. 2393; 1 Dec 2015 p. 4824.]</w:t>
      </w:r>
    </w:p>
    <w:p>
      <w:pPr>
        <w:pStyle w:val="Heading5"/>
        <w:rPr>
          <w:snapToGrid w:val="0"/>
        </w:rPr>
      </w:pPr>
      <w:bookmarkStart w:id="37" w:name="_Toc501526439"/>
      <w:r>
        <w:rPr>
          <w:rStyle w:val="CharSectno"/>
        </w:rPr>
        <w:t>17</w:t>
      </w:r>
      <w:r>
        <w:rPr>
          <w:snapToGrid w:val="0"/>
        </w:rPr>
        <w:t>.</w:t>
      </w:r>
      <w:r>
        <w:rPr>
          <w:snapToGrid w:val="0"/>
        </w:rPr>
        <w:tab/>
        <w:t>Suspending permit for game</w:t>
      </w:r>
      <w:bookmarkEnd w:id="37"/>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38" w:name="_Toc501526440"/>
      <w:r>
        <w:rPr>
          <w:rStyle w:val="CharSectno"/>
        </w:rPr>
        <w:t>17A</w:t>
      </w:r>
      <w:r>
        <w:t>.</w:t>
      </w:r>
      <w:r>
        <w:tab/>
        <w:t>Prescribed gaming equipment (Act s. 84(1))</w:t>
      </w:r>
      <w:bookmarkEnd w:id="38"/>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keepLines/>
      </w:pPr>
      <w:bookmarkStart w:id="39" w:name="_Toc498094501"/>
      <w:bookmarkStart w:id="40" w:name="_Toc501526441"/>
      <w:r>
        <w:rPr>
          <w:rStyle w:val="CharDivNo"/>
        </w:rPr>
        <w:t>Division 4</w:t>
      </w:r>
      <w:r>
        <w:rPr>
          <w:snapToGrid w:val="0"/>
        </w:rPr>
        <w:t> — </w:t>
      </w:r>
      <w:r>
        <w:rPr>
          <w:rStyle w:val="CharDivText"/>
        </w:rPr>
        <w:t>Gaming machines and other equipment</w:t>
      </w:r>
      <w:bookmarkEnd w:id="39"/>
      <w:bookmarkEnd w:id="40"/>
    </w:p>
    <w:p>
      <w:pPr>
        <w:pStyle w:val="Heading5"/>
        <w:rPr>
          <w:snapToGrid w:val="0"/>
        </w:rPr>
      </w:pPr>
      <w:bookmarkStart w:id="41" w:name="_Toc501526442"/>
      <w:r>
        <w:rPr>
          <w:rStyle w:val="CharSectno"/>
        </w:rPr>
        <w:t>18</w:t>
      </w:r>
      <w:r>
        <w:rPr>
          <w:snapToGrid w:val="0"/>
        </w:rPr>
        <w:t>.</w:t>
      </w:r>
      <w:r>
        <w:rPr>
          <w:snapToGrid w:val="0"/>
        </w:rPr>
        <w:tab/>
        <w:t>Records etc. to be kept etc. by persons renting equipment from others</w:t>
      </w:r>
      <w:bookmarkEnd w:id="41"/>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42" w:name="_Toc501526443"/>
      <w:r>
        <w:rPr>
          <w:rStyle w:val="CharSectno"/>
        </w:rPr>
        <w:t>18A</w:t>
      </w:r>
      <w:r>
        <w:rPr>
          <w:snapToGrid w:val="0"/>
        </w:rPr>
        <w:t>.</w:t>
      </w:r>
      <w:r>
        <w:rPr>
          <w:snapToGrid w:val="0"/>
        </w:rPr>
        <w:tab/>
        <w:t>Skilltester, Merchandiser and similar machines, possession etc. of</w:t>
      </w:r>
      <w:bookmarkEnd w:id="42"/>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in Gazette 22 Oct 1993 p. 5805</w:t>
      </w:r>
      <w:r>
        <w:noBreakHyphen/>
        <w:t>6; amended in Gazette 22 Apr 1994 p. 1710; 30 Jan 2004 p. 415.]</w:t>
      </w:r>
    </w:p>
    <w:p>
      <w:pPr>
        <w:pStyle w:val="Heading5"/>
        <w:rPr>
          <w:snapToGrid w:val="0"/>
        </w:rPr>
      </w:pPr>
      <w:bookmarkStart w:id="43" w:name="_Toc501526444"/>
      <w:r>
        <w:rPr>
          <w:rStyle w:val="CharSectno"/>
        </w:rPr>
        <w:t>18AA</w:t>
      </w:r>
      <w:r>
        <w:rPr>
          <w:snapToGrid w:val="0"/>
        </w:rPr>
        <w:t>.</w:t>
      </w:r>
      <w:r>
        <w:rPr>
          <w:snapToGrid w:val="0"/>
        </w:rPr>
        <w:tab/>
        <w:t>Video lottery terminals, possession etc. of</w:t>
      </w:r>
      <w:bookmarkEnd w:id="43"/>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44" w:name="_Toc501526445"/>
      <w:r>
        <w:rPr>
          <w:rStyle w:val="CharSectno"/>
        </w:rPr>
        <w:t>18B</w:t>
      </w:r>
      <w:r>
        <w:rPr>
          <w:snapToGrid w:val="0"/>
        </w:rPr>
        <w:t>.</w:t>
      </w:r>
      <w:r>
        <w:rPr>
          <w:snapToGrid w:val="0"/>
        </w:rPr>
        <w:tab/>
        <w:t>Machines that dispense vouchers, possession etc. of</w:t>
      </w:r>
      <w:bookmarkEnd w:id="44"/>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45" w:name="_Toc501526446"/>
      <w:r>
        <w:rPr>
          <w:rStyle w:val="CharSectno"/>
        </w:rPr>
        <w:t>18C</w:t>
      </w:r>
      <w:r>
        <w:t>.</w:t>
      </w:r>
      <w:r>
        <w:tab/>
        <w:t>Possession of certain gaming machines on cruise ships</w:t>
      </w:r>
      <w:bookmarkEnd w:id="45"/>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 amended in Gazette 26 May 2017 p. 2633.]</w:t>
      </w:r>
    </w:p>
    <w:p>
      <w:pPr>
        <w:pStyle w:val="Heading3"/>
      </w:pPr>
      <w:bookmarkStart w:id="46" w:name="_Toc498094507"/>
      <w:bookmarkStart w:id="47" w:name="_Toc501526447"/>
      <w:r>
        <w:rPr>
          <w:rStyle w:val="CharDivNo"/>
        </w:rPr>
        <w:t>Division 5</w:t>
      </w:r>
      <w:r>
        <w:rPr>
          <w:snapToGrid w:val="0"/>
        </w:rPr>
        <w:t> — </w:t>
      </w:r>
      <w:r>
        <w:rPr>
          <w:rStyle w:val="CharDivText"/>
        </w:rPr>
        <w:t>Permitted bingo</w:t>
      </w:r>
      <w:bookmarkEnd w:id="46"/>
      <w:bookmarkEnd w:id="47"/>
    </w:p>
    <w:p>
      <w:pPr>
        <w:pStyle w:val="Heading5"/>
        <w:rPr>
          <w:snapToGrid w:val="0"/>
        </w:rPr>
      </w:pPr>
      <w:bookmarkStart w:id="48" w:name="_Toc501526448"/>
      <w:r>
        <w:rPr>
          <w:rStyle w:val="CharSectno"/>
        </w:rPr>
        <w:t>19</w:t>
      </w:r>
      <w:r>
        <w:rPr>
          <w:snapToGrid w:val="0"/>
        </w:rPr>
        <w:t>.</w:t>
      </w:r>
      <w:r>
        <w:rPr>
          <w:snapToGrid w:val="0"/>
        </w:rPr>
        <w:tab/>
        <w:t>Rules for conducting bingo; rules to be displayed</w:t>
      </w:r>
      <w:bookmarkEnd w:id="48"/>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49" w:name="_Toc501526449"/>
      <w:r>
        <w:rPr>
          <w:rStyle w:val="CharSectno"/>
        </w:rPr>
        <w:t>20</w:t>
      </w:r>
      <w:r>
        <w:rPr>
          <w:snapToGrid w:val="0"/>
        </w:rPr>
        <w:t>.</w:t>
      </w:r>
      <w:r>
        <w:rPr>
          <w:snapToGrid w:val="0"/>
        </w:rPr>
        <w:tab/>
        <w:t>Bingo for senior citizens’ clubs, no fees payable for</w:t>
      </w:r>
      <w:bookmarkEnd w:id="49"/>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50" w:name="_Toc501526450"/>
      <w:r>
        <w:rPr>
          <w:rStyle w:val="CharSectno"/>
        </w:rPr>
        <w:t>21</w:t>
      </w:r>
      <w:r>
        <w:rPr>
          <w:snapToGrid w:val="0"/>
        </w:rPr>
        <w:t>.</w:t>
      </w:r>
      <w:r>
        <w:rPr>
          <w:snapToGrid w:val="0"/>
        </w:rPr>
        <w:tab/>
        <w:t>Percentage of receipts to be paid to Commission</w:t>
      </w:r>
      <w:bookmarkEnd w:id="50"/>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51" w:name="_Toc501526451"/>
      <w:r>
        <w:rPr>
          <w:rStyle w:val="CharSectno"/>
        </w:rPr>
        <w:t>21A</w:t>
      </w:r>
      <w:r>
        <w:rPr>
          <w:snapToGrid w:val="0"/>
        </w:rPr>
        <w:t>.</w:t>
      </w:r>
      <w:r>
        <w:rPr>
          <w:snapToGrid w:val="0"/>
        </w:rPr>
        <w:tab/>
        <w:t>Times and number of sessions</w:t>
      </w:r>
      <w:bookmarkEnd w:id="51"/>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52" w:name="_Toc501526452"/>
      <w:r>
        <w:rPr>
          <w:rStyle w:val="CharSectno"/>
        </w:rPr>
        <w:t>22</w:t>
      </w:r>
      <w:r>
        <w:rPr>
          <w:snapToGrid w:val="0"/>
        </w:rPr>
        <w:t>.</w:t>
      </w:r>
      <w:r>
        <w:rPr>
          <w:snapToGrid w:val="0"/>
        </w:rPr>
        <w:tab/>
        <w:t>Sessions of bingo</w:t>
      </w:r>
      <w:bookmarkEnd w:id="52"/>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53" w:name="_Toc501526453"/>
      <w:r>
        <w:rPr>
          <w:rStyle w:val="CharSectno"/>
        </w:rPr>
        <w:t>23</w:t>
      </w:r>
      <w:r>
        <w:rPr>
          <w:snapToGrid w:val="0"/>
        </w:rPr>
        <w:t>.</w:t>
      </w:r>
      <w:r>
        <w:rPr>
          <w:snapToGrid w:val="0"/>
        </w:rPr>
        <w:tab/>
        <w:t>Controllers of sessions, appointment and duties of</w:t>
      </w:r>
      <w:bookmarkEnd w:id="53"/>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54" w:name="_Toc501526454"/>
      <w:r>
        <w:rPr>
          <w:rStyle w:val="CharSectno"/>
        </w:rPr>
        <w:t>23A</w:t>
      </w:r>
      <w:r>
        <w:rPr>
          <w:snapToGrid w:val="0"/>
        </w:rPr>
        <w:t>.</w:t>
      </w:r>
      <w:r>
        <w:rPr>
          <w:snapToGrid w:val="0"/>
        </w:rPr>
        <w:tab/>
        <w:t>Advertising value of prizes prohibited</w:t>
      </w:r>
      <w:bookmarkEnd w:id="54"/>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in Gazette 27 Feb 1991 p. 5068; amended in Gazette 22 Aug 2006 p. 3465</w:t>
      </w:r>
      <w:r>
        <w:noBreakHyphen/>
        <w:t>6.]</w:t>
      </w:r>
    </w:p>
    <w:p>
      <w:pPr>
        <w:pStyle w:val="Heading5"/>
        <w:rPr>
          <w:snapToGrid w:val="0"/>
        </w:rPr>
      </w:pPr>
      <w:bookmarkStart w:id="55" w:name="_Toc501526455"/>
      <w:r>
        <w:rPr>
          <w:rStyle w:val="CharSectno"/>
        </w:rPr>
        <w:t>24</w:t>
      </w:r>
      <w:r>
        <w:rPr>
          <w:snapToGrid w:val="0"/>
        </w:rPr>
        <w:t>.</w:t>
      </w:r>
      <w:r>
        <w:rPr>
          <w:snapToGrid w:val="0"/>
        </w:rPr>
        <w:tab/>
        <w:t>Prizes, permitted value of</w:t>
      </w:r>
      <w:bookmarkEnd w:id="55"/>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Cs w:val="24"/>
              </w:rPr>
            </w:pPr>
            <w:r>
              <w:rPr>
                <w:b/>
                <w:bCs/>
                <w:szCs w:val="24"/>
              </w:rPr>
              <w:t>Gross receipts</w:t>
            </w:r>
          </w:p>
        </w:tc>
        <w:tc>
          <w:tcPr>
            <w:tcW w:w="2040" w:type="dxa"/>
            <w:tcBorders>
              <w:top w:val="single" w:sz="4" w:space="0" w:color="auto"/>
              <w:bottom w:val="single" w:sz="4" w:space="0" w:color="auto"/>
            </w:tcBorders>
          </w:tcPr>
          <w:p>
            <w:pPr>
              <w:pStyle w:val="TableNAm"/>
              <w:rPr>
                <w:b/>
                <w:bCs/>
                <w:szCs w:val="24"/>
              </w:rPr>
            </w:pPr>
            <w:r>
              <w:rPr>
                <w:b/>
                <w:bCs/>
                <w:szCs w:val="24"/>
              </w:rPr>
              <w:t>Total of prizes</w:t>
            </w:r>
          </w:p>
        </w:tc>
        <w:tc>
          <w:tcPr>
            <w:tcW w:w="1680" w:type="dxa"/>
            <w:tcBorders>
              <w:top w:val="single" w:sz="4" w:space="0" w:color="auto"/>
              <w:bottom w:val="single" w:sz="4" w:space="0" w:color="auto"/>
            </w:tcBorders>
          </w:tcPr>
          <w:p>
            <w:pPr>
              <w:pStyle w:val="TableNAm"/>
              <w:rPr>
                <w:b/>
                <w:bCs/>
                <w:szCs w:val="24"/>
              </w:rPr>
            </w:pPr>
            <w:r>
              <w:rPr>
                <w:b/>
                <w:bCs/>
                <w:szCs w:val="24"/>
              </w:rPr>
              <w:t>Permitted variation</w:t>
            </w:r>
          </w:p>
        </w:tc>
      </w:tr>
      <w:tr>
        <w:tc>
          <w:tcPr>
            <w:tcW w:w="2400" w:type="dxa"/>
            <w:tcBorders>
              <w:top w:val="single" w:sz="4" w:space="0" w:color="auto"/>
            </w:tcBorders>
          </w:tcPr>
          <w:p>
            <w:pPr>
              <w:pStyle w:val="TableNAm"/>
              <w:rPr>
                <w:szCs w:val="24"/>
              </w:rPr>
            </w:pPr>
            <w:r>
              <w:rPr>
                <w:szCs w:val="24"/>
              </w:rPr>
              <w:t>$5 000 and under</w:t>
            </w:r>
          </w:p>
        </w:tc>
        <w:tc>
          <w:tcPr>
            <w:tcW w:w="2040" w:type="dxa"/>
            <w:tcBorders>
              <w:top w:val="single" w:sz="4" w:space="0" w:color="auto"/>
            </w:tcBorders>
          </w:tcPr>
          <w:p>
            <w:pPr>
              <w:pStyle w:val="TableNAm"/>
              <w:rPr>
                <w:szCs w:val="24"/>
              </w:rPr>
            </w:pPr>
            <w:r>
              <w:rPr>
                <w:szCs w:val="24"/>
              </w:rPr>
              <w:t>no limit</w:t>
            </w:r>
          </w:p>
        </w:tc>
        <w:tc>
          <w:tcPr>
            <w:tcW w:w="1680" w:type="dxa"/>
            <w:tcBorders>
              <w:top w:val="single" w:sz="4" w:space="0" w:color="auto"/>
            </w:tcBorders>
          </w:tcPr>
          <w:p>
            <w:pPr>
              <w:pStyle w:val="TableNAm"/>
              <w:rPr>
                <w:szCs w:val="24"/>
              </w:rPr>
            </w:pPr>
            <w:r>
              <w:rPr>
                <w:szCs w:val="24"/>
              </w:rPr>
              <w:t>—</w:t>
            </w:r>
          </w:p>
        </w:tc>
      </w:tr>
      <w:tr>
        <w:tc>
          <w:tcPr>
            <w:tcW w:w="2400" w:type="dxa"/>
            <w:tcBorders>
              <w:bottom w:val="single" w:sz="4" w:space="0" w:color="auto"/>
            </w:tcBorders>
          </w:tcPr>
          <w:p>
            <w:pPr>
              <w:pStyle w:val="TableNAm"/>
              <w:rPr>
                <w:szCs w:val="24"/>
              </w:rPr>
            </w:pPr>
            <w:r>
              <w:t>Over $5 000</w:t>
            </w:r>
          </w:p>
        </w:tc>
        <w:tc>
          <w:tcPr>
            <w:tcW w:w="2040" w:type="dxa"/>
            <w:tcBorders>
              <w:bottom w:val="single" w:sz="4" w:space="0" w:color="auto"/>
            </w:tcBorders>
          </w:tcPr>
          <w:p>
            <w:pPr>
              <w:pStyle w:val="TableNAm"/>
              <w:rPr>
                <w:szCs w:val="24"/>
              </w:rPr>
            </w:pPr>
            <w:r>
              <w:rPr>
                <w:szCs w:val="24"/>
              </w:rPr>
              <w:t>60%</w:t>
            </w:r>
          </w:p>
        </w:tc>
        <w:tc>
          <w:tcPr>
            <w:tcW w:w="1680" w:type="dxa"/>
            <w:tcBorders>
              <w:bottom w:val="single" w:sz="4" w:space="0" w:color="auto"/>
            </w:tcBorders>
          </w:tcPr>
          <w:p>
            <w:pPr>
              <w:pStyle w:val="TableNAm"/>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 11 Jul 2017 p. 3834.]</w:t>
      </w:r>
    </w:p>
    <w:p>
      <w:pPr>
        <w:pStyle w:val="Heading5"/>
        <w:rPr>
          <w:snapToGrid w:val="0"/>
        </w:rPr>
      </w:pPr>
      <w:bookmarkStart w:id="56" w:name="_Toc501526456"/>
      <w:r>
        <w:rPr>
          <w:rStyle w:val="CharSectno"/>
        </w:rPr>
        <w:t>25</w:t>
      </w:r>
      <w:r>
        <w:rPr>
          <w:snapToGrid w:val="0"/>
        </w:rPr>
        <w:t>.</w:t>
      </w:r>
      <w:r>
        <w:rPr>
          <w:snapToGrid w:val="0"/>
        </w:rPr>
        <w:tab/>
        <w:t>Expenses, maximum and calculation of</w:t>
      </w:r>
      <w:bookmarkEnd w:id="56"/>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57" w:name="_Toc501526457"/>
      <w:r>
        <w:rPr>
          <w:rStyle w:val="CharSectno"/>
        </w:rPr>
        <w:t>26</w:t>
      </w:r>
      <w:r>
        <w:rPr>
          <w:snapToGrid w:val="0"/>
        </w:rPr>
        <w:t>.</w:t>
      </w:r>
      <w:r>
        <w:rPr>
          <w:snapToGrid w:val="0"/>
        </w:rPr>
        <w:tab/>
        <w:t>Playing other games of chance at bingo premises</w:t>
      </w:r>
      <w:bookmarkEnd w:id="57"/>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in Gazette 6 Apr 1990 p. 1768</w:t>
      </w:r>
      <w:r>
        <w:noBreakHyphen/>
        <w:t>9; amended in Gazette 22 Aug 2006 p. 3467.]</w:t>
      </w:r>
    </w:p>
    <w:p>
      <w:pPr>
        <w:pStyle w:val="Heading3"/>
      </w:pPr>
      <w:bookmarkStart w:id="58" w:name="_Toc498094518"/>
      <w:bookmarkStart w:id="59" w:name="_Toc501526458"/>
      <w:r>
        <w:rPr>
          <w:rStyle w:val="CharDivNo"/>
        </w:rPr>
        <w:t>Division 6</w:t>
      </w:r>
      <w:r>
        <w:rPr>
          <w:snapToGrid w:val="0"/>
        </w:rPr>
        <w:t> — </w:t>
      </w:r>
      <w:r>
        <w:rPr>
          <w:rStyle w:val="CharDivText"/>
        </w:rPr>
        <w:t>Lotteries, etc.</w:t>
      </w:r>
      <w:bookmarkEnd w:id="58"/>
      <w:bookmarkEnd w:id="59"/>
    </w:p>
    <w:p>
      <w:pPr>
        <w:pStyle w:val="Heading4"/>
        <w:spacing w:before="220"/>
        <w:rPr>
          <w:snapToGrid w:val="0"/>
        </w:rPr>
      </w:pPr>
      <w:bookmarkStart w:id="60" w:name="_Toc498094519"/>
      <w:bookmarkStart w:id="61" w:name="_Toc501526459"/>
      <w:r>
        <w:rPr>
          <w:snapToGrid w:val="0"/>
        </w:rPr>
        <w:t>Subdivision 1 — Standard lotteries</w:t>
      </w:r>
      <w:bookmarkEnd w:id="60"/>
      <w:bookmarkEnd w:id="61"/>
    </w:p>
    <w:p>
      <w:pPr>
        <w:pStyle w:val="Footnoteheading"/>
      </w:pPr>
      <w:r>
        <w:tab/>
        <w:t>[Heading amended in Gazette 6 Sep 2016 p. 3833.]</w:t>
      </w:r>
    </w:p>
    <w:p>
      <w:pPr>
        <w:pStyle w:val="Heading5"/>
        <w:rPr>
          <w:snapToGrid w:val="0"/>
        </w:rPr>
      </w:pPr>
      <w:bookmarkStart w:id="62" w:name="_Toc501526460"/>
      <w:r>
        <w:rPr>
          <w:rStyle w:val="CharSectno"/>
        </w:rPr>
        <w:t>27</w:t>
      </w:r>
      <w:r>
        <w:rPr>
          <w:snapToGrid w:val="0"/>
        </w:rPr>
        <w:t>.</w:t>
      </w:r>
      <w:r>
        <w:rPr>
          <w:snapToGrid w:val="0"/>
        </w:rPr>
        <w:tab/>
        <w:t>Rules for conducting standard lottery</w:t>
      </w:r>
      <w:bookmarkEnd w:id="62"/>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63" w:name="_Toc501526461"/>
      <w:r>
        <w:rPr>
          <w:rStyle w:val="CharSectno"/>
        </w:rPr>
        <w:t>28</w:t>
      </w:r>
      <w:r>
        <w:rPr>
          <w:snapToGrid w:val="0"/>
        </w:rPr>
        <w:t>.</w:t>
      </w:r>
      <w:r>
        <w:rPr>
          <w:snapToGrid w:val="0"/>
        </w:rPr>
        <w:tab/>
        <w:t>Conditions relating to standard lottery</w:t>
      </w:r>
      <w:bookmarkEnd w:id="63"/>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64" w:name="_Toc501526462"/>
      <w:r>
        <w:rPr>
          <w:rStyle w:val="CharSectno"/>
        </w:rPr>
        <w:t>28C</w:t>
      </w:r>
      <w:r>
        <w:rPr>
          <w:snapToGrid w:val="0"/>
        </w:rPr>
        <w:t>.</w:t>
      </w:r>
      <w:r>
        <w:rPr>
          <w:snapToGrid w:val="0"/>
        </w:rPr>
        <w:tab/>
        <w:t>Lottery tickets etc. not to be sent etc. to persons for sale etc. without their consent</w:t>
      </w:r>
      <w:bookmarkEnd w:id="64"/>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65" w:name="_Toc501526463"/>
      <w:r>
        <w:rPr>
          <w:rStyle w:val="CharSectno"/>
        </w:rPr>
        <w:t>29</w:t>
      </w:r>
      <w:r>
        <w:rPr>
          <w:snapToGrid w:val="0"/>
        </w:rPr>
        <w:t>.</w:t>
      </w:r>
      <w:r>
        <w:rPr>
          <w:snapToGrid w:val="0"/>
        </w:rPr>
        <w:tab/>
        <w:t>When standard lottery must be drawn</w:t>
      </w:r>
      <w:bookmarkEnd w:id="65"/>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in Gazette 11 May 1993 p. 2398; amended in Gazette 23 Feb 1996 p. 674.]</w:t>
      </w:r>
    </w:p>
    <w:p>
      <w:pPr>
        <w:pStyle w:val="Heading5"/>
        <w:rPr>
          <w:snapToGrid w:val="0"/>
        </w:rPr>
      </w:pPr>
      <w:bookmarkStart w:id="66" w:name="_Toc501526464"/>
      <w:r>
        <w:rPr>
          <w:rStyle w:val="CharSectno"/>
        </w:rPr>
        <w:t>30</w:t>
      </w:r>
      <w:r>
        <w:rPr>
          <w:snapToGrid w:val="0"/>
        </w:rPr>
        <w:t>.</w:t>
      </w:r>
      <w:r>
        <w:rPr>
          <w:snapToGrid w:val="0"/>
        </w:rPr>
        <w:tab/>
        <w:t>Unclaimed prizes in standard lotteries</w:t>
      </w:r>
      <w:bookmarkEnd w:id="66"/>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67" w:name="_Toc501526465"/>
      <w:r>
        <w:rPr>
          <w:rStyle w:val="CharSectno"/>
        </w:rPr>
        <w:t>30A</w:t>
      </w:r>
      <w:r>
        <w:rPr>
          <w:snapToGrid w:val="0"/>
        </w:rPr>
        <w:t>.</w:t>
      </w:r>
      <w:r>
        <w:rPr>
          <w:snapToGrid w:val="0"/>
        </w:rPr>
        <w:tab/>
        <w:t>Prizes from donor organizations</w:t>
      </w:r>
      <w:bookmarkEnd w:id="67"/>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68" w:name="_Toc501526466"/>
      <w:r>
        <w:rPr>
          <w:rStyle w:val="CharSectno"/>
        </w:rPr>
        <w:t>30B</w:t>
      </w:r>
      <w:r>
        <w:rPr>
          <w:snapToGrid w:val="0"/>
        </w:rPr>
        <w:t>.</w:t>
      </w:r>
      <w:r>
        <w:rPr>
          <w:snapToGrid w:val="0"/>
        </w:rPr>
        <w:tab/>
        <w:t>Body not to buy ticket etc. in its own lottery</w:t>
      </w:r>
      <w:bookmarkEnd w:id="68"/>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69" w:name="_Toc501526467"/>
      <w:r>
        <w:rPr>
          <w:rStyle w:val="CharSectno"/>
        </w:rPr>
        <w:t>31</w:t>
      </w:r>
      <w:r>
        <w:rPr>
          <w:snapToGrid w:val="0"/>
        </w:rPr>
        <w:t>.</w:t>
      </w:r>
      <w:r>
        <w:rPr>
          <w:snapToGrid w:val="0"/>
        </w:rPr>
        <w:tab/>
        <w:t>Small private lotteries (Act s. 103)</w:t>
      </w:r>
      <w:bookmarkEnd w:id="69"/>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70" w:name="_Toc498094528"/>
      <w:bookmarkStart w:id="71" w:name="_Toc501526468"/>
      <w:r>
        <w:rPr>
          <w:snapToGrid w:val="0"/>
        </w:rPr>
        <w:t>Subdivision 2 — Continuing lotteries</w:t>
      </w:r>
      <w:bookmarkEnd w:id="70"/>
      <w:bookmarkEnd w:id="71"/>
    </w:p>
    <w:p>
      <w:pPr>
        <w:pStyle w:val="Footnoteheading"/>
      </w:pPr>
      <w:r>
        <w:tab/>
        <w:t>[Heading amended in Gazette 6 Sep 2016 p. 3833.]</w:t>
      </w:r>
    </w:p>
    <w:p>
      <w:pPr>
        <w:pStyle w:val="Heading5"/>
        <w:rPr>
          <w:snapToGrid w:val="0"/>
        </w:rPr>
      </w:pPr>
      <w:bookmarkStart w:id="72" w:name="_Toc501526469"/>
      <w:r>
        <w:rPr>
          <w:rStyle w:val="CharSectno"/>
        </w:rPr>
        <w:t>32</w:t>
      </w:r>
      <w:r>
        <w:rPr>
          <w:snapToGrid w:val="0"/>
        </w:rPr>
        <w:t>.</w:t>
      </w:r>
      <w:r>
        <w:rPr>
          <w:snapToGrid w:val="0"/>
        </w:rPr>
        <w:tab/>
        <w:t>Rules for conducting continuing lotteries</w:t>
      </w:r>
      <w:bookmarkEnd w:id="72"/>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73" w:name="_Toc501526470"/>
      <w:r>
        <w:rPr>
          <w:rStyle w:val="CharSectno"/>
        </w:rPr>
        <w:t>33</w:t>
      </w:r>
      <w:r>
        <w:rPr>
          <w:snapToGrid w:val="0"/>
        </w:rPr>
        <w:t>.</w:t>
      </w:r>
      <w:r>
        <w:rPr>
          <w:snapToGrid w:val="0"/>
        </w:rPr>
        <w:tab/>
        <w:t>Conditions relating to continuing lottery</w:t>
      </w:r>
      <w:bookmarkEnd w:id="73"/>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in Gazette 1 Dec 2015 p. 4824.]</w:t>
      </w:r>
    </w:p>
    <w:p>
      <w:pPr>
        <w:pStyle w:val="Heading5"/>
        <w:rPr>
          <w:snapToGrid w:val="0"/>
        </w:rPr>
      </w:pPr>
      <w:bookmarkStart w:id="74" w:name="_Toc501526471"/>
      <w:r>
        <w:rPr>
          <w:rStyle w:val="CharSectno"/>
        </w:rPr>
        <w:t>34</w:t>
      </w:r>
      <w:r>
        <w:rPr>
          <w:snapToGrid w:val="0"/>
        </w:rPr>
        <w:t>.</w:t>
      </w:r>
      <w:r>
        <w:rPr>
          <w:snapToGrid w:val="0"/>
        </w:rPr>
        <w:tab/>
        <w:t>Vending machines for continuing lotteries, location of and conditions as to (Act s. 105(2))</w:t>
      </w:r>
      <w:bookmarkEnd w:id="74"/>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75" w:name="_Toc501526472"/>
      <w:r>
        <w:rPr>
          <w:rStyle w:val="CharSectno"/>
        </w:rPr>
        <w:t>35</w:t>
      </w:r>
      <w:r>
        <w:rPr>
          <w:snapToGrid w:val="0"/>
        </w:rPr>
        <w:t>.</w:t>
      </w:r>
      <w:r>
        <w:rPr>
          <w:snapToGrid w:val="0"/>
        </w:rPr>
        <w:tab/>
        <w:t>Accounts etc. of continuing lottery to be available for inspection</w:t>
      </w:r>
      <w:bookmarkEnd w:id="75"/>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76" w:name="_Toc501526473"/>
      <w:r>
        <w:rPr>
          <w:rStyle w:val="CharSectno"/>
        </w:rPr>
        <w:t>36</w:t>
      </w:r>
      <w:r>
        <w:rPr>
          <w:snapToGrid w:val="0"/>
        </w:rPr>
        <w:t>.</w:t>
      </w:r>
      <w:r>
        <w:rPr>
          <w:snapToGrid w:val="0"/>
        </w:rPr>
        <w:tab/>
        <w:t>Distribution of benefit</w:t>
      </w:r>
      <w:bookmarkEnd w:id="76"/>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77" w:name="_Toc498094534"/>
      <w:bookmarkStart w:id="78" w:name="_Toc501526474"/>
      <w:r>
        <w:t>Subdivision 3 — Trade promotion lotteries</w:t>
      </w:r>
      <w:bookmarkEnd w:id="77"/>
      <w:bookmarkEnd w:id="78"/>
    </w:p>
    <w:p>
      <w:pPr>
        <w:pStyle w:val="Footnoteheading"/>
      </w:pPr>
      <w:r>
        <w:tab/>
        <w:t>[Heading inserted in Gazette 6 Sep 2016 p. 3831.]</w:t>
      </w:r>
    </w:p>
    <w:p>
      <w:pPr>
        <w:pStyle w:val="Heading5"/>
      </w:pPr>
      <w:bookmarkStart w:id="79" w:name="_Toc501526475"/>
      <w:r>
        <w:rPr>
          <w:rStyle w:val="CharSectno"/>
        </w:rPr>
        <w:t>36A</w:t>
      </w:r>
      <w:r>
        <w:t>.</w:t>
      </w:r>
      <w:r>
        <w:tab/>
        <w:t>Prescribed conditions for trade promotion lottery (Act s. 102)</w:t>
      </w:r>
      <w:bookmarkEnd w:id="79"/>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in Gazette 6 Sep 2016 p. 3831-2.]</w:t>
      </w:r>
    </w:p>
    <w:p>
      <w:pPr>
        <w:pStyle w:val="Heading4"/>
        <w:rPr>
          <w:snapToGrid w:val="0"/>
        </w:rPr>
      </w:pPr>
      <w:bookmarkStart w:id="80" w:name="_Toc498094536"/>
      <w:bookmarkStart w:id="81" w:name="_Toc501526476"/>
      <w:r>
        <w:rPr>
          <w:snapToGrid w:val="0"/>
        </w:rPr>
        <w:t>Subdivision 4 — Lotteries generally</w:t>
      </w:r>
      <w:bookmarkEnd w:id="80"/>
      <w:bookmarkEnd w:id="81"/>
    </w:p>
    <w:p>
      <w:pPr>
        <w:pStyle w:val="Footnoteheading"/>
      </w:pPr>
      <w:r>
        <w:tab/>
        <w:t>[Heading amended in Gazette 6 Sep 2016 p. 3833.]</w:t>
      </w:r>
    </w:p>
    <w:p>
      <w:pPr>
        <w:pStyle w:val="Heading5"/>
        <w:rPr>
          <w:snapToGrid w:val="0"/>
        </w:rPr>
      </w:pPr>
      <w:bookmarkStart w:id="82" w:name="_Toc501526477"/>
      <w:r>
        <w:rPr>
          <w:rStyle w:val="CharSectno"/>
        </w:rPr>
        <w:t>37</w:t>
      </w:r>
      <w:r>
        <w:rPr>
          <w:snapToGrid w:val="0"/>
        </w:rPr>
        <w:t>.</w:t>
      </w:r>
      <w:r>
        <w:rPr>
          <w:snapToGrid w:val="0"/>
        </w:rPr>
        <w:tab/>
        <w:t>Account book, form of (Act s. 104(3)(a))</w:t>
      </w:r>
      <w:bookmarkEnd w:id="82"/>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83" w:name="_Toc501526478"/>
      <w:r>
        <w:rPr>
          <w:rStyle w:val="CharSectno"/>
        </w:rPr>
        <w:t>38</w:t>
      </w:r>
      <w:r>
        <w:rPr>
          <w:snapToGrid w:val="0"/>
        </w:rPr>
        <w:t>.</w:t>
      </w:r>
      <w:r>
        <w:rPr>
          <w:snapToGrid w:val="0"/>
        </w:rPr>
        <w:tab/>
        <w:t>Prohibition as to private gain etc.</w:t>
      </w:r>
      <w:bookmarkEnd w:id="83"/>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84" w:name="_Toc501526479"/>
      <w:r>
        <w:rPr>
          <w:rStyle w:val="CharSectno"/>
        </w:rPr>
        <w:t>38A</w:t>
      </w:r>
      <w:r>
        <w:rPr>
          <w:snapToGrid w:val="0"/>
        </w:rPr>
        <w:t>.</w:t>
      </w:r>
      <w:r>
        <w:rPr>
          <w:snapToGrid w:val="0"/>
        </w:rPr>
        <w:tab/>
        <w:t>Offences related to permitted lotteries</w:t>
      </w:r>
      <w:bookmarkEnd w:id="84"/>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85" w:name="_Toc498094540"/>
      <w:bookmarkStart w:id="86" w:name="_Toc501526480"/>
      <w:r>
        <w:rPr>
          <w:snapToGrid w:val="0"/>
        </w:rPr>
        <w:t>Subdivision 5 — Amusements, etc.</w:t>
      </w:r>
      <w:bookmarkEnd w:id="85"/>
      <w:bookmarkEnd w:id="86"/>
    </w:p>
    <w:p>
      <w:pPr>
        <w:pStyle w:val="Footnoteheading"/>
      </w:pPr>
      <w:r>
        <w:tab/>
        <w:t>[Heading amended in Gazette 6 Sep 2016 p. 3833.]</w:t>
      </w:r>
    </w:p>
    <w:p>
      <w:pPr>
        <w:pStyle w:val="Heading5"/>
        <w:rPr>
          <w:snapToGrid w:val="0"/>
        </w:rPr>
      </w:pPr>
      <w:bookmarkStart w:id="87" w:name="_Toc501526481"/>
      <w:r>
        <w:rPr>
          <w:rStyle w:val="CharSectno"/>
        </w:rPr>
        <w:t>39</w:t>
      </w:r>
      <w:r>
        <w:rPr>
          <w:snapToGrid w:val="0"/>
        </w:rPr>
        <w:t>.</w:t>
      </w:r>
      <w:r>
        <w:rPr>
          <w:snapToGrid w:val="0"/>
        </w:rPr>
        <w:tab/>
        <w:t>Amusements with prizes at agricultural shows etc., matters prescribed for (Act s. 107(4))</w:t>
      </w:r>
      <w:bookmarkEnd w:id="87"/>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 xml:space="preserve">the amount paid for a chance to win a prize shall not exceed </w:t>
      </w:r>
      <w:r>
        <w:t>$10; and</w:t>
      </w:r>
    </w:p>
    <w:p>
      <w:pPr>
        <w:pStyle w:val="Indenta"/>
        <w:rPr>
          <w:snapToGrid w:val="0"/>
        </w:rPr>
      </w:pPr>
      <w:r>
        <w:rPr>
          <w:snapToGrid w:val="0"/>
        </w:rPr>
        <w:tab/>
        <w:t>(b)</w:t>
      </w:r>
      <w:r>
        <w:rPr>
          <w:snapToGrid w:val="0"/>
        </w:rPr>
        <w:tab/>
        <w:t xml:space="preserve">no money prize shall be distributed or offered of an amount exceeding </w:t>
      </w:r>
      <w:r>
        <w:t>$100.</w:t>
      </w:r>
    </w:p>
    <w:p>
      <w:pPr>
        <w:pStyle w:val="Footnotesection"/>
      </w:pPr>
      <w:r>
        <w:tab/>
        <w:t>[Regulation 39 amended in Gazette 8 Feb 1991 p. 651; 2 Mar 2018 p. 672.]</w:t>
      </w:r>
    </w:p>
    <w:p>
      <w:pPr>
        <w:pStyle w:val="Heading5"/>
        <w:rPr>
          <w:snapToGrid w:val="0"/>
        </w:rPr>
      </w:pPr>
      <w:bookmarkStart w:id="88" w:name="_Toc501526482"/>
      <w:r>
        <w:rPr>
          <w:rStyle w:val="CharSectno"/>
        </w:rPr>
        <w:t>39A</w:t>
      </w:r>
      <w:r>
        <w:rPr>
          <w:snapToGrid w:val="0"/>
        </w:rPr>
        <w:t>.</w:t>
      </w:r>
      <w:r>
        <w:rPr>
          <w:snapToGrid w:val="0"/>
        </w:rPr>
        <w:tab/>
        <w:t>Amusements with prizes at sporting events etc., matters prescribed for (Act s. 107(1))</w:t>
      </w:r>
      <w:bookmarkEnd w:id="88"/>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rPr>
          <w:snapToGrid w:val="0"/>
        </w:rPr>
      </w:pPr>
      <w:bookmarkStart w:id="89" w:name="_Toc501526483"/>
      <w:r>
        <w:rPr>
          <w:rStyle w:val="CharSectno"/>
        </w:rPr>
        <w:t>40</w:t>
      </w:r>
      <w:r>
        <w:rPr>
          <w:snapToGrid w:val="0"/>
        </w:rPr>
        <w:t>.</w:t>
      </w:r>
      <w:r>
        <w:rPr>
          <w:snapToGrid w:val="0"/>
        </w:rPr>
        <w:tab/>
        <w:t>Minor fund raising activities (Act s. 108)</w:t>
      </w:r>
      <w:bookmarkEnd w:id="89"/>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90" w:name="_Toc501526484"/>
      <w:r>
        <w:rPr>
          <w:rStyle w:val="CharSectno"/>
        </w:rPr>
        <w:t>40A</w:t>
      </w:r>
      <w:r>
        <w:t>.</w:t>
      </w:r>
      <w:r>
        <w:tab/>
        <w:t>Football tipping competitions (Act s. 108)</w:t>
      </w:r>
      <w:bookmarkEnd w:id="90"/>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91" w:name="_Toc498094545"/>
      <w:bookmarkStart w:id="92" w:name="_Toc501526485"/>
      <w:r>
        <w:rPr>
          <w:rStyle w:val="CharPartNo"/>
        </w:rPr>
        <w:t>Part 5</w:t>
      </w:r>
      <w:r>
        <w:rPr>
          <w:rStyle w:val="CharDivText"/>
        </w:rPr>
        <w:t> </w:t>
      </w:r>
      <w:r>
        <w:t>—</w:t>
      </w:r>
      <w:r>
        <w:rPr>
          <w:rStyle w:val="CharDivNo"/>
        </w:rPr>
        <w:t xml:space="preserve"> </w:t>
      </w:r>
      <w:r>
        <w:rPr>
          <w:rStyle w:val="CharPartText"/>
        </w:rPr>
        <w:t>Miscellaneous</w:t>
      </w:r>
      <w:bookmarkEnd w:id="91"/>
      <w:bookmarkEnd w:id="92"/>
    </w:p>
    <w:p>
      <w:pPr>
        <w:pStyle w:val="Footnoteheading"/>
      </w:pPr>
      <w:r>
        <w:tab/>
        <w:t>[Heading inserted in Gazette 4 Aug 1998 p. 3989.]</w:t>
      </w:r>
    </w:p>
    <w:p>
      <w:pPr>
        <w:pStyle w:val="Heading5"/>
      </w:pPr>
      <w:bookmarkStart w:id="93" w:name="_Toc501526486"/>
      <w:r>
        <w:rPr>
          <w:rStyle w:val="CharSectno"/>
        </w:rPr>
        <w:t>41</w:t>
      </w:r>
      <w:r>
        <w:t>.</w:t>
      </w:r>
      <w:r>
        <w:tab/>
        <w:t>Premises where amusement machines are permitted (Act s. 39(2)(e))</w:t>
      </w:r>
      <w:bookmarkEnd w:id="93"/>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94" w:name="_Toc501526487"/>
      <w:r>
        <w:rPr>
          <w:rStyle w:val="CharSectno"/>
        </w:rPr>
        <w:t>42</w:t>
      </w:r>
      <w:r>
        <w:t>.</w:t>
      </w:r>
      <w:r>
        <w:tab/>
        <w:t>Unclaimed winnings (Act s. 109B(1))</w:t>
      </w:r>
      <w:bookmarkEnd w:id="94"/>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95" w:name="_Toc501526488"/>
      <w:r>
        <w:rPr>
          <w:rStyle w:val="CharSectno"/>
        </w:rPr>
        <w:t>43</w:t>
      </w:r>
      <w:r>
        <w:t>.</w:t>
      </w:r>
      <w:r>
        <w:tab/>
        <w:t>Certain advertising prohibited</w:t>
      </w:r>
      <w:bookmarkEnd w:id="95"/>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96" w:name="_Toc501526489"/>
      <w:r>
        <w:rPr>
          <w:rStyle w:val="CharSectno"/>
        </w:rPr>
        <w:t>44</w:t>
      </w:r>
      <w:r>
        <w:t>.</w:t>
      </w:r>
      <w:r>
        <w:tab/>
        <w:t>Prescribed interval (Act s. 110B(4)(b))</w:t>
      </w:r>
      <w:bookmarkEnd w:id="96"/>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97" w:name="_Toc501526490"/>
      <w:bookmarkStart w:id="98" w:name="_Toc498094550"/>
      <w:r>
        <w:rPr>
          <w:rStyle w:val="CharSchNo"/>
        </w:rPr>
        <w:t>Schedule 1</w:t>
      </w:r>
      <w:r>
        <w:rPr>
          <w:rStyle w:val="CharSDivNo"/>
        </w:rPr>
        <w:t> </w:t>
      </w:r>
      <w:r>
        <w:t>—</w:t>
      </w:r>
      <w:r>
        <w:rPr>
          <w:rStyle w:val="CharSDivText"/>
        </w:rPr>
        <w:t> </w:t>
      </w:r>
      <w:r>
        <w:rPr>
          <w:rStyle w:val="CharSchText"/>
        </w:rPr>
        <w:t>Prescribed fees</w:t>
      </w:r>
      <w:bookmarkEnd w:id="97"/>
    </w:p>
    <w:p>
      <w:pPr>
        <w:pStyle w:val="yShoulderClause"/>
      </w:pPr>
      <w:r>
        <w:t>[r. 4]</w:t>
      </w:r>
    </w:p>
    <w:p>
      <w:pPr>
        <w:pStyle w:val="yFootnoteheading"/>
        <w:spacing w:after="60"/>
      </w:pPr>
      <w:r>
        <w:tab/>
        <w:t>[Heading inserted in Gazette 10 Nov 2017 p. 5584.]</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jc w:val="center"/>
              <w:rPr>
                <w:b/>
              </w:rPr>
            </w:pPr>
            <w:r>
              <w:rPr>
                <w:b/>
              </w:rPr>
              <w:t>Item</w:t>
            </w:r>
          </w:p>
        </w:tc>
        <w:tc>
          <w:tcPr>
            <w:tcW w:w="5245" w:type="dxa"/>
            <w:tcBorders>
              <w:bottom w:val="single" w:sz="4" w:space="0" w:color="auto"/>
            </w:tcBorders>
          </w:tcPr>
          <w:p>
            <w:pPr>
              <w:pStyle w:val="yTableNAm"/>
              <w:jc w:val="center"/>
              <w:rPr>
                <w:b/>
              </w:rPr>
            </w:pPr>
            <w:r>
              <w:rPr>
                <w:b/>
              </w:rPr>
              <w:t>Description</w:t>
            </w:r>
          </w:p>
        </w:tc>
        <w:tc>
          <w:tcPr>
            <w:tcW w:w="992" w:type="dxa"/>
            <w:tcBorders>
              <w:bottom w:val="single" w:sz="4" w:space="0" w:color="auto"/>
            </w:tcBorders>
          </w:tcPr>
          <w:p>
            <w:pPr>
              <w:pStyle w:val="yTableNAm"/>
              <w:jc w:val="center"/>
              <w:rPr>
                <w:b/>
              </w:rPr>
            </w:pPr>
            <w:r>
              <w:rPr>
                <w:b/>
              </w:rPr>
              <w:t>Fee</w:t>
            </w:r>
            <w:r>
              <w:rPr>
                <w:b/>
              </w:rPr>
              <w:br/>
              <w:t>$</w:t>
            </w:r>
          </w:p>
        </w:tc>
      </w:tr>
      <w:tr>
        <w:trPr>
          <w:cantSplit/>
        </w:trP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clear" w:pos="567"/>
                <w:tab w:val="right" w:leader="dot" w:pos="6237"/>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9</w:t>
            </w:r>
          </w:p>
        </w:tc>
      </w:tr>
      <w:tr>
        <w:trPr>
          <w:cantSplit/>
        </w:trP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clear" w:pos="567"/>
                <w:tab w:val="right" w:leader="dot" w:pos="6237"/>
              </w:tabs>
            </w:pPr>
            <w:r>
              <w:t xml:space="preserve">Copy of extract from register </w:t>
            </w:r>
            <w:r>
              <w:tab/>
            </w:r>
          </w:p>
        </w:tc>
        <w:tc>
          <w:tcPr>
            <w:tcW w:w="992" w:type="dxa"/>
            <w:tcBorders>
              <w:top w:val="single" w:sz="4" w:space="0" w:color="auto"/>
            </w:tcBorders>
          </w:tcPr>
          <w:p>
            <w:pPr>
              <w:pStyle w:val="yTableNAm"/>
              <w:jc w:val="center"/>
            </w:pPr>
            <w:r>
              <w:t>16</w:t>
            </w:r>
          </w:p>
        </w:tc>
      </w:tr>
      <w:tr>
        <w:trPr>
          <w:cantSplit/>
        </w:trPr>
        <w:tc>
          <w:tcPr>
            <w:tcW w:w="851" w:type="dxa"/>
          </w:tcPr>
          <w:p>
            <w:pPr>
              <w:pStyle w:val="yTableNAm"/>
            </w:pPr>
            <w:r>
              <w:t>3.</w:t>
            </w:r>
          </w:p>
        </w:tc>
        <w:tc>
          <w:tcPr>
            <w:tcW w:w="5245" w:type="dxa"/>
          </w:tcPr>
          <w:p>
            <w:pPr>
              <w:pStyle w:val="yTableNAm"/>
              <w:tabs>
                <w:tab w:val="clear" w:pos="567"/>
              </w:tabs>
            </w:pPr>
            <w:r>
              <w:t xml:space="preserve">Application for a function permit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(a)</w:t>
            </w:r>
            <w:r>
              <w:tab/>
              <w:t xml:space="preserve">an item of gaming equipment (r. 18B(2)(a)) </w:t>
            </w:r>
            <w:r>
              <w:tab/>
            </w:r>
          </w:p>
        </w:tc>
        <w:tc>
          <w:tcPr>
            <w:tcW w:w="992" w:type="dxa"/>
          </w:tcPr>
          <w:p>
            <w:pPr>
              <w:pStyle w:val="yTableNAm"/>
              <w:jc w:val="center"/>
            </w:pPr>
            <w:r>
              <w:t>34</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(b)</w:t>
            </w:r>
            <w:r>
              <w:tab/>
              <w:t xml:space="preserve">a class of gaming equipment (r. 18B(2)(b)) </w:t>
            </w:r>
            <w:r>
              <w:tab/>
            </w:r>
          </w:p>
        </w:tc>
        <w:tc>
          <w:tcPr>
            <w:tcW w:w="992" w:type="dxa"/>
          </w:tcPr>
          <w:p>
            <w:pPr>
              <w:pStyle w:val="yTableNAm"/>
              <w:jc w:val="center"/>
            </w:pPr>
            <w:r>
              <w:rPr>
                <w:szCs w:val="22"/>
              </w:rPr>
              <w:t>60</w:t>
            </w:r>
          </w:p>
        </w:tc>
      </w:tr>
      <w:tr>
        <w:trPr>
          <w:cantSplit/>
        </w:trPr>
        <w:tc>
          <w:tcPr>
            <w:tcW w:w="851" w:type="dxa"/>
          </w:tcPr>
          <w:p>
            <w:pPr>
              <w:pStyle w:val="yTableNAm"/>
            </w:pPr>
            <w:r>
              <w:t>4.</w:t>
            </w:r>
          </w:p>
        </w:tc>
        <w:tc>
          <w:tcPr>
            <w:tcW w:w="5245" w:type="dxa"/>
          </w:tcPr>
          <w:p>
            <w:pPr>
              <w:pStyle w:val="yTableNAm"/>
              <w:tabs>
                <w:tab w:val="clear" w:pos="567"/>
              </w:tabs>
            </w:pPr>
            <w:r>
              <w:t xml:space="preserve">Application for a permit of a continuing nature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right" w:leader="dot" w:pos="6237"/>
              </w:tabs>
            </w:pPr>
            <w:r>
              <w:t>(a)</w:t>
            </w:r>
            <w:r>
              <w:tab/>
              <w:t xml:space="preserve">a video lottery terminal (r. 18AA(7)) </w:t>
            </w:r>
            <w:r>
              <w:tab/>
            </w:r>
          </w:p>
        </w:tc>
        <w:tc>
          <w:tcPr>
            <w:tcW w:w="992" w:type="dxa"/>
          </w:tcPr>
          <w:p>
            <w:pPr>
              <w:pStyle w:val="yTableNAm"/>
              <w:jc w:val="center"/>
            </w:pPr>
            <w:r>
              <w:t>34</w:t>
            </w:r>
          </w:p>
        </w:tc>
      </w:tr>
      <w:tr>
        <w:trPr>
          <w:cantSplit/>
        </w:trPr>
        <w:tc>
          <w:tcPr>
            <w:tcW w:w="851" w:type="dxa"/>
          </w:tcPr>
          <w:p>
            <w:pPr>
              <w:pStyle w:val="yTableNAm"/>
            </w:pPr>
          </w:p>
        </w:tc>
        <w:tc>
          <w:tcPr>
            <w:tcW w:w="5245" w:type="dxa"/>
          </w:tcPr>
          <w:p>
            <w:pPr>
              <w:pStyle w:val="yTableNAm"/>
              <w:tabs>
                <w:tab w:val="clear" w:pos="567"/>
                <w:tab w:val="left" w:pos="426"/>
                <w:tab w:val="right" w:leader="dot" w:pos="6237"/>
              </w:tabs>
            </w:pPr>
            <w:r>
              <w:t>(b)</w:t>
            </w:r>
            <w:r>
              <w:tab/>
              <w:t xml:space="preserve">an item of gaming equipment (r. 18B(2)(a)) </w:t>
            </w:r>
            <w:r>
              <w:tab/>
            </w:r>
          </w:p>
        </w:tc>
        <w:tc>
          <w:tcPr>
            <w:tcW w:w="992" w:type="dxa"/>
          </w:tcPr>
          <w:p>
            <w:pPr>
              <w:pStyle w:val="yTableNAm"/>
              <w:jc w:val="center"/>
              <w:rPr>
                <w:i/>
              </w:rPr>
            </w:pPr>
            <w:r>
              <w:rPr>
                <w:szCs w:val="22"/>
              </w:rPr>
              <w:t>65</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(c)</w:t>
            </w:r>
            <w:r>
              <w:tab/>
              <w:t xml:space="preserve">a class of gaming equipment (r. 18B(2)(b)) </w:t>
            </w:r>
            <w:r>
              <w:tab/>
            </w:r>
          </w:p>
        </w:tc>
        <w:tc>
          <w:tcPr>
            <w:tcW w:w="992" w:type="dxa"/>
          </w:tcPr>
          <w:p>
            <w:pPr>
              <w:pStyle w:val="yTableNAm"/>
              <w:jc w:val="center"/>
              <w:rPr>
                <w:i/>
              </w:rPr>
            </w:pPr>
            <w:r>
              <w:rPr>
                <w:szCs w:val="22"/>
              </w:rPr>
              <w:t>115</w:t>
            </w:r>
          </w:p>
        </w:tc>
      </w:tr>
      <w:tr>
        <w:trPr>
          <w:cantSplit/>
        </w:trPr>
        <w:tc>
          <w:tcPr>
            <w:tcW w:w="851" w:type="dxa"/>
          </w:tcPr>
          <w:p>
            <w:pPr>
              <w:pStyle w:val="yTableNAm"/>
            </w:pPr>
            <w:r>
              <w:t>5.</w:t>
            </w:r>
          </w:p>
        </w:tc>
        <w:tc>
          <w:tcPr>
            <w:tcW w:w="5245" w:type="dxa"/>
          </w:tcPr>
          <w:p>
            <w:pPr>
              <w:pStyle w:val="yTableNAm"/>
              <w:tabs>
                <w:tab w:val="clear" w:pos="567"/>
              </w:tabs>
            </w:pPr>
            <w:r>
              <w:t xml:space="preserve">Application for a function permit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(a)</w:t>
            </w:r>
            <w:r>
              <w:tab/>
              <w:t xml:space="preserve">bingo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(b)</w:t>
            </w:r>
            <w:r>
              <w:tab/>
              <w:t xml:space="preserve">multiple bingo, for each premises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(c)</w:t>
            </w:r>
            <w:r>
              <w:tab/>
              <w:t xml:space="preserve">simultaneous bingo, for each premises </w:t>
            </w:r>
            <w:r>
              <w:tab/>
            </w:r>
          </w:p>
        </w:tc>
        <w:tc>
          <w:tcPr>
            <w:tcW w:w="992" w:type="dxa"/>
          </w:tcPr>
          <w:p>
            <w:pPr>
              <w:pStyle w:val="yTableNAm"/>
              <w:jc w:val="center"/>
            </w:pPr>
            <w:r>
              <w:t>23</w:t>
            </w:r>
          </w:p>
        </w:tc>
      </w:tr>
      <w:tr>
        <w:trPr>
          <w:cantSplit/>
        </w:trPr>
        <w:tc>
          <w:tcPr>
            <w:tcW w:w="851" w:type="dxa"/>
          </w:tcPr>
          <w:p>
            <w:pPr>
              <w:pStyle w:val="yTableNAm"/>
              <w:keepNext/>
            </w:pPr>
          </w:p>
        </w:tc>
        <w:tc>
          <w:tcPr>
            <w:tcW w:w="5245" w:type="dxa"/>
          </w:tcPr>
          <w:p>
            <w:pPr>
              <w:pStyle w:val="yTableNAm"/>
              <w:keepNext/>
              <w:tabs>
                <w:tab w:val="clear" w:pos="567"/>
                <w:tab w:val="left" w:pos="425"/>
                <w:tab w:val="right" w:leader="dot" w:pos="6237"/>
              </w:tabs>
            </w:pPr>
            <w:r>
              <w:t>(d)</w:t>
            </w:r>
            <w:r>
              <w:tab/>
              <w:t>a standard lottery —</w:t>
            </w:r>
          </w:p>
        </w:tc>
        <w:tc>
          <w:tcPr>
            <w:tcW w:w="992" w:type="dxa"/>
          </w:tcPr>
          <w:p>
            <w:pPr>
              <w:pStyle w:val="yTableNAm"/>
              <w:keepNext/>
              <w:jc w:val="center"/>
            </w:pPr>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w:t>
            </w:r>
            <w:r>
              <w:tab/>
              <w:t xml:space="preserve">where the total retail value of prizes or prize money does not exceed $5 000 </w:t>
            </w:r>
            <w:r>
              <w:tab/>
            </w:r>
          </w:p>
        </w:tc>
        <w:tc>
          <w:tcPr>
            <w:tcW w:w="992" w:type="dxa"/>
          </w:tcPr>
          <w:p>
            <w:pPr>
              <w:pStyle w:val="yTableNAm"/>
              <w:jc w:val="center"/>
            </w:pPr>
            <w:r>
              <w:br/>
              <w:t>34</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ind w:left="851" w:hanging="851"/>
            </w:pPr>
            <w:r>
              <w:tab/>
              <w:t>(ii)</w:t>
            </w:r>
            <w:r>
              <w:tab/>
              <w:t xml:space="preserve">otherwise </w:t>
            </w:r>
            <w:r>
              <w:tab/>
            </w:r>
          </w:p>
        </w:tc>
        <w:tc>
          <w:tcPr>
            <w:tcW w:w="992" w:type="dxa"/>
          </w:tcPr>
          <w:p>
            <w:pPr>
              <w:pStyle w:val="yTableNAm"/>
              <w:jc w:val="center"/>
            </w:pPr>
            <w:r>
              <w:rPr>
                <w:szCs w:val="22"/>
              </w:rPr>
              <w:t>75</w:t>
            </w:r>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(da)</w:t>
            </w:r>
            <w:r>
              <w:tab/>
              <w:t xml:space="preserve">a standard lottery of a kind generally known or described as a Calcutta </w:t>
            </w:r>
            <w:r>
              <w:tab/>
            </w:r>
          </w:p>
        </w:tc>
        <w:tc>
          <w:tcPr>
            <w:tcW w:w="992" w:type="dxa"/>
          </w:tcPr>
          <w:p>
            <w:pPr>
              <w:pStyle w:val="yTableNAm"/>
              <w:jc w:val="center"/>
              <w:rPr>
                <w:i/>
              </w:rPr>
            </w:pPr>
            <w:r>
              <w:br/>
            </w:r>
            <w:r>
              <w:rPr>
                <w:szCs w:val="22"/>
              </w:rPr>
              <w:t>75</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clear" w:pos="567"/>
                <w:tab w:val="left" w:pos="425"/>
                <w:tab w:val="right" w:leader="dot" w:pos="6237"/>
              </w:tabs>
            </w:pPr>
            <w:r>
              <w:t>(e)</w:t>
            </w:r>
            <w:r>
              <w:tab/>
              <w:t xml:space="preserve">a continuing lottery </w:t>
            </w:r>
            <w:r>
              <w:tab/>
            </w:r>
          </w:p>
        </w:tc>
        <w:tc>
          <w:tcPr>
            <w:tcW w:w="992" w:type="dxa"/>
          </w:tcPr>
          <w:p>
            <w:pPr>
              <w:pStyle w:val="yTableNAm"/>
              <w:jc w:val="center"/>
            </w:pPr>
            <w:r>
              <w:t>17</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(f)</w:t>
            </w:r>
            <w:r>
              <w:tab/>
              <w:t xml:space="preserve">gaming (per day authorised)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left" w:pos="851"/>
                <w:tab w:val="right" w:leader="dot" w:pos="6237"/>
              </w:tabs>
            </w:pPr>
            <w:r>
              <w:tab/>
              <w:t>(i)</w:t>
            </w:r>
            <w:r>
              <w:tab/>
              <w:t>1</w:t>
            </w:r>
            <w:r>
              <w:noBreakHyphen/>
              <w:t xml:space="preserve">5 tables </w:t>
            </w:r>
            <w:r>
              <w:tab/>
            </w:r>
          </w:p>
        </w:tc>
        <w:tc>
          <w:tcPr>
            <w:tcW w:w="992" w:type="dxa"/>
          </w:tcPr>
          <w:p>
            <w:pPr>
              <w:pStyle w:val="yTableNAm"/>
              <w:jc w:val="center"/>
            </w:pPr>
            <w:r>
              <w:rPr>
                <w:szCs w:val="22"/>
              </w:rPr>
              <w:t>229</w:t>
            </w:r>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(ii)</w:t>
            </w:r>
            <w:r>
              <w:tab/>
              <w:t>6</w:t>
            </w:r>
            <w:r>
              <w:noBreakHyphen/>
              <w:t xml:space="preserve">10 tables </w:t>
            </w:r>
            <w:r>
              <w:tab/>
            </w:r>
          </w:p>
        </w:tc>
        <w:tc>
          <w:tcPr>
            <w:tcW w:w="992" w:type="dxa"/>
          </w:tcPr>
          <w:p>
            <w:pPr>
              <w:pStyle w:val="yTableNAm"/>
              <w:jc w:val="center"/>
            </w:pPr>
            <w:r>
              <w:rPr>
                <w:szCs w:val="22"/>
              </w:rPr>
              <w:t>384</w:t>
            </w:r>
          </w:p>
        </w:tc>
      </w:tr>
      <w:tr>
        <w:trPr>
          <w:cantSplit/>
        </w:trPr>
        <w:tc>
          <w:tcPr>
            <w:tcW w:w="851" w:type="dxa"/>
          </w:tcPr>
          <w:p>
            <w:pPr>
              <w:pStyle w:val="yTableNAm"/>
            </w:pPr>
          </w:p>
        </w:tc>
        <w:tc>
          <w:tcPr>
            <w:tcW w:w="5245" w:type="dxa"/>
          </w:tcPr>
          <w:p>
            <w:pPr>
              <w:pStyle w:val="yTableNAm"/>
              <w:tabs>
                <w:tab w:val="clear" w:pos="567"/>
                <w:tab w:val="left" w:pos="432"/>
                <w:tab w:val="left" w:pos="851"/>
                <w:tab w:val="left" w:pos="1701"/>
                <w:tab w:val="right" w:leader="dot" w:pos="6237"/>
              </w:tabs>
            </w:pPr>
            <w:r>
              <w:tab/>
              <w:t>(iii)</w:t>
            </w:r>
            <w:r>
              <w:tab/>
              <w:t xml:space="preserve">over 10 tables </w:t>
            </w:r>
            <w:r>
              <w:tab/>
            </w:r>
          </w:p>
        </w:tc>
        <w:tc>
          <w:tcPr>
            <w:tcW w:w="992" w:type="dxa"/>
          </w:tcPr>
          <w:p>
            <w:pPr>
              <w:pStyle w:val="yTableNAm"/>
              <w:jc w:val="center"/>
            </w:pPr>
            <w:r>
              <w:rPr>
                <w:szCs w:val="22"/>
              </w:rPr>
              <w:t>429</w:t>
            </w:r>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 xml:space="preserve">—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by a country race club </w:t>
            </w:r>
            <w:r>
              <w:tab/>
            </w:r>
          </w:p>
        </w:tc>
        <w:tc>
          <w:tcPr>
            <w:tcW w:w="992" w:type="dxa"/>
          </w:tcPr>
          <w:p>
            <w:pPr>
              <w:pStyle w:val="yTableNAm"/>
              <w:jc w:val="center"/>
            </w:pPr>
            <w:r>
              <w:rPr>
                <w:szCs w:val="22"/>
              </w:rPr>
              <w:t>154</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otherwise </w:t>
            </w:r>
            <w:r>
              <w:tab/>
            </w:r>
          </w:p>
        </w:tc>
        <w:tc>
          <w:tcPr>
            <w:tcW w:w="992" w:type="dxa"/>
          </w:tcPr>
          <w:p>
            <w:pPr>
              <w:pStyle w:val="yTableNAm"/>
              <w:jc w:val="center"/>
            </w:pPr>
            <w:r>
              <w:rPr>
                <w:szCs w:val="22"/>
              </w:rPr>
              <w:t>229</w:t>
            </w:r>
          </w:p>
        </w:tc>
      </w:tr>
      <w:tr>
        <w:trPr>
          <w:cantSplit/>
        </w:trPr>
        <w:tc>
          <w:tcPr>
            <w:tcW w:w="851" w:type="dxa"/>
          </w:tcPr>
          <w:p>
            <w:pPr>
              <w:pStyle w:val="yTableNAm"/>
            </w:pPr>
            <w:r>
              <w:t>6.</w:t>
            </w:r>
          </w:p>
        </w:tc>
        <w:tc>
          <w:tcPr>
            <w:tcW w:w="5245" w:type="dxa"/>
          </w:tcPr>
          <w:p>
            <w:pPr>
              <w:pStyle w:val="yTableNAm"/>
            </w:pPr>
            <w:r>
              <w:t xml:space="preserve">Application for a permit of a continuing nature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(a)</w:t>
            </w:r>
            <w:r>
              <w:tab/>
              <w:t xml:space="preserve">bingo </w:t>
            </w:r>
            <w:r>
              <w:tab/>
            </w:r>
          </w:p>
        </w:tc>
        <w:tc>
          <w:tcPr>
            <w:tcW w:w="992" w:type="dxa"/>
          </w:tcPr>
          <w:p>
            <w:pPr>
              <w:pStyle w:val="yTableNAm"/>
              <w:jc w:val="center"/>
            </w:pPr>
            <w:r>
              <w:t>34</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(b)</w:t>
            </w:r>
            <w:r>
              <w:tab/>
              <w:t xml:space="preserve">multiple bingo, for each premises </w:t>
            </w:r>
            <w:r>
              <w:tab/>
            </w:r>
          </w:p>
        </w:tc>
        <w:tc>
          <w:tcPr>
            <w:tcW w:w="992" w:type="dxa"/>
          </w:tcPr>
          <w:p>
            <w:pPr>
              <w:pStyle w:val="yTableNAm"/>
              <w:jc w:val="center"/>
            </w:pPr>
            <w:r>
              <w:t>34</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(c)</w:t>
            </w:r>
            <w:r>
              <w:tab/>
              <w:t xml:space="preserve">simultaneous bingo, for each premises </w:t>
            </w:r>
            <w:r>
              <w:tab/>
            </w:r>
          </w:p>
        </w:tc>
        <w:tc>
          <w:tcPr>
            <w:tcW w:w="992" w:type="dxa"/>
          </w:tcPr>
          <w:p>
            <w:pPr>
              <w:pStyle w:val="yTableNAm"/>
              <w:jc w:val="center"/>
            </w:pPr>
            <w:r>
              <w:t>34</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w:t>
            </w:r>
            <w:r>
              <w:tab/>
              <w:t xml:space="preserve">a standard lottery, where the total retail value of prizes or prize money is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not more than $5 000 </w:t>
            </w:r>
            <w:r>
              <w:tab/>
            </w:r>
          </w:p>
        </w:tc>
        <w:tc>
          <w:tcPr>
            <w:tcW w:w="992" w:type="dxa"/>
          </w:tcPr>
          <w:p>
            <w:pPr>
              <w:pStyle w:val="yTableNAm"/>
              <w:jc w:val="center"/>
            </w:pPr>
            <w:r>
              <w:rPr>
                <w:szCs w:val="22"/>
              </w:rPr>
              <w:t>48</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more than $5 000 but not more than $50 000 </w:t>
            </w:r>
          </w:p>
        </w:tc>
        <w:tc>
          <w:tcPr>
            <w:tcW w:w="992" w:type="dxa"/>
          </w:tcPr>
          <w:p>
            <w:pPr>
              <w:pStyle w:val="yTableNAm"/>
              <w:jc w:val="center"/>
              <w:rPr>
                <w:i/>
              </w:rPr>
            </w:pPr>
            <w:r>
              <w:rPr>
                <w:szCs w:val="22"/>
              </w:rPr>
              <w:t>115</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ind w:left="851" w:hanging="851"/>
            </w:pPr>
            <w:r>
              <w:tab/>
              <w:t>(iii)</w:t>
            </w:r>
            <w:r>
              <w:tab/>
              <w:t xml:space="preserve">more than $50 000 but not more than $100 000 </w:t>
            </w:r>
            <w:r>
              <w:tab/>
            </w:r>
          </w:p>
        </w:tc>
        <w:tc>
          <w:tcPr>
            <w:tcW w:w="992" w:type="dxa"/>
          </w:tcPr>
          <w:p>
            <w:pPr>
              <w:pStyle w:val="yTableNAm"/>
              <w:jc w:val="center"/>
              <w:rPr>
                <w:i/>
              </w:rPr>
            </w:pPr>
            <w:r>
              <w:rPr>
                <w:u w:val="single"/>
              </w:rPr>
              <w:br/>
            </w:r>
            <w:r>
              <w:rPr>
                <w:szCs w:val="22"/>
              </w:rPr>
              <w:t>224</w:t>
            </w:r>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462</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(v)</w:t>
            </w:r>
            <w:r>
              <w:tab/>
              <w:t xml:space="preserve">more than $200 000 </w:t>
            </w:r>
            <w:r>
              <w:tab/>
            </w:r>
          </w:p>
        </w:tc>
        <w:tc>
          <w:tcPr>
            <w:tcW w:w="992" w:type="dxa"/>
          </w:tcPr>
          <w:p>
            <w:pPr>
              <w:pStyle w:val="yTableNAm"/>
              <w:jc w:val="center"/>
            </w:pPr>
            <w:r>
              <w:rPr>
                <w:szCs w:val="22"/>
              </w:rPr>
              <w:t>709</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(da)</w:t>
            </w:r>
            <w:r>
              <w:tab/>
              <w:t xml:space="preserve">a standard lottery of a kind generally known or described as a Calcutta </w:t>
            </w:r>
            <w:r>
              <w:tab/>
            </w:r>
          </w:p>
        </w:tc>
        <w:tc>
          <w:tcPr>
            <w:tcW w:w="992" w:type="dxa"/>
          </w:tcPr>
          <w:p>
            <w:pPr>
              <w:pStyle w:val="yTableNAm"/>
              <w:jc w:val="center"/>
              <w:rPr>
                <w:i/>
              </w:rPr>
            </w:pPr>
            <w:r>
              <w:br/>
            </w:r>
            <w:r>
              <w:rPr>
                <w:szCs w:val="22"/>
              </w:rPr>
              <w:t>154</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(e)</w:t>
            </w:r>
            <w:r>
              <w:tab/>
              <w:t xml:space="preserve">a continuing lottery </w:t>
            </w:r>
            <w:r>
              <w:tab/>
            </w:r>
          </w:p>
        </w:tc>
        <w:tc>
          <w:tcPr>
            <w:tcW w:w="992" w:type="dxa"/>
          </w:tcPr>
          <w:p>
            <w:pPr>
              <w:pStyle w:val="yTableNAm"/>
              <w:jc w:val="center"/>
            </w:pPr>
            <w:r>
              <w:t>28</w:t>
            </w:r>
          </w:p>
        </w:tc>
      </w:tr>
      <w:tr>
        <w:trPr>
          <w:cantSplit/>
        </w:trPr>
        <w:tc>
          <w:tcPr>
            <w:tcW w:w="851" w:type="dxa"/>
          </w:tcPr>
          <w:p>
            <w:pPr>
              <w:pStyle w:val="yTableNAm"/>
            </w:pPr>
          </w:p>
        </w:tc>
        <w:tc>
          <w:tcPr>
            <w:tcW w:w="5245" w:type="dxa"/>
          </w:tcPr>
          <w:p>
            <w:pPr>
              <w:pStyle w:val="yTableNAm"/>
              <w:tabs>
                <w:tab w:val="clear" w:pos="567"/>
              </w:tabs>
              <w:ind w:left="426" w:hanging="426"/>
            </w:pPr>
            <w:r>
              <w:t>(f)</w:t>
            </w:r>
            <w:r>
              <w:tab/>
              <w:t xml:space="preserve">gaming (per day authorised)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w:t>
            </w:r>
            <w:r>
              <w:tab/>
              <w:t>1</w:t>
            </w:r>
            <w:r>
              <w:noBreakHyphen/>
              <w:t xml:space="preserve">5 tables </w:t>
            </w:r>
            <w:r>
              <w:tab/>
            </w:r>
          </w:p>
        </w:tc>
        <w:tc>
          <w:tcPr>
            <w:tcW w:w="992" w:type="dxa"/>
          </w:tcPr>
          <w:p>
            <w:pPr>
              <w:pStyle w:val="yTableNAm"/>
              <w:jc w:val="center"/>
            </w:pPr>
            <w:r>
              <w:rPr>
                <w:szCs w:val="22"/>
              </w:rPr>
              <w:t>184</w:t>
            </w:r>
          </w:p>
        </w:tc>
      </w:tr>
      <w:tr>
        <w:trPr>
          <w:cantSplit/>
        </w:trPr>
        <w:tc>
          <w:tcPr>
            <w:tcW w:w="851" w:type="dxa"/>
          </w:tcPr>
          <w:p>
            <w:pPr>
              <w:pStyle w:val="yTableNAm"/>
            </w:pPr>
          </w:p>
        </w:tc>
        <w:tc>
          <w:tcPr>
            <w:tcW w:w="5245" w:type="dxa"/>
          </w:tcPr>
          <w:p>
            <w:pPr>
              <w:pStyle w:val="yTableNAm"/>
              <w:tabs>
                <w:tab w:val="clear" w:pos="567"/>
                <w:tab w:val="left" w:pos="425"/>
                <w:tab w:val="left" w:pos="846"/>
                <w:tab w:val="right" w:leader="dot" w:pos="6237"/>
              </w:tabs>
            </w:pPr>
            <w:r>
              <w:tab/>
              <w:t>(ii)</w:t>
            </w:r>
            <w:r>
              <w:tab/>
              <w:t>6</w:t>
            </w:r>
            <w:r>
              <w:noBreakHyphen/>
              <w:t xml:space="preserve">10 tables </w:t>
            </w:r>
            <w:r>
              <w:tab/>
            </w:r>
          </w:p>
        </w:tc>
        <w:tc>
          <w:tcPr>
            <w:tcW w:w="992" w:type="dxa"/>
          </w:tcPr>
          <w:p>
            <w:pPr>
              <w:pStyle w:val="yTableNAm"/>
              <w:jc w:val="center"/>
            </w:pPr>
            <w:r>
              <w:rPr>
                <w:szCs w:val="22"/>
              </w:rPr>
              <w:t>338</w:t>
            </w:r>
          </w:p>
        </w:tc>
      </w:tr>
      <w:tr>
        <w:trPr>
          <w:cantSplit/>
        </w:trPr>
        <w:tc>
          <w:tcPr>
            <w:tcW w:w="851" w:type="dxa"/>
          </w:tcPr>
          <w:p>
            <w:pPr>
              <w:pStyle w:val="yTableNAm"/>
            </w:pPr>
          </w:p>
        </w:tc>
        <w:tc>
          <w:tcPr>
            <w:tcW w:w="5245" w:type="dxa"/>
          </w:tcPr>
          <w:p>
            <w:pPr>
              <w:pStyle w:val="yTableNAm"/>
              <w:tabs>
                <w:tab w:val="clear" w:pos="567"/>
                <w:tab w:val="left" w:pos="417"/>
                <w:tab w:val="left" w:pos="854"/>
                <w:tab w:val="right" w:leader="dot" w:pos="6237"/>
              </w:tabs>
            </w:pPr>
            <w:r>
              <w:tab/>
              <w:t>(iii)</w:t>
            </w:r>
            <w:r>
              <w:tab/>
              <w:t xml:space="preserve">over 10 tables </w:t>
            </w:r>
            <w:r>
              <w:tab/>
            </w:r>
          </w:p>
        </w:tc>
        <w:tc>
          <w:tcPr>
            <w:tcW w:w="992" w:type="dxa"/>
          </w:tcPr>
          <w:p>
            <w:pPr>
              <w:pStyle w:val="yTableNAm"/>
              <w:jc w:val="center"/>
            </w:pPr>
            <w:r>
              <w:rPr>
                <w:szCs w:val="22"/>
              </w:rPr>
              <w:t>423</w:t>
            </w:r>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w:t>
            </w:r>
            <w:r>
              <w:t xml:space="preserve">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32"/>
                <w:tab w:val="left" w:pos="877"/>
                <w:tab w:val="right" w:leader="dot" w:pos="6237"/>
              </w:tabs>
            </w:pPr>
            <w:r>
              <w:tab/>
              <w:t>(i)</w:t>
            </w:r>
            <w:r>
              <w:tab/>
              <w:t xml:space="preserve">by a country race club, per day authorised </w:t>
            </w:r>
            <w:r>
              <w:tab/>
            </w:r>
          </w:p>
        </w:tc>
        <w:tc>
          <w:tcPr>
            <w:tcW w:w="992" w:type="dxa"/>
          </w:tcPr>
          <w:p>
            <w:pPr>
              <w:pStyle w:val="yTableNAm"/>
              <w:jc w:val="center"/>
              <w:rPr>
                <w:i/>
              </w:rPr>
            </w:pPr>
            <w:r>
              <w:rPr>
                <w:szCs w:val="22"/>
              </w:rPr>
              <w:t>122</w:t>
            </w:r>
          </w:p>
        </w:tc>
      </w:tr>
      <w:tr>
        <w:trPr>
          <w:cantSplit/>
        </w:trPr>
        <w:tc>
          <w:tcPr>
            <w:tcW w:w="851" w:type="dxa"/>
          </w:tcPr>
          <w:p>
            <w:pPr>
              <w:pStyle w:val="yTableNAm"/>
            </w:pPr>
          </w:p>
        </w:tc>
        <w:tc>
          <w:tcPr>
            <w:tcW w:w="5245" w:type="dxa"/>
          </w:tcPr>
          <w:p>
            <w:pPr>
              <w:pStyle w:val="yTableNAm"/>
              <w:tabs>
                <w:tab w:val="clear" w:pos="567"/>
                <w:tab w:val="left" w:pos="417"/>
                <w:tab w:val="left" w:pos="846"/>
                <w:tab w:val="right" w:leader="dot" w:pos="6237"/>
              </w:tabs>
            </w:pPr>
            <w:r>
              <w:tab/>
              <w:t>(ii)</w:t>
            </w:r>
            <w:r>
              <w:tab/>
              <w:t xml:space="preserve">otherwise, per day authorised </w:t>
            </w:r>
            <w:r>
              <w:tab/>
            </w:r>
          </w:p>
        </w:tc>
        <w:tc>
          <w:tcPr>
            <w:tcW w:w="992" w:type="dxa"/>
          </w:tcPr>
          <w:p>
            <w:pPr>
              <w:pStyle w:val="yTableNAm"/>
              <w:jc w:val="center"/>
            </w:pPr>
            <w:r>
              <w:rPr>
                <w:szCs w:val="22"/>
              </w:rPr>
              <w:t>184</w:t>
            </w:r>
          </w:p>
        </w:tc>
      </w:tr>
      <w:tr>
        <w:trPr>
          <w:cantSplit/>
        </w:trPr>
        <w:tc>
          <w:tcPr>
            <w:tcW w:w="851" w:type="dxa"/>
          </w:tcPr>
          <w:p>
            <w:pPr>
              <w:pStyle w:val="yTableNAm"/>
            </w:pPr>
            <w:r>
              <w:t>7.</w:t>
            </w:r>
          </w:p>
        </w:tc>
        <w:tc>
          <w:tcPr>
            <w:tcW w:w="5245" w:type="dxa"/>
          </w:tcPr>
          <w:p>
            <w:pPr>
              <w:pStyle w:val="yTableNAm"/>
            </w:pPr>
            <w:r>
              <w:t xml:space="preserve">Application for approval of premises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a specific function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(b)</w:t>
            </w:r>
            <w:r>
              <w:tab/>
              <w:t xml:space="preserve">functions from time to time </w:t>
            </w:r>
            <w:r>
              <w:tab/>
            </w:r>
          </w:p>
        </w:tc>
        <w:tc>
          <w:tcPr>
            <w:tcW w:w="992" w:type="dxa"/>
          </w:tcPr>
          <w:p>
            <w:pPr>
              <w:pStyle w:val="yTableNAm"/>
              <w:jc w:val="center"/>
            </w:pPr>
            <w:r>
              <w:rPr>
                <w:szCs w:val="22"/>
              </w:rPr>
              <w:t>75</w:t>
            </w:r>
          </w:p>
        </w:tc>
      </w:tr>
      <w:tr>
        <w:trPr>
          <w:cantSplit/>
        </w:trPr>
        <w:tc>
          <w:tcPr>
            <w:tcW w:w="851" w:type="dxa"/>
          </w:tcPr>
          <w:p>
            <w:pPr>
              <w:pStyle w:val="yTableNAm"/>
            </w:pPr>
          </w:p>
        </w:tc>
        <w:tc>
          <w:tcPr>
            <w:tcW w:w="5245" w:type="dxa"/>
          </w:tcPr>
          <w:p>
            <w:pPr>
              <w:pStyle w:val="yTableNAm"/>
              <w:tabs>
                <w:tab w:val="clear" w:pos="567"/>
                <w:tab w:val="left" w:pos="426"/>
                <w:tab w:val="left" w:pos="851"/>
                <w:tab w:val="right" w:leader="dot" w:pos="6237"/>
              </w:tabs>
            </w:pPr>
            <w:r>
              <w:t>(c)</w:t>
            </w:r>
            <w:r>
              <w:tab/>
              <w:t xml:space="preserve">permit of a continuing nature </w:t>
            </w:r>
            <w:r>
              <w:tab/>
            </w:r>
          </w:p>
        </w:tc>
        <w:tc>
          <w:tcPr>
            <w:tcW w:w="992" w:type="dxa"/>
          </w:tcPr>
          <w:p>
            <w:pPr>
              <w:pStyle w:val="yTableNAm"/>
              <w:jc w:val="center"/>
            </w:pPr>
            <w:r>
              <w:rPr>
                <w:szCs w:val="22"/>
              </w:rPr>
              <w:t>75</w:t>
            </w:r>
          </w:p>
        </w:tc>
      </w:tr>
      <w:tr>
        <w:trPr>
          <w:cantSplit/>
        </w:trPr>
        <w:tc>
          <w:tcPr>
            <w:tcW w:w="851" w:type="dxa"/>
          </w:tcPr>
          <w:p>
            <w:pPr>
              <w:pStyle w:val="yTableNAm"/>
            </w:pPr>
            <w:r>
              <w:t>8.</w:t>
            </w:r>
          </w:p>
        </w:tc>
        <w:tc>
          <w:tcPr>
            <w:tcW w:w="5245" w:type="dxa"/>
          </w:tcPr>
          <w:p>
            <w:pPr>
              <w:pStyle w:val="yTableNAm"/>
            </w:pPr>
            <w:r>
              <w:t xml:space="preserve">Issue of a certificate under section 92 relating to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multiple bingo </w:t>
            </w:r>
            <w:r>
              <w:tab/>
            </w:r>
          </w:p>
        </w:tc>
        <w:tc>
          <w:tcPr>
            <w:tcW w:w="992" w:type="dxa"/>
          </w:tcPr>
          <w:p>
            <w:pPr>
              <w:pStyle w:val="yTableNAm"/>
              <w:jc w:val="center"/>
            </w:pPr>
            <w:r>
              <w:rPr>
                <w:szCs w:val="22"/>
              </w:rPr>
              <w:t>154</w:t>
            </w: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(b)</w:t>
            </w:r>
            <w:r>
              <w:tab/>
              <w:t>simultaneous bingo</w:t>
            </w:r>
            <w:r>
              <w:tab/>
            </w:r>
          </w:p>
        </w:tc>
        <w:tc>
          <w:tcPr>
            <w:tcW w:w="992" w:type="dxa"/>
          </w:tcPr>
          <w:p>
            <w:pPr>
              <w:pStyle w:val="yTableNAm"/>
              <w:jc w:val="center"/>
            </w:pPr>
            <w:r>
              <w:rPr>
                <w:szCs w:val="22"/>
              </w:rPr>
              <w:t>154</w:t>
            </w:r>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(c)</w:t>
            </w:r>
            <w:r>
              <w:tab/>
              <w:t>assisting in the conduct of bingo, for hire or reward </w:t>
            </w:r>
            <w:r>
              <w:tab/>
            </w:r>
          </w:p>
        </w:tc>
        <w:tc>
          <w:tcPr>
            <w:tcW w:w="992" w:type="dxa"/>
          </w:tcPr>
          <w:p>
            <w:pPr>
              <w:pStyle w:val="yTableNAm"/>
              <w:jc w:val="center"/>
              <w:rPr>
                <w:i/>
              </w:rPr>
            </w:pPr>
            <w:r>
              <w:br/>
            </w:r>
            <w:r>
              <w:rPr>
                <w:szCs w:val="22"/>
              </w:rPr>
              <w:t>154</w:t>
            </w:r>
          </w:p>
        </w:tc>
      </w:tr>
      <w:tr>
        <w:trPr>
          <w:cantSplit/>
        </w:trPr>
        <w:tc>
          <w:tcPr>
            <w:tcW w:w="851" w:type="dxa"/>
          </w:tcPr>
          <w:p>
            <w:pPr>
              <w:pStyle w:val="yTableNAm"/>
            </w:pPr>
            <w:r>
              <w:t>9.</w:t>
            </w:r>
          </w:p>
        </w:tc>
        <w:tc>
          <w:tcPr>
            <w:tcW w:w="5245" w:type="dxa"/>
          </w:tcPr>
          <w:p>
            <w:pPr>
              <w:pStyle w:val="yTableNAm"/>
              <w:tabs>
                <w:tab w:val="right" w:leader="dot" w:pos="6237"/>
              </w:tabs>
            </w:pPr>
            <w:r>
              <w:t xml:space="preserve">Issue of an approved operator’s certificate </w:t>
            </w:r>
            <w:r>
              <w:tab/>
            </w:r>
          </w:p>
        </w:tc>
        <w:tc>
          <w:tcPr>
            <w:tcW w:w="992" w:type="dxa"/>
          </w:tcPr>
          <w:p>
            <w:pPr>
              <w:pStyle w:val="yTableNAm"/>
              <w:jc w:val="center"/>
            </w:pPr>
            <w:r>
              <w:rPr>
                <w:szCs w:val="22"/>
              </w:rPr>
              <w:t>253</w:t>
            </w:r>
          </w:p>
        </w:tc>
      </w:tr>
      <w:tr>
        <w:trPr>
          <w:cantSplit/>
        </w:trPr>
        <w:tc>
          <w:tcPr>
            <w:tcW w:w="851" w:type="dxa"/>
          </w:tcPr>
          <w:p>
            <w:pPr>
              <w:pStyle w:val="yTableNAm"/>
            </w:pPr>
            <w:r>
              <w:t>10.</w:t>
            </w:r>
          </w:p>
        </w:tc>
        <w:tc>
          <w:tcPr>
            <w:tcW w:w="5245" w:type="dxa"/>
          </w:tcPr>
          <w:p>
            <w:pPr>
              <w:pStyle w:val="yTableNAm"/>
              <w:tabs>
                <w:tab w:val="right" w:leader="dot" w:pos="6237"/>
              </w:tabs>
            </w:pPr>
            <w:r>
              <w:t xml:space="preserve">Issue of a certificate under section 88(5) </w:t>
            </w:r>
            <w:r>
              <w:tab/>
            </w:r>
          </w:p>
        </w:tc>
        <w:tc>
          <w:tcPr>
            <w:tcW w:w="992" w:type="dxa"/>
          </w:tcPr>
          <w:p>
            <w:pPr>
              <w:pStyle w:val="yTableNAm"/>
              <w:jc w:val="center"/>
            </w:pPr>
            <w:r>
              <w:rPr>
                <w:szCs w:val="22"/>
              </w:rPr>
              <w:t>332</w:t>
            </w:r>
          </w:p>
        </w:tc>
      </w:tr>
      <w:tr>
        <w:trPr>
          <w:cantSplit/>
        </w:trPr>
        <w:tc>
          <w:tcPr>
            <w:tcW w:w="851" w:type="dxa"/>
          </w:tcPr>
          <w:p>
            <w:pPr>
              <w:pStyle w:val="yTableNAm"/>
            </w:pPr>
            <w:r>
              <w:t>11.</w:t>
            </w:r>
          </w:p>
        </w:tc>
        <w:tc>
          <w:tcPr>
            <w:tcW w:w="5245" w:type="dxa"/>
          </w:tcPr>
          <w:p>
            <w:pPr>
              <w:pStyle w:val="yTableNAm"/>
              <w:tabs>
                <w:tab w:val="right" w:leader="dot" w:pos="6237"/>
              </w:tabs>
            </w:pPr>
            <w:r>
              <w:t xml:space="preserve">Application to be a licensed supplier </w:t>
            </w:r>
            <w:r>
              <w:tab/>
            </w:r>
          </w:p>
        </w:tc>
        <w:tc>
          <w:tcPr>
            <w:tcW w:w="992" w:type="dxa"/>
          </w:tcPr>
          <w:p>
            <w:pPr>
              <w:pStyle w:val="yTableNAm"/>
              <w:jc w:val="center"/>
            </w:pPr>
            <w:r>
              <w:rPr>
                <w:szCs w:val="22"/>
              </w:rPr>
              <w:t>309</w:t>
            </w:r>
          </w:p>
        </w:tc>
      </w:tr>
      <w:tr>
        <w:trPr>
          <w:cantSplit/>
        </w:trPr>
        <w:tc>
          <w:tcPr>
            <w:tcW w:w="851" w:type="dxa"/>
          </w:tcPr>
          <w:p>
            <w:pPr>
              <w:pStyle w:val="yTableNAm"/>
            </w:pPr>
            <w:r>
              <w:t>12.</w:t>
            </w:r>
          </w:p>
        </w:tc>
        <w:tc>
          <w:tcPr>
            <w:tcW w:w="5245" w:type="dxa"/>
          </w:tcPr>
          <w:p>
            <w:pPr>
              <w:pStyle w:val="yTableNAm"/>
              <w:tabs>
                <w:tab w:val="right" w:leader="dot" w:pos="6237"/>
              </w:tabs>
            </w:pPr>
            <w:r>
              <w:t xml:space="preserve">Approval to operate, or remove money from, gaming equipment </w:t>
            </w:r>
            <w:r>
              <w:tab/>
            </w:r>
          </w:p>
        </w:tc>
        <w:tc>
          <w:tcPr>
            <w:tcW w:w="992" w:type="dxa"/>
          </w:tcPr>
          <w:p>
            <w:pPr>
              <w:pStyle w:val="yTableNAm"/>
              <w:jc w:val="center"/>
            </w:pPr>
            <w:r>
              <w:br/>
              <w:t>28</w:t>
            </w:r>
          </w:p>
        </w:tc>
      </w:tr>
    </w:tbl>
    <w:p>
      <w:pPr>
        <w:pStyle w:val="yFootnotesection"/>
      </w:pPr>
      <w:r>
        <w:tab/>
        <w:t>[Schedule 1 inserted in Gazette 10 Nov 2017 p. 5584</w:t>
      </w:r>
      <w:r>
        <w:noBreakHyphen/>
        <w:t>6.]</w:t>
      </w:r>
    </w:p>
    <w:p>
      <w:pPr>
        <w:pStyle w:val="yScheduleHeading"/>
      </w:pPr>
      <w:bookmarkStart w:id="99" w:name="_Toc498094551"/>
      <w:bookmarkStart w:id="100" w:name="_Toc501526491"/>
      <w:bookmarkEnd w:id="98"/>
      <w:r>
        <w:rPr>
          <w:rStyle w:val="CharSchNo"/>
        </w:rPr>
        <w:t>Schedule 2</w:t>
      </w:r>
      <w:r>
        <w:t> — </w:t>
      </w:r>
      <w:r>
        <w:rPr>
          <w:rStyle w:val="CharSchText"/>
        </w:rPr>
        <w:t>Prescribed penalties under section 36(1)</w:t>
      </w:r>
      <w:bookmarkEnd w:id="99"/>
      <w:bookmarkEnd w:id="100"/>
    </w:p>
    <w:p>
      <w:pPr>
        <w:pStyle w:val="yFootnoteheading"/>
        <w:spacing w:before="80" w:after="80"/>
      </w:pPr>
      <w:r>
        <w:tab/>
        <w:t>[Heading inserted in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in Gazette 10 Jun 2008 p. 2495</w:t>
      </w:r>
      <w:r>
        <w:noBreakHyphen/>
        <w:t>6; amended in Gazette 12 Aug 2011 p 3250.]</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02" w:name="_Toc498094552"/>
      <w:bookmarkStart w:id="103" w:name="_Toc501526492"/>
      <w:r>
        <w:rPr>
          <w:rStyle w:val="CharSchNo"/>
        </w:rPr>
        <w:t>Schedule 3</w:t>
      </w:r>
      <w:bookmarkEnd w:id="102"/>
      <w:bookmarkEnd w:id="103"/>
    </w:p>
    <w:p>
      <w:pPr>
        <w:pStyle w:val="yHeading2"/>
        <w:outlineLvl w:val="9"/>
      </w:pPr>
      <w:bookmarkStart w:id="104" w:name="_Toc498094553"/>
      <w:bookmarkStart w:id="105" w:name="_Toc501526493"/>
      <w:r>
        <w:rPr>
          <w:rStyle w:val="CharSchText"/>
        </w:rPr>
        <w:t>Forms</w:t>
      </w:r>
      <w:bookmarkEnd w:id="104"/>
      <w:bookmarkEnd w:id="105"/>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in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106" w:name="_Toc498094554"/>
      <w:bookmarkStart w:id="107" w:name="_Toc501526494"/>
      <w:r>
        <w:rPr>
          <w:rStyle w:val="CharSchNo"/>
        </w:rPr>
        <w:t>Schedule 4</w:t>
      </w:r>
      <w:bookmarkEnd w:id="106"/>
      <w:bookmarkEnd w:id="107"/>
    </w:p>
    <w:p>
      <w:pPr>
        <w:pStyle w:val="yHeading2"/>
        <w:keepNext w:val="0"/>
        <w:outlineLvl w:val="9"/>
      </w:pPr>
      <w:bookmarkStart w:id="108" w:name="_Toc498094555"/>
      <w:bookmarkStart w:id="109" w:name="_Toc501526495"/>
      <w:r>
        <w:rPr>
          <w:rStyle w:val="CharSchText"/>
        </w:rPr>
        <w:t>Rules for the conduct of permitted games</w:t>
      </w:r>
      <w:bookmarkEnd w:id="108"/>
      <w:bookmarkEnd w:id="109"/>
    </w:p>
    <w:p>
      <w:pPr>
        <w:pStyle w:val="yHeading3"/>
      </w:pPr>
      <w:bookmarkStart w:id="110" w:name="_Toc498094556"/>
      <w:bookmarkStart w:id="111" w:name="_Toc501526496"/>
      <w:r>
        <w:rPr>
          <w:rStyle w:val="CharSDivNo"/>
        </w:rPr>
        <w:t>Part 1</w:t>
      </w:r>
      <w:r>
        <w:t> — </w:t>
      </w:r>
      <w:r>
        <w:rPr>
          <w:rStyle w:val="CharSDivText"/>
        </w:rPr>
        <w:t>Permitted bingo</w:t>
      </w:r>
      <w:bookmarkEnd w:id="110"/>
      <w:bookmarkEnd w:id="111"/>
    </w:p>
    <w:p>
      <w:pPr>
        <w:pStyle w:val="yMiscellaneousBody"/>
        <w:jc w:val="center"/>
        <w:rPr>
          <w:b/>
          <w:snapToGrid w:val="0"/>
        </w:rPr>
      </w:pPr>
      <w:r>
        <w:rPr>
          <w:b/>
          <w:snapToGrid w:val="0"/>
        </w:rPr>
        <w:t>Rules for the conduct of bingo</w:t>
      </w:r>
    </w:p>
    <w:p>
      <w:pPr>
        <w:pStyle w:val="yHeading5"/>
        <w:rPr>
          <w:snapToGrid w:val="0"/>
        </w:rPr>
      </w:pPr>
      <w:bookmarkStart w:id="112" w:name="_Toc501526497"/>
      <w:r>
        <w:rPr>
          <w:rStyle w:val="CharSClsNo"/>
        </w:rPr>
        <w:t>1</w:t>
      </w:r>
      <w:r>
        <w:rPr>
          <w:snapToGrid w:val="0"/>
        </w:rPr>
        <w:t>.</w:t>
      </w:r>
      <w:r>
        <w:rPr>
          <w:snapToGrid w:val="0"/>
        </w:rPr>
        <w:tab/>
        <w:t>Children cannot play</w:t>
      </w:r>
      <w:bookmarkEnd w:id="112"/>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13" w:name="_Toc501526498"/>
      <w:r>
        <w:rPr>
          <w:rStyle w:val="CharSClsNo"/>
        </w:rPr>
        <w:t>2</w:t>
      </w:r>
      <w:r>
        <w:rPr>
          <w:snapToGrid w:val="0"/>
        </w:rPr>
        <w:t>.</w:t>
      </w:r>
      <w:r>
        <w:rPr>
          <w:snapToGrid w:val="0"/>
        </w:rPr>
        <w:tab/>
        <w:t>Spotters cannot play</w:t>
      </w:r>
      <w:bookmarkEnd w:id="113"/>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14" w:name="_Toc501526499"/>
      <w:r>
        <w:rPr>
          <w:rStyle w:val="CharSClsNo"/>
        </w:rPr>
        <w:t>3</w:t>
      </w:r>
      <w:r>
        <w:rPr>
          <w:snapToGrid w:val="0"/>
        </w:rPr>
        <w:t>.</w:t>
      </w:r>
      <w:r>
        <w:rPr>
          <w:snapToGrid w:val="0"/>
        </w:rPr>
        <w:tab/>
        <w:t>Call backs, who can take part in</w:t>
      </w:r>
      <w:bookmarkEnd w:id="114"/>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15" w:name="_Toc501526500"/>
      <w:r>
        <w:rPr>
          <w:rStyle w:val="CharSClsNo"/>
        </w:rPr>
        <w:t>4</w:t>
      </w:r>
      <w:r>
        <w:rPr>
          <w:snapToGrid w:val="0"/>
        </w:rPr>
        <w:t>.</w:t>
      </w:r>
      <w:r>
        <w:rPr>
          <w:snapToGrid w:val="0"/>
        </w:rPr>
        <w:tab/>
        <w:t>Bingo cards</w:t>
      </w:r>
      <w:bookmarkEnd w:id="115"/>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16" w:name="_Toc501526501"/>
      <w:r>
        <w:rPr>
          <w:rStyle w:val="CharSClsNo"/>
        </w:rPr>
        <w:t>5</w:t>
      </w:r>
      <w:r>
        <w:rPr>
          <w:snapToGrid w:val="0"/>
        </w:rPr>
        <w:t>.</w:t>
      </w:r>
      <w:r>
        <w:rPr>
          <w:snapToGrid w:val="0"/>
        </w:rPr>
        <w:tab/>
        <w:t>Split games</w:t>
      </w:r>
      <w:bookmarkEnd w:id="116"/>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117" w:name="_Toc501526502"/>
      <w:r>
        <w:rPr>
          <w:rStyle w:val="CharSClsNo"/>
        </w:rPr>
        <w:t>5A</w:t>
      </w:r>
      <w:r>
        <w:rPr>
          <w:snapToGrid w:val="0"/>
        </w:rPr>
        <w:t>.</w:t>
      </w:r>
      <w:r>
        <w:rPr>
          <w:snapToGrid w:val="0"/>
        </w:rPr>
        <w:tab/>
        <w:t>Prizes, who is eligible for</w:t>
      </w:r>
      <w:bookmarkEnd w:id="117"/>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118" w:name="_Toc501526503"/>
      <w:r>
        <w:rPr>
          <w:rStyle w:val="CharSClsNo"/>
        </w:rPr>
        <w:t>5B</w:t>
      </w:r>
      <w:r>
        <w:rPr>
          <w:snapToGrid w:val="0"/>
        </w:rPr>
        <w:t>.</w:t>
      </w:r>
      <w:r>
        <w:rPr>
          <w:snapToGrid w:val="0"/>
        </w:rPr>
        <w:tab/>
        <w:t>When games conclude</w:t>
      </w:r>
      <w:bookmarkEnd w:id="118"/>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119" w:name="_Toc501526504"/>
      <w:r>
        <w:rPr>
          <w:rStyle w:val="CharSClsNo"/>
        </w:rPr>
        <w:t>6</w:t>
      </w:r>
      <w:r>
        <w:rPr>
          <w:snapToGrid w:val="0"/>
        </w:rPr>
        <w:t>.</w:t>
      </w:r>
      <w:r>
        <w:rPr>
          <w:snapToGrid w:val="0"/>
        </w:rPr>
        <w:tab/>
        <w:t>Miscellaneous rules</w:t>
      </w:r>
      <w:bookmarkEnd w:id="119"/>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120" w:name="_Toc501526505"/>
      <w:r>
        <w:rPr>
          <w:rStyle w:val="CharSClsNo"/>
        </w:rPr>
        <w:t>7</w:t>
      </w:r>
      <w:r>
        <w:rPr>
          <w:snapToGrid w:val="0"/>
        </w:rPr>
        <w:t>.</w:t>
      </w:r>
      <w:r>
        <w:rPr>
          <w:snapToGrid w:val="0"/>
        </w:rPr>
        <w:tab/>
        <w:t>Prizes, announcement of etc.</w:t>
      </w:r>
      <w:bookmarkEnd w:id="120"/>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121" w:name="_Toc501526506"/>
      <w:r>
        <w:rPr>
          <w:rStyle w:val="CharSClsNo"/>
        </w:rPr>
        <w:t>8</w:t>
      </w:r>
      <w:r>
        <w:rPr>
          <w:snapToGrid w:val="0"/>
        </w:rPr>
        <w:t>.</w:t>
      </w:r>
      <w:r>
        <w:rPr>
          <w:snapToGrid w:val="0"/>
        </w:rPr>
        <w:tab/>
        <w:t>Prize shared if more than one winner</w:t>
      </w:r>
      <w:bookmarkEnd w:id="121"/>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122" w:name="_Toc501526507"/>
      <w:r>
        <w:rPr>
          <w:rStyle w:val="CharSClsNo"/>
        </w:rPr>
        <w:t>9</w:t>
      </w:r>
      <w:r>
        <w:rPr>
          <w:snapToGrid w:val="0"/>
        </w:rPr>
        <w:t>.</w:t>
      </w:r>
      <w:r>
        <w:rPr>
          <w:snapToGrid w:val="0"/>
        </w:rPr>
        <w:tab/>
        <w:t>Prizes paid as soon as practicable</w:t>
      </w:r>
      <w:bookmarkEnd w:id="122"/>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23" w:name="_Toc501526508"/>
      <w:r>
        <w:rPr>
          <w:rStyle w:val="CharSClsNo"/>
        </w:rPr>
        <w:t>10</w:t>
      </w:r>
      <w:r>
        <w:rPr>
          <w:snapToGrid w:val="0"/>
        </w:rPr>
        <w:t>.</w:t>
      </w:r>
      <w:r>
        <w:rPr>
          <w:snapToGrid w:val="0"/>
        </w:rPr>
        <w:tab/>
        <w:t>Player who makes incorrect call allowed to continue play</w:t>
      </w:r>
      <w:bookmarkEnd w:id="123"/>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124" w:name="_Toc501526509"/>
      <w:r>
        <w:rPr>
          <w:rStyle w:val="CharSClsNo"/>
        </w:rPr>
        <w:t>11</w:t>
      </w:r>
      <w:r>
        <w:rPr>
          <w:snapToGrid w:val="0"/>
        </w:rPr>
        <w:t>.</w:t>
      </w:r>
      <w:r>
        <w:rPr>
          <w:snapToGrid w:val="0"/>
        </w:rPr>
        <w:tab/>
        <w:t>Late calls by players</w:t>
      </w:r>
      <w:bookmarkEnd w:id="124"/>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125" w:name="_Toc501526510"/>
      <w:r>
        <w:rPr>
          <w:rStyle w:val="CharSClsNo"/>
        </w:rPr>
        <w:t>12</w:t>
      </w:r>
      <w:r>
        <w:rPr>
          <w:snapToGrid w:val="0"/>
        </w:rPr>
        <w:t>.</w:t>
      </w:r>
      <w:r>
        <w:rPr>
          <w:snapToGrid w:val="0"/>
        </w:rPr>
        <w:tab/>
        <w:t>Calls must be acknowledged</w:t>
      </w:r>
      <w:bookmarkEnd w:id="125"/>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126" w:name="_Toc498094571"/>
      <w:bookmarkStart w:id="127" w:name="_Toc501526511"/>
      <w:r>
        <w:rPr>
          <w:rStyle w:val="CharSDivNo"/>
        </w:rPr>
        <w:t>Part 2</w:t>
      </w:r>
      <w:r>
        <w:t> — </w:t>
      </w:r>
      <w:r>
        <w:rPr>
          <w:rStyle w:val="CharSDivText"/>
        </w:rPr>
        <w:t>Permitted lotteries</w:t>
      </w:r>
      <w:bookmarkEnd w:id="126"/>
      <w:bookmarkEnd w:id="127"/>
    </w:p>
    <w:p>
      <w:pPr>
        <w:pStyle w:val="yHeading4"/>
        <w:rPr>
          <w:snapToGrid w:val="0"/>
        </w:rPr>
      </w:pPr>
      <w:bookmarkStart w:id="128" w:name="_Toc498094572"/>
      <w:bookmarkStart w:id="129" w:name="_Toc501526512"/>
      <w:r>
        <w:rPr>
          <w:snapToGrid w:val="0"/>
        </w:rPr>
        <w:t>Division 1 — Rules for the conduct of a standard lottery</w:t>
      </w:r>
      <w:bookmarkEnd w:id="128"/>
      <w:bookmarkEnd w:id="129"/>
    </w:p>
    <w:p>
      <w:pPr>
        <w:pStyle w:val="yHeading5"/>
        <w:rPr>
          <w:snapToGrid w:val="0"/>
        </w:rPr>
      </w:pPr>
      <w:bookmarkStart w:id="130" w:name="_Toc501526513"/>
      <w:r>
        <w:rPr>
          <w:rStyle w:val="CharSClsNo"/>
        </w:rPr>
        <w:t>1</w:t>
      </w:r>
      <w:r>
        <w:rPr>
          <w:snapToGrid w:val="0"/>
        </w:rPr>
        <w:t>.</w:t>
      </w:r>
      <w:r>
        <w:rPr>
          <w:snapToGrid w:val="0"/>
        </w:rPr>
        <w:tab/>
        <w:t>Chances, number of etc.</w:t>
      </w:r>
      <w:bookmarkEnd w:id="130"/>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131" w:name="_Toc501526514"/>
      <w:r>
        <w:rPr>
          <w:rStyle w:val="CharSClsNo"/>
        </w:rPr>
        <w:t>2</w:t>
      </w:r>
      <w:r>
        <w:rPr>
          <w:snapToGrid w:val="0"/>
        </w:rPr>
        <w:t>.</w:t>
      </w:r>
      <w:r>
        <w:rPr>
          <w:snapToGrid w:val="0"/>
        </w:rPr>
        <w:tab/>
        <w:t>Chances, information on</w:t>
      </w:r>
      <w:bookmarkEnd w:id="131"/>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outlineLvl w:val="9"/>
        <w:rPr>
          <w:snapToGrid w:val="0"/>
        </w:rPr>
      </w:pPr>
      <w:bookmarkStart w:id="132" w:name="_Toc501526515"/>
      <w:r>
        <w:rPr>
          <w:rStyle w:val="CharSClsNo"/>
        </w:rPr>
        <w:t>2A</w:t>
      </w:r>
      <w:r>
        <w:rPr>
          <w:snapToGrid w:val="0"/>
        </w:rPr>
        <w:t>.</w:t>
      </w:r>
      <w:r>
        <w:rPr>
          <w:snapToGrid w:val="0"/>
        </w:rPr>
        <w:tab/>
        <w:t>Chance holders, identification of</w:t>
      </w:r>
      <w:bookmarkEnd w:id="132"/>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133" w:name="_Toc501526516"/>
      <w:r>
        <w:rPr>
          <w:rStyle w:val="CharSClsNo"/>
        </w:rPr>
        <w:t>3</w:t>
      </w:r>
      <w:r>
        <w:rPr>
          <w:snapToGrid w:val="0"/>
        </w:rPr>
        <w:t>.</w:t>
      </w:r>
      <w:r>
        <w:rPr>
          <w:snapToGrid w:val="0"/>
        </w:rPr>
        <w:tab/>
        <w:t>Results of draw</w:t>
      </w:r>
      <w:bookmarkEnd w:id="133"/>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134" w:name="_Toc501526517"/>
      <w:r>
        <w:rPr>
          <w:rStyle w:val="CharSClsNo"/>
        </w:rPr>
        <w:t>4</w:t>
      </w:r>
      <w:r>
        <w:rPr>
          <w:snapToGrid w:val="0"/>
        </w:rPr>
        <w:t>.</w:t>
      </w:r>
      <w:r>
        <w:rPr>
          <w:snapToGrid w:val="0"/>
        </w:rPr>
        <w:tab/>
        <w:t>Order in which prizes are to be drawn</w:t>
      </w:r>
      <w:bookmarkEnd w:id="134"/>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135" w:name="_Toc498094578"/>
      <w:bookmarkStart w:id="136" w:name="_Toc501526518"/>
      <w:r>
        <w:rPr>
          <w:snapToGrid w:val="0"/>
        </w:rPr>
        <w:t>Division 2 — Rules for the conduct of a continuing lottery</w:t>
      </w:r>
      <w:bookmarkEnd w:id="135"/>
      <w:bookmarkEnd w:id="136"/>
    </w:p>
    <w:p>
      <w:pPr>
        <w:pStyle w:val="yHeading5"/>
        <w:rPr>
          <w:snapToGrid w:val="0"/>
        </w:rPr>
      </w:pPr>
      <w:bookmarkStart w:id="137" w:name="_Toc501526519"/>
      <w:r>
        <w:rPr>
          <w:rStyle w:val="CharSClsNo"/>
        </w:rPr>
        <w:t>1</w:t>
      </w:r>
      <w:r>
        <w:rPr>
          <w:snapToGrid w:val="0"/>
        </w:rPr>
        <w:t>.</w:t>
      </w:r>
      <w:r>
        <w:rPr>
          <w:snapToGrid w:val="0"/>
        </w:rPr>
        <w:tab/>
        <w:t>Information on each ticket</w:t>
      </w:r>
      <w:bookmarkEnd w:id="137"/>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38" w:name="_Toc501526520"/>
      <w:r>
        <w:rPr>
          <w:rStyle w:val="CharSClsNo"/>
        </w:rPr>
        <w:t>2</w:t>
      </w:r>
      <w:r>
        <w:rPr>
          <w:snapToGrid w:val="0"/>
        </w:rPr>
        <w:t>.</w:t>
      </w:r>
      <w:r>
        <w:rPr>
          <w:snapToGrid w:val="0"/>
        </w:rPr>
        <w:tab/>
        <w:t>Where tickets may be sold</w:t>
      </w:r>
      <w:bookmarkEnd w:id="138"/>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in Gazette 4 Aug 1992 p. 3831.]</w:t>
      </w:r>
    </w:p>
    <w:p>
      <w:pPr>
        <w:sectPr>
          <w:headerReference w:type="even" r:id="rId30"/>
          <w:headerReference w:type="default" r:id="rId31"/>
          <w:headerReference w:type="first" r:id="rId32"/>
          <w:pgSz w:w="11907" w:h="16840" w:code="9"/>
          <w:pgMar w:top="2376" w:right="2404" w:bottom="3544" w:left="2404" w:header="709" w:footer="3379" w:gutter="0"/>
          <w:cols w:space="720"/>
          <w:noEndnote/>
          <w:docGrid w:linePitch="326"/>
        </w:sectPr>
      </w:pPr>
    </w:p>
    <w:p>
      <w:pPr>
        <w:pStyle w:val="yScheduleHeading"/>
      </w:pPr>
      <w:bookmarkStart w:id="139" w:name="_Toc498094581"/>
      <w:bookmarkStart w:id="140" w:name="_Toc501526521"/>
      <w:r>
        <w:rPr>
          <w:rStyle w:val="CharSchNo"/>
        </w:rPr>
        <w:t>Schedule 5</w:t>
      </w:r>
      <w:r>
        <w:rPr>
          <w:rStyle w:val="CharSDivNo"/>
        </w:rPr>
        <w:t> </w:t>
      </w:r>
      <w:r>
        <w:t>—</w:t>
      </w:r>
      <w:r>
        <w:rPr>
          <w:rStyle w:val="CharSDivText"/>
        </w:rPr>
        <w:t> </w:t>
      </w:r>
      <w:r>
        <w:rPr>
          <w:rStyle w:val="CharSchText"/>
        </w:rPr>
        <w:t>Conditions for trade promotion lottery</w:t>
      </w:r>
      <w:bookmarkEnd w:id="139"/>
      <w:bookmarkEnd w:id="140"/>
    </w:p>
    <w:p>
      <w:pPr>
        <w:pStyle w:val="yShoulderClause"/>
      </w:pPr>
      <w:r>
        <w:t>[r. 36A]</w:t>
      </w:r>
    </w:p>
    <w:p>
      <w:pPr>
        <w:pStyle w:val="yFootnoteheading"/>
      </w:pPr>
      <w:r>
        <w:tab/>
        <w:t>[Heading inserted in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in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7" w:h="16840" w:code="9"/>
          <w:pgMar w:top="2376" w:right="2404" w:bottom="3544" w:left="2404" w:header="709" w:footer="3379" w:gutter="0"/>
          <w:cols w:space="720"/>
          <w:noEndnote/>
          <w:docGrid w:linePitch="326"/>
        </w:sectPr>
      </w:pPr>
    </w:p>
    <w:p>
      <w:pPr>
        <w:pStyle w:val="nHeading2"/>
      </w:pPr>
      <w:bookmarkStart w:id="141" w:name="_Toc498094582"/>
      <w:bookmarkStart w:id="142" w:name="_Toc501526522"/>
      <w:r>
        <w:t>Notes</w:t>
      </w:r>
      <w:bookmarkEnd w:id="141"/>
      <w:bookmarkEnd w:id="142"/>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w:t>
      </w:r>
      <w:r>
        <w:rPr>
          <w:snapToGrid w:val="0"/>
          <w:vertAlign w:val="superscript"/>
        </w:rPr>
        <w:t>5</w:t>
      </w:r>
      <w:r>
        <w:rPr>
          <w:snapToGrid w:val="0"/>
        </w:rPr>
        <w:t>.  The table also contains information about any reprint.</w:t>
      </w:r>
    </w:p>
    <w:p>
      <w:pPr>
        <w:pStyle w:val="nHeading3"/>
        <w:rPr>
          <w:snapToGrid w:val="0"/>
        </w:rPr>
      </w:pPr>
      <w:bookmarkStart w:id="143" w:name="_Toc501526523"/>
      <w:r>
        <w:rPr>
          <w:snapToGrid w:val="0"/>
        </w:rPr>
        <w:t>Compilation table</w:t>
      </w:r>
      <w:bookmarkEnd w:id="143"/>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94"/>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tcPr>
          <w:p>
            <w:pPr>
              <w:pStyle w:val="nTable"/>
              <w:spacing w:after="40"/>
            </w:pPr>
            <w:r>
              <w:t>16 May 1997</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in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tcPr>
          <w:p>
            <w:pPr>
              <w:pStyle w:val="nTable"/>
              <w:spacing w:after="40"/>
            </w:pPr>
            <w:r>
              <w:t>27 Oct 2000</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tcPr>
          <w:p>
            <w:pPr>
              <w:pStyle w:val="nTable"/>
              <w:spacing w:after="40"/>
            </w:pPr>
            <w:r>
              <w:t>1 Jan 2005 (see r. 2)</w:t>
            </w:r>
          </w:p>
        </w:tc>
      </w:tr>
      <w:tr>
        <w:trPr>
          <w:gridBefore w:val="1"/>
          <w:wBefore w:w="20" w:type="dxa"/>
          <w:cantSplit/>
        </w:trPr>
        <w:tc>
          <w:tcPr>
            <w:tcW w:w="7088" w:type="dxa"/>
            <w:gridSpan w:val="5"/>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5"/>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5"/>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5"/>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cantSplit/>
        </w:trPr>
        <w:tc>
          <w:tcPr>
            <w:tcW w:w="3119" w:type="dxa"/>
            <w:gridSpan w:val="2"/>
          </w:tcPr>
          <w:p>
            <w:pPr>
              <w:pStyle w:val="nTable"/>
              <w:spacing w:after="40"/>
              <w:ind w:right="113"/>
              <w:rPr>
                <w:vertAlign w:val="superscript"/>
              </w:rPr>
            </w:pPr>
            <w:r>
              <w:rPr>
                <w:i/>
              </w:rPr>
              <w:t>Gaming and Wagering Commission Amendment Regulations 2014</w:t>
            </w:r>
          </w:p>
        </w:tc>
        <w:tc>
          <w:tcPr>
            <w:tcW w:w="1276" w:type="dxa"/>
            <w:gridSpan w:val="2"/>
          </w:tcPr>
          <w:p>
            <w:pPr>
              <w:pStyle w:val="nTable"/>
              <w:spacing w:after="40"/>
            </w:pPr>
            <w:r>
              <w:t>14 Nov 2014 p. 4282</w:t>
            </w:r>
            <w:r>
              <w:noBreakHyphen/>
              <w:t>4</w:t>
            </w:r>
          </w:p>
        </w:tc>
        <w:tc>
          <w:tcPr>
            <w:tcW w:w="2713" w:type="dxa"/>
            <w:gridSpan w:val="2"/>
          </w:tcPr>
          <w:p>
            <w:pPr>
              <w:pStyle w:val="nTable"/>
              <w:spacing w:after="40"/>
            </w:pPr>
            <w:r>
              <w:rPr>
                <w:rFonts w:ascii="Times" w:hAnsi="Times"/>
                <w:bCs/>
                <w:snapToGrid w:val="0"/>
                <w:spacing w:val="-2"/>
              </w:rPr>
              <w:t>r. 1 and 2: 14 Nov 2014 (see r. 2(a));</w:t>
            </w:r>
            <w:r>
              <w:rPr>
                <w:rFonts w:ascii="Times" w:hAnsi="Times"/>
                <w:bCs/>
                <w:snapToGrid w:val="0"/>
                <w:spacing w:val="-2"/>
              </w:rPr>
              <w:br/>
              <w:t xml:space="preserve">Regulations other than r. 1 and 2: </w:t>
            </w:r>
            <w:r>
              <w:t>1 Jan 2015 (see r. 2(b))</w:t>
            </w:r>
          </w:p>
        </w:tc>
      </w:tr>
      <w:tr>
        <w:trPr>
          <w:cantSplit/>
        </w:trPr>
        <w:tc>
          <w:tcPr>
            <w:tcW w:w="3119" w:type="dxa"/>
            <w:gridSpan w:val="2"/>
          </w:tcPr>
          <w:p>
            <w:pPr>
              <w:pStyle w:val="nTable"/>
              <w:spacing w:after="40"/>
              <w:ind w:right="113"/>
              <w:rPr>
                <w:i/>
              </w:rPr>
            </w:pPr>
            <w:r>
              <w:rPr>
                <w:i/>
              </w:rPr>
              <w:t xml:space="preserve">Racing, Gaming and Liquor Regulations Amendment (Fees and Charges) Regulations 2015 </w:t>
            </w:r>
            <w:r>
              <w:t>Pt. 5</w:t>
            </w:r>
          </w:p>
        </w:tc>
        <w:tc>
          <w:tcPr>
            <w:tcW w:w="1276" w:type="dxa"/>
            <w:gridSpan w:val="2"/>
          </w:tcPr>
          <w:p>
            <w:pPr>
              <w:pStyle w:val="nTable"/>
              <w:spacing w:after="40"/>
            </w:pPr>
            <w:r>
              <w:t>6 Nov 2015 p. 4581-8</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1 Jan 2016</w:t>
            </w:r>
            <w:r>
              <w:t xml:space="preserve"> (see r. 2(b))</w:t>
            </w:r>
          </w:p>
        </w:tc>
      </w:tr>
      <w:tr>
        <w:trPr>
          <w:cantSplit/>
        </w:trPr>
        <w:tc>
          <w:tcPr>
            <w:tcW w:w="3119" w:type="dxa"/>
            <w:gridSpan w:val="2"/>
          </w:tcPr>
          <w:p>
            <w:pPr>
              <w:pStyle w:val="nTable"/>
              <w:spacing w:after="40"/>
              <w:ind w:right="113"/>
              <w:rPr>
                <w:i/>
              </w:rPr>
            </w:pPr>
            <w:r>
              <w:rPr>
                <w:i/>
              </w:rPr>
              <w:t>Gaming and Wagering Commission Amendment Regulations 2015</w:t>
            </w:r>
          </w:p>
        </w:tc>
        <w:tc>
          <w:tcPr>
            <w:tcW w:w="1276" w:type="dxa"/>
            <w:gridSpan w:val="2"/>
          </w:tcPr>
          <w:p>
            <w:pPr>
              <w:pStyle w:val="nTable"/>
              <w:spacing w:after="40"/>
            </w:pPr>
            <w:r>
              <w:t>1 Dec 2015 p. 4823</w:t>
            </w:r>
            <w:r>
              <w:noBreakHyphen/>
              <w:t>4</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1 Dec 2015 (see r. 2(a));</w:t>
            </w:r>
            <w:r>
              <w:rPr>
                <w:rFonts w:ascii="Times" w:hAnsi="Times"/>
                <w:bCs/>
                <w:snapToGrid w:val="0"/>
                <w:spacing w:val="-2"/>
              </w:rPr>
              <w:br/>
              <w:t>Regulations other than r. 1 and 2: 2</w:t>
            </w:r>
            <w:r>
              <w:t xml:space="preserve"> Dec 2015 (see r. 2(b))</w:t>
            </w:r>
          </w:p>
        </w:tc>
      </w:tr>
      <w:tr>
        <w:trPr>
          <w:cantSplit/>
        </w:trPr>
        <w:tc>
          <w:tcPr>
            <w:tcW w:w="3119" w:type="dxa"/>
            <w:gridSpan w:val="2"/>
          </w:tcPr>
          <w:p>
            <w:pPr>
              <w:pStyle w:val="nTable"/>
              <w:spacing w:after="40"/>
              <w:ind w:right="113"/>
              <w:rPr>
                <w:i/>
              </w:rPr>
            </w:pPr>
            <w:r>
              <w:rPr>
                <w:i/>
              </w:rPr>
              <w:t>Gaming and Wagering Commission Amendment Regulations 2016</w:t>
            </w:r>
          </w:p>
        </w:tc>
        <w:tc>
          <w:tcPr>
            <w:tcW w:w="1276" w:type="dxa"/>
            <w:gridSpan w:val="2"/>
          </w:tcPr>
          <w:p>
            <w:pPr>
              <w:pStyle w:val="nTable"/>
              <w:spacing w:after="40"/>
            </w:pPr>
            <w:r>
              <w:t>6 Sep 2016 p. 3831-3</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2016</w:t>
            </w:r>
            <w:r>
              <w:t xml:space="preserve"> Pt. 5</w:t>
            </w:r>
          </w:p>
        </w:tc>
        <w:tc>
          <w:tcPr>
            <w:tcW w:w="1276" w:type="dxa"/>
            <w:gridSpan w:val="2"/>
          </w:tcPr>
          <w:p>
            <w:pPr>
              <w:pStyle w:val="nTable"/>
              <w:spacing w:after="40"/>
            </w:pPr>
            <w:r>
              <w:t>28 Oct 2016 p. 4910</w:t>
            </w:r>
            <w:r>
              <w:noBreakHyphen/>
              <w:t>16</w:t>
            </w:r>
          </w:p>
        </w:tc>
        <w:tc>
          <w:tcPr>
            <w:tcW w:w="2713" w:type="dxa"/>
            <w:gridSpan w:val="2"/>
          </w:tcPr>
          <w:p>
            <w:pPr>
              <w:pStyle w:val="nTable"/>
              <w:spacing w:after="40"/>
              <w:rPr>
                <w:rFonts w:ascii="Times" w:hAnsi="Times"/>
                <w:bCs/>
                <w:snapToGrid w:val="0"/>
                <w:spacing w:val="-2"/>
              </w:rPr>
            </w:pPr>
            <w:r>
              <w:t>1 Jan 2017 (see r. 2(b))</w:t>
            </w:r>
          </w:p>
        </w:tc>
      </w:tr>
      <w:tr>
        <w:trPr>
          <w:cantSplit/>
        </w:trPr>
        <w:tc>
          <w:tcPr>
            <w:tcW w:w="3119" w:type="dxa"/>
            <w:gridSpan w:val="2"/>
          </w:tcPr>
          <w:p>
            <w:pPr>
              <w:pStyle w:val="nTable"/>
              <w:spacing w:after="40"/>
              <w:ind w:right="113"/>
            </w:pPr>
            <w:r>
              <w:rPr>
                <w:i/>
              </w:rPr>
              <w:t>Gaming and Wagering Commission Amendment Regulations 2017</w:t>
            </w:r>
          </w:p>
        </w:tc>
        <w:tc>
          <w:tcPr>
            <w:tcW w:w="1276" w:type="dxa"/>
            <w:gridSpan w:val="2"/>
          </w:tcPr>
          <w:p>
            <w:pPr>
              <w:pStyle w:val="nTable"/>
              <w:spacing w:after="40"/>
            </w:pPr>
            <w:r>
              <w:t>26 May 2017 p. 2632</w:t>
            </w:r>
            <w:r>
              <w:noBreakHyphen/>
              <w:t>3</w:t>
            </w:r>
          </w:p>
        </w:tc>
        <w:tc>
          <w:tcPr>
            <w:tcW w:w="2713" w:type="dxa"/>
            <w:gridSpan w:val="2"/>
          </w:tcPr>
          <w:p>
            <w:pPr>
              <w:pStyle w:val="nTable"/>
              <w:spacing w:after="40"/>
            </w:pPr>
            <w:r>
              <w:t>r. 1 and 2: 26 May 2017 (see r. 2(a));</w:t>
            </w:r>
            <w:r>
              <w:br/>
              <w:t>Regulations other than r. 1 and 2: 27 May 2017 (see r. 2(b))</w:t>
            </w:r>
          </w:p>
        </w:tc>
      </w:tr>
      <w:tr>
        <w:trPr>
          <w:cantSplit/>
        </w:trPr>
        <w:tc>
          <w:tcPr>
            <w:tcW w:w="3119" w:type="dxa"/>
            <w:gridSpan w:val="2"/>
          </w:tcPr>
          <w:p>
            <w:pPr>
              <w:pStyle w:val="nTable"/>
              <w:spacing w:after="40"/>
              <w:ind w:right="113"/>
              <w:rPr>
                <w:i/>
              </w:rPr>
            </w:pPr>
            <w:r>
              <w:rPr>
                <w:i/>
              </w:rPr>
              <w:t>Gaming and Wagering Commission Amendment Regulations (No. 3) 2017</w:t>
            </w:r>
          </w:p>
        </w:tc>
        <w:tc>
          <w:tcPr>
            <w:tcW w:w="1276" w:type="dxa"/>
            <w:gridSpan w:val="2"/>
          </w:tcPr>
          <w:p>
            <w:pPr>
              <w:pStyle w:val="nTable"/>
              <w:spacing w:after="40"/>
            </w:pPr>
            <w:r>
              <w:t>11 Jul 2017 p. 3833</w:t>
            </w:r>
            <w:r>
              <w:noBreakHyphen/>
              <w:t>4</w:t>
            </w:r>
          </w:p>
        </w:tc>
        <w:tc>
          <w:tcPr>
            <w:tcW w:w="2713" w:type="dxa"/>
            <w:gridSpan w:val="2"/>
          </w:tcPr>
          <w:p>
            <w:pPr>
              <w:pStyle w:val="nTable"/>
              <w:spacing w:after="40"/>
            </w:pPr>
            <w:r>
              <w:t>r. 1 and 2: 11 Jul 2017 (see r. 2(a));</w:t>
            </w:r>
            <w:r>
              <w:br/>
              <w:t>Regulations other than r. 1 and 2: 12 Jul 2017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2017</w:t>
            </w:r>
            <w:r>
              <w:t xml:space="preserve"> Pt. 5</w:t>
            </w:r>
          </w:p>
        </w:tc>
        <w:tc>
          <w:tcPr>
            <w:tcW w:w="1276" w:type="dxa"/>
            <w:gridSpan w:val="2"/>
          </w:tcPr>
          <w:p>
            <w:pPr>
              <w:pStyle w:val="nTable"/>
              <w:spacing w:after="40"/>
            </w:pPr>
            <w:r>
              <w:t>10 Nov 2017 p. 5579</w:t>
            </w:r>
            <w:r>
              <w:noBreakHyphen/>
              <w:t>94</w:t>
            </w:r>
          </w:p>
        </w:tc>
        <w:tc>
          <w:tcPr>
            <w:tcW w:w="2713" w:type="dxa"/>
            <w:gridSpan w:val="2"/>
          </w:tcPr>
          <w:p>
            <w:pPr>
              <w:pStyle w:val="nTable"/>
              <w:spacing w:after="40"/>
            </w:pPr>
            <w:r>
              <w:t>1 Jan 2018 (see r. 2(b))</w:t>
            </w:r>
          </w:p>
        </w:tc>
      </w:tr>
      <w:tr>
        <w:trPr>
          <w:cantSplit/>
        </w:trPr>
        <w:tc>
          <w:tcPr>
            <w:tcW w:w="3119" w:type="dxa"/>
            <w:gridSpan w:val="2"/>
            <w:tcBorders>
              <w:bottom w:val="single" w:sz="4" w:space="0" w:color="auto"/>
            </w:tcBorders>
          </w:tcPr>
          <w:p>
            <w:pPr>
              <w:pStyle w:val="nTable"/>
              <w:spacing w:after="40"/>
              <w:ind w:right="113"/>
              <w:rPr>
                <w:i/>
              </w:rPr>
            </w:pPr>
            <w:r>
              <w:rPr>
                <w:i/>
              </w:rPr>
              <w:t>Gaming and Wagering Commission Amendment Regulations 2018</w:t>
            </w:r>
          </w:p>
        </w:tc>
        <w:tc>
          <w:tcPr>
            <w:tcW w:w="1276" w:type="dxa"/>
            <w:gridSpan w:val="2"/>
            <w:tcBorders>
              <w:bottom w:val="single" w:sz="4" w:space="0" w:color="auto"/>
            </w:tcBorders>
          </w:tcPr>
          <w:p>
            <w:pPr>
              <w:pStyle w:val="nTable"/>
              <w:spacing w:after="40"/>
            </w:pPr>
            <w:r>
              <w:t>2 Mar 2018 p. 672</w:t>
            </w:r>
          </w:p>
        </w:tc>
        <w:tc>
          <w:tcPr>
            <w:tcW w:w="2713" w:type="dxa"/>
            <w:gridSpan w:val="2"/>
            <w:tcBorders>
              <w:bottom w:val="single" w:sz="4" w:space="0" w:color="auto"/>
            </w:tcBorders>
          </w:tcPr>
          <w:p>
            <w:pPr>
              <w:pStyle w:val="nTable"/>
              <w:spacing w:after="40"/>
            </w:pPr>
            <w:r>
              <w:t>r. 1 and 2: 2 Mar 2018 (see r. 2(a));</w:t>
            </w:r>
            <w:r>
              <w:br/>
              <w:t>Regulations other than r. 1 and 2: 3 Mar 2018 (see r. 2(b))</w:t>
            </w:r>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in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Pr>
        <w:pStyle w:val="nSubsection"/>
      </w:pPr>
    </w:p>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amusement parlour</w:t>
      </w:r>
      <w:r>
        <w:tab/>
        <w:t>18B(7)</w:t>
      </w:r>
    </w:p>
    <w:p>
      <w:pPr>
        <w:pStyle w:val="DefinedTerms"/>
      </w:pPr>
      <w:r>
        <w:t>cruise ship</w:t>
      </w:r>
      <w:r>
        <w:tab/>
        <w:t>18C(1)</w:t>
      </w:r>
    </w:p>
    <w:p>
      <w:pPr>
        <w:pStyle w:val="DefinedTerms"/>
      </w:pPr>
      <w:r>
        <w:t>donor organization</w:t>
      </w:r>
      <w:r>
        <w:tab/>
        <w:t>30A(3)</w:t>
      </w:r>
    </w:p>
    <w:p>
      <w:pPr>
        <w:pStyle w:val="DefinedTerms"/>
      </w:pPr>
      <w:r>
        <w:t>gambling operator</w:t>
      </w:r>
      <w:r>
        <w:tab/>
        <w:t>43(1)</w:t>
      </w:r>
    </w:p>
    <w:p>
      <w:pPr>
        <w:pStyle w:val="DefinedTerms"/>
      </w:pPr>
      <w:r>
        <w:t>lottery terms and conditions</w:t>
      </w:r>
      <w:r>
        <w:tab/>
        <w:t>36A(2)</w:t>
      </w:r>
    </w:p>
    <w:p>
      <w:pPr>
        <w:pStyle w:val="DefinedTerms"/>
      </w:pPr>
      <w:r>
        <w:t>prize</w:t>
      </w:r>
      <w:r>
        <w:tab/>
        <w:t>23A(2)</w:t>
      </w:r>
    </w:p>
    <w:p>
      <w:pPr>
        <w:pStyle w:val="DefinedTerms"/>
      </w:pPr>
      <w:r>
        <w:t>prize goods</w:t>
      </w:r>
      <w:r>
        <w:tab/>
        <w:t>Sch. 4 cl. 7(2), Sch. 4 cl. 8(2)</w:t>
      </w:r>
    </w:p>
    <w:p>
      <w:pPr>
        <w:pStyle w:val="DefinedTerms"/>
      </w:pPr>
      <w:r>
        <w:t>publish</w:t>
      </w:r>
      <w:r>
        <w:tab/>
        <w:t>43(1)</w:t>
      </w:r>
    </w:p>
    <w:p>
      <w:pPr>
        <w:pStyle w:val="DefinedTerms"/>
      </w:pPr>
      <w:r>
        <w:t>rents</w:t>
      </w:r>
      <w:r>
        <w:tab/>
        <w:t>18(2)</w:t>
      </w:r>
    </w:p>
    <w:p>
      <w:pPr>
        <w:pStyle w:val="DefinedTerms"/>
      </w:pPr>
      <w:r>
        <w:t>series</w:t>
      </w:r>
      <w:r>
        <w:tab/>
        <w:t>18AA(3)</w:t>
      </w:r>
    </w:p>
    <w:p>
      <w:pPr>
        <w:pStyle w:val="DefinedTerms"/>
      </w:pPr>
      <w:r>
        <w:t>snowball</w:t>
      </w:r>
      <w:r>
        <w:tab/>
        <w:t>Sch. 4 cl. 6</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pPr>
        <w:jc w:val="both"/>
      </w:pP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1" w:name="Schedule"/>
    <w:bookmarkEnd w:id="1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4" w:name="Compilation"/>
    <w:bookmarkEnd w:id="144"/>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5" w:name="DefinedTerms"/>
    <w:bookmarkEnd w:id="145"/>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6" w:name="Coversheet"/>
    <w:bookmarkEnd w:id="1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10134737"/>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962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6.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image" Target="media/image2.png"/><Relationship Id="rId38" Type="http://schemas.openxmlformats.org/officeDocument/2006/relationships/header" Target="header22.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421BCB-474E-46B5-87DD-82387D170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16062</Words>
  <Characters>78065</Characters>
  <Application>Microsoft Office Word</Application>
  <DocSecurity>0</DocSecurity>
  <Lines>2518</Lines>
  <Paragraphs>1622</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92505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1988 - 06-n0-01</dc:title>
  <dc:subject/>
  <dc:creator/>
  <cp:keywords/>
  <dc:description/>
  <cp:lastModifiedBy>svcMRProcess</cp:lastModifiedBy>
  <cp:revision>4</cp:revision>
  <cp:lastPrinted>2014-05-27T00:05:00Z</cp:lastPrinted>
  <dcterms:created xsi:type="dcterms:W3CDTF">2018-09-12T03:15:00Z</dcterms:created>
  <dcterms:modified xsi:type="dcterms:W3CDTF">2018-09-12T03:15:00Z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CommencementDate">
    <vt:lpwstr>20180303</vt:lpwstr>
  </property>
  <property fmtid="{D5CDD505-2E9C-101B-9397-08002B2CF9AE}" pid="8" name="AsAtDate">
    <vt:lpwstr>03 Mar 2018</vt:lpwstr>
  </property>
  <property fmtid="{D5CDD505-2E9C-101B-9397-08002B2CF9AE}" pid="9" name="Suffix">
    <vt:lpwstr>06-n0-01</vt:lpwstr>
  </property>
</Properties>
</file>