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Police Force Regulations 1979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Police Force Regulations 1979</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I — Preliminary</w:t>
      </w:r>
    </w:p>
    <w:p>
      <w:pPr>
        <w:pStyle w:val="TOC8"/>
        <w:rPr>
          <w:sz w:val="24"/>
          <w:szCs w:val="24"/>
        </w:rPr>
      </w:pPr>
      <w:r>
        <w:rPr>
          <w:szCs w:val="24"/>
        </w:rPr>
        <w:t>101</w:t>
      </w:r>
      <w:r>
        <w:rPr>
          <w:snapToGrid w:val="0"/>
          <w:szCs w:val="24"/>
        </w:rPr>
        <w:t>.</w:t>
      </w:r>
      <w:r>
        <w:rPr>
          <w:snapToGrid w:val="0"/>
          <w:szCs w:val="24"/>
        </w:rPr>
        <w:tab/>
        <w:t>Citation</w:t>
      </w:r>
      <w:r>
        <w:tab/>
      </w:r>
      <w:r>
        <w:fldChar w:fldCharType="begin"/>
      </w:r>
      <w:r>
        <w:instrText xml:space="preserve"> PAGEREF _Toc158523498 \h </w:instrText>
      </w:r>
      <w:r>
        <w:fldChar w:fldCharType="separate"/>
      </w:r>
      <w:r>
        <w:t>1</w:t>
      </w:r>
      <w:r>
        <w:fldChar w:fldCharType="end"/>
      </w:r>
    </w:p>
    <w:p>
      <w:pPr>
        <w:pStyle w:val="TOC8"/>
        <w:rPr>
          <w:sz w:val="24"/>
          <w:szCs w:val="24"/>
        </w:rPr>
      </w:pPr>
      <w:r>
        <w:rPr>
          <w:szCs w:val="24"/>
        </w:rPr>
        <w:t>103</w:t>
      </w:r>
      <w:r>
        <w:rPr>
          <w:snapToGrid w:val="0"/>
          <w:szCs w:val="24"/>
        </w:rPr>
        <w:t>.</w:t>
      </w:r>
      <w:r>
        <w:rPr>
          <w:snapToGrid w:val="0"/>
          <w:szCs w:val="24"/>
        </w:rPr>
        <w:tab/>
        <w:t>Interpretation</w:t>
      </w:r>
      <w:r>
        <w:tab/>
      </w:r>
      <w:r>
        <w:fldChar w:fldCharType="begin"/>
      </w:r>
      <w:r>
        <w:instrText xml:space="preserve"> PAGEREF _Toc158523499 \h </w:instrText>
      </w:r>
      <w:r>
        <w:fldChar w:fldCharType="separate"/>
      </w:r>
      <w:r>
        <w:t>1</w:t>
      </w:r>
      <w:r>
        <w:fldChar w:fldCharType="end"/>
      </w:r>
    </w:p>
    <w:p>
      <w:pPr>
        <w:pStyle w:val="TOC2"/>
        <w:tabs>
          <w:tab w:val="right" w:leader="dot" w:pos="7078"/>
        </w:tabs>
        <w:rPr>
          <w:b w:val="0"/>
          <w:sz w:val="24"/>
          <w:szCs w:val="24"/>
        </w:rPr>
      </w:pPr>
      <w:r>
        <w:rPr>
          <w:szCs w:val="30"/>
        </w:rPr>
        <w:t>Part II — Constitution</w:t>
      </w:r>
    </w:p>
    <w:p>
      <w:pPr>
        <w:pStyle w:val="TOC8"/>
        <w:rPr>
          <w:sz w:val="24"/>
          <w:szCs w:val="24"/>
        </w:rPr>
      </w:pPr>
      <w:r>
        <w:rPr>
          <w:szCs w:val="24"/>
        </w:rPr>
        <w:t>201</w:t>
      </w:r>
      <w:r>
        <w:rPr>
          <w:snapToGrid w:val="0"/>
          <w:szCs w:val="24"/>
        </w:rPr>
        <w:t>.</w:t>
      </w:r>
      <w:r>
        <w:rPr>
          <w:snapToGrid w:val="0"/>
          <w:szCs w:val="24"/>
        </w:rPr>
        <w:tab/>
        <w:t>Order of rank</w:t>
      </w:r>
      <w:r>
        <w:tab/>
      </w:r>
      <w:r>
        <w:fldChar w:fldCharType="begin"/>
      </w:r>
      <w:r>
        <w:instrText xml:space="preserve"> PAGEREF _Toc158523501 \h </w:instrText>
      </w:r>
      <w:r>
        <w:fldChar w:fldCharType="separate"/>
      </w:r>
      <w:r>
        <w:t>4</w:t>
      </w:r>
      <w:r>
        <w:fldChar w:fldCharType="end"/>
      </w:r>
    </w:p>
    <w:p>
      <w:pPr>
        <w:pStyle w:val="TOC2"/>
        <w:tabs>
          <w:tab w:val="right" w:leader="dot" w:pos="7078"/>
        </w:tabs>
        <w:rPr>
          <w:b w:val="0"/>
          <w:sz w:val="24"/>
          <w:szCs w:val="24"/>
        </w:rPr>
      </w:pPr>
      <w:r>
        <w:rPr>
          <w:szCs w:val="30"/>
        </w:rPr>
        <w:t>Part III — Organization</w:t>
      </w:r>
    </w:p>
    <w:p>
      <w:pPr>
        <w:pStyle w:val="TOC8"/>
        <w:rPr>
          <w:sz w:val="24"/>
          <w:szCs w:val="24"/>
        </w:rPr>
      </w:pPr>
      <w:r>
        <w:rPr>
          <w:szCs w:val="24"/>
        </w:rPr>
        <w:t>301</w:t>
      </w:r>
      <w:r>
        <w:rPr>
          <w:snapToGrid w:val="0"/>
          <w:szCs w:val="24"/>
        </w:rPr>
        <w:t>.</w:t>
      </w:r>
      <w:r>
        <w:rPr>
          <w:snapToGrid w:val="0"/>
          <w:szCs w:val="24"/>
        </w:rPr>
        <w:tab/>
        <w:t>Commissioner to determine functions, duties and responsibilities</w:t>
      </w:r>
      <w:r>
        <w:tab/>
      </w:r>
      <w:r>
        <w:fldChar w:fldCharType="begin"/>
      </w:r>
      <w:r>
        <w:instrText xml:space="preserve"> PAGEREF _Toc158523503 \h </w:instrText>
      </w:r>
      <w:r>
        <w:fldChar w:fldCharType="separate"/>
      </w:r>
      <w:r>
        <w:t>6</w:t>
      </w:r>
      <w:r>
        <w:fldChar w:fldCharType="end"/>
      </w:r>
    </w:p>
    <w:p>
      <w:pPr>
        <w:pStyle w:val="TOC8"/>
        <w:rPr>
          <w:sz w:val="24"/>
          <w:szCs w:val="24"/>
        </w:rPr>
      </w:pPr>
      <w:r>
        <w:rPr>
          <w:szCs w:val="24"/>
        </w:rPr>
        <w:t>302</w:t>
      </w:r>
      <w:r>
        <w:rPr>
          <w:snapToGrid w:val="0"/>
          <w:szCs w:val="24"/>
        </w:rPr>
        <w:t>.</w:t>
      </w:r>
      <w:r>
        <w:rPr>
          <w:snapToGrid w:val="0"/>
          <w:szCs w:val="24"/>
        </w:rPr>
        <w:tab/>
        <w:t>Deployment and control</w:t>
      </w:r>
      <w:r>
        <w:tab/>
      </w:r>
      <w:r>
        <w:fldChar w:fldCharType="begin"/>
      </w:r>
      <w:r>
        <w:instrText xml:space="preserve"> PAGEREF _Toc158523504 \h </w:instrText>
      </w:r>
      <w:r>
        <w:fldChar w:fldCharType="separate"/>
      </w:r>
      <w:r>
        <w:t>6</w:t>
      </w:r>
      <w:r>
        <w:fldChar w:fldCharType="end"/>
      </w:r>
    </w:p>
    <w:p>
      <w:pPr>
        <w:pStyle w:val="TOC8"/>
        <w:rPr>
          <w:sz w:val="24"/>
          <w:szCs w:val="24"/>
        </w:rPr>
      </w:pPr>
      <w:r>
        <w:rPr>
          <w:szCs w:val="24"/>
        </w:rPr>
        <w:t>303</w:t>
      </w:r>
      <w:r>
        <w:rPr>
          <w:snapToGrid w:val="0"/>
          <w:szCs w:val="24"/>
        </w:rPr>
        <w:t>.</w:t>
      </w:r>
      <w:r>
        <w:rPr>
          <w:snapToGrid w:val="0"/>
          <w:szCs w:val="24"/>
        </w:rPr>
        <w:tab/>
        <w:t>Officers in control</w:t>
      </w:r>
      <w:r>
        <w:tab/>
      </w:r>
      <w:r>
        <w:fldChar w:fldCharType="begin"/>
      </w:r>
      <w:r>
        <w:instrText xml:space="preserve"> PAGEREF _Toc158523505 \h </w:instrText>
      </w:r>
      <w:r>
        <w:fldChar w:fldCharType="separate"/>
      </w:r>
      <w:r>
        <w:t>6</w:t>
      </w:r>
      <w:r>
        <w:fldChar w:fldCharType="end"/>
      </w:r>
    </w:p>
    <w:p>
      <w:pPr>
        <w:pStyle w:val="TOC8"/>
        <w:rPr>
          <w:sz w:val="24"/>
          <w:szCs w:val="24"/>
        </w:rPr>
      </w:pPr>
      <w:r>
        <w:rPr>
          <w:szCs w:val="24"/>
        </w:rPr>
        <w:t>304</w:t>
      </w:r>
      <w:r>
        <w:rPr>
          <w:snapToGrid w:val="0"/>
          <w:szCs w:val="24"/>
        </w:rPr>
        <w:t>.</w:t>
      </w:r>
      <w:r>
        <w:rPr>
          <w:snapToGrid w:val="0"/>
          <w:szCs w:val="24"/>
        </w:rPr>
        <w:tab/>
        <w:t>Officers</w:t>
      </w:r>
      <w:r>
        <w:rPr>
          <w:snapToGrid w:val="0"/>
          <w:szCs w:val="24"/>
        </w:rPr>
        <w:noBreakHyphen/>
        <w:t>in</w:t>
      </w:r>
      <w:r>
        <w:rPr>
          <w:snapToGrid w:val="0"/>
          <w:szCs w:val="24"/>
        </w:rPr>
        <w:noBreakHyphen/>
        <w:t>charge absent</w:t>
      </w:r>
      <w:r>
        <w:tab/>
      </w:r>
      <w:r>
        <w:fldChar w:fldCharType="begin"/>
      </w:r>
      <w:r>
        <w:instrText xml:space="preserve"> PAGEREF _Toc158523506 \h </w:instrText>
      </w:r>
      <w:r>
        <w:fldChar w:fldCharType="separate"/>
      </w:r>
      <w:r>
        <w:t>7</w:t>
      </w:r>
      <w:r>
        <w:fldChar w:fldCharType="end"/>
      </w:r>
    </w:p>
    <w:p>
      <w:pPr>
        <w:pStyle w:val="TOC8"/>
        <w:rPr>
          <w:sz w:val="24"/>
          <w:szCs w:val="24"/>
        </w:rPr>
      </w:pPr>
      <w:r>
        <w:rPr>
          <w:szCs w:val="24"/>
        </w:rPr>
        <w:t>305</w:t>
      </w:r>
      <w:r>
        <w:rPr>
          <w:snapToGrid w:val="0"/>
          <w:szCs w:val="24"/>
        </w:rPr>
        <w:t>.</w:t>
      </w:r>
      <w:r>
        <w:rPr>
          <w:snapToGrid w:val="0"/>
          <w:szCs w:val="24"/>
        </w:rPr>
        <w:tab/>
        <w:t>Commissioner may appoint any member when officer</w:t>
      </w:r>
      <w:r>
        <w:rPr>
          <w:snapToGrid w:val="0"/>
          <w:szCs w:val="24"/>
        </w:rPr>
        <w:noBreakHyphen/>
        <w:t>in</w:t>
      </w:r>
      <w:r>
        <w:rPr>
          <w:snapToGrid w:val="0"/>
          <w:szCs w:val="24"/>
        </w:rPr>
        <w:noBreakHyphen/>
        <w:t>charge absent</w:t>
      </w:r>
      <w:r>
        <w:tab/>
      </w:r>
      <w:r>
        <w:fldChar w:fldCharType="begin"/>
      </w:r>
      <w:r>
        <w:instrText xml:space="preserve"> PAGEREF _Toc158523507 \h </w:instrText>
      </w:r>
      <w:r>
        <w:fldChar w:fldCharType="separate"/>
      </w:r>
      <w:r>
        <w:t>7</w:t>
      </w:r>
      <w:r>
        <w:fldChar w:fldCharType="end"/>
      </w:r>
    </w:p>
    <w:p>
      <w:pPr>
        <w:pStyle w:val="TOC8"/>
        <w:rPr>
          <w:sz w:val="24"/>
          <w:szCs w:val="24"/>
        </w:rPr>
      </w:pPr>
      <w:r>
        <w:rPr>
          <w:szCs w:val="24"/>
        </w:rPr>
        <w:t>306</w:t>
      </w:r>
      <w:r>
        <w:rPr>
          <w:snapToGrid w:val="0"/>
          <w:szCs w:val="24"/>
        </w:rPr>
        <w:t>.</w:t>
      </w:r>
      <w:r>
        <w:rPr>
          <w:snapToGrid w:val="0"/>
          <w:szCs w:val="24"/>
        </w:rPr>
        <w:tab/>
        <w:t>Senior member to exercise command unless member specially detailed</w:t>
      </w:r>
      <w:r>
        <w:tab/>
      </w:r>
      <w:r>
        <w:fldChar w:fldCharType="begin"/>
      </w:r>
      <w:r>
        <w:instrText xml:space="preserve"> PAGEREF _Toc158523508 \h </w:instrText>
      </w:r>
      <w:r>
        <w:fldChar w:fldCharType="separate"/>
      </w:r>
      <w:r>
        <w:t>8</w:t>
      </w:r>
      <w:r>
        <w:fldChar w:fldCharType="end"/>
      </w:r>
    </w:p>
    <w:p>
      <w:pPr>
        <w:pStyle w:val="TOC8"/>
        <w:rPr>
          <w:sz w:val="24"/>
          <w:szCs w:val="24"/>
        </w:rPr>
      </w:pPr>
      <w:r>
        <w:rPr>
          <w:szCs w:val="24"/>
        </w:rPr>
        <w:t>307</w:t>
      </w:r>
      <w:r>
        <w:rPr>
          <w:snapToGrid w:val="0"/>
          <w:szCs w:val="24"/>
        </w:rPr>
        <w:t>.</w:t>
      </w:r>
      <w:r>
        <w:rPr>
          <w:snapToGrid w:val="0"/>
          <w:szCs w:val="24"/>
        </w:rPr>
        <w:tab/>
      </w:r>
      <w:r>
        <w:rPr>
          <w:i/>
          <w:snapToGrid w:val="0"/>
          <w:szCs w:val="24"/>
        </w:rPr>
        <w:t>Police Gazette</w:t>
      </w:r>
      <w:r>
        <w:rPr>
          <w:snapToGrid w:val="0"/>
          <w:szCs w:val="24"/>
        </w:rPr>
        <w:t xml:space="preserve"> to be published</w:t>
      </w:r>
      <w:r>
        <w:tab/>
      </w:r>
      <w:r>
        <w:fldChar w:fldCharType="begin"/>
      </w:r>
      <w:r>
        <w:instrText xml:space="preserve"> PAGEREF _Toc158523509 \h </w:instrText>
      </w:r>
      <w:r>
        <w:fldChar w:fldCharType="separate"/>
      </w:r>
      <w:r>
        <w:t>8</w:t>
      </w:r>
      <w:r>
        <w:fldChar w:fldCharType="end"/>
      </w:r>
    </w:p>
    <w:p>
      <w:pPr>
        <w:pStyle w:val="TOC2"/>
        <w:tabs>
          <w:tab w:val="right" w:leader="dot" w:pos="7078"/>
        </w:tabs>
        <w:rPr>
          <w:b w:val="0"/>
          <w:sz w:val="24"/>
          <w:szCs w:val="24"/>
        </w:rPr>
      </w:pPr>
      <w:r>
        <w:rPr>
          <w:szCs w:val="30"/>
        </w:rPr>
        <w:t>Part IV — Duties</w:t>
      </w:r>
    </w:p>
    <w:p>
      <w:pPr>
        <w:pStyle w:val="TOC8"/>
        <w:rPr>
          <w:sz w:val="24"/>
          <w:szCs w:val="24"/>
        </w:rPr>
      </w:pPr>
      <w:r>
        <w:rPr>
          <w:szCs w:val="24"/>
        </w:rPr>
        <w:t>401</w:t>
      </w:r>
      <w:r>
        <w:rPr>
          <w:snapToGrid w:val="0"/>
          <w:szCs w:val="24"/>
        </w:rPr>
        <w:t>.</w:t>
      </w:r>
      <w:r>
        <w:rPr>
          <w:snapToGrid w:val="0"/>
          <w:szCs w:val="24"/>
        </w:rPr>
        <w:tab/>
        <w:t>Member and cadet to obey directions</w:t>
      </w:r>
      <w:r>
        <w:tab/>
      </w:r>
      <w:r>
        <w:fldChar w:fldCharType="begin"/>
      </w:r>
      <w:r>
        <w:instrText xml:space="preserve"> PAGEREF _Toc158523511 \h </w:instrText>
      </w:r>
      <w:r>
        <w:fldChar w:fldCharType="separate"/>
      </w:r>
      <w:r>
        <w:t>9</w:t>
      </w:r>
      <w:r>
        <w:fldChar w:fldCharType="end"/>
      </w:r>
    </w:p>
    <w:p>
      <w:pPr>
        <w:pStyle w:val="TOC8"/>
        <w:rPr>
          <w:sz w:val="24"/>
          <w:szCs w:val="24"/>
        </w:rPr>
      </w:pPr>
      <w:r>
        <w:rPr>
          <w:szCs w:val="24"/>
        </w:rPr>
        <w:t>402</w:t>
      </w:r>
      <w:r>
        <w:rPr>
          <w:snapToGrid w:val="0"/>
          <w:szCs w:val="24"/>
        </w:rPr>
        <w:t>.</w:t>
      </w:r>
      <w:r>
        <w:rPr>
          <w:snapToGrid w:val="0"/>
          <w:szCs w:val="24"/>
        </w:rPr>
        <w:tab/>
        <w:t>Provisions relating to behaviour</w:t>
      </w:r>
      <w:r>
        <w:tab/>
      </w:r>
      <w:r>
        <w:fldChar w:fldCharType="begin"/>
      </w:r>
      <w:r>
        <w:instrText xml:space="preserve"> PAGEREF _Toc158523512 \h </w:instrText>
      </w:r>
      <w:r>
        <w:fldChar w:fldCharType="separate"/>
      </w:r>
      <w:r>
        <w:t>9</w:t>
      </w:r>
      <w:r>
        <w:fldChar w:fldCharType="end"/>
      </w:r>
    </w:p>
    <w:p>
      <w:pPr>
        <w:pStyle w:val="TOC8"/>
        <w:rPr>
          <w:sz w:val="24"/>
          <w:szCs w:val="24"/>
        </w:rPr>
      </w:pPr>
      <w:r>
        <w:rPr>
          <w:szCs w:val="24"/>
        </w:rPr>
        <w:t>403</w:t>
      </w:r>
      <w:r>
        <w:rPr>
          <w:snapToGrid w:val="0"/>
          <w:szCs w:val="24"/>
        </w:rPr>
        <w:t>.</w:t>
      </w:r>
      <w:r>
        <w:rPr>
          <w:snapToGrid w:val="0"/>
          <w:szCs w:val="24"/>
        </w:rPr>
        <w:tab/>
        <w:t>Proper care to be taken of firearms, etc.</w:t>
      </w:r>
      <w:r>
        <w:tab/>
      </w:r>
      <w:r>
        <w:fldChar w:fldCharType="begin"/>
      </w:r>
      <w:r>
        <w:instrText xml:space="preserve"> PAGEREF _Toc158523513 \h </w:instrText>
      </w:r>
      <w:r>
        <w:fldChar w:fldCharType="separate"/>
      </w:r>
      <w:r>
        <w:t>9</w:t>
      </w:r>
      <w:r>
        <w:fldChar w:fldCharType="end"/>
      </w:r>
    </w:p>
    <w:p>
      <w:pPr>
        <w:pStyle w:val="TOC8"/>
        <w:rPr>
          <w:sz w:val="24"/>
          <w:szCs w:val="24"/>
        </w:rPr>
      </w:pPr>
      <w:r>
        <w:rPr>
          <w:szCs w:val="24"/>
        </w:rPr>
        <w:t>404.</w:t>
      </w:r>
      <w:r>
        <w:rPr>
          <w:szCs w:val="24"/>
        </w:rPr>
        <w:tab/>
        <w:t>Station and personal issue firearms</w:t>
      </w:r>
      <w:r>
        <w:tab/>
      </w:r>
      <w:r>
        <w:fldChar w:fldCharType="begin"/>
      </w:r>
      <w:r>
        <w:instrText xml:space="preserve"> PAGEREF _Toc158523514 \h </w:instrText>
      </w:r>
      <w:r>
        <w:fldChar w:fldCharType="separate"/>
      </w:r>
      <w:r>
        <w:t>9</w:t>
      </w:r>
      <w:r>
        <w:fldChar w:fldCharType="end"/>
      </w:r>
    </w:p>
    <w:p>
      <w:pPr>
        <w:pStyle w:val="TOC8"/>
        <w:rPr>
          <w:sz w:val="24"/>
          <w:szCs w:val="24"/>
        </w:rPr>
      </w:pPr>
      <w:r>
        <w:rPr>
          <w:szCs w:val="24"/>
        </w:rPr>
        <w:t>406</w:t>
      </w:r>
      <w:r>
        <w:rPr>
          <w:snapToGrid w:val="0"/>
          <w:szCs w:val="24"/>
        </w:rPr>
        <w:t>.</w:t>
      </w:r>
      <w:r>
        <w:rPr>
          <w:snapToGrid w:val="0"/>
          <w:szCs w:val="24"/>
        </w:rPr>
        <w:tab/>
        <w:t xml:space="preserve">Notice to be taken of information published in </w:t>
      </w:r>
      <w:r>
        <w:rPr>
          <w:i/>
          <w:snapToGrid w:val="0"/>
          <w:szCs w:val="24"/>
        </w:rPr>
        <w:t>Police Gazette</w:t>
      </w:r>
      <w:r>
        <w:tab/>
      </w:r>
      <w:r>
        <w:fldChar w:fldCharType="begin"/>
      </w:r>
      <w:r>
        <w:instrText xml:space="preserve"> PAGEREF _Toc158523515 \h </w:instrText>
      </w:r>
      <w:r>
        <w:fldChar w:fldCharType="separate"/>
      </w:r>
      <w:r>
        <w:t>10</w:t>
      </w:r>
      <w:r>
        <w:fldChar w:fldCharType="end"/>
      </w:r>
    </w:p>
    <w:p>
      <w:pPr>
        <w:pStyle w:val="TOC8"/>
        <w:rPr>
          <w:sz w:val="24"/>
          <w:szCs w:val="24"/>
        </w:rPr>
      </w:pPr>
      <w:r>
        <w:rPr>
          <w:szCs w:val="24"/>
        </w:rPr>
        <w:lastRenderedPageBreak/>
        <w:t>407</w:t>
      </w:r>
      <w:r>
        <w:rPr>
          <w:snapToGrid w:val="0"/>
          <w:szCs w:val="24"/>
        </w:rPr>
        <w:t>.</w:t>
      </w:r>
      <w:r>
        <w:rPr>
          <w:snapToGrid w:val="0"/>
          <w:szCs w:val="24"/>
        </w:rPr>
        <w:tab/>
        <w:t>Notice of functions, duties and responsibilities of other members</w:t>
      </w:r>
      <w:r>
        <w:tab/>
      </w:r>
      <w:r>
        <w:fldChar w:fldCharType="begin"/>
      </w:r>
      <w:r>
        <w:instrText xml:space="preserve"> PAGEREF _Toc158523516 \h </w:instrText>
      </w:r>
      <w:r>
        <w:fldChar w:fldCharType="separate"/>
      </w:r>
      <w:r>
        <w:t>11</w:t>
      </w:r>
      <w:r>
        <w:fldChar w:fldCharType="end"/>
      </w:r>
    </w:p>
    <w:p>
      <w:pPr>
        <w:pStyle w:val="TOC8"/>
        <w:rPr>
          <w:sz w:val="24"/>
          <w:szCs w:val="24"/>
        </w:rPr>
      </w:pPr>
      <w:r>
        <w:rPr>
          <w:szCs w:val="24"/>
        </w:rPr>
        <w:t>408</w:t>
      </w:r>
      <w:r>
        <w:rPr>
          <w:snapToGrid w:val="0"/>
          <w:szCs w:val="24"/>
        </w:rPr>
        <w:t>.</w:t>
      </w:r>
      <w:r>
        <w:rPr>
          <w:snapToGrid w:val="0"/>
          <w:szCs w:val="24"/>
        </w:rPr>
        <w:tab/>
        <w:t>Persons etc., entitled to be saluted</w:t>
      </w:r>
      <w:r>
        <w:tab/>
      </w:r>
      <w:r>
        <w:fldChar w:fldCharType="begin"/>
      </w:r>
      <w:r>
        <w:instrText xml:space="preserve"> PAGEREF _Toc158523517 \h </w:instrText>
      </w:r>
      <w:r>
        <w:fldChar w:fldCharType="separate"/>
      </w:r>
      <w:r>
        <w:t>11</w:t>
      </w:r>
      <w:r>
        <w:fldChar w:fldCharType="end"/>
      </w:r>
    </w:p>
    <w:p>
      <w:pPr>
        <w:pStyle w:val="TOC8"/>
        <w:rPr>
          <w:sz w:val="24"/>
          <w:szCs w:val="24"/>
        </w:rPr>
      </w:pPr>
      <w:r>
        <w:rPr>
          <w:szCs w:val="24"/>
        </w:rPr>
        <w:t>409</w:t>
      </w:r>
      <w:r>
        <w:rPr>
          <w:snapToGrid w:val="0"/>
          <w:szCs w:val="24"/>
        </w:rPr>
        <w:t>.</w:t>
      </w:r>
      <w:r>
        <w:rPr>
          <w:snapToGrid w:val="0"/>
          <w:szCs w:val="24"/>
        </w:rPr>
        <w:tab/>
        <w:t>How to salute</w:t>
      </w:r>
      <w:r>
        <w:tab/>
      </w:r>
      <w:r>
        <w:fldChar w:fldCharType="begin"/>
      </w:r>
      <w:r>
        <w:instrText xml:space="preserve"> PAGEREF _Toc158523518 \h </w:instrText>
      </w:r>
      <w:r>
        <w:fldChar w:fldCharType="separate"/>
      </w:r>
      <w:r>
        <w:t>12</w:t>
      </w:r>
      <w:r>
        <w:fldChar w:fldCharType="end"/>
      </w:r>
    </w:p>
    <w:p>
      <w:pPr>
        <w:pStyle w:val="TOC8"/>
        <w:rPr>
          <w:sz w:val="24"/>
          <w:szCs w:val="24"/>
        </w:rPr>
      </w:pPr>
      <w:r>
        <w:rPr>
          <w:szCs w:val="24"/>
        </w:rPr>
        <w:t>410</w:t>
      </w:r>
      <w:r>
        <w:rPr>
          <w:snapToGrid w:val="0"/>
          <w:szCs w:val="24"/>
        </w:rPr>
        <w:t>.</w:t>
      </w:r>
      <w:r>
        <w:rPr>
          <w:snapToGrid w:val="0"/>
          <w:szCs w:val="24"/>
        </w:rPr>
        <w:tab/>
        <w:t>When to stand to attention</w:t>
      </w:r>
      <w:r>
        <w:tab/>
      </w:r>
      <w:r>
        <w:fldChar w:fldCharType="begin"/>
      </w:r>
      <w:r>
        <w:instrText xml:space="preserve"> PAGEREF _Toc158523519 \h </w:instrText>
      </w:r>
      <w:r>
        <w:fldChar w:fldCharType="separate"/>
      </w:r>
      <w:r>
        <w:t>13</w:t>
      </w:r>
      <w:r>
        <w:fldChar w:fldCharType="end"/>
      </w:r>
    </w:p>
    <w:p>
      <w:pPr>
        <w:pStyle w:val="TOC2"/>
        <w:tabs>
          <w:tab w:val="right" w:leader="dot" w:pos="7078"/>
        </w:tabs>
        <w:rPr>
          <w:b w:val="0"/>
          <w:sz w:val="24"/>
          <w:szCs w:val="24"/>
        </w:rPr>
      </w:pPr>
      <w:r>
        <w:rPr>
          <w:szCs w:val="30"/>
        </w:rPr>
        <w:t>Part V — Appointment</w:t>
      </w:r>
    </w:p>
    <w:p>
      <w:pPr>
        <w:pStyle w:val="TOC8"/>
        <w:rPr>
          <w:sz w:val="24"/>
          <w:szCs w:val="24"/>
        </w:rPr>
      </w:pPr>
      <w:r>
        <w:rPr>
          <w:szCs w:val="24"/>
        </w:rPr>
        <w:t>501</w:t>
      </w:r>
      <w:r>
        <w:rPr>
          <w:snapToGrid w:val="0"/>
          <w:szCs w:val="24"/>
        </w:rPr>
        <w:t>.</w:t>
      </w:r>
      <w:r>
        <w:rPr>
          <w:snapToGrid w:val="0"/>
          <w:szCs w:val="24"/>
        </w:rPr>
        <w:tab/>
        <w:t>Application for appointment</w:t>
      </w:r>
      <w:r>
        <w:tab/>
      </w:r>
      <w:r>
        <w:fldChar w:fldCharType="begin"/>
      </w:r>
      <w:r>
        <w:instrText xml:space="preserve"> PAGEREF _Toc158523521 \h </w:instrText>
      </w:r>
      <w:r>
        <w:fldChar w:fldCharType="separate"/>
      </w:r>
      <w:r>
        <w:t>14</w:t>
      </w:r>
      <w:r>
        <w:fldChar w:fldCharType="end"/>
      </w:r>
    </w:p>
    <w:p>
      <w:pPr>
        <w:pStyle w:val="TOC8"/>
        <w:rPr>
          <w:sz w:val="24"/>
          <w:szCs w:val="24"/>
        </w:rPr>
      </w:pPr>
      <w:r>
        <w:rPr>
          <w:szCs w:val="24"/>
        </w:rPr>
        <w:t>502</w:t>
      </w:r>
      <w:r>
        <w:rPr>
          <w:snapToGrid w:val="0"/>
          <w:szCs w:val="24"/>
        </w:rPr>
        <w:t>.</w:t>
      </w:r>
      <w:r>
        <w:rPr>
          <w:snapToGrid w:val="0"/>
          <w:szCs w:val="24"/>
        </w:rPr>
        <w:tab/>
        <w:t>Eligibility for appointment</w:t>
      </w:r>
      <w:r>
        <w:tab/>
      </w:r>
      <w:r>
        <w:fldChar w:fldCharType="begin"/>
      </w:r>
      <w:r>
        <w:instrText xml:space="preserve"> PAGEREF _Toc158523522 \h </w:instrText>
      </w:r>
      <w:r>
        <w:fldChar w:fldCharType="separate"/>
      </w:r>
      <w:r>
        <w:t>14</w:t>
      </w:r>
      <w:r>
        <w:fldChar w:fldCharType="end"/>
      </w:r>
    </w:p>
    <w:p>
      <w:pPr>
        <w:pStyle w:val="TOC8"/>
        <w:rPr>
          <w:sz w:val="24"/>
          <w:szCs w:val="24"/>
        </w:rPr>
      </w:pPr>
      <w:r>
        <w:rPr>
          <w:szCs w:val="24"/>
        </w:rPr>
        <w:t>503</w:t>
      </w:r>
      <w:r>
        <w:rPr>
          <w:snapToGrid w:val="0"/>
          <w:szCs w:val="24"/>
        </w:rPr>
        <w:t>.</w:t>
      </w:r>
      <w:r>
        <w:rPr>
          <w:snapToGrid w:val="0"/>
          <w:szCs w:val="24"/>
        </w:rPr>
        <w:tab/>
        <w:t>Entrance examination</w:t>
      </w:r>
      <w:r>
        <w:tab/>
      </w:r>
      <w:r>
        <w:fldChar w:fldCharType="begin"/>
      </w:r>
      <w:r>
        <w:instrText xml:space="preserve"> PAGEREF _Toc158523523 \h </w:instrText>
      </w:r>
      <w:r>
        <w:fldChar w:fldCharType="separate"/>
      </w:r>
      <w:r>
        <w:t>16</w:t>
      </w:r>
      <w:r>
        <w:fldChar w:fldCharType="end"/>
      </w:r>
    </w:p>
    <w:p>
      <w:pPr>
        <w:pStyle w:val="TOC8"/>
        <w:rPr>
          <w:sz w:val="24"/>
          <w:szCs w:val="24"/>
        </w:rPr>
      </w:pPr>
      <w:r>
        <w:rPr>
          <w:szCs w:val="24"/>
        </w:rPr>
        <w:t>504</w:t>
      </w:r>
      <w:r>
        <w:rPr>
          <w:snapToGrid w:val="0"/>
          <w:szCs w:val="24"/>
        </w:rPr>
        <w:t>.</w:t>
      </w:r>
      <w:r>
        <w:rPr>
          <w:snapToGrid w:val="0"/>
          <w:szCs w:val="24"/>
        </w:rPr>
        <w:tab/>
        <w:t>Board of Selectors</w:t>
      </w:r>
      <w:r>
        <w:tab/>
      </w:r>
      <w:r>
        <w:fldChar w:fldCharType="begin"/>
      </w:r>
      <w:r>
        <w:instrText xml:space="preserve"> PAGEREF _Toc158523524 \h </w:instrText>
      </w:r>
      <w:r>
        <w:fldChar w:fldCharType="separate"/>
      </w:r>
      <w:r>
        <w:t>16</w:t>
      </w:r>
      <w:r>
        <w:fldChar w:fldCharType="end"/>
      </w:r>
    </w:p>
    <w:p>
      <w:pPr>
        <w:pStyle w:val="TOC8"/>
        <w:rPr>
          <w:sz w:val="24"/>
          <w:szCs w:val="24"/>
        </w:rPr>
      </w:pPr>
      <w:r>
        <w:rPr>
          <w:szCs w:val="24"/>
        </w:rPr>
        <w:t>505</w:t>
      </w:r>
      <w:r>
        <w:rPr>
          <w:snapToGrid w:val="0"/>
          <w:szCs w:val="24"/>
        </w:rPr>
        <w:t>.</w:t>
      </w:r>
      <w:r>
        <w:rPr>
          <w:snapToGrid w:val="0"/>
          <w:szCs w:val="24"/>
        </w:rPr>
        <w:tab/>
        <w:t>Member in possession of information about applicant</w:t>
      </w:r>
      <w:r>
        <w:tab/>
      </w:r>
      <w:r>
        <w:fldChar w:fldCharType="begin"/>
      </w:r>
      <w:r>
        <w:instrText xml:space="preserve"> PAGEREF _Toc158523525 \h </w:instrText>
      </w:r>
      <w:r>
        <w:fldChar w:fldCharType="separate"/>
      </w:r>
      <w:r>
        <w:t>17</w:t>
      </w:r>
      <w:r>
        <w:fldChar w:fldCharType="end"/>
      </w:r>
    </w:p>
    <w:p>
      <w:pPr>
        <w:pStyle w:val="TOC8"/>
        <w:rPr>
          <w:sz w:val="24"/>
          <w:szCs w:val="24"/>
        </w:rPr>
      </w:pPr>
      <w:r>
        <w:rPr>
          <w:szCs w:val="24"/>
        </w:rPr>
        <w:t>505A</w:t>
      </w:r>
      <w:r>
        <w:rPr>
          <w:snapToGrid w:val="0"/>
          <w:szCs w:val="24"/>
        </w:rPr>
        <w:t xml:space="preserve">. </w:t>
      </w:r>
      <w:r>
        <w:rPr>
          <w:snapToGrid w:val="0"/>
          <w:szCs w:val="24"/>
        </w:rPr>
        <w:tab/>
        <w:t>Probationary period</w:t>
      </w:r>
      <w:r>
        <w:tab/>
      </w:r>
      <w:r>
        <w:fldChar w:fldCharType="begin"/>
      </w:r>
      <w:r>
        <w:instrText xml:space="preserve"> PAGEREF _Toc158523526 \h </w:instrText>
      </w:r>
      <w:r>
        <w:fldChar w:fldCharType="separate"/>
      </w:r>
      <w:r>
        <w:t>17</w:t>
      </w:r>
      <w:r>
        <w:fldChar w:fldCharType="end"/>
      </w:r>
    </w:p>
    <w:p>
      <w:pPr>
        <w:pStyle w:val="TOC2"/>
        <w:tabs>
          <w:tab w:val="right" w:leader="dot" w:pos="7078"/>
        </w:tabs>
        <w:rPr>
          <w:b w:val="0"/>
          <w:sz w:val="24"/>
          <w:szCs w:val="24"/>
        </w:rPr>
      </w:pPr>
      <w:r>
        <w:rPr>
          <w:szCs w:val="30"/>
        </w:rPr>
        <w:t>Part VI — General rules relating to discipline</w:t>
      </w:r>
    </w:p>
    <w:p>
      <w:pPr>
        <w:pStyle w:val="TOC8"/>
        <w:rPr>
          <w:sz w:val="24"/>
          <w:szCs w:val="24"/>
        </w:rPr>
      </w:pPr>
      <w:r>
        <w:rPr>
          <w:szCs w:val="24"/>
        </w:rPr>
        <w:t>601</w:t>
      </w:r>
      <w:r>
        <w:rPr>
          <w:snapToGrid w:val="0"/>
          <w:szCs w:val="24"/>
        </w:rPr>
        <w:t>.</w:t>
      </w:r>
      <w:r>
        <w:rPr>
          <w:snapToGrid w:val="0"/>
          <w:szCs w:val="24"/>
        </w:rPr>
        <w:tab/>
        <w:t>Acting in manner prejudicial to the Force</w:t>
      </w:r>
      <w:r>
        <w:tab/>
      </w:r>
      <w:r>
        <w:fldChar w:fldCharType="begin"/>
      </w:r>
      <w:r>
        <w:instrText xml:space="preserve"> PAGEREF _Toc158523528 \h </w:instrText>
      </w:r>
      <w:r>
        <w:fldChar w:fldCharType="separate"/>
      </w:r>
      <w:r>
        <w:t>18</w:t>
      </w:r>
      <w:r>
        <w:fldChar w:fldCharType="end"/>
      </w:r>
    </w:p>
    <w:p>
      <w:pPr>
        <w:pStyle w:val="TOC8"/>
        <w:rPr>
          <w:sz w:val="24"/>
          <w:szCs w:val="24"/>
        </w:rPr>
      </w:pPr>
      <w:r>
        <w:rPr>
          <w:szCs w:val="24"/>
        </w:rPr>
        <w:t>602</w:t>
      </w:r>
      <w:r>
        <w:rPr>
          <w:snapToGrid w:val="0"/>
          <w:szCs w:val="24"/>
        </w:rPr>
        <w:t>.</w:t>
      </w:r>
      <w:r>
        <w:rPr>
          <w:snapToGrid w:val="0"/>
          <w:szCs w:val="24"/>
        </w:rPr>
        <w:tab/>
        <w:t>Behaviour towards other members</w:t>
      </w:r>
      <w:r>
        <w:tab/>
      </w:r>
      <w:r>
        <w:fldChar w:fldCharType="begin"/>
      </w:r>
      <w:r>
        <w:instrText xml:space="preserve"> PAGEREF _Toc158523529 \h </w:instrText>
      </w:r>
      <w:r>
        <w:fldChar w:fldCharType="separate"/>
      </w:r>
      <w:r>
        <w:t>18</w:t>
      </w:r>
      <w:r>
        <w:fldChar w:fldCharType="end"/>
      </w:r>
    </w:p>
    <w:p>
      <w:pPr>
        <w:pStyle w:val="TOC8"/>
        <w:rPr>
          <w:sz w:val="24"/>
          <w:szCs w:val="24"/>
        </w:rPr>
      </w:pPr>
      <w:r>
        <w:rPr>
          <w:szCs w:val="24"/>
        </w:rPr>
        <w:t>603</w:t>
      </w:r>
      <w:r>
        <w:rPr>
          <w:snapToGrid w:val="0"/>
          <w:szCs w:val="24"/>
        </w:rPr>
        <w:t>.</w:t>
      </w:r>
      <w:r>
        <w:rPr>
          <w:snapToGrid w:val="0"/>
          <w:szCs w:val="24"/>
        </w:rPr>
        <w:tab/>
        <w:t>Lawful order not to be disobeyed</w:t>
      </w:r>
      <w:r>
        <w:tab/>
      </w:r>
      <w:r>
        <w:fldChar w:fldCharType="begin"/>
      </w:r>
      <w:r>
        <w:instrText xml:space="preserve"> PAGEREF _Toc158523530 \h </w:instrText>
      </w:r>
      <w:r>
        <w:fldChar w:fldCharType="separate"/>
      </w:r>
      <w:r>
        <w:t>18</w:t>
      </w:r>
      <w:r>
        <w:fldChar w:fldCharType="end"/>
      </w:r>
    </w:p>
    <w:p>
      <w:pPr>
        <w:pStyle w:val="TOC8"/>
        <w:rPr>
          <w:sz w:val="24"/>
          <w:szCs w:val="24"/>
        </w:rPr>
      </w:pPr>
      <w:r>
        <w:rPr>
          <w:szCs w:val="24"/>
        </w:rPr>
        <w:t>604</w:t>
      </w:r>
      <w:r>
        <w:rPr>
          <w:snapToGrid w:val="0"/>
          <w:szCs w:val="24"/>
        </w:rPr>
        <w:t>.</w:t>
      </w:r>
      <w:r>
        <w:rPr>
          <w:snapToGrid w:val="0"/>
          <w:szCs w:val="24"/>
        </w:rPr>
        <w:tab/>
        <w:t>Officer</w:t>
      </w:r>
      <w:r>
        <w:rPr>
          <w:snapToGrid w:val="0"/>
          <w:szCs w:val="24"/>
        </w:rPr>
        <w:noBreakHyphen/>
        <w:t>in</w:t>
      </w:r>
      <w:r>
        <w:rPr>
          <w:snapToGrid w:val="0"/>
          <w:szCs w:val="24"/>
        </w:rPr>
        <w:noBreakHyphen/>
        <w:t>charge not to remain absent unless arrangements made for his absence</w:t>
      </w:r>
      <w:r>
        <w:tab/>
      </w:r>
      <w:r>
        <w:fldChar w:fldCharType="begin"/>
      </w:r>
      <w:r>
        <w:instrText xml:space="preserve"> PAGEREF _Toc158523531 \h </w:instrText>
      </w:r>
      <w:r>
        <w:fldChar w:fldCharType="separate"/>
      </w:r>
      <w:r>
        <w:t>18</w:t>
      </w:r>
      <w:r>
        <w:fldChar w:fldCharType="end"/>
      </w:r>
    </w:p>
    <w:p>
      <w:pPr>
        <w:pStyle w:val="TOC8"/>
        <w:rPr>
          <w:sz w:val="24"/>
          <w:szCs w:val="24"/>
        </w:rPr>
      </w:pPr>
      <w:r>
        <w:rPr>
          <w:szCs w:val="24"/>
        </w:rPr>
        <w:t>605</w:t>
      </w:r>
      <w:r>
        <w:rPr>
          <w:snapToGrid w:val="0"/>
          <w:szCs w:val="24"/>
        </w:rPr>
        <w:t>.</w:t>
      </w:r>
      <w:r>
        <w:rPr>
          <w:snapToGrid w:val="0"/>
          <w:szCs w:val="24"/>
        </w:rPr>
        <w:tab/>
        <w:t>Performance generally</w:t>
      </w:r>
      <w:r>
        <w:tab/>
      </w:r>
      <w:r>
        <w:fldChar w:fldCharType="begin"/>
      </w:r>
      <w:r>
        <w:instrText xml:space="preserve"> PAGEREF _Toc158523532 \h </w:instrText>
      </w:r>
      <w:r>
        <w:fldChar w:fldCharType="separate"/>
      </w:r>
      <w:r>
        <w:t>19</w:t>
      </w:r>
      <w:r>
        <w:fldChar w:fldCharType="end"/>
      </w:r>
    </w:p>
    <w:p>
      <w:pPr>
        <w:pStyle w:val="TOC8"/>
        <w:rPr>
          <w:sz w:val="24"/>
          <w:szCs w:val="24"/>
        </w:rPr>
      </w:pPr>
      <w:r>
        <w:rPr>
          <w:szCs w:val="24"/>
        </w:rPr>
        <w:t>606</w:t>
      </w:r>
      <w:r>
        <w:rPr>
          <w:snapToGrid w:val="0"/>
          <w:szCs w:val="24"/>
        </w:rPr>
        <w:t>.</w:t>
      </w:r>
      <w:r>
        <w:rPr>
          <w:snapToGrid w:val="0"/>
          <w:szCs w:val="24"/>
        </w:rPr>
        <w:tab/>
        <w:t>False, misleading or inaccurate statements, etc.</w:t>
      </w:r>
      <w:r>
        <w:tab/>
      </w:r>
      <w:r>
        <w:fldChar w:fldCharType="begin"/>
      </w:r>
      <w:r>
        <w:instrText xml:space="preserve"> PAGEREF _Toc158523533 \h </w:instrText>
      </w:r>
      <w:r>
        <w:fldChar w:fldCharType="separate"/>
      </w:r>
      <w:r>
        <w:t>20</w:t>
      </w:r>
      <w:r>
        <w:fldChar w:fldCharType="end"/>
      </w:r>
    </w:p>
    <w:p>
      <w:pPr>
        <w:pStyle w:val="TOC8"/>
        <w:rPr>
          <w:sz w:val="24"/>
          <w:szCs w:val="24"/>
        </w:rPr>
      </w:pPr>
      <w:r>
        <w:rPr>
          <w:szCs w:val="24"/>
        </w:rPr>
        <w:t>607</w:t>
      </w:r>
      <w:r>
        <w:rPr>
          <w:snapToGrid w:val="0"/>
          <w:szCs w:val="24"/>
        </w:rPr>
        <w:t>.</w:t>
      </w:r>
      <w:r>
        <w:rPr>
          <w:snapToGrid w:val="0"/>
          <w:szCs w:val="24"/>
        </w:rPr>
        <w:tab/>
        <w:t>Secrecy</w:t>
      </w:r>
      <w:r>
        <w:tab/>
      </w:r>
      <w:r>
        <w:fldChar w:fldCharType="begin"/>
      </w:r>
      <w:r>
        <w:instrText xml:space="preserve"> PAGEREF _Toc158523534 \h </w:instrText>
      </w:r>
      <w:r>
        <w:fldChar w:fldCharType="separate"/>
      </w:r>
      <w:r>
        <w:t>20</w:t>
      </w:r>
      <w:r>
        <w:fldChar w:fldCharType="end"/>
      </w:r>
    </w:p>
    <w:p>
      <w:pPr>
        <w:pStyle w:val="TOC8"/>
        <w:rPr>
          <w:sz w:val="24"/>
          <w:szCs w:val="24"/>
        </w:rPr>
      </w:pPr>
      <w:r>
        <w:rPr>
          <w:szCs w:val="24"/>
        </w:rPr>
        <w:t>608</w:t>
      </w:r>
      <w:r>
        <w:rPr>
          <w:snapToGrid w:val="0"/>
          <w:szCs w:val="24"/>
        </w:rPr>
        <w:t>.</w:t>
      </w:r>
      <w:r>
        <w:rPr>
          <w:snapToGrid w:val="0"/>
          <w:szCs w:val="24"/>
        </w:rPr>
        <w:tab/>
        <w:t>Member or cadet not to compromise his position</w:t>
      </w:r>
      <w:r>
        <w:tab/>
      </w:r>
      <w:r>
        <w:fldChar w:fldCharType="begin"/>
      </w:r>
      <w:r>
        <w:instrText xml:space="preserve"> PAGEREF _Toc158523535 \h </w:instrText>
      </w:r>
      <w:r>
        <w:fldChar w:fldCharType="separate"/>
      </w:r>
      <w:r>
        <w:t>21</w:t>
      </w:r>
      <w:r>
        <w:fldChar w:fldCharType="end"/>
      </w:r>
    </w:p>
    <w:p>
      <w:pPr>
        <w:pStyle w:val="TOC8"/>
        <w:rPr>
          <w:sz w:val="24"/>
          <w:szCs w:val="24"/>
        </w:rPr>
      </w:pPr>
      <w:r>
        <w:rPr>
          <w:szCs w:val="24"/>
        </w:rPr>
        <w:t>609</w:t>
      </w:r>
      <w:r>
        <w:rPr>
          <w:snapToGrid w:val="0"/>
          <w:szCs w:val="24"/>
        </w:rPr>
        <w:t>.</w:t>
      </w:r>
      <w:r>
        <w:rPr>
          <w:snapToGrid w:val="0"/>
          <w:szCs w:val="24"/>
        </w:rPr>
        <w:tab/>
        <w:t>Unlawful arrest and unnecessary force</w:t>
      </w:r>
      <w:r>
        <w:tab/>
      </w:r>
      <w:r>
        <w:fldChar w:fldCharType="begin"/>
      </w:r>
      <w:r>
        <w:instrText xml:space="preserve"> PAGEREF _Toc158523536 \h </w:instrText>
      </w:r>
      <w:r>
        <w:fldChar w:fldCharType="separate"/>
      </w:r>
      <w:r>
        <w:t>22</w:t>
      </w:r>
      <w:r>
        <w:fldChar w:fldCharType="end"/>
      </w:r>
    </w:p>
    <w:p>
      <w:pPr>
        <w:pStyle w:val="TOC8"/>
        <w:rPr>
          <w:sz w:val="24"/>
          <w:szCs w:val="24"/>
        </w:rPr>
      </w:pPr>
      <w:r>
        <w:rPr>
          <w:szCs w:val="24"/>
        </w:rPr>
        <w:t>610</w:t>
      </w:r>
      <w:r>
        <w:rPr>
          <w:snapToGrid w:val="0"/>
          <w:szCs w:val="24"/>
        </w:rPr>
        <w:t>.</w:t>
      </w:r>
      <w:r>
        <w:rPr>
          <w:snapToGrid w:val="0"/>
          <w:szCs w:val="24"/>
        </w:rPr>
        <w:tab/>
        <w:t>Feigning sickness or injury</w:t>
      </w:r>
      <w:r>
        <w:tab/>
      </w:r>
      <w:r>
        <w:fldChar w:fldCharType="begin"/>
      </w:r>
      <w:r>
        <w:instrText xml:space="preserve"> PAGEREF _Toc158523537 \h </w:instrText>
      </w:r>
      <w:r>
        <w:fldChar w:fldCharType="separate"/>
      </w:r>
      <w:r>
        <w:t>22</w:t>
      </w:r>
      <w:r>
        <w:fldChar w:fldCharType="end"/>
      </w:r>
    </w:p>
    <w:p>
      <w:pPr>
        <w:pStyle w:val="TOC8"/>
        <w:rPr>
          <w:sz w:val="24"/>
          <w:szCs w:val="24"/>
        </w:rPr>
      </w:pPr>
      <w:r>
        <w:rPr>
          <w:szCs w:val="24"/>
        </w:rPr>
        <w:t>611</w:t>
      </w:r>
      <w:r>
        <w:rPr>
          <w:snapToGrid w:val="0"/>
          <w:szCs w:val="24"/>
        </w:rPr>
        <w:t>.</w:t>
      </w:r>
      <w:r>
        <w:rPr>
          <w:snapToGrid w:val="0"/>
          <w:szCs w:val="24"/>
        </w:rPr>
        <w:tab/>
        <w:t>Not to be absent or late without reasonable excuse</w:t>
      </w:r>
      <w:r>
        <w:tab/>
      </w:r>
      <w:r>
        <w:fldChar w:fldCharType="begin"/>
      </w:r>
      <w:r>
        <w:instrText xml:space="preserve"> PAGEREF _Toc158523538 \h </w:instrText>
      </w:r>
      <w:r>
        <w:fldChar w:fldCharType="separate"/>
      </w:r>
      <w:r>
        <w:t>22</w:t>
      </w:r>
      <w:r>
        <w:fldChar w:fldCharType="end"/>
      </w:r>
    </w:p>
    <w:p>
      <w:pPr>
        <w:pStyle w:val="TOC8"/>
        <w:rPr>
          <w:sz w:val="24"/>
          <w:szCs w:val="24"/>
        </w:rPr>
      </w:pPr>
      <w:r>
        <w:rPr>
          <w:szCs w:val="24"/>
        </w:rPr>
        <w:t>614</w:t>
      </w:r>
      <w:r>
        <w:rPr>
          <w:snapToGrid w:val="0"/>
          <w:szCs w:val="24"/>
        </w:rPr>
        <w:t>.</w:t>
      </w:r>
      <w:r>
        <w:rPr>
          <w:snapToGrid w:val="0"/>
          <w:szCs w:val="24"/>
        </w:rPr>
        <w:tab/>
        <w:t>Under influence of intoxicating liquor or any drug</w:t>
      </w:r>
      <w:r>
        <w:tab/>
      </w:r>
      <w:r>
        <w:fldChar w:fldCharType="begin"/>
      </w:r>
      <w:r>
        <w:instrText xml:space="preserve"> PAGEREF _Toc158523539 \h </w:instrText>
      </w:r>
      <w:r>
        <w:fldChar w:fldCharType="separate"/>
      </w:r>
      <w:r>
        <w:t>23</w:t>
      </w:r>
      <w:r>
        <w:fldChar w:fldCharType="end"/>
      </w:r>
    </w:p>
    <w:p>
      <w:pPr>
        <w:pStyle w:val="TOC8"/>
        <w:rPr>
          <w:sz w:val="24"/>
          <w:szCs w:val="24"/>
        </w:rPr>
      </w:pPr>
      <w:r>
        <w:rPr>
          <w:szCs w:val="24"/>
        </w:rPr>
        <w:t>615</w:t>
      </w:r>
      <w:r>
        <w:rPr>
          <w:snapToGrid w:val="0"/>
          <w:szCs w:val="24"/>
        </w:rPr>
        <w:t>.</w:t>
      </w:r>
      <w:r>
        <w:rPr>
          <w:snapToGrid w:val="0"/>
          <w:szCs w:val="24"/>
        </w:rPr>
        <w:tab/>
        <w:t>Receiving and being supplied with intoxicating liquor while on duty</w:t>
      </w:r>
      <w:r>
        <w:tab/>
      </w:r>
      <w:r>
        <w:fldChar w:fldCharType="begin"/>
      </w:r>
      <w:r>
        <w:instrText xml:space="preserve"> PAGEREF _Toc158523540 \h </w:instrText>
      </w:r>
      <w:r>
        <w:fldChar w:fldCharType="separate"/>
      </w:r>
      <w:r>
        <w:t>23</w:t>
      </w:r>
      <w:r>
        <w:fldChar w:fldCharType="end"/>
      </w:r>
    </w:p>
    <w:p>
      <w:pPr>
        <w:pStyle w:val="TOC8"/>
        <w:rPr>
          <w:sz w:val="24"/>
          <w:szCs w:val="24"/>
        </w:rPr>
      </w:pPr>
      <w:r>
        <w:rPr>
          <w:szCs w:val="24"/>
        </w:rPr>
        <w:t>616</w:t>
      </w:r>
      <w:r>
        <w:rPr>
          <w:snapToGrid w:val="0"/>
          <w:szCs w:val="24"/>
        </w:rPr>
        <w:t>.</w:t>
      </w:r>
      <w:r>
        <w:rPr>
          <w:snapToGrid w:val="0"/>
          <w:szCs w:val="24"/>
        </w:rPr>
        <w:tab/>
        <w:t>Entering licensed premises</w:t>
      </w:r>
      <w:r>
        <w:tab/>
      </w:r>
      <w:r>
        <w:fldChar w:fldCharType="begin"/>
      </w:r>
      <w:r>
        <w:instrText xml:space="preserve"> PAGEREF _Toc158523541 \h </w:instrText>
      </w:r>
      <w:r>
        <w:fldChar w:fldCharType="separate"/>
      </w:r>
      <w:r>
        <w:t>23</w:t>
      </w:r>
      <w:r>
        <w:fldChar w:fldCharType="end"/>
      </w:r>
    </w:p>
    <w:p>
      <w:pPr>
        <w:pStyle w:val="TOC8"/>
        <w:rPr>
          <w:sz w:val="24"/>
          <w:szCs w:val="24"/>
        </w:rPr>
      </w:pPr>
      <w:r>
        <w:rPr>
          <w:szCs w:val="24"/>
        </w:rPr>
        <w:t>617</w:t>
      </w:r>
      <w:r>
        <w:rPr>
          <w:snapToGrid w:val="0"/>
          <w:szCs w:val="24"/>
        </w:rPr>
        <w:t>.</w:t>
      </w:r>
      <w:r>
        <w:rPr>
          <w:snapToGrid w:val="0"/>
          <w:szCs w:val="24"/>
        </w:rPr>
        <w:tab/>
        <w:t>Consumption of intoxicating liquor</w:t>
      </w:r>
      <w:r>
        <w:tab/>
      </w:r>
      <w:r>
        <w:fldChar w:fldCharType="begin"/>
      </w:r>
      <w:r>
        <w:instrText xml:space="preserve"> PAGEREF _Toc158523542 \h </w:instrText>
      </w:r>
      <w:r>
        <w:fldChar w:fldCharType="separate"/>
      </w:r>
      <w:r>
        <w:t>23</w:t>
      </w:r>
      <w:r>
        <w:fldChar w:fldCharType="end"/>
      </w:r>
    </w:p>
    <w:p>
      <w:pPr>
        <w:pStyle w:val="TOC8"/>
        <w:rPr>
          <w:sz w:val="24"/>
          <w:szCs w:val="24"/>
        </w:rPr>
      </w:pPr>
      <w:r>
        <w:rPr>
          <w:szCs w:val="24"/>
        </w:rPr>
        <w:t>618</w:t>
      </w:r>
      <w:r>
        <w:rPr>
          <w:snapToGrid w:val="0"/>
          <w:szCs w:val="24"/>
        </w:rPr>
        <w:t>.</w:t>
      </w:r>
      <w:r>
        <w:rPr>
          <w:snapToGrid w:val="0"/>
          <w:szCs w:val="24"/>
        </w:rPr>
        <w:tab/>
        <w:t>Premises supplying intoxicating liquor</w:t>
      </w:r>
      <w:r>
        <w:tab/>
      </w:r>
      <w:r>
        <w:fldChar w:fldCharType="begin"/>
      </w:r>
      <w:r>
        <w:instrText xml:space="preserve"> PAGEREF _Toc158523543 \h </w:instrText>
      </w:r>
      <w:r>
        <w:fldChar w:fldCharType="separate"/>
      </w:r>
      <w:r>
        <w:t>23</w:t>
      </w:r>
      <w:r>
        <w:fldChar w:fldCharType="end"/>
      </w:r>
    </w:p>
    <w:p>
      <w:pPr>
        <w:pStyle w:val="TOC8"/>
        <w:rPr>
          <w:sz w:val="24"/>
          <w:szCs w:val="24"/>
        </w:rPr>
      </w:pPr>
      <w:r>
        <w:rPr>
          <w:szCs w:val="24"/>
        </w:rPr>
        <w:t>619</w:t>
      </w:r>
      <w:r>
        <w:rPr>
          <w:snapToGrid w:val="0"/>
          <w:szCs w:val="24"/>
        </w:rPr>
        <w:t>.</w:t>
      </w:r>
      <w:r>
        <w:rPr>
          <w:snapToGrid w:val="0"/>
          <w:szCs w:val="24"/>
        </w:rPr>
        <w:tab/>
        <w:t>Restrictions relating to loans, securities and debts</w:t>
      </w:r>
      <w:r>
        <w:tab/>
      </w:r>
      <w:r>
        <w:fldChar w:fldCharType="begin"/>
      </w:r>
      <w:r>
        <w:instrText xml:space="preserve"> PAGEREF _Toc158523544 \h </w:instrText>
      </w:r>
      <w:r>
        <w:fldChar w:fldCharType="separate"/>
      </w:r>
      <w:r>
        <w:t>24</w:t>
      </w:r>
      <w:r>
        <w:fldChar w:fldCharType="end"/>
      </w:r>
    </w:p>
    <w:p>
      <w:pPr>
        <w:pStyle w:val="TOC8"/>
        <w:rPr>
          <w:sz w:val="24"/>
          <w:szCs w:val="24"/>
        </w:rPr>
      </w:pPr>
      <w:r>
        <w:rPr>
          <w:szCs w:val="24"/>
        </w:rPr>
        <w:t>620</w:t>
      </w:r>
      <w:r>
        <w:rPr>
          <w:snapToGrid w:val="0"/>
          <w:szCs w:val="24"/>
        </w:rPr>
        <w:t>.</w:t>
      </w:r>
      <w:r>
        <w:rPr>
          <w:snapToGrid w:val="0"/>
          <w:szCs w:val="24"/>
        </w:rPr>
        <w:tab/>
        <w:t>Interest in racing</w:t>
      </w:r>
      <w:r>
        <w:tab/>
      </w:r>
      <w:r>
        <w:fldChar w:fldCharType="begin"/>
      </w:r>
      <w:r>
        <w:instrText xml:space="preserve"> PAGEREF _Toc158523545 \h </w:instrText>
      </w:r>
      <w:r>
        <w:fldChar w:fldCharType="separate"/>
      </w:r>
      <w:r>
        <w:t>24</w:t>
      </w:r>
      <w:r>
        <w:fldChar w:fldCharType="end"/>
      </w:r>
    </w:p>
    <w:p>
      <w:pPr>
        <w:pStyle w:val="TOC8"/>
        <w:rPr>
          <w:sz w:val="24"/>
          <w:szCs w:val="24"/>
        </w:rPr>
      </w:pPr>
      <w:r>
        <w:rPr>
          <w:szCs w:val="24"/>
        </w:rPr>
        <w:t>621</w:t>
      </w:r>
      <w:r>
        <w:rPr>
          <w:snapToGrid w:val="0"/>
          <w:szCs w:val="24"/>
        </w:rPr>
        <w:t>.</w:t>
      </w:r>
      <w:r>
        <w:rPr>
          <w:snapToGrid w:val="0"/>
          <w:szCs w:val="24"/>
        </w:rPr>
        <w:tab/>
        <w:t>Restrictions relating to trade, business or professions outside the Force</w:t>
      </w:r>
      <w:r>
        <w:tab/>
      </w:r>
      <w:r>
        <w:fldChar w:fldCharType="begin"/>
      </w:r>
      <w:r>
        <w:instrText xml:space="preserve"> PAGEREF _Toc158523546 \h </w:instrText>
      </w:r>
      <w:r>
        <w:fldChar w:fldCharType="separate"/>
      </w:r>
      <w:r>
        <w:t>24</w:t>
      </w:r>
      <w:r>
        <w:fldChar w:fldCharType="end"/>
      </w:r>
    </w:p>
    <w:p>
      <w:pPr>
        <w:pStyle w:val="TOC8"/>
        <w:rPr>
          <w:sz w:val="24"/>
          <w:szCs w:val="24"/>
        </w:rPr>
      </w:pPr>
      <w:r>
        <w:rPr>
          <w:szCs w:val="24"/>
        </w:rPr>
        <w:t>622</w:t>
      </w:r>
      <w:r>
        <w:rPr>
          <w:snapToGrid w:val="0"/>
          <w:szCs w:val="24"/>
        </w:rPr>
        <w:t>.</w:t>
      </w:r>
      <w:r>
        <w:rPr>
          <w:snapToGrid w:val="0"/>
          <w:szCs w:val="24"/>
        </w:rPr>
        <w:tab/>
        <w:t>Acts against discipline</w:t>
      </w:r>
      <w:r>
        <w:tab/>
      </w:r>
      <w:r>
        <w:fldChar w:fldCharType="begin"/>
      </w:r>
      <w:r>
        <w:instrText xml:space="preserve"> PAGEREF _Toc158523547 \h </w:instrText>
      </w:r>
      <w:r>
        <w:fldChar w:fldCharType="separate"/>
      </w:r>
      <w:r>
        <w:t>25</w:t>
      </w:r>
      <w:r>
        <w:fldChar w:fldCharType="end"/>
      </w:r>
    </w:p>
    <w:p>
      <w:pPr>
        <w:pStyle w:val="TOC8"/>
        <w:rPr>
          <w:sz w:val="24"/>
          <w:szCs w:val="24"/>
        </w:rPr>
      </w:pPr>
      <w:r>
        <w:rPr>
          <w:szCs w:val="24"/>
        </w:rPr>
        <w:t>623</w:t>
      </w:r>
      <w:r>
        <w:rPr>
          <w:snapToGrid w:val="0"/>
          <w:szCs w:val="24"/>
        </w:rPr>
        <w:t>.</w:t>
      </w:r>
      <w:r>
        <w:rPr>
          <w:snapToGrid w:val="0"/>
          <w:szCs w:val="24"/>
        </w:rPr>
        <w:tab/>
        <w:t>Offence against discipline to be reported</w:t>
      </w:r>
      <w:r>
        <w:tab/>
      </w:r>
      <w:r>
        <w:fldChar w:fldCharType="begin"/>
      </w:r>
      <w:r>
        <w:instrText xml:space="preserve"> PAGEREF _Toc158523548 \h </w:instrText>
      </w:r>
      <w:r>
        <w:fldChar w:fldCharType="separate"/>
      </w:r>
      <w:r>
        <w:t>25</w:t>
      </w:r>
      <w:r>
        <w:fldChar w:fldCharType="end"/>
      </w:r>
    </w:p>
    <w:p>
      <w:pPr>
        <w:pStyle w:val="TOC8"/>
        <w:rPr>
          <w:sz w:val="24"/>
          <w:szCs w:val="24"/>
        </w:rPr>
      </w:pPr>
      <w:r>
        <w:rPr>
          <w:szCs w:val="24"/>
        </w:rPr>
        <w:t>624</w:t>
      </w:r>
      <w:r>
        <w:rPr>
          <w:snapToGrid w:val="0"/>
          <w:szCs w:val="24"/>
        </w:rPr>
        <w:t>.</w:t>
      </w:r>
      <w:r>
        <w:rPr>
          <w:snapToGrid w:val="0"/>
          <w:szCs w:val="24"/>
        </w:rPr>
        <w:tab/>
        <w:t>Investigation into acts against discipline</w:t>
      </w:r>
      <w:r>
        <w:tab/>
      </w:r>
      <w:r>
        <w:fldChar w:fldCharType="begin"/>
      </w:r>
      <w:r>
        <w:instrText xml:space="preserve"> PAGEREF _Toc158523549 \h </w:instrText>
      </w:r>
      <w:r>
        <w:fldChar w:fldCharType="separate"/>
      </w:r>
      <w:r>
        <w:t>25</w:t>
      </w:r>
      <w:r>
        <w:fldChar w:fldCharType="end"/>
      </w:r>
    </w:p>
    <w:p>
      <w:pPr>
        <w:pStyle w:val="TOC8"/>
        <w:rPr>
          <w:sz w:val="24"/>
          <w:szCs w:val="24"/>
        </w:rPr>
      </w:pPr>
      <w:r>
        <w:rPr>
          <w:szCs w:val="24"/>
        </w:rPr>
        <w:t>625</w:t>
      </w:r>
      <w:r>
        <w:rPr>
          <w:snapToGrid w:val="0"/>
          <w:szCs w:val="24"/>
        </w:rPr>
        <w:t>.</w:t>
      </w:r>
      <w:r>
        <w:rPr>
          <w:snapToGrid w:val="0"/>
          <w:szCs w:val="24"/>
        </w:rPr>
        <w:tab/>
        <w:t>Disciplinary proceedings</w:t>
      </w:r>
      <w:r>
        <w:tab/>
      </w:r>
      <w:r>
        <w:fldChar w:fldCharType="begin"/>
      </w:r>
      <w:r>
        <w:instrText xml:space="preserve"> PAGEREF _Toc158523550 \h </w:instrText>
      </w:r>
      <w:r>
        <w:fldChar w:fldCharType="separate"/>
      </w:r>
      <w:r>
        <w:t>26</w:t>
      </w:r>
      <w:r>
        <w:fldChar w:fldCharType="end"/>
      </w:r>
    </w:p>
    <w:p>
      <w:pPr>
        <w:pStyle w:val="TOC8"/>
        <w:rPr>
          <w:sz w:val="24"/>
          <w:szCs w:val="24"/>
        </w:rPr>
      </w:pPr>
      <w:r>
        <w:rPr>
          <w:szCs w:val="24"/>
        </w:rPr>
        <w:t>626</w:t>
      </w:r>
      <w:r>
        <w:rPr>
          <w:snapToGrid w:val="0"/>
          <w:szCs w:val="24"/>
        </w:rPr>
        <w:t>.</w:t>
      </w:r>
      <w:r>
        <w:rPr>
          <w:snapToGrid w:val="0"/>
          <w:szCs w:val="24"/>
        </w:rPr>
        <w:tab/>
        <w:t>Civil or criminal proceedings against member or cadet</w:t>
      </w:r>
      <w:r>
        <w:tab/>
      </w:r>
      <w:r>
        <w:fldChar w:fldCharType="begin"/>
      </w:r>
      <w:r>
        <w:instrText xml:space="preserve"> PAGEREF _Toc158523551 \h </w:instrText>
      </w:r>
      <w:r>
        <w:fldChar w:fldCharType="separate"/>
      </w:r>
      <w:r>
        <w:t>26</w:t>
      </w:r>
      <w:r>
        <w:fldChar w:fldCharType="end"/>
      </w:r>
    </w:p>
    <w:p>
      <w:pPr>
        <w:pStyle w:val="TOC2"/>
        <w:tabs>
          <w:tab w:val="right" w:leader="dot" w:pos="7078"/>
        </w:tabs>
        <w:rPr>
          <w:b w:val="0"/>
          <w:sz w:val="24"/>
          <w:szCs w:val="24"/>
        </w:rPr>
      </w:pPr>
      <w:r>
        <w:rPr>
          <w:szCs w:val="30"/>
        </w:rPr>
        <w:t>Part VIA</w:t>
      </w:r>
      <w:r>
        <w:rPr>
          <w:b w:val="0"/>
          <w:szCs w:val="30"/>
        </w:rPr>
        <w:t> </w:t>
      </w:r>
      <w:r>
        <w:rPr>
          <w:szCs w:val="30"/>
        </w:rPr>
        <w:t>—</w:t>
      </w:r>
      <w:r>
        <w:rPr>
          <w:b w:val="0"/>
          <w:szCs w:val="30"/>
        </w:rPr>
        <w:t> </w:t>
      </w:r>
      <w:r>
        <w:rPr>
          <w:szCs w:val="30"/>
        </w:rPr>
        <w:t>Procedure relating to Part IIB of the Act</w:t>
      </w:r>
    </w:p>
    <w:p>
      <w:pPr>
        <w:pStyle w:val="TOC8"/>
        <w:rPr>
          <w:sz w:val="24"/>
          <w:szCs w:val="24"/>
        </w:rPr>
      </w:pPr>
      <w:r>
        <w:rPr>
          <w:szCs w:val="24"/>
        </w:rPr>
        <w:t>6A01.</w:t>
      </w:r>
      <w:r>
        <w:rPr>
          <w:szCs w:val="24"/>
        </w:rPr>
        <w:tab/>
        <w:t>Interpretation</w:t>
      </w:r>
      <w:r>
        <w:tab/>
      </w:r>
      <w:r>
        <w:fldChar w:fldCharType="begin"/>
      </w:r>
      <w:r>
        <w:instrText xml:space="preserve"> PAGEREF _Toc158523553 \h </w:instrText>
      </w:r>
      <w:r>
        <w:fldChar w:fldCharType="separate"/>
      </w:r>
      <w:r>
        <w:t>27</w:t>
      </w:r>
      <w:r>
        <w:fldChar w:fldCharType="end"/>
      </w:r>
    </w:p>
    <w:p>
      <w:pPr>
        <w:pStyle w:val="TOC8"/>
        <w:rPr>
          <w:sz w:val="24"/>
          <w:szCs w:val="24"/>
        </w:rPr>
      </w:pPr>
      <w:r>
        <w:rPr>
          <w:szCs w:val="24"/>
        </w:rPr>
        <w:t>6A02.</w:t>
      </w:r>
      <w:r>
        <w:rPr>
          <w:szCs w:val="24"/>
        </w:rPr>
        <w:tab/>
        <w:t>Appointment of review officer</w:t>
      </w:r>
      <w:r>
        <w:tab/>
      </w:r>
      <w:r>
        <w:fldChar w:fldCharType="begin"/>
      </w:r>
      <w:r>
        <w:instrText xml:space="preserve"> PAGEREF _Toc158523554 \h </w:instrText>
      </w:r>
      <w:r>
        <w:fldChar w:fldCharType="separate"/>
      </w:r>
      <w:r>
        <w:t>27</w:t>
      </w:r>
      <w:r>
        <w:fldChar w:fldCharType="end"/>
      </w:r>
    </w:p>
    <w:p>
      <w:pPr>
        <w:pStyle w:val="TOC8"/>
        <w:rPr>
          <w:sz w:val="24"/>
          <w:szCs w:val="24"/>
        </w:rPr>
      </w:pPr>
      <w:r>
        <w:rPr>
          <w:szCs w:val="24"/>
        </w:rPr>
        <w:t>6A03.</w:t>
      </w:r>
      <w:r>
        <w:rPr>
          <w:szCs w:val="24"/>
        </w:rPr>
        <w:tab/>
        <w:t>Role of review officer</w:t>
      </w:r>
      <w:r>
        <w:tab/>
      </w:r>
      <w:r>
        <w:fldChar w:fldCharType="begin"/>
      </w:r>
      <w:r>
        <w:instrText xml:space="preserve"> PAGEREF _Toc158523555 \h </w:instrText>
      </w:r>
      <w:r>
        <w:fldChar w:fldCharType="separate"/>
      </w:r>
      <w:r>
        <w:t>28</w:t>
      </w:r>
      <w:r>
        <w:fldChar w:fldCharType="end"/>
      </w:r>
    </w:p>
    <w:p>
      <w:pPr>
        <w:pStyle w:val="TOC8"/>
        <w:rPr>
          <w:sz w:val="24"/>
          <w:szCs w:val="24"/>
        </w:rPr>
      </w:pPr>
      <w:r>
        <w:rPr>
          <w:szCs w:val="24"/>
        </w:rPr>
        <w:t>6A04.</w:t>
      </w:r>
      <w:r>
        <w:rPr>
          <w:szCs w:val="24"/>
        </w:rPr>
        <w:tab/>
        <w:t>Provision of materials to the Commissioner</w:t>
      </w:r>
      <w:r>
        <w:tab/>
      </w:r>
      <w:r>
        <w:fldChar w:fldCharType="begin"/>
      </w:r>
      <w:r>
        <w:instrText xml:space="preserve"> PAGEREF _Toc158523556 \h </w:instrText>
      </w:r>
      <w:r>
        <w:fldChar w:fldCharType="separate"/>
      </w:r>
      <w:r>
        <w:t>28</w:t>
      </w:r>
      <w:r>
        <w:fldChar w:fldCharType="end"/>
      </w:r>
    </w:p>
    <w:p>
      <w:pPr>
        <w:pStyle w:val="TOC8"/>
        <w:rPr>
          <w:sz w:val="24"/>
          <w:szCs w:val="24"/>
        </w:rPr>
      </w:pPr>
      <w:r>
        <w:rPr>
          <w:szCs w:val="24"/>
        </w:rPr>
        <w:t>6A05.</w:t>
      </w:r>
      <w:r>
        <w:rPr>
          <w:szCs w:val="24"/>
        </w:rPr>
        <w:tab/>
        <w:t>Notice for purpose of section 33L(1) of the Act</w:t>
      </w:r>
      <w:r>
        <w:tab/>
      </w:r>
      <w:r>
        <w:fldChar w:fldCharType="begin"/>
      </w:r>
      <w:r>
        <w:instrText xml:space="preserve"> PAGEREF _Toc158523557 \h </w:instrText>
      </w:r>
      <w:r>
        <w:fldChar w:fldCharType="separate"/>
      </w:r>
      <w:r>
        <w:t>29</w:t>
      </w:r>
      <w:r>
        <w:fldChar w:fldCharType="end"/>
      </w:r>
    </w:p>
    <w:p>
      <w:pPr>
        <w:pStyle w:val="TOC8"/>
        <w:rPr>
          <w:sz w:val="24"/>
          <w:szCs w:val="24"/>
        </w:rPr>
      </w:pPr>
      <w:r>
        <w:rPr>
          <w:szCs w:val="24"/>
        </w:rPr>
        <w:t>6A06.</w:t>
      </w:r>
      <w:r>
        <w:rPr>
          <w:szCs w:val="24"/>
        </w:rPr>
        <w:tab/>
        <w:t>Access to material</w:t>
      </w:r>
      <w:r>
        <w:tab/>
      </w:r>
      <w:r>
        <w:fldChar w:fldCharType="begin"/>
      </w:r>
      <w:r>
        <w:instrText xml:space="preserve"> PAGEREF _Toc158523558 \h </w:instrText>
      </w:r>
      <w:r>
        <w:fldChar w:fldCharType="separate"/>
      </w:r>
      <w:r>
        <w:t>30</w:t>
      </w:r>
      <w:r>
        <w:fldChar w:fldCharType="end"/>
      </w:r>
    </w:p>
    <w:p>
      <w:pPr>
        <w:pStyle w:val="TOC8"/>
        <w:rPr>
          <w:sz w:val="24"/>
          <w:szCs w:val="24"/>
        </w:rPr>
      </w:pPr>
      <w:r>
        <w:rPr>
          <w:szCs w:val="24"/>
        </w:rPr>
        <w:t>6A07.</w:t>
      </w:r>
      <w:r>
        <w:rPr>
          <w:szCs w:val="24"/>
        </w:rPr>
        <w:tab/>
        <w:t>Commissioner’s assessment of the member’s submission</w:t>
      </w:r>
      <w:r>
        <w:tab/>
      </w:r>
      <w:r>
        <w:fldChar w:fldCharType="begin"/>
      </w:r>
      <w:r>
        <w:instrText xml:space="preserve"> PAGEREF _Toc158523559 \h </w:instrText>
      </w:r>
      <w:r>
        <w:fldChar w:fldCharType="separate"/>
      </w:r>
      <w:r>
        <w:t>31</w:t>
      </w:r>
      <w:r>
        <w:fldChar w:fldCharType="end"/>
      </w:r>
    </w:p>
    <w:p>
      <w:pPr>
        <w:pStyle w:val="TOC8"/>
        <w:rPr>
          <w:sz w:val="24"/>
          <w:szCs w:val="24"/>
        </w:rPr>
      </w:pPr>
      <w:r>
        <w:rPr>
          <w:szCs w:val="24"/>
        </w:rPr>
        <w:t>6A08.</w:t>
      </w:r>
      <w:r>
        <w:rPr>
          <w:szCs w:val="24"/>
        </w:rPr>
        <w:tab/>
        <w:t>Further ground for removal, or revocation of appointment</w:t>
      </w:r>
      <w:r>
        <w:tab/>
      </w:r>
      <w:r>
        <w:fldChar w:fldCharType="begin"/>
      </w:r>
      <w:r>
        <w:instrText xml:space="preserve"> PAGEREF _Toc158523560 \h </w:instrText>
      </w:r>
      <w:r>
        <w:fldChar w:fldCharType="separate"/>
      </w:r>
      <w:r>
        <w:t>32</w:t>
      </w:r>
      <w:r>
        <w:fldChar w:fldCharType="end"/>
      </w:r>
    </w:p>
    <w:p>
      <w:pPr>
        <w:pStyle w:val="TOC8"/>
        <w:rPr>
          <w:sz w:val="24"/>
          <w:szCs w:val="24"/>
        </w:rPr>
      </w:pPr>
      <w:r>
        <w:rPr>
          <w:szCs w:val="24"/>
        </w:rPr>
        <w:t>6A09.</w:t>
      </w:r>
      <w:r>
        <w:rPr>
          <w:szCs w:val="24"/>
        </w:rPr>
        <w:tab/>
        <w:t>Notice of Commissioner’s recommendation or revocation of appointment of aboriginal aide</w:t>
      </w:r>
      <w:r>
        <w:tab/>
      </w:r>
      <w:r>
        <w:fldChar w:fldCharType="begin"/>
      </w:r>
      <w:r>
        <w:instrText xml:space="preserve"> PAGEREF _Toc158523561 \h </w:instrText>
      </w:r>
      <w:r>
        <w:fldChar w:fldCharType="separate"/>
      </w:r>
      <w:r>
        <w:t>33</w:t>
      </w:r>
      <w:r>
        <w:fldChar w:fldCharType="end"/>
      </w:r>
    </w:p>
    <w:p>
      <w:pPr>
        <w:pStyle w:val="TOC8"/>
        <w:rPr>
          <w:sz w:val="24"/>
          <w:szCs w:val="24"/>
        </w:rPr>
      </w:pPr>
      <w:r>
        <w:rPr>
          <w:szCs w:val="24"/>
        </w:rPr>
        <w:t>6A10.</w:t>
      </w:r>
      <w:r>
        <w:rPr>
          <w:szCs w:val="24"/>
        </w:rPr>
        <w:tab/>
        <w:t>Services of notices or documents</w:t>
      </w:r>
      <w:r>
        <w:tab/>
      </w:r>
      <w:r>
        <w:fldChar w:fldCharType="begin"/>
      </w:r>
      <w:r>
        <w:instrText xml:space="preserve"> PAGEREF _Toc158523562 \h </w:instrText>
      </w:r>
      <w:r>
        <w:fldChar w:fldCharType="separate"/>
      </w:r>
      <w:r>
        <w:t>34</w:t>
      </w:r>
      <w:r>
        <w:fldChar w:fldCharType="end"/>
      </w:r>
    </w:p>
    <w:p>
      <w:pPr>
        <w:pStyle w:val="TOC8"/>
        <w:rPr>
          <w:sz w:val="24"/>
          <w:szCs w:val="24"/>
        </w:rPr>
      </w:pPr>
      <w:r>
        <w:rPr>
          <w:szCs w:val="24"/>
        </w:rPr>
        <w:t>6A11.</w:t>
      </w:r>
      <w:r>
        <w:rPr>
          <w:szCs w:val="24"/>
        </w:rPr>
        <w:tab/>
        <w:t>Members unfit for further active service</w:t>
      </w:r>
      <w:r>
        <w:tab/>
      </w:r>
      <w:r>
        <w:fldChar w:fldCharType="begin"/>
      </w:r>
      <w:r>
        <w:instrText xml:space="preserve"> PAGEREF _Toc158523563 \h </w:instrText>
      </w:r>
      <w:r>
        <w:fldChar w:fldCharType="separate"/>
      </w:r>
      <w:r>
        <w:t>34</w:t>
      </w:r>
      <w:r>
        <w:fldChar w:fldCharType="end"/>
      </w:r>
    </w:p>
    <w:p>
      <w:pPr>
        <w:pStyle w:val="TOC8"/>
        <w:rPr>
          <w:sz w:val="24"/>
          <w:szCs w:val="24"/>
        </w:rPr>
      </w:pPr>
      <w:r>
        <w:rPr>
          <w:szCs w:val="24"/>
        </w:rPr>
        <w:t>6A12.</w:t>
      </w:r>
      <w:r>
        <w:rPr>
          <w:szCs w:val="24"/>
        </w:rPr>
        <w:tab/>
        <w:t>Restriction on suspending member’s pay</w:t>
      </w:r>
      <w:r>
        <w:tab/>
      </w:r>
      <w:r>
        <w:fldChar w:fldCharType="begin"/>
      </w:r>
      <w:r>
        <w:instrText xml:space="preserve"> PAGEREF _Toc158523564 \h </w:instrText>
      </w:r>
      <w:r>
        <w:fldChar w:fldCharType="separate"/>
      </w:r>
      <w:r>
        <w:t>35</w:t>
      </w:r>
      <w:r>
        <w:fldChar w:fldCharType="end"/>
      </w:r>
    </w:p>
    <w:p>
      <w:pPr>
        <w:pStyle w:val="TOC2"/>
        <w:tabs>
          <w:tab w:val="right" w:leader="dot" w:pos="7078"/>
        </w:tabs>
        <w:rPr>
          <w:b w:val="0"/>
          <w:sz w:val="24"/>
          <w:szCs w:val="24"/>
        </w:rPr>
      </w:pPr>
      <w:r>
        <w:rPr>
          <w:szCs w:val="30"/>
        </w:rPr>
        <w:t>Part VIII — Seniority</w:t>
      </w:r>
    </w:p>
    <w:p>
      <w:pPr>
        <w:pStyle w:val="TOC8"/>
        <w:rPr>
          <w:sz w:val="24"/>
          <w:szCs w:val="24"/>
        </w:rPr>
      </w:pPr>
      <w:r>
        <w:rPr>
          <w:szCs w:val="24"/>
        </w:rPr>
        <w:t>801</w:t>
      </w:r>
      <w:r>
        <w:rPr>
          <w:snapToGrid w:val="0"/>
          <w:szCs w:val="24"/>
        </w:rPr>
        <w:t>.</w:t>
      </w:r>
      <w:r>
        <w:rPr>
          <w:snapToGrid w:val="0"/>
          <w:szCs w:val="24"/>
        </w:rPr>
        <w:tab/>
        <w:t>Interpretation</w:t>
      </w:r>
      <w:r>
        <w:tab/>
      </w:r>
      <w:r>
        <w:fldChar w:fldCharType="begin"/>
      </w:r>
      <w:r>
        <w:instrText xml:space="preserve"> PAGEREF _Toc158523566 \h </w:instrText>
      </w:r>
      <w:r>
        <w:fldChar w:fldCharType="separate"/>
      </w:r>
      <w:r>
        <w:t>36</w:t>
      </w:r>
      <w:r>
        <w:fldChar w:fldCharType="end"/>
      </w:r>
    </w:p>
    <w:p>
      <w:pPr>
        <w:pStyle w:val="TOC8"/>
        <w:rPr>
          <w:sz w:val="24"/>
          <w:szCs w:val="24"/>
        </w:rPr>
      </w:pPr>
      <w:r>
        <w:rPr>
          <w:szCs w:val="24"/>
        </w:rPr>
        <w:t>802.</w:t>
      </w:r>
      <w:r>
        <w:rPr>
          <w:szCs w:val="24"/>
        </w:rPr>
        <w:tab/>
        <w:t>Regulations not to affect power conferred on the Governor, Commissioner or Award</w:t>
      </w:r>
      <w:r>
        <w:tab/>
      </w:r>
      <w:r>
        <w:fldChar w:fldCharType="begin"/>
      </w:r>
      <w:r>
        <w:instrText xml:space="preserve"> PAGEREF _Toc158523567 \h </w:instrText>
      </w:r>
      <w:r>
        <w:fldChar w:fldCharType="separate"/>
      </w:r>
      <w:r>
        <w:t>36</w:t>
      </w:r>
      <w:r>
        <w:fldChar w:fldCharType="end"/>
      </w:r>
    </w:p>
    <w:p>
      <w:pPr>
        <w:pStyle w:val="TOC8"/>
        <w:rPr>
          <w:sz w:val="24"/>
          <w:szCs w:val="24"/>
        </w:rPr>
      </w:pPr>
      <w:r>
        <w:rPr>
          <w:szCs w:val="24"/>
        </w:rPr>
        <w:t>803</w:t>
      </w:r>
      <w:r>
        <w:rPr>
          <w:snapToGrid w:val="0"/>
          <w:szCs w:val="24"/>
        </w:rPr>
        <w:t>.</w:t>
      </w:r>
      <w:r>
        <w:rPr>
          <w:snapToGrid w:val="0"/>
          <w:szCs w:val="24"/>
        </w:rPr>
        <w:tab/>
        <w:t>Register of Training and Education Qualifications</w:t>
      </w:r>
      <w:r>
        <w:tab/>
      </w:r>
      <w:r>
        <w:fldChar w:fldCharType="begin"/>
      </w:r>
      <w:r>
        <w:instrText xml:space="preserve"> PAGEREF _Toc158523568 \h </w:instrText>
      </w:r>
      <w:r>
        <w:fldChar w:fldCharType="separate"/>
      </w:r>
      <w:r>
        <w:t>36</w:t>
      </w:r>
      <w:r>
        <w:fldChar w:fldCharType="end"/>
      </w:r>
    </w:p>
    <w:p>
      <w:pPr>
        <w:pStyle w:val="TOC8"/>
        <w:rPr>
          <w:sz w:val="24"/>
          <w:szCs w:val="24"/>
        </w:rPr>
      </w:pPr>
      <w:r>
        <w:rPr>
          <w:szCs w:val="24"/>
        </w:rPr>
        <w:t>804</w:t>
      </w:r>
      <w:r>
        <w:rPr>
          <w:snapToGrid w:val="0"/>
          <w:szCs w:val="24"/>
        </w:rPr>
        <w:t>.</w:t>
      </w:r>
      <w:r>
        <w:rPr>
          <w:snapToGrid w:val="0"/>
          <w:szCs w:val="24"/>
        </w:rPr>
        <w:tab/>
        <w:t>General Seniority List to be established</w:t>
      </w:r>
      <w:r>
        <w:tab/>
      </w:r>
      <w:r>
        <w:fldChar w:fldCharType="begin"/>
      </w:r>
      <w:r>
        <w:instrText xml:space="preserve"> PAGEREF _Toc158523569 \h </w:instrText>
      </w:r>
      <w:r>
        <w:fldChar w:fldCharType="separate"/>
      </w:r>
      <w:r>
        <w:t>37</w:t>
      </w:r>
      <w:r>
        <w:fldChar w:fldCharType="end"/>
      </w:r>
    </w:p>
    <w:p>
      <w:pPr>
        <w:pStyle w:val="TOC8"/>
        <w:rPr>
          <w:sz w:val="24"/>
          <w:szCs w:val="24"/>
        </w:rPr>
      </w:pPr>
      <w:r>
        <w:rPr>
          <w:szCs w:val="24"/>
        </w:rPr>
        <w:t>805</w:t>
      </w:r>
      <w:r>
        <w:rPr>
          <w:snapToGrid w:val="0"/>
          <w:szCs w:val="24"/>
        </w:rPr>
        <w:t>.</w:t>
      </w:r>
      <w:r>
        <w:rPr>
          <w:snapToGrid w:val="0"/>
          <w:szCs w:val="24"/>
        </w:rPr>
        <w:tab/>
        <w:t>General seniority of Force members</w:t>
      </w:r>
      <w:r>
        <w:tab/>
      </w:r>
      <w:r>
        <w:fldChar w:fldCharType="begin"/>
      </w:r>
      <w:r>
        <w:instrText xml:space="preserve"> PAGEREF _Toc158523570 \h </w:instrText>
      </w:r>
      <w:r>
        <w:fldChar w:fldCharType="separate"/>
      </w:r>
      <w:r>
        <w:t>37</w:t>
      </w:r>
      <w:r>
        <w:fldChar w:fldCharType="end"/>
      </w:r>
    </w:p>
    <w:p>
      <w:pPr>
        <w:pStyle w:val="TOC2"/>
        <w:tabs>
          <w:tab w:val="right" w:leader="dot" w:pos="7078"/>
        </w:tabs>
        <w:rPr>
          <w:b w:val="0"/>
          <w:sz w:val="24"/>
          <w:szCs w:val="24"/>
        </w:rPr>
      </w:pPr>
      <w:r>
        <w:rPr>
          <w:szCs w:val="30"/>
        </w:rPr>
        <w:t>Part VIIIA — Recognition of bravery and merit</w:t>
      </w:r>
    </w:p>
    <w:p>
      <w:pPr>
        <w:pStyle w:val="TOC8"/>
        <w:rPr>
          <w:sz w:val="24"/>
          <w:szCs w:val="24"/>
        </w:rPr>
      </w:pPr>
      <w:r>
        <w:rPr>
          <w:szCs w:val="24"/>
        </w:rPr>
        <w:t>8A01</w:t>
      </w:r>
      <w:r>
        <w:rPr>
          <w:snapToGrid w:val="0"/>
          <w:szCs w:val="24"/>
        </w:rPr>
        <w:t>.</w:t>
      </w:r>
      <w:r>
        <w:rPr>
          <w:snapToGrid w:val="0"/>
          <w:szCs w:val="24"/>
        </w:rPr>
        <w:tab/>
        <w:t>Interpretation of Part</w:t>
      </w:r>
      <w:r>
        <w:tab/>
      </w:r>
      <w:r>
        <w:fldChar w:fldCharType="begin"/>
      </w:r>
      <w:r>
        <w:instrText xml:space="preserve"> PAGEREF _Toc158523572 \h </w:instrText>
      </w:r>
      <w:r>
        <w:fldChar w:fldCharType="separate"/>
      </w:r>
      <w:r>
        <w:t>39</w:t>
      </w:r>
      <w:r>
        <w:fldChar w:fldCharType="end"/>
      </w:r>
    </w:p>
    <w:p>
      <w:pPr>
        <w:pStyle w:val="TOC8"/>
        <w:rPr>
          <w:sz w:val="24"/>
          <w:szCs w:val="24"/>
        </w:rPr>
      </w:pPr>
      <w:r>
        <w:rPr>
          <w:szCs w:val="24"/>
        </w:rPr>
        <w:t>8A02</w:t>
      </w:r>
      <w:r>
        <w:rPr>
          <w:snapToGrid w:val="0"/>
          <w:szCs w:val="24"/>
        </w:rPr>
        <w:t>.</w:t>
      </w:r>
      <w:r>
        <w:rPr>
          <w:snapToGrid w:val="0"/>
          <w:szCs w:val="24"/>
        </w:rPr>
        <w:tab/>
        <w:t>Classes of awards</w:t>
      </w:r>
      <w:r>
        <w:tab/>
      </w:r>
      <w:r>
        <w:fldChar w:fldCharType="begin"/>
      </w:r>
      <w:r>
        <w:instrText xml:space="preserve"> PAGEREF _Toc158523573 \h </w:instrText>
      </w:r>
      <w:r>
        <w:fldChar w:fldCharType="separate"/>
      </w:r>
      <w:r>
        <w:t>39</w:t>
      </w:r>
      <w:r>
        <w:fldChar w:fldCharType="end"/>
      </w:r>
    </w:p>
    <w:p>
      <w:pPr>
        <w:pStyle w:val="TOC8"/>
        <w:rPr>
          <w:sz w:val="24"/>
          <w:szCs w:val="24"/>
        </w:rPr>
      </w:pPr>
      <w:r>
        <w:rPr>
          <w:szCs w:val="24"/>
        </w:rPr>
        <w:t>8A03</w:t>
      </w:r>
      <w:r>
        <w:rPr>
          <w:snapToGrid w:val="0"/>
          <w:szCs w:val="24"/>
        </w:rPr>
        <w:t>.</w:t>
      </w:r>
      <w:r>
        <w:rPr>
          <w:snapToGrid w:val="0"/>
          <w:szCs w:val="24"/>
        </w:rPr>
        <w:tab/>
        <w:t>Nature of awards</w:t>
      </w:r>
      <w:r>
        <w:tab/>
      </w:r>
      <w:r>
        <w:fldChar w:fldCharType="begin"/>
      </w:r>
      <w:r>
        <w:instrText xml:space="preserve"> PAGEREF _Toc158523574 \h </w:instrText>
      </w:r>
      <w:r>
        <w:fldChar w:fldCharType="separate"/>
      </w:r>
      <w:r>
        <w:t>40</w:t>
      </w:r>
      <w:r>
        <w:fldChar w:fldCharType="end"/>
      </w:r>
    </w:p>
    <w:p>
      <w:pPr>
        <w:pStyle w:val="TOC8"/>
        <w:rPr>
          <w:sz w:val="24"/>
          <w:szCs w:val="24"/>
        </w:rPr>
      </w:pPr>
      <w:r>
        <w:rPr>
          <w:szCs w:val="24"/>
        </w:rPr>
        <w:t>8A04</w:t>
      </w:r>
      <w:r>
        <w:rPr>
          <w:snapToGrid w:val="0"/>
          <w:szCs w:val="24"/>
        </w:rPr>
        <w:t>.</w:t>
      </w:r>
      <w:r>
        <w:rPr>
          <w:snapToGrid w:val="0"/>
          <w:szCs w:val="24"/>
        </w:rPr>
        <w:tab/>
        <w:t>Nomination for an award</w:t>
      </w:r>
      <w:r>
        <w:tab/>
      </w:r>
      <w:r>
        <w:fldChar w:fldCharType="begin"/>
      </w:r>
      <w:r>
        <w:instrText xml:space="preserve"> PAGEREF _Toc158523575 \h </w:instrText>
      </w:r>
      <w:r>
        <w:fldChar w:fldCharType="separate"/>
      </w:r>
      <w:r>
        <w:t>40</w:t>
      </w:r>
      <w:r>
        <w:fldChar w:fldCharType="end"/>
      </w:r>
    </w:p>
    <w:p>
      <w:pPr>
        <w:pStyle w:val="TOC8"/>
        <w:rPr>
          <w:sz w:val="24"/>
          <w:szCs w:val="24"/>
        </w:rPr>
      </w:pPr>
      <w:r>
        <w:rPr>
          <w:szCs w:val="24"/>
        </w:rPr>
        <w:t>8A05.</w:t>
      </w:r>
      <w:r>
        <w:rPr>
          <w:szCs w:val="24"/>
        </w:rPr>
        <w:tab/>
      </w:r>
      <w:r>
        <w:rPr>
          <w:snapToGrid w:val="0"/>
          <w:szCs w:val="24"/>
        </w:rPr>
        <w:t>Determination of nominations</w:t>
      </w:r>
      <w:r>
        <w:tab/>
      </w:r>
      <w:r>
        <w:fldChar w:fldCharType="begin"/>
      </w:r>
      <w:r>
        <w:instrText xml:space="preserve"> PAGEREF _Toc158523576 \h </w:instrText>
      </w:r>
      <w:r>
        <w:fldChar w:fldCharType="separate"/>
      </w:r>
      <w:r>
        <w:t>41</w:t>
      </w:r>
      <w:r>
        <w:fldChar w:fldCharType="end"/>
      </w:r>
    </w:p>
    <w:p>
      <w:pPr>
        <w:pStyle w:val="TOC8"/>
        <w:rPr>
          <w:sz w:val="24"/>
          <w:szCs w:val="24"/>
        </w:rPr>
      </w:pPr>
      <w:r>
        <w:rPr>
          <w:szCs w:val="24"/>
        </w:rPr>
        <w:t>8A06</w:t>
      </w:r>
      <w:r>
        <w:rPr>
          <w:snapToGrid w:val="0"/>
          <w:szCs w:val="24"/>
        </w:rPr>
        <w:t>.</w:t>
      </w:r>
      <w:r>
        <w:rPr>
          <w:snapToGrid w:val="0"/>
          <w:szCs w:val="24"/>
        </w:rPr>
        <w:tab/>
        <w:t>Record of awards</w:t>
      </w:r>
      <w:r>
        <w:tab/>
      </w:r>
      <w:r>
        <w:fldChar w:fldCharType="begin"/>
      </w:r>
      <w:r>
        <w:instrText xml:space="preserve"> PAGEREF _Toc158523577 \h </w:instrText>
      </w:r>
      <w:r>
        <w:fldChar w:fldCharType="separate"/>
      </w:r>
      <w:r>
        <w:t>42</w:t>
      </w:r>
      <w:r>
        <w:fldChar w:fldCharType="end"/>
      </w:r>
    </w:p>
    <w:p>
      <w:pPr>
        <w:pStyle w:val="TOC8"/>
        <w:rPr>
          <w:sz w:val="24"/>
          <w:szCs w:val="24"/>
        </w:rPr>
      </w:pPr>
      <w:r>
        <w:rPr>
          <w:szCs w:val="24"/>
        </w:rPr>
        <w:t>8A07</w:t>
      </w:r>
      <w:r>
        <w:rPr>
          <w:snapToGrid w:val="0"/>
          <w:szCs w:val="24"/>
        </w:rPr>
        <w:t>.</w:t>
      </w:r>
      <w:r>
        <w:rPr>
          <w:snapToGrid w:val="0"/>
          <w:szCs w:val="24"/>
        </w:rPr>
        <w:tab/>
        <w:t>Letters after name</w:t>
      </w:r>
      <w:r>
        <w:tab/>
      </w:r>
      <w:r>
        <w:fldChar w:fldCharType="begin"/>
      </w:r>
      <w:r>
        <w:instrText xml:space="preserve"> PAGEREF _Toc158523578 \h </w:instrText>
      </w:r>
      <w:r>
        <w:fldChar w:fldCharType="separate"/>
      </w:r>
      <w:r>
        <w:t>42</w:t>
      </w:r>
      <w:r>
        <w:fldChar w:fldCharType="end"/>
      </w:r>
    </w:p>
    <w:p>
      <w:pPr>
        <w:pStyle w:val="TOC8"/>
        <w:rPr>
          <w:sz w:val="24"/>
          <w:szCs w:val="24"/>
        </w:rPr>
      </w:pPr>
      <w:r>
        <w:rPr>
          <w:szCs w:val="24"/>
        </w:rPr>
        <w:t>8A09</w:t>
      </w:r>
      <w:r>
        <w:rPr>
          <w:snapToGrid w:val="0"/>
          <w:szCs w:val="24"/>
        </w:rPr>
        <w:t>.</w:t>
      </w:r>
      <w:r>
        <w:rPr>
          <w:snapToGrid w:val="0"/>
          <w:szCs w:val="24"/>
        </w:rPr>
        <w:tab/>
        <w:t>Posthumous awards</w:t>
      </w:r>
      <w:r>
        <w:tab/>
      </w:r>
      <w:r>
        <w:fldChar w:fldCharType="begin"/>
      </w:r>
      <w:r>
        <w:instrText xml:space="preserve"> PAGEREF _Toc158523579 \h </w:instrText>
      </w:r>
      <w:r>
        <w:fldChar w:fldCharType="separate"/>
      </w:r>
      <w:r>
        <w:t>42</w:t>
      </w:r>
      <w:r>
        <w:fldChar w:fldCharType="end"/>
      </w:r>
    </w:p>
    <w:p>
      <w:pPr>
        <w:pStyle w:val="TOC8"/>
        <w:rPr>
          <w:sz w:val="24"/>
          <w:szCs w:val="24"/>
        </w:rPr>
      </w:pPr>
      <w:r>
        <w:rPr>
          <w:szCs w:val="24"/>
        </w:rPr>
        <w:t>8A10</w:t>
      </w:r>
      <w:r>
        <w:rPr>
          <w:snapToGrid w:val="0"/>
          <w:szCs w:val="24"/>
        </w:rPr>
        <w:t>.</w:t>
      </w:r>
      <w:r>
        <w:rPr>
          <w:snapToGrid w:val="0"/>
          <w:szCs w:val="24"/>
        </w:rPr>
        <w:tab/>
        <w:t>Guidelines for consideration of nominations</w:t>
      </w:r>
      <w:r>
        <w:tab/>
      </w:r>
      <w:r>
        <w:fldChar w:fldCharType="begin"/>
      </w:r>
      <w:r>
        <w:instrText xml:space="preserve"> PAGEREF _Toc158523580 \h </w:instrText>
      </w:r>
      <w:r>
        <w:fldChar w:fldCharType="separate"/>
      </w:r>
      <w:r>
        <w:t>42</w:t>
      </w:r>
      <w:r>
        <w:fldChar w:fldCharType="end"/>
      </w:r>
    </w:p>
    <w:p>
      <w:pPr>
        <w:pStyle w:val="TOC8"/>
        <w:rPr>
          <w:sz w:val="24"/>
          <w:szCs w:val="24"/>
        </w:rPr>
      </w:pPr>
      <w:r>
        <w:rPr>
          <w:szCs w:val="24"/>
        </w:rPr>
        <w:t>8A11</w:t>
      </w:r>
      <w:r>
        <w:rPr>
          <w:snapToGrid w:val="0"/>
          <w:szCs w:val="24"/>
        </w:rPr>
        <w:t>.</w:t>
      </w:r>
      <w:r>
        <w:rPr>
          <w:snapToGrid w:val="0"/>
          <w:szCs w:val="24"/>
        </w:rPr>
        <w:tab/>
        <w:t>Police Honours and Awards Committee</w:t>
      </w:r>
      <w:r>
        <w:tab/>
      </w:r>
      <w:r>
        <w:fldChar w:fldCharType="begin"/>
      </w:r>
      <w:r>
        <w:instrText xml:space="preserve"> PAGEREF _Toc158523581 \h </w:instrText>
      </w:r>
      <w:r>
        <w:fldChar w:fldCharType="separate"/>
      </w:r>
      <w:r>
        <w:t>43</w:t>
      </w:r>
      <w:r>
        <w:fldChar w:fldCharType="end"/>
      </w:r>
    </w:p>
    <w:p>
      <w:pPr>
        <w:pStyle w:val="TOC2"/>
        <w:tabs>
          <w:tab w:val="right" w:leader="dot" w:pos="7078"/>
        </w:tabs>
        <w:rPr>
          <w:b w:val="0"/>
          <w:sz w:val="24"/>
          <w:szCs w:val="24"/>
        </w:rPr>
      </w:pPr>
      <w:r>
        <w:rPr>
          <w:szCs w:val="30"/>
        </w:rPr>
        <w:t>Part IX — General dress and appearance requirements</w:t>
      </w:r>
    </w:p>
    <w:p>
      <w:pPr>
        <w:pStyle w:val="TOC8"/>
        <w:rPr>
          <w:sz w:val="24"/>
          <w:szCs w:val="24"/>
        </w:rPr>
      </w:pPr>
      <w:r>
        <w:rPr>
          <w:szCs w:val="24"/>
        </w:rPr>
        <w:t>901.</w:t>
      </w:r>
      <w:r>
        <w:rPr>
          <w:szCs w:val="24"/>
        </w:rPr>
        <w:tab/>
        <w:t>Uniform to be worn as ordered</w:t>
      </w:r>
      <w:r>
        <w:tab/>
      </w:r>
      <w:r>
        <w:fldChar w:fldCharType="begin"/>
      </w:r>
      <w:r>
        <w:instrText xml:space="preserve"> PAGEREF _Toc158523583 \h </w:instrText>
      </w:r>
      <w:r>
        <w:fldChar w:fldCharType="separate"/>
      </w:r>
      <w:r>
        <w:t>44</w:t>
      </w:r>
      <w:r>
        <w:fldChar w:fldCharType="end"/>
      </w:r>
    </w:p>
    <w:p>
      <w:pPr>
        <w:pStyle w:val="TOC8"/>
        <w:rPr>
          <w:sz w:val="24"/>
          <w:szCs w:val="24"/>
        </w:rPr>
      </w:pPr>
      <w:r>
        <w:rPr>
          <w:szCs w:val="24"/>
        </w:rPr>
        <w:t>902.</w:t>
      </w:r>
      <w:r>
        <w:rPr>
          <w:szCs w:val="24"/>
        </w:rPr>
        <w:tab/>
        <w:t>Wearing of uniform while off duty</w:t>
      </w:r>
      <w:r>
        <w:tab/>
      </w:r>
      <w:r>
        <w:fldChar w:fldCharType="begin"/>
      </w:r>
      <w:r>
        <w:instrText xml:space="preserve"> PAGEREF _Toc158523584 \h </w:instrText>
      </w:r>
      <w:r>
        <w:fldChar w:fldCharType="separate"/>
      </w:r>
      <w:r>
        <w:t>44</w:t>
      </w:r>
      <w:r>
        <w:fldChar w:fldCharType="end"/>
      </w:r>
    </w:p>
    <w:p>
      <w:pPr>
        <w:pStyle w:val="TOC8"/>
        <w:rPr>
          <w:sz w:val="24"/>
          <w:szCs w:val="24"/>
        </w:rPr>
      </w:pPr>
      <w:r>
        <w:rPr>
          <w:szCs w:val="24"/>
        </w:rPr>
        <w:t>903.</w:t>
      </w:r>
      <w:r>
        <w:rPr>
          <w:szCs w:val="24"/>
        </w:rPr>
        <w:tab/>
        <w:t>Uniform not to be altered</w:t>
      </w:r>
      <w:r>
        <w:tab/>
      </w:r>
      <w:r>
        <w:fldChar w:fldCharType="begin"/>
      </w:r>
      <w:r>
        <w:instrText xml:space="preserve"> PAGEREF _Toc158523585 \h </w:instrText>
      </w:r>
      <w:r>
        <w:fldChar w:fldCharType="separate"/>
      </w:r>
      <w:r>
        <w:t>45</w:t>
      </w:r>
      <w:r>
        <w:fldChar w:fldCharType="end"/>
      </w:r>
    </w:p>
    <w:p>
      <w:pPr>
        <w:pStyle w:val="TOC8"/>
        <w:rPr>
          <w:sz w:val="24"/>
          <w:szCs w:val="24"/>
        </w:rPr>
      </w:pPr>
      <w:r>
        <w:rPr>
          <w:szCs w:val="24"/>
        </w:rPr>
        <w:t>904.</w:t>
      </w:r>
      <w:r>
        <w:rPr>
          <w:szCs w:val="24"/>
        </w:rPr>
        <w:tab/>
        <w:t>Replacement and disposal of articles of uniform</w:t>
      </w:r>
      <w:r>
        <w:tab/>
      </w:r>
      <w:r>
        <w:fldChar w:fldCharType="begin"/>
      </w:r>
      <w:r>
        <w:instrText xml:space="preserve"> PAGEREF _Toc158523586 \h </w:instrText>
      </w:r>
      <w:r>
        <w:fldChar w:fldCharType="separate"/>
      </w:r>
      <w:r>
        <w:t>45</w:t>
      </w:r>
      <w:r>
        <w:fldChar w:fldCharType="end"/>
      </w:r>
    </w:p>
    <w:p>
      <w:pPr>
        <w:pStyle w:val="TOC8"/>
        <w:rPr>
          <w:sz w:val="24"/>
          <w:szCs w:val="24"/>
        </w:rPr>
      </w:pPr>
      <w:r>
        <w:rPr>
          <w:szCs w:val="24"/>
        </w:rPr>
        <w:t>905.</w:t>
      </w:r>
      <w:r>
        <w:rPr>
          <w:szCs w:val="24"/>
        </w:rPr>
        <w:tab/>
        <w:t>Wearing of headwear</w:t>
      </w:r>
      <w:r>
        <w:tab/>
      </w:r>
      <w:r>
        <w:fldChar w:fldCharType="begin"/>
      </w:r>
      <w:r>
        <w:instrText xml:space="preserve"> PAGEREF _Toc158523587 \h </w:instrText>
      </w:r>
      <w:r>
        <w:fldChar w:fldCharType="separate"/>
      </w:r>
      <w:r>
        <w:t>45</w:t>
      </w:r>
      <w:r>
        <w:fldChar w:fldCharType="end"/>
      </w:r>
    </w:p>
    <w:p>
      <w:pPr>
        <w:pStyle w:val="TOC8"/>
        <w:rPr>
          <w:sz w:val="24"/>
          <w:szCs w:val="24"/>
        </w:rPr>
      </w:pPr>
      <w:r>
        <w:rPr>
          <w:szCs w:val="24"/>
        </w:rPr>
        <w:t>906.</w:t>
      </w:r>
      <w:r>
        <w:rPr>
          <w:szCs w:val="24"/>
        </w:rPr>
        <w:tab/>
        <w:t>Care to be taken of issued property</w:t>
      </w:r>
      <w:r>
        <w:tab/>
      </w:r>
      <w:r>
        <w:fldChar w:fldCharType="begin"/>
      </w:r>
      <w:r>
        <w:instrText xml:space="preserve"> PAGEREF _Toc158523588 \h </w:instrText>
      </w:r>
      <w:r>
        <w:fldChar w:fldCharType="separate"/>
      </w:r>
      <w:r>
        <w:t>46</w:t>
      </w:r>
      <w:r>
        <w:fldChar w:fldCharType="end"/>
      </w:r>
    </w:p>
    <w:p>
      <w:pPr>
        <w:pStyle w:val="TOC8"/>
        <w:rPr>
          <w:sz w:val="24"/>
          <w:szCs w:val="24"/>
        </w:rPr>
      </w:pPr>
      <w:r>
        <w:rPr>
          <w:szCs w:val="24"/>
        </w:rPr>
        <w:t>907.</w:t>
      </w:r>
      <w:r>
        <w:rPr>
          <w:szCs w:val="24"/>
        </w:rPr>
        <w:tab/>
        <w:t>Certificate of Authority</w:t>
      </w:r>
      <w:r>
        <w:tab/>
      </w:r>
      <w:r>
        <w:fldChar w:fldCharType="begin"/>
      </w:r>
      <w:r>
        <w:instrText xml:space="preserve"> PAGEREF _Toc158523589 \h </w:instrText>
      </w:r>
      <w:r>
        <w:fldChar w:fldCharType="separate"/>
      </w:r>
      <w:r>
        <w:t>46</w:t>
      </w:r>
      <w:r>
        <w:fldChar w:fldCharType="end"/>
      </w:r>
    </w:p>
    <w:p>
      <w:pPr>
        <w:pStyle w:val="TOC8"/>
        <w:rPr>
          <w:sz w:val="24"/>
          <w:szCs w:val="24"/>
        </w:rPr>
      </w:pPr>
      <w:r>
        <w:rPr>
          <w:szCs w:val="24"/>
        </w:rPr>
        <w:t>908.</w:t>
      </w:r>
      <w:r>
        <w:rPr>
          <w:szCs w:val="24"/>
        </w:rPr>
        <w:tab/>
        <w:t>Name plate</w:t>
      </w:r>
      <w:r>
        <w:tab/>
      </w:r>
      <w:r>
        <w:fldChar w:fldCharType="begin"/>
      </w:r>
      <w:r>
        <w:instrText xml:space="preserve"> PAGEREF _Toc158523590 \h </w:instrText>
      </w:r>
      <w:r>
        <w:fldChar w:fldCharType="separate"/>
      </w:r>
      <w:r>
        <w:t>47</w:t>
      </w:r>
      <w:r>
        <w:fldChar w:fldCharType="end"/>
      </w:r>
    </w:p>
    <w:p>
      <w:pPr>
        <w:pStyle w:val="TOC8"/>
        <w:rPr>
          <w:sz w:val="24"/>
          <w:szCs w:val="24"/>
        </w:rPr>
      </w:pPr>
      <w:r>
        <w:rPr>
          <w:szCs w:val="24"/>
        </w:rPr>
        <w:t>909.</w:t>
      </w:r>
      <w:r>
        <w:rPr>
          <w:szCs w:val="24"/>
        </w:rPr>
        <w:tab/>
        <w:t>Appearance</w:t>
      </w:r>
      <w:r>
        <w:tab/>
      </w:r>
      <w:r>
        <w:fldChar w:fldCharType="begin"/>
      </w:r>
      <w:r>
        <w:instrText xml:space="preserve"> PAGEREF _Toc158523591 \h </w:instrText>
      </w:r>
      <w:r>
        <w:fldChar w:fldCharType="separate"/>
      </w:r>
      <w:r>
        <w:t>47</w:t>
      </w:r>
      <w:r>
        <w:fldChar w:fldCharType="end"/>
      </w:r>
    </w:p>
    <w:p>
      <w:pPr>
        <w:pStyle w:val="TOC2"/>
        <w:tabs>
          <w:tab w:val="right" w:leader="dot" w:pos="7078"/>
        </w:tabs>
        <w:rPr>
          <w:b w:val="0"/>
          <w:sz w:val="24"/>
          <w:szCs w:val="24"/>
        </w:rPr>
      </w:pPr>
      <w:r>
        <w:rPr>
          <w:szCs w:val="30"/>
        </w:rPr>
        <w:t>Part XI — Leave</w:t>
      </w:r>
    </w:p>
    <w:p>
      <w:pPr>
        <w:pStyle w:val="TOC8"/>
        <w:rPr>
          <w:sz w:val="24"/>
          <w:szCs w:val="24"/>
        </w:rPr>
      </w:pPr>
      <w:r>
        <w:rPr>
          <w:szCs w:val="24"/>
        </w:rPr>
        <w:t>1101</w:t>
      </w:r>
      <w:r>
        <w:rPr>
          <w:snapToGrid w:val="0"/>
          <w:szCs w:val="24"/>
        </w:rPr>
        <w:t>.</w:t>
      </w:r>
      <w:r>
        <w:rPr>
          <w:snapToGrid w:val="0"/>
          <w:szCs w:val="24"/>
        </w:rPr>
        <w:tab/>
        <w:t>Annual leave</w:t>
      </w:r>
      <w:r>
        <w:tab/>
      </w:r>
      <w:r>
        <w:fldChar w:fldCharType="begin"/>
      </w:r>
      <w:r>
        <w:instrText xml:space="preserve"> PAGEREF _Toc158523593 \h </w:instrText>
      </w:r>
      <w:r>
        <w:fldChar w:fldCharType="separate"/>
      </w:r>
      <w:r>
        <w:t>49</w:t>
      </w:r>
      <w:r>
        <w:fldChar w:fldCharType="end"/>
      </w:r>
    </w:p>
    <w:p>
      <w:pPr>
        <w:pStyle w:val="TOC8"/>
        <w:rPr>
          <w:sz w:val="24"/>
          <w:szCs w:val="24"/>
        </w:rPr>
      </w:pPr>
      <w:r>
        <w:rPr>
          <w:szCs w:val="24"/>
        </w:rPr>
        <w:t>1102</w:t>
      </w:r>
      <w:r>
        <w:rPr>
          <w:snapToGrid w:val="0"/>
          <w:szCs w:val="24"/>
        </w:rPr>
        <w:t>.</w:t>
      </w:r>
      <w:r>
        <w:rPr>
          <w:snapToGrid w:val="0"/>
          <w:szCs w:val="24"/>
        </w:rPr>
        <w:tab/>
        <w:t>Notice of annual leave</w:t>
      </w:r>
      <w:r>
        <w:tab/>
      </w:r>
      <w:r>
        <w:fldChar w:fldCharType="begin"/>
      </w:r>
      <w:r>
        <w:instrText xml:space="preserve"> PAGEREF _Toc158523594 \h </w:instrText>
      </w:r>
      <w:r>
        <w:fldChar w:fldCharType="separate"/>
      </w:r>
      <w:r>
        <w:t>49</w:t>
      </w:r>
      <w:r>
        <w:fldChar w:fldCharType="end"/>
      </w:r>
    </w:p>
    <w:p>
      <w:pPr>
        <w:pStyle w:val="TOC8"/>
        <w:rPr>
          <w:sz w:val="24"/>
          <w:szCs w:val="24"/>
        </w:rPr>
      </w:pPr>
      <w:r>
        <w:rPr>
          <w:szCs w:val="24"/>
        </w:rPr>
        <w:t>1103</w:t>
      </w:r>
      <w:r>
        <w:rPr>
          <w:snapToGrid w:val="0"/>
          <w:szCs w:val="24"/>
        </w:rPr>
        <w:t>.</w:t>
      </w:r>
      <w:r>
        <w:rPr>
          <w:snapToGrid w:val="0"/>
          <w:szCs w:val="24"/>
        </w:rPr>
        <w:tab/>
        <w:t>Address for contact during leave</w:t>
      </w:r>
      <w:r>
        <w:tab/>
      </w:r>
      <w:r>
        <w:fldChar w:fldCharType="begin"/>
      </w:r>
      <w:r>
        <w:instrText xml:space="preserve"> PAGEREF _Toc158523595 \h </w:instrText>
      </w:r>
      <w:r>
        <w:fldChar w:fldCharType="separate"/>
      </w:r>
      <w:r>
        <w:t>49</w:t>
      </w:r>
      <w:r>
        <w:fldChar w:fldCharType="end"/>
      </w:r>
    </w:p>
    <w:p>
      <w:pPr>
        <w:pStyle w:val="TOC8"/>
        <w:rPr>
          <w:sz w:val="24"/>
          <w:szCs w:val="24"/>
        </w:rPr>
      </w:pPr>
      <w:r>
        <w:rPr>
          <w:szCs w:val="24"/>
        </w:rPr>
        <w:t>1104</w:t>
      </w:r>
      <w:r>
        <w:rPr>
          <w:snapToGrid w:val="0"/>
          <w:szCs w:val="24"/>
        </w:rPr>
        <w:t>.</w:t>
      </w:r>
      <w:r>
        <w:rPr>
          <w:snapToGrid w:val="0"/>
          <w:szCs w:val="24"/>
        </w:rPr>
        <w:tab/>
        <w:t>Annual leave to be taken according to the roster</w:t>
      </w:r>
      <w:r>
        <w:tab/>
      </w:r>
      <w:r>
        <w:fldChar w:fldCharType="begin"/>
      </w:r>
      <w:r>
        <w:instrText xml:space="preserve"> PAGEREF _Toc158523596 \h </w:instrText>
      </w:r>
      <w:r>
        <w:fldChar w:fldCharType="separate"/>
      </w:r>
      <w:r>
        <w:t>49</w:t>
      </w:r>
      <w:r>
        <w:fldChar w:fldCharType="end"/>
      </w:r>
    </w:p>
    <w:p>
      <w:pPr>
        <w:pStyle w:val="TOC8"/>
        <w:rPr>
          <w:sz w:val="24"/>
          <w:szCs w:val="24"/>
        </w:rPr>
      </w:pPr>
      <w:r>
        <w:rPr>
          <w:szCs w:val="24"/>
        </w:rPr>
        <w:t>1105</w:t>
      </w:r>
      <w:r>
        <w:rPr>
          <w:snapToGrid w:val="0"/>
          <w:szCs w:val="24"/>
        </w:rPr>
        <w:t>.</w:t>
      </w:r>
      <w:r>
        <w:rPr>
          <w:snapToGrid w:val="0"/>
          <w:szCs w:val="24"/>
        </w:rPr>
        <w:tab/>
        <w:t>Leave accumulated by written permission</w:t>
      </w:r>
      <w:r>
        <w:tab/>
      </w:r>
      <w:r>
        <w:fldChar w:fldCharType="begin"/>
      </w:r>
      <w:r>
        <w:instrText xml:space="preserve"> PAGEREF _Toc158523597 \h </w:instrText>
      </w:r>
      <w:r>
        <w:fldChar w:fldCharType="separate"/>
      </w:r>
      <w:r>
        <w:t>50</w:t>
      </w:r>
      <w:r>
        <w:fldChar w:fldCharType="end"/>
      </w:r>
    </w:p>
    <w:p>
      <w:pPr>
        <w:pStyle w:val="TOC8"/>
        <w:rPr>
          <w:sz w:val="24"/>
          <w:szCs w:val="24"/>
        </w:rPr>
      </w:pPr>
      <w:r>
        <w:rPr>
          <w:szCs w:val="24"/>
        </w:rPr>
        <w:t>1106</w:t>
      </w:r>
      <w:r>
        <w:rPr>
          <w:snapToGrid w:val="0"/>
          <w:szCs w:val="24"/>
        </w:rPr>
        <w:t>.</w:t>
      </w:r>
      <w:r>
        <w:rPr>
          <w:snapToGrid w:val="0"/>
          <w:szCs w:val="24"/>
        </w:rPr>
        <w:tab/>
        <w:t>Additional leave may be granted</w:t>
      </w:r>
      <w:r>
        <w:tab/>
      </w:r>
      <w:r>
        <w:fldChar w:fldCharType="begin"/>
      </w:r>
      <w:r>
        <w:instrText xml:space="preserve"> PAGEREF _Toc158523598 \h </w:instrText>
      </w:r>
      <w:r>
        <w:fldChar w:fldCharType="separate"/>
      </w:r>
      <w:r>
        <w:t>50</w:t>
      </w:r>
      <w:r>
        <w:fldChar w:fldCharType="end"/>
      </w:r>
    </w:p>
    <w:p>
      <w:pPr>
        <w:pStyle w:val="TOC8"/>
        <w:rPr>
          <w:sz w:val="24"/>
          <w:szCs w:val="24"/>
        </w:rPr>
      </w:pPr>
      <w:r>
        <w:rPr>
          <w:szCs w:val="24"/>
        </w:rPr>
        <w:t>1107</w:t>
      </w:r>
      <w:r>
        <w:rPr>
          <w:snapToGrid w:val="0"/>
          <w:szCs w:val="24"/>
        </w:rPr>
        <w:t>.</w:t>
      </w:r>
      <w:r>
        <w:rPr>
          <w:snapToGrid w:val="0"/>
          <w:szCs w:val="24"/>
        </w:rPr>
        <w:tab/>
        <w:t>Travelling concession</w:t>
      </w:r>
      <w:r>
        <w:tab/>
      </w:r>
      <w:r>
        <w:fldChar w:fldCharType="begin"/>
      </w:r>
      <w:r>
        <w:instrText xml:space="preserve"> PAGEREF _Toc158523599 \h </w:instrText>
      </w:r>
      <w:r>
        <w:fldChar w:fldCharType="separate"/>
      </w:r>
      <w:r>
        <w:t>50</w:t>
      </w:r>
      <w:r>
        <w:fldChar w:fldCharType="end"/>
      </w:r>
    </w:p>
    <w:p>
      <w:pPr>
        <w:pStyle w:val="TOC2"/>
        <w:tabs>
          <w:tab w:val="right" w:leader="dot" w:pos="7078"/>
        </w:tabs>
        <w:rPr>
          <w:b w:val="0"/>
          <w:sz w:val="24"/>
          <w:szCs w:val="24"/>
        </w:rPr>
      </w:pPr>
      <w:r>
        <w:rPr>
          <w:szCs w:val="30"/>
        </w:rPr>
        <w:t>Part XII — Removal on transfer, promotion or retirement</w:t>
      </w:r>
    </w:p>
    <w:p>
      <w:pPr>
        <w:pStyle w:val="TOC8"/>
        <w:rPr>
          <w:sz w:val="24"/>
          <w:szCs w:val="24"/>
        </w:rPr>
      </w:pPr>
      <w:r>
        <w:rPr>
          <w:szCs w:val="24"/>
        </w:rPr>
        <w:t>1201</w:t>
      </w:r>
      <w:r>
        <w:rPr>
          <w:snapToGrid w:val="0"/>
          <w:szCs w:val="24"/>
        </w:rPr>
        <w:t>.</w:t>
      </w:r>
      <w:r>
        <w:rPr>
          <w:snapToGrid w:val="0"/>
          <w:szCs w:val="24"/>
        </w:rPr>
        <w:tab/>
        <w:t>This Part not in derogation of Award</w:t>
      </w:r>
      <w:r>
        <w:tab/>
      </w:r>
      <w:r>
        <w:fldChar w:fldCharType="begin"/>
      </w:r>
      <w:r>
        <w:instrText xml:space="preserve"> PAGEREF _Toc158523601 \h </w:instrText>
      </w:r>
      <w:r>
        <w:fldChar w:fldCharType="separate"/>
      </w:r>
      <w:r>
        <w:t>52</w:t>
      </w:r>
      <w:r>
        <w:fldChar w:fldCharType="end"/>
      </w:r>
    </w:p>
    <w:p>
      <w:pPr>
        <w:pStyle w:val="TOC8"/>
        <w:rPr>
          <w:sz w:val="24"/>
          <w:szCs w:val="24"/>
        </w:rPr>
      </w:pPr>
      <w:r>
        <w:rPr>
          <w:szCs w:val="24"/>
        </w:rPr>
        <w:t>1202</w:t>
      </w:r>
      <w:r>
        <w:rPr>
          <w:snapToGrid w:val="0"/>
          <w:szCs w:val="24"/>
        </w:rPr>
        <w:t>.</w:t>
      </w:r>
      <w:r>
        <w:rPr>
          <w:snapToGrid w:val="0"/>
          <w:szCs w:val="24"/>
        </w:rPr>
        <w:tab/>
        <w:t>Leave in respect of transfer</w:t>
      </w:r>
      <w:r>
        <w:tab/>
      </w:r>
      <w:r>
        <w:fldChar w:fldCharType="begin"/>
      </w:r>
      <w:r>
        <w:instrText xml:space="preserve"> PAGEREF _Toc158523602 \h </w:instrText>
      </w:r>
      <w:r>
        <w:fldChar w:fldCharType="separate"/>
      </w:r>
      <w:r>
        <w:t>52</w:t>
      </w:r>
      <w:r>
        <w:fldChar w:fldCharType="end"/>
      </w:r>
    </w:p>
    <w:p>
      <w:pPr>
        <w:pStyle w:val="TOC8"/>
        <w:rPr>
          <w:sz w:val="24"/>
          <w:szCs w:val="24"/>
        </w:rPr>
      </w:pPr>
      <w:r>
        <w:rPr>
          <w:szCs w:val="24"/>
        </w:rPr>
        <w:t>1203</w:t>
      </w:r>
      <w:r>
        <w:rPr>
          <w:snapToGrid w:val="0"/>
          <w:szCs w:val="24"/>
        </w:rPr>
        <w:t>.</w:t>
      </w:r>
      <w:r>
        <w:rPr>
          <w:snapToGrid w:val="0"/>
          <w:szCs w:val="24"/>
        </w:rPr>
        <w:tab/>
        <w:t>Commissioner to be notified of transfer</w:t>
      </w:r>
      <w:r>
        <w:tab/>
      </w:r>
      <w:r>
        <w:fldChar w:fldCharType="begin"/>
      </w:r>
      <w:r>
        <w:instrText xml:space="preserve"> PAGEREF _Toc158523603 \h </w:instrText>
      </w:r>
      <w:r>
        <w:fldChar w:fldCharType="separate"/>
      </w:r>
      <w:r>
        <w:t>52</w:t>
      </w:r>
      <w:r>
        <w:fldChar w:fldCharType="end"/>
      </w:r>
    </w:p>
    <w:p>
      <w:pPr>
        <w:pStyle w:val="TOC8"/>
        <w:rPr>
          <w:sz w:val="24"/>
          <w:szCs w:val="24"/>
        </w:rPr>
      </w:pPr>
      <w:r>
        <w:rPr>
          <w:szCs w:val="24"/>
        </w:rPr>
        <w:t>1203A.</w:t>
      </w:r>
      <w:r>
        <w:rPr>
          <w:szCs w:val="24"/>
        </w:rPr>
        <w:tab/>
        <w:t>Specialist equipment to be returned</w:t>
      </w:r>
      <w:r>
        <w:tab/>
      </w:r>
      <w:r>
        <w:fldChar w:fldCharType="begin"/>
      </w:r>
      <w:r>
        <w:instrText xml:space="preserve"> PAGEREF _Toc158523604 \h </w:instrText>
      </w:r>
      <w:r>
        <w:fldChar w:fldCharType="separate"/>
      </w:r>
      <w:r>
        <w:t>53</w:t>
      </w:r>
      <w:r>
        <w:fldChar w:fldCharType="end"/>
      </w:r>
    </w:p>
    <w:p>
      <w:pPr>
        <w:pStyle w:val="TOC8"/>
        <w:rPr>
          <w:sz w:val="24"/>
          <w:szCs w:val="24"/>
        </w:rPr>
      </w:pPr>
      <w:r>
        <w:rPr>
          <w:szCs w:val="24"/>
        </w:rPr>
        <w:t>1204</w:t>
      </w:r>
      <w:r>
        <w:rPr>
          <w:snapToGrid w:val="0"/>
          <w:szCs w:val="24"/>
        </w:rPr>
        <w:t>.</w:t>
      </w:r>
      <w:r>
        <w:rPr>
          <w:snapToGrid w:val="0"/>
          <w:szCs w:val="24"/>
        </w:rPr>
        <w:tab/>
        <w:t>Removal allowance</w:t>
      </w:r>
      <w:r>
        <w:tab/>
      </w:r>
      <w:r>
        <w:fldChar w:fldCharType="begin"/>
      </w:r>
      <w:r>
        <w:instrText xml:space="preserve"> PAGEREF _Toc158523605 \h </w:instrText>
      </w:r>
      <w:r>
        <w:fldChar w:fldCharType="separate"/>
      </w:r>
      <w:r>
        <w:t>53</w:t>
      </w:r>
      <w:r>
        <w:fldChar w:fldCharType="end"/>
      </w:r>
    </w:p>
    <w:p>
      <w:pPr>
        <w:pStyle w:val="TOC8"/>
        <w:rPr>
          <w:sz w:val="24"/>
          <w:szCs w:val="24"/>
        </w:rPr>
      </w:pPr>
      <w:r>
        <w:rPr>
          <w:szCs w:val="24"/>
        </w:rPr>
        <w:t>1204A</w:t>
      </w:r>
      <w:r>
        <w:rPr>
          <w:snapToGrid w:val="0"/>
          <w:szCs w:val="24"/>
        </w:rPr>
        <w:t xml:space="preserve">. </w:t>
      </w:r>
      <w:r>
        <w:rPr>
          <w:snapToGrid w:val="0"/>
          <w:szCs w:val="24"/>
        </w:rPr>
        <w:tab/>
        <w:t>Removal cost for retiring member</w:t>
      </w:r>
      <w:r>
        <w:tab/>
      </w:r>
      <w:r>
        <w:fldChar w:fldCharType="begin"/>
      </w:r>
      <w:r>
        <w:instrText xml:space="preserve"> PAGEREF _Toc158523606 \h </w:instrText>
      </w:r>
      <w:r>
        <w:fldChar w:fldCharType="separate"/>
      </w:r>
      <w:r>
        <w:t>54</w:t>
      </w:r>
      <w:r>
        <w:fldChar w:fldCharType="end"/>
      </w:r>
    </w:p>
    <w:p>
      <w:pPr>
        <w:pStyle w:val="TOC8"/>
        <w:rPr>
          <w:sz w:val="24"/>
          <w:szCs w:val="24"/>
        </w:rPr>
      </w:pPr>
      <w:r>
        <w:rPr>
          <w:szCs w:val="24"/>
        </w:rPr>
        <w:t>1205</w:t>
      </w:r>
      <w:r>
        <w:rPr>
          <w:snapToGrid w:val="0"/>
          <w:szCs w:val="24"/>
        </w:rPr>
        <w:t>.</w:t>
      </w:r>
      <w:r>
        <w:rPr>
          <w:snapToGrid w:val="0"/>
          <w:szCs w:val="24"/>
        </w:rPr>
        <w:tab/>
        <w:t>When removal allowance not to be paid</w:t>
      </w:r>
      <w:r>
        <w:tab/>
      </w:r>
      <w:r>
        <w:fldChar w:fldCharType="begin"/>
      </w:r>
      <w:r>
        <w:instrText xml:space="preserve"> PAGEREF _Toc158523607 \h </w:instrText>
      </w:r>
      <w:r>
        <w:fldChar w:fldCharType="separate"/>
      </w:r>
      <w:r>
        <w:t>55</w:t>
      </w:r>
      <w:r>
        <w:fldChar w:fldCharType="end"/>
      </w:r>
    </w:p>
    <w:p>
      <w:pPr>
        <w:pStyle w:val="TOC2"/>
        <w:tabs>
          <w:tab w:val="right" w:leader="dot" w:pos="7078"/>
        </w:tabs>
        <w:rPr>
          <w:b w:val="0"/>
          <w:sz w:val="24"/>
          <w:szCs w:val="24"/>
        </w:rPr>
      </w:pPr>
      <w:r>
        <w:rPr>
          <w:szCs w:val="30"/>
        </w:rPr>
        <w:t>Part XIII — Illness and injury</w:t>
      </w:r>
    </w:p>
    <w:p>
      <w:pPr>
        <w:pStyle w:val="TOC8"/>
        <w:rPr>
          <w:sz w:val="24"/>
          <w:szCs w:val="24"/>
        </w:rPr>
      </w:pPr>
      <w:r>
        <w:rPr>
          <w:szCs w:val="24"/>
        </w:rPr>
        <w:t>1301</w:t>
      </w:r>
      <w:r>
        <w:rPr>
          <w:snapToGrid w:val="0"/>
          <w:szCs w:val="24"/>
        </w:rPr>
        <w:t>.</w:t>
      </w:r>
      <w:r>
        <w:rPr>
          <w:snapToGrid w:val="0"/>
          <w:szCs w:val="24"/>
        </w:rPr>
        <w:tab/>
        <w:t>Interpretation</w:t>
      </w:r>
      <w:r>
        <w:tab/>
      </w:r>
      <w:r>
        <w:fldChar w:fldCharType="begin"/>
      </w:r>
      <w:r>
        <w:instrText xml:space="preserve"> PAGEREF _Toc158523609 \h </w:instrText>
      </w:r>
      <w:r>
        <w:fldChar w:fldCharType="separate"/>
      </w:r>
      <w:r>
        <w:t>56</w:t>
      </w:r>
      <w:r>
        <w:fldChar w:fldCharType="end"/>
      </w:r>
    </w:p>
    <w:p>
      <w:pPr>
        <w:pStyle w:val="TOC8"/>
        <w:rPr>
          <w:sz w:val="24"/>
          <w:szCs w:val="24"/>
        </w:rPr>
      </w:pPr>
      <w:r>
        <w:rPr>
          <w:szCs w:val="24"/>
        </w:rPr>
        <w:t xml:space="preserve">1302. </w:t>
      </w:r>
      <w:r>
        <w:rPr>
          <w:szCs w:val="24"/>
        </w:rPr>
        <w:tab/>
        <w:t>Report of incapacity</w:t>
      </w:r>
      <w:r>
        <w:tab/>
      </w:r>
      <w:r>
        <w:fldChar w:fldCharType="begin"/>
      </w:r>
      <w:r>
        <w:instrText xml:space="preserve"> PAGEREF _Toc158523610 \h </w:instrText>
      </w:r>
      <w:r>
        <w:fldChar w:fldCharType="separate"/>
      </w:r>
      <w:r>
        <w:t>56</w:t>
      </w:r>
      <w:r>
        <w:fldChar w:fldCharType="end"/>
      </w:r>
    </w:p>
    <w:p>
      <w:pPr>
        <w:pStyle w:val="TOC8"/>
        <w:rPr>
          <w:sz w:val="24"/>
          <w:szCs w:val="24"/>
        </w:rPr>
      </w:pPr>
      <w:r>
        <w:rPr>
          <w:szCs w:val="24"/>
        </w:rPr>
        <w:t>1303</w:t>
      </w:r>
      <w:r>
        <w:rPr>
          <w:snapToGrid w:val="0"/>
          <w:szCs w:val="24"/>
        </w:rPr>
        <w:t>.</w:t>
      </w:r>
      <w:r>
        <w:rPr>
          <w:snapToGrid w:val="0"/>
          <w:szCs w:val="24"/>
        </w:rPr>
        <w:tab/>
        <w:t>Application for leave</w:t>
      </w:r>
      <w:r>
        <w:tab/>
      </w:r>
      <w:r>
        <w:fldChar w:fldCharType="begin"/>
      </w:r>
      <w:r>
        <w:instrText xml:space="preserve"> PAGEREF _Toc158523611 \h </w:instrText>
      </w:r>
      <w:r>
        <w:fldChar w:fldCharType="separate"/>
      </w:r>
      <w:r>
        <w:t>57</w:t>
      </w:r>
      <w:r>
        <w:fldChar w:fldCharType="end"/>
      </w:r>
    </w:p>
    <w:p>
      <w:pPr>
        <w:pStyle w:val="TOC8"/>
        <w:rPr>
          <w:sz w:val="24"/>
          <w:szCs w:val="24"/>
        </w:rPr>
      </w:pPr>
      <w:r>
        <w:rPr>
          <w:szCs w:val="24"/>
        </w:rPr>
        <w:t>1304</w:t>
      </w:r>
      <w:r>
        <w:rPr>
          <w:snapToGrid w:val="0"/>
          <w:szCs w:val="24"/>
        </w:rPr>
        <w:t>.</w:t>
      </w:r>
      <w:r>
        <w:rPr>
          <w:snapToGrid w:val="0"/>
          <w:szCs w:val="24"/>
        </w:rPr>
        <w:tab/>
        <w:t>Entitlement to leave and allowances</w:t>
      </w:r>
      <w:r>
        <w:tab/>
      </w:r>
      <w:r>
        <w:fldChar w:fldCharType="begin"/>
      </w:r>
      <w:r>
        <w:instrText xml:space="preserve"> PAGEREF _Toc158523612 \h </w:instrText>
      </w:r>
      <w:r>
        <w:fldChar w:fldCharType="separate"/>
      </w:r>
      <w:r>
        <w:t>57</w:t>
      </w:r>
      <w:r>
        <w:fldChar w:fldCharType="end"/>
      </w:r>
    </w:p>
    <w:p>
      <w:pPr>
        <w:pStyle w:val="TOC8"/>
        <w:rPr>
          <w:sz w:val="24"/>
          <w:szCs w:val="24"/>
        </w:rPr>
      </w:pPr>
      <w:r>
        <w:rPr>
          <w:szCs w:val="24"/>
        </w:rPr>
        <w:t>1305</w:t>
      </w:r>
      <w:r>
        <w:rPr>
          <w:snapToGrid w:val="0"/>
          <w:szCs w:val="24"/>
        </w:rPr>
        <w:t>.</w:t>
      </w:r>
      <w:r>
        <w:rPr>
          <w:snapToGrid w:val="0"/>
          <w:szCs w:val="24"/>
        </w:rPr>
        <w:tab/>
        <w:t>Other work prohibited</w:t>
      </w:r>
      <w:r>
        <w:tab/>
      </w:r>
      <w:r>
        <w:fldChar w:fldCharType="begin"/>
      </w:r>
      <w:r>
        <w:instrText xml:space="preserve"> PAGEREF _Toc158523613 \h </w:instrText>
      </w:r>
      <w:r>
        <w:fldChar w:fldCharType="separate"/>
      </w:r>
      <w:r>
        <w:t>58</w:t>
      </w:r>
      <w:r>
        <w:fldChar w:fldCharType="end"/>
      </w:r>
    </w:p>
    <w:p>
      <w:pPr>
        <w:pStyle w:val="TOC8"/>
        <w:rPr>
          <w:sz w:val="24"/>
          <w:szCs w:val="24"/>
        </w:rPr>
      </w:pPr>
      <w:r>
        <w:rPr>
          <w:szCs w:val="24"/>
        </w:rPr>
        <w:t>1306</w:t>
      </w:r>
      <w:r>
        <w:rPr>
          <w:snapToGrid w:val="0"/>
          <w:szCs w:val="24"/>
        </w:rPr>
        <w:t>.</w:t>
      </w:r>
      <w:r>
        <w:rPr>
          <w:snapToGrid w:val="0"/>
          <w:szCs w:val="24"/>
        </w:rPr>
        <w:tab/>
        <w:t>Medical and hospital expenses where member’s illness results from duties</w:t>
      </w:r>
      <w:r>
        <w:tab/>
      </w:r>
      <w:r>
        <w:fldChar w:fldCharType="begin"/>
      </w:r>
      <w:r>
        <w:instrText xml:space="preserve"> PAGEREF _Toc158523614 \h </w:instrText>
      </w:r>
      <w:r>
        <w:fldChar w:fldCharType="separate"/>
      </w:r>
      <w:r>
        <w:t>58</w:t>
      </w:r>
      <w:r>
        <w:fldChar w:fldCharType="end"/>
      </w:r>
    </w:p>
    <w:p>
      <w:pPr>
        <w:pStyle w:val="TOC8"/>
        <w:rPr>
          <w:sz w:val="24"/>
          <w:szCs w:val="24"/>
        </w:rPr>
      </w:pPr>
      <w:r>
        <w:rPr>
          <w:szCs w:val="24"/>
        </w:rPr>
        <w:t>1308</w:t>
      </w:r>
      <w:r>
        <w:rPr>
          <w:snapToGrid w:val="0"/>
          <w:szCs w:val="24"/>
        </w:rPr>
        <w:t>.</w:t>
      </w:r>
      <w:r>
        <w:rPr>
          <w:snapToGrid w:val="0"/>
          <w:szCs w:val="24"/>
        </w:rPr>
        <w:tab/>
        <w:t>Ineligibility for benefits where incapacity own fault</w:t>
      </w:r>
      <w:r>
        <w:tab/>
      </w:r>
      <w:r>
        <w:fldChar w:fldCharType="begin"/>
      </w:r>
      <w:r>
        <w:instrText xml:space="preserve"> PAGEREF _Toc158523615 \h </w:instrText>
      </w:r>
      <w:r>
        <w:fldChar w:fldCharType="separate"/>
      </w:r>
      <w:r>
        <w:t>58</w:t>
      </w:r>
      <w:r>
        <w:fldChar w:fldCharType="end"/>
      </w:r>
    </w:p>
    <w:p>
      <w:pPr>
        <w:pStyle w:val="TOC8"/>
        <w:rPr>
          <w:sz w:val="24"/>
          <w:szCs w:val="24"/>
        </w:rPr>
      </w:pPr>
      <w:r>
        <w:rPr>
          <w:szCs w:val="24"/>
        </w:rPr>
        <w:t>1309</w:t>
      </w:r>
      <w:r>
        <w:rPr>
          <w:snapToGrid w:val="0"/>
          <w:szCs w:val="24"/>
        </w:rPr>
        <w:t>.</w:t>
      </w:r>
      <w:r>
        <w:rPr>
          <w:snapToGrid w:val="0"/>
          <w:szCs w:val="24"/>
        </w:rPr>
        <w:tab/>
        <w:t>Incapacity resulting from another occupation</w:t>
      </w:r>
      <w:r>
        <w:tab/>
      </w:r>
      <w:r>
        <w:fldChar w:fldCharType="begin"/>
      </w:r>
      <w:r>
        <w:instrText xml:space="preserve"> PAGEREF _Toc158523616 \h </w:instrText>
      </w:r>
      <w:r>
        <w:fldChar w:fldCharType="separate"/>
      </w:r>
      <w:r>
        <w:t>59</w:t>
      </w:r>
      <w:r>
        <w:fldChar w:fldCharType="end"/>
      </w:r>
    </w:p>
    <w:p>
      <w:pPr>
        <w:pStyle w:val="TOC8"/>
        <w:rPr>
          <w:sz w:val="24"/>
          <w:szCs w:val="24"/>
        </w:rPr>
      </w:pPr>
      <w:r>
        <w:rPr>
          <w:szCs w:val="24"/>
        </w:rPr>
        <w:t>1310</w:t>
      </w:r>
      <w:r>
        <w:rPr>
          <w:snapToGrid w:val="0"/>
          <w:szCs w:val="24"/>
        </w:rPr>
        <w:t>.</w:t>
      </w:r>
      <w:r>
        <w:rPr>
          <w:snapToGrid w:val="0"/>
          <w:szCs w:val="24"/>
        </w:rPr>
        <w:tab/>
        <w:t>Entitlements of cadets</w:t>
      </w:r>
      <w:r>
        <w:tab/>
      </w:r>
      <w:r>
        <w:fldChar w:fldCharType="begin"/>
      </w:r>
      <w:r>
        <w:instrText xml:space="preserve"> PAGEREF _Toc158523617 \h </w:instrText>
      </w:r>
      <w:r>
        <w:fldChar w:fldCharType="separate"/>
      </w:r>
      <w:r>
        <w:t>59</w:t>
      </w:r>
      <w:r>
        <w:fldChar w:fldCharType="end"/>
      </w:r>
    </w:p>
    <w:p>
      <w:pPr>
        <w:pStyle w:val="TOC8"/>
        <w:rPr>
          <w:sz w:val="24"/>
          <w:szCs w:val="24"/>
        </w:rPr>
      </w:pPr>
      <w:r>
        <w:rPr>
          <w:szCs w:val="24"/>
        </w:rPr>
        <w:t>1311</w:t>
      </w:r>
      <w:r>
        <w:rPr>
          <w:snapToGrid w:val="0"/>
          <w:szCs w:val="24"/>
        </w:rPr>
        <w:t>.</w:t>
      </w:r>
      <w:r>
        <w:rPr>
          <w:snapToGrid w:val="0"/>
          <w:szCs w:val="24"/>
        </w:rPr>
        <w:tab/>
        <w:t>Evidence of fitness after long incapacity</w:t>
      </w:r>
      <w:r>
        <w:tab/>
      </w:r>
      <w:r>
        <w:fldChar w:fldCharType="begin"/>
      </w:r>
      <w:r>
        <w:instrText xml:space="preserve"> PAGEREF _Toc158523618 \h </w:instrText>
      </w:r>
      <w:r>
        <w:fldChar w:fldCharType="separate"/>
      </w:r>
      <w:r>
        <w:t>59</w:t>
      </w:r>
      <w:r>
        <w:fldChar w:fldCharType="end"/>
      </w:r>
    </w:p>
    <w:p>
      <w:pPr>
        <w:pStyle w:val="TOC8"/>
        <w:rPr>
          <w:sz w:val="24"/>
          <w:szCs w:val="24"/>
        </w:rPr>
      </w:pPr>
      <w:r>
        <w:rPr>
          <w:szCs w:val="24"/>
        </w:rPr>
        <w:t>1312</w:t>
      </w:r>
      <w:r>
        <w:rPr>
          <w:snapToGrid w:val="0"/>
          <w:szCs w:val="24"/>
        </w:rPr>
        <w:t>.</w:t>
      </w:r>
      <w:r>
        <w:rPr>
          <w:snapToGrid w:val="0"/>
          <w:szCs w:val="24"/>
        </w:rPr>
        <w:tab/>
        <w:t>Examination arranged by Commissioner</w:t>
      </w:r>
      <w:r>
        <w:tab/>
      </w:r>
      <w:r>
        <w:fldChar w:fldCharType="begin"/>
      </w:r>
      <w:r>
        <w:instrText xml:space="preserve"> PAGEREF _Toc158523619 \h </w:instrText>
      </w:r>
      <w:r>
        <w:fldChar w:fldCharType="separate"/>
      </w:r>
      <w:r>
        <w:t>59</w:t>
      </w:r>
      <w:r>
        <w:fldChar w:fldCharType="end"/>
      </w:r>
    </w:p>
    <w:p>
      <w:pPr>
        <w:pStyle w:val="TOC2"/>
        <w:tabs>
          <w:tab w:val="right" w:leader="dot" w:pos="7078"/>
        </w:tabs>
        <w:rPr>
          <w:b w:val="0"/>
          <w:sz w:val="24"/>
          <w:szCs w:val="24"/>
        </w:rPr>
      </w:pPr>
      <w:r>
        <w:rPr>
          <w:szCs w:val="30"/>
        </w:rPr>
        <w:t>Part XIV — Retirement, resignation, removal or death of a member</w:t>
      </w:r>
    </w:p>
    <w:p>
      <w:pPr>
        <w:pStyle w:val="TOC8"/>
        <w:rPr>
          <w:sz w:val="24"/>
          <w:szCs w:val="24"/>
        </w:rPr>
      </w:pPr>
      <w:r>
        <w:rPr>
          <w:szCs w:val="24"/>
        </w:rPr>
        <w:t>1401</w:t>
      </w:r>
      <w:r>
        <w:rPr>
          <w:snapToGrid w:val="0"/>
          <w:szCs w:val="24"/>
        </w:rPr>
        <w:t>.</w:t>
      </w:r>
      <w:r>
        <w:rPr>
          <w:snapToGrid w:val="0"/>
          <w:szCs w:val="24"/>
        </w:rPr>
        <w:tab/>
        <w:t>Retirement</w:t>
      </w:r>
      <w:r>
        <w:tab/>
      </w:r>
      <w:r>
        <w:fldChar w:fldCharType="begin"/>
      </w:r>
      <w:r>
        <w:instrText xml:space="preserve"> PAGEREF _Toc158523621 \h </w:instrText>
      </w:r>
      <w:r>
        <w:fldChar w:fldCharType="separate"/>
      </w:r>
      <w:r>
        <w:t>61</w:t>
      </w:r>
      <w:r>
        <w:fldChar w:fldCharType="end"/>
      </w:r>
    </w:p>
    <w:p>
      <w:pPr>
        <w:pStyle w:val="TOC8"/>
        <w:rPr>
          <w:sz w:val="24"/>
          <w:szCs w:val="24"/>
        </w:rPr>
      </w:pPr>
      <w:r>
        <w:rPr>
          <w:szCs w:val="24"/>
        </w:rPr>
        <w:t>1402</w:t>
      </w:r>
      <w:r>
        <w:rPr>
          <w:snapToGrid w:val="0"/>
          <w:szCs w:val="24"/>
        </w:rPr>
        <w:t>.</w:t>
      </w:r>
      <w:r>
        <w:rPr>
          <w:snapToGrid w:val="0"/>
          <w:szCs w:val="24"/>
        </w:rPr>
        <w:tab/>
        <w:t>Examination by medical board</w:t>
      </w:r>
      <w:r>
        <w:tab/>
      </w:r>
      <w:r>
        <w:fldChar w:fldCharType="begin"/>
      </w:r>
      <w:r>
        <w:instrText xml:space="preserve"> PAGEREF _Toc158523622 \h </w:instrText>
      </w:r>
      <w:r>
        <w:fldChar w:fldCharType="separate"/>
      </w:r>
      <w:r>
        <w:t>61</w:t>
      </w:r>
      <w:r>
        <w:fldChar w:fldCharType="end"/>
      </w:r>
    </w:p>
    <w:p>
      <w:pPr>
        <w:pStyle w:val="TOC8"/>
        <w:rPr>
          <w:sz w:val="24"/>
          <w:szCs w:val="24"/>
        </w:rPr>
      </w:pPr>
      <w:r>
        <w:rPr>
          <w:szCs w:val="24"/>
        </w:rPr>
        <w:t>1403</w:t>
      </w:r>
      <w:r>
        <w:rPr>
          <w:snapToGrid w:val="0"/>
          <w:szCs w:val="24"/>
        </w:rPr>
        <w:t>.</w:t>
      </w:r>
      <w:r>
        <w:rPr>
          <w:snapToGrid w:val="0"/>
          <w:szCs w:val="24"/>
        </w:rPr>
        <w:tab/>
        <w:t>Allowances paid on death of member</w:t>
      </w:r>
      <w:r>
        <w:tab/>
      </w:r>
      <w:r>
        <w:fldChar w:fldCharType="begin"/>
      </w:r>
      <w:r>
        <w:instrText xml:space="preserve"> PAGEREF _Toc158523623 \h </w:instrText>
      </w:r>
      <w:r>
        <w:fldChar w:fldCharType="separate"/>
      </w:r>
      <w:r>
        <w:t>61</w:t>
      </w:r>
      <w:r>
        <w:fldChar w:fldCharType="end"/>
      </w:r>
    </w:p>
    <w:p>
      <w:pPr>
        <w:pStyle w:val="TOC8"/>
        <w:rPr>
          <w:sz w:val="24"/>
          <w:szCs w:val="24"/>
        </w:rPr>
      </w:pPr>
      <w:r>
        <w:rPr>
          <w:szCs w:val="24"/>
        </w:rPr>
        <w:t>1404</w:t>
      </w:r>
      <w:r>
        <w:rPr>
          <w:snapToGrid w:val="0"/>
          <w:szCs w:val="24"/>
        </w:rPr>
        <w:t>.</w:t>
      </w:r>
      <w:r>
        <w:rPr>
          <w:snapToGrid w:val="0"/>
          <w:szCs w:val="24"/>
        </w:rPr>
        <w:tab/>
        <w:t>Leave entitlement to be paid out</w:t>
      </w:r>
      <w:r>
        <w:tab/>
      </w:r>
      <w:r>
        <w:fldChar w:fldCharType="begin"/>
      </w:r>
      <w:r>
        <w:instrText xml:space="preserve"> PAGEREF _Toc158523624 \h </w:instrText>
      </w:r>
      <w:r>
        <w:fldChar w:fldCharType="separate"/>
      </w:r>
      <w:r>
        <w:t>62</w:t>
      </w:r>
      <w:r>
        <w:fldChar w:fldCharType="end"/>
      </w:r>
    </w:p>
    <w:p>
      <w:pPr>
        <w:pStyle w:val="TOC2"/>
        <w:tabs>
          <w:tab w:val="right" w:leader="dot" w:pos="7078"/>
        </w:tabs>
        <w:rPr>
          <w:b w:val="0"/>
          <w:sz w:val="24"/>
          <w:szCs w:val="24"/>
        </w:rPr>
      </w:pPr>
      <w:r>
        <w:rPr>
          <w:szCs w:val="30"/>
        </w:rPr>
        <w:t>Part XV — Quarters</w:t>
      </w:r>
    </w:p>
    <w:p>
      <w:pPr>
        <w:pStyle w:val="TOC8"/>
        <w:rPr>
          <w:sz w:val="24"/>
          <w:szCs w:val="24"/>
        </w:rPr>
      </w:pPr>
      <w:r>
        <w:rPr>
          <w:szCs w:val="24"/>
        </w:rPr>
        <w:t>1501</w:t>
      </w:r>
      <w:r>
        <w:rPr>
          <w:snapToGrid w:val="0"/>
          <w:szCs w:val="24"/>
        </w:rPr>
        <w:t>.</w:t>
      </w:r>
      <w:r>
        <w:rPr>
          <w:snapToGrid w:val="0"/>
          <w:szCs w:val="24"/>
        </w:rPr>
        <w:tab/>
        <w:t>This Part not in derogation of Award</w:t>
      </w:r>
      <w:r>
        <w:tab/>
      </w:r>
      <w:r>
        <w:fldChar w:fldCharType="begin"/>
      </w:r>
      <w:r>
        <w:instrText xml:space="preserve"> PAGEREF _Toc158523626 \h </w:instrText>
      </w:r>
      <w:r>
        <w:fldChar w:fldCharType="separate"/>
      </w:r>
      <w:r>
        <w:t>63</w:t>
      </w:r>
      <w:r>
        <w:fldChar w:fldCharType="end"/>
      </w:r>
    </w:p>
    <w:p>
      <w:pPr>
        <w:pStyle w:val="TOC8"/>
        <w:rPr>
          <w:sz w:val="24"/>
          <w:szCs w:val="24"/>
        </w:rPr>
      </w:pPr>
      <w:r>
        <w:rPr>
          <w:szCs w:val="24"/>
        </w:rPr>
        <w:t>1502</w:t>
      </w:r>
      <w:r>
        <w:rPr>
          <w:snapToGrid w:val="0"/>
          <w:szCs w:val="24"/>
        </w:rPr>
        <w:t>.</w:t>
      </w:r>
      <w:r>
        <w:rPr>
          <w:snapToGrid w:val="0"/>
          <w:szCs w:val="24"/>
        </w:rPr>
        <w:tab/>
        <w:t>Maintenance of quarters</w:t>
      </w:r>
      <w:r>
        <w:tab/>
      </w:r>
      <w:r>
        <w:fldChar w:fldCharType="begin"/>
      </w:r>
      <w:r>
        <w:instrText xml:space="preserve"> PAGEREF _Toc158523627 \h </w:instrText>
      </w:r>
      <w:r>
        <w:fldChar w:fldCharType="separate"/>
      </w:r>
      <w:r>
        <w:t>63</w:t>
      </w:r>
      <w:r>
        <w:fldChar w:fldCharType="end"/>
      </w:r>
    </w:p>
    <w:p>
      <w:pPr>
        <w:pStyle w:val="TOC8"/>
        <w:rPr>
          <w:sz w:val="24"/>
          <w:szCs w:val="24"/>
        </w:rPr>
      </w:pPr>
      <w:r>
        <w:rPr>
          <w:szCs w:val="24"/>
        </w:rPr>
        <w:t>1503</w:t>
      </w:r>
      <w:r>
        <w:rPr>
          <w:snapToGrid w:val="0"/>
          <w:szCs w:val="24"/>
        </w:rPr>
        <w:t>.</w:t>
      </w:r>
      <w:r>
        <w:rPr>
          <w:snapToGrid w:val="0"/>
          <w:szCs w:val="24"/>
        </w:rPr>
        <w:tab/>
        <w:t>Expenditure not to be incurred without authority of Commissioner</w:t>
      </w:r>
      <w:r>
        <w:tab/>
      </w:r>
      <w:r>
        <w:fldChar w:fldCharType="begin"/>
      </w:r>
      <w:r>
        <w:instrText xml:space="preserve"> PAGEREF _Toc158523628 \h </w:instrText>
      </w:r>
      <w:r>
        <w:fldChar w:fldCharType="separate"/>
      </w:r>
      <w:r>
        <w:t>63</w:t>
      </w:r>
      <w:r>
        <w:fldChar w:fldCharType="end"/>
      </w:r>
    </w:p>
    <w:p>
      <w:pPr>
        <w:pStyle w:val="TOC8"/>
        <w:rPr>
          <w:sz w:val="24"/>
          <w:szCs w:val="24"/>
        </w:rPr>
      </w:pPr>
      <w:r>
        <w:rPr>
          <w:szCs w:val="24"/>
        </w:rPr>
        <w:t>1504</w:t>
      </w:r>
      <w:r>
        <w:rPr>
          <w:snapToGrid w:val="0"/>
          <w:szCs w:val="24"/>
        </w:rPr>
        <w:t>.</w:t>
      </w:r>
      <w:r>
        <w:rPr>
          <w:snapToGrid w:val="0"/>
          <w:szCs w:val="24"/>
        </w:rPr>
        <w:tab/>
        <w:t>Inspection of quarters</w:t>
      </w:r>
      <w:r>
        <w:tab/>
      </w:r>
      <w:r>
        <w:fldChar w:fldCharType="begin"/>
      </w:r>
      <w:r>
        <w:instrText xml:space="preserve"> PAGEREF _Toc158523629 \h </w:instrText>
      </w:r>
      <w:r>
        <w:fldChar w:fldCharType="separate"/>
      </w:r>
      <w:r>
        <w:t>64</w:t>
      </w:r>
      <w:r>
        <w:fldChar w:fldCharType="end"/>
      </w:r>
    </w:p>
    <w:p>
      <w:pPr>
        <w:pStyle w:val="TOC8"/>
        <w:rPr>
          <w:sz w:val="24"/>
          <w:szCs w:val="24"/>
        </w:rPr>
      </w:pPr>
      <w:r>
        <w:rPr>
          <w:szCs w:val="24"/>
        </w:rPr>
        <w:t>1505</w:t>
      </w:r>
      <w:r>
        <w:rPr>
          <w:snapToGrid w:val="0"/>
          <w:szCs w:val="24"/>
        </w:rPr>
        <w:t>.</w:t>
      </w:r>
      <w:r>
        <w:rPr>
          <w:snapToGrid w:val="0"/>
          <w:szCs w:val="24"/>
        </w:rPr>
        <w:tab/>
        <w:t>Occupation and vacation of premises</w:t>
      </w:r>
      <w:r>
        <w:tab/>
      </w:r>
      <w:r>
        <w:fldChar w:fldCharType="begin"/>
      </w:r>
      <w:r>
        <w:instrText xml:space="preserve"> PAGEREF _Toc158523630 \h </w:instrText>
      </w:r>
      <w:r>
        <w:fldChar w:fldCharType="separate"/>
      </w:r>
      <w:r>
        <w:t>64</w:t>
      </w:r>
      <w:r>
        <w:fldChar w:fldCharType="end"/>
      </w:r>
    </w:p>
    <w:p>
      <w:pPr>
        <w:pStyle w:val="TOC8"/>
        <w:rPr>
          <w:sz w:val="24"/>
          <w:szCs w:val="24"/>
        </w:rPr>
      </w:pPr>
      <w:r>
        <w:rPr>
          <w:szCs w:val="24"/>
        </w:rPr>
        <w:t>1506</w:t>
      </w:r>
      <w:r>
        <w:rPr>
          <w:snapToGrid w:val="0"/>
          <w:szCs w:val="24"/>
        </w:rPr>
        <w:t>.</w:t>
      </w:r>
      <w:r>
        <w:rPr>
          <w:snapToGrid w:val="0"/>
          <w:szCs w:val="24"/>
        </w:rPr>
        <w:tab/>
        <w:t>Notice of occupation and vacating to be given</w:t>
      </w:r>
      <w:r>
        <w:tab/>
      </w:r>
      <w:r>
        <w:fldChar w:fldCharType="begin"/>
      </w:r>
      <w:r>
        <w:instrText xml:space="preserve"> PAGEREF _Toc158523631 \h </w:instrText>
      </w:r>
      <w:r>
        <w:fldChar w:fldCharType="separate"/>
      </w:r>
      <w:r>
        <w:t>65</w:t>
      </w:r>
      <w:r>
        <w:fldChar w:fldCharType="end"/>
      </w:r>
    </w:p>
    <w:p>
      <w:pPr>
        <w:pStyle w:val="TOC2"/>
        <w:tabs>
          <w:tab w:val="right" w:leader="dot" w:pos="7078"/>
        </w:tabs>
        <w:rPr>
          <w:b w:val="0"/>
          <w:sz w:val="24"/>
          <w:szCs w:val="24"/>
        </w:rPr>
      </w:pPr>
      <w:r>
        <w:rPr>
          <w:szCs w:val="30"/>
        </w:rPr>
        <w:t>Part XVI — General</w:t>
      </w:r>
    </w:p>
    <w:p>
      <w:pPr>
        <w:pStyle w:val="TOC8"/>
        <w:rPr>
          <w:sz w:val="24"/>
          <w:szCs w:val="24"/>
        </w:rPr>
      </w:pPr>
      <w:r>
        <w:rPr>
          <w:szCs w:val="24"/>
        </w:rPr>
        <w:t>1601</w:t>
      </w:r>
      <w:r>
        <w:rPr>
          <w:snapToGrid w:val="0"/>
          <w:szCs w:val="24"/>
        </w:rPr>
        <w:t>.</w:t>
      </w:r>
      <w:r>
        <w:rPr>
          <w:snapToGrid w:val="0"/>
          <w:szCs w:val="24"/>
        </w:rPr>
        <w:tab/>
        <w:t>Offences generally</w:t>
      </w:r>
      <w:r>
        <w:tab/>
      </w:r>
      <w:r>
        <w:fldChar w:fldCharType="begin"/>
      </w:r>
      <w:r>
        <w:instrText xml:space="preserve"> PAGEREF _Toc158523633 \h </w:instrText>
      </w:r>
      <w:r>
        <w:fldChar w:fldCharType="separate"/>
      </w:r>
      <w:r>
        <w:t>66</w:t>
      </w:r>
      <w:r>
        <w:fldChar w:fldCharType="end"/>
      </w:r>
    </w:p>
    <w:p>
      <w:pPr>
        <w:pStyle w:val="TOC2"/>
        <w:tabs>
          <w:tab w:val="right" w:leader="dot" w:pos="7078"/>
        </w:tabs>
        <w:rPr>
          <w:b w:val="0"/>
          <w:sz w:val="24"/>
          <w:szCs w:val="24"/>
        </w:rPr>
      </w:pPr>
      <w:r>
        <w:rPr>
          <w:rFonts w:eastAsia="MS Mincho"/>
          <w:szCs w:val="28"/>
        </w:rPr>
        <w:t>First Schedule — Disciplinary charge sheet</w:t>
      </w:r>
    </w:p>
    <w:p>
      <w:pPr>
        <w:pStyle w:val="TOC2"/>
        <w:tabs>
          <w:tab w:val="right" w:leader="dot" w:pos="7078"/>
        </w:tabs>
        <w:rPr>
          <w:b w:val="0"/>
          <w:sz w:val="24"/>
          <w:szCs w:val="24"/>
        </w:rPr>
      </w:pPr>
      <w:r>
        <w:rPr>
          <w:szCs w:val="28"/>
        </w:rPr>
        <w:t>Third Schedule</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_Toc158523637 \h </w:instrText>
      </w:r>
      <w:r>
        <w:fldChar w:fldCharType="separate"/>
      </w:r>
      <w:r>
        <w:t>69</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Police Act 1892</w:t>
      </w:r>
    </w:p>
    <w:p>
      <w:pPr>
        <w:pStyle w:val="NameofActReg"/>
      </w:pPr>
      <w:r>
        <w:t>Police Force Regulations 1979</w:t>
      </w:r>
    </w:p>
    <w:p>
      <w:pPr>
        <w:pStyle w:val="Heading2"/>
        <w:pageBreakBefore w:val="0"/>
      </w:pPr>
      <w:bookmarkStart w:id="2" w:name="_Toc90976417"/>
      <w:bookmarkStart w:id="3" w:name="_Toc91044649"/>
      <w:bookmarkStart w:id="4" w:name="_Toc91044829"/>
      <w:bookmarkStart w:id="5" w:name="_Toc123621338"/>
      <w:bookmarkStart w:id="6" w:name="_Toc123622881"/>
      <w:bookmarkStart w:id="7" w:name="_Toc153957254"/>
      <w:bookmarkStart w:id="8" w:name="_Toc153958597"/>
      <w:bookmarkStart w:id="9" w:name="_Toc154478676"/>
      <w:bookmarkStart w:id="10" w:name="_Toc158523497"/>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500034673"/>
      <w:bookmarkStart w:id="12" w:name="_Toc515769471"/>
      <w:bookmarkStart w:id="13" w:name="_Toc522083152"/>
      <w:bookmarkStart w:id="14" w:name="_Toc123622882"/>
      <w:bookmarkStart w:id="15" w:name="_Toc158523498"/>
      <w:r>
        <w:rPr>
          <w:rStyle w:val="CharSectno"/>
        </w:rPr>
        <w:t>101</w:t>
      </w:r>
      <w:r>
        <w:rPr>
          <w:snapToGrid w:val="0"/>
        </w:rPr>
        <w:t>.</w:t>
      </w:r>
      <w:r>
        <w:rPr>
          <w:snapToGrid w:val="0"/>
        </w:rPr>
        <w:tab/>
        <w:t>Citation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 xml:space="preserve"> </w:t>
      </w:r>
      <w:r>
        <w:rPr>
          <w:snapToGrid w:val="0"/>
          <w:sz w:val="28"/>
          <w:vertAlign w:val="superscript"/>
        </w:rPr>
        <w:t>1</w:t>
      </w:r>
      <w:r>
        <w:rPr>
          <w:snapToGrid w:val="0"/>
        </w:rPr>
        <w:t>.</w:t>
      </w:r>
    </w:p>
    <w:p>
      <w:pPr>
        <w:pStyle w:val="Footnotesection"/>
      </w:pPr>
      <w:r>
        <w:tab/>
        <w:t xml:space="preserve">[Regulation 101 amended in Gazette 17 Nov 1989 p. 4110.] </w:t>
      </w:r>
    </w:p>
    <w:p>
      <w:pPr>
        <w:pStyle w:val="Ednotesection"/>
      </w:pPr>
      <w:r>
        <w:t>[</w:t>
      </w:r>
      <w:r>
        <w:rPr>
          <w:b/>
        </w:rPr>
        <w:t>102.</w:t>
      </w:r>
      <w:r>
        <w:tab/>
        <w:t xml:space="preserve">Repealed in Gazette 6 Jan 1998 p. 36.] </w:t>
      </w:r>
    </w:p>
    <w:p>
      <w:pPr>
        <w:pStyle w:val="Heading5"/>
        <w:rPr>
          <w:snapToGrid w:val="0"/>
        </w:rPr>
      </w:pPr>
      <w:bookmarkStart w:id="16" w:name="_Toc500034674"/>
      <w:bookmarkStart w:id="17" w:name="_Toc515769472"/>
      <w:bookmarkStart w:id="18" w:name="_Toc522083153"/>
      <w:bookmarkStart w:id="19" w:name="_Toc123622883"/>
      <w:bookmarkStart w:id="20" w:name="_Toc158523499"/>
      <w:r>
        <w:rPr>
          <w:rStyle w:val="CharSectno"/>
        </w:rPr>
        <w:t>103</w:t>
      </w:r>
      <w:r>
        <w:rPr>
          <w:snapToGrid w:val="0"/>
        </w:rPr>
        <w:t>.</w:t>
      </w:r>
      <w:r>
        <w:rPr>
          <w:snapToGrid w:val="0"/>
        </w:rPr>
        <w:tab/>
        <w:t>Interpretation</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Aboriginal Aide</w:t>
      </w:r>
      <w:r>
        <w:rPr>
          <w:b/>
        </w:rPr>
        <w:t>”</w:t>
      </w:r>
      <w:r>
        <w:t xml:space="preserve"> means a person appointed under section 38A of the Act;</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Assistant Commissioner</w:t>
      </w:r>
      <w:r>
        <w:rPr>
          <w:b/>
        </w:rPr>
        <w:t>”</w:t>
      </w:r>
      <w:r>
        <w:t xml:space="preserve"> means a person holding or acting in the office of Assistant Commissioner of Police;</w:t>
      </w:r>
    </w:p>
    <w:p>
      <w:pPr>
        <w:pStyle w:val="Defstart"/>
      </w:pPr>
      <w:r>
        <w:rPr>
          <w:b/>
        </w:rPr>
        <w:tab/>
        <w:t>“</w:t>
      </w:r>
      <w:r>
        <w:rPr>
          <w:rStyle w:val="CharDefText"/>
        </w:rPr>
        <w:t>cadet</w:t>
      </w:r>
      <w:r>
        <w:rPr>
          <w:b/>
        </w:rPr>
        <w:t>”</w:t>
      </w:r>
      <w:r>
        <w:t xml:space="preserve"> means any person appointed under the provisions of section 7(2) under the Act;</w:t>
      </w:r>
    </w:p>
    <w:p>
      <w:pPr>
        <w:pStyle w:val="Defstart"/>
      </w:pPr>
      <w:r>
        <w:rPr>
          <w:b/>
        </w:rPr>
        <w:tab/>
        <w:t>“</w:t>
      </w:r>
      <w:r>
        <w:rPr>
          <w:rStyle w:val="CharDefText"/>
        </w:rPr>
        <w:t>Commissioned Officer</w:t>
      </w:r>
      <w:r>
        <w:rPr>
          <w:b/>
        </w:rPr>
        <w:t>”</w:t>
      </w:r>
      <w:r>
        <w:t xml:space="preserve"> means a member appointed a Commissioned Officer pursuant to section 6 of the Act;</w:t>
      </w:r>
    </w:p>
    <w:p>
      <w:pPr>
        <w:pStyle w:val="Defstart"/>
      </w:pPr>
      <w:r>
        <w:rPr>
          <w:b/>
        </w:rPr>
        <w:tab/>
        <w:t>“</w:t>
      </w:r>
      <w:r>
        <w:rPr>
          <w:rStyle w:val="CharDefText"/>
        </w:rPr>
        <w:t>Commissioner</w:t>
      </w:r>
      <w:r>
        <w:rPr>
          <w:b/>
        </w:rPr>
        <w:t>”</w:t>
      </w:r>
      <w:r>
        <w:t xml:space="preserve"> means the person holding or acting in the office of Commissioner of Police under the Act;</w:t>
      </w:r>
    </w:p>
    <w:p>
      <w:pPr>
        <w:pStyle w:val="Defstart"/>
      </w:pPr>
      <w:r>
        <w:tab/>
      </w:r>
      <w:r>
        <w:rPr>
          <w:b/>
        </w:rPr>
        <w:t>“</w:t>
      </w:r>
      <w:r>
        <w:rPr>
          <w:rStyle w:val="CharDefText"/>
        </w:rPr>
        <w:t>Commissioner’s uniform and appearance instruction</w:t>
      </w:r>
      <w:r>
        <w:rPr>
          <w:b/>
        </w:rPr>
        <w:t>”</w:t>
      </w:r>
      <w:r>
        <w:t xml:space="preserve"> means the collection of orders and procedures entitled “Commissioner’s Uniform and Appearance Instruction” issued by the Commissioner and dated 7 February 2007;</w:t>
      </w:r>
    </w:p>
    <w:p>
      <w:pPr>
        <w:pStyle w:val="Defstart"/>
        <w:spacing w:before="50"/>
      </w:pPr>
      <w:r>
        <w:rPr>
          <w:b/>
        </w:rPr>
        <w:tab/>
        <w:t>“</w:t>
      </w:r>
      <w:r>
        <w:rPr>
          <w:rStyle w:val="CharDefText"/>
        </w:rPr>
        <w:t>constable</w:t>
      </w:r>
      <w:r>
        <w:rPr>
          <w:b/>
        </w:rPr>
        <w:t>”</w:t>
      </w:r>
      <w:r>
        <w:t xml:space="preserve"> means a member other than a commissioned officer or a non</w:t>
      </w:r>
      <w:r>
        <w:noBreakHyphen/>
        <w:t>commissioned officer;</w:t>
      </w:r>
    </w:p>
    <w:p>
      <w:pPr>
        <w:pStyle w:val="Defstart"/>
        <w:spacing w:before="50"/>
      </w:pPr>
      <w:r>
        <w:rPr>
          <w:b/>
        </w:rPr>
        <w:tab/>
        <w:t>“</w:t>
      </w:r>
      <w:r>
        <w:rPr>
          <w:rStyle w:val="CharDefText"/>
        </w:rPr>
        <w:t>Department</w:t>
      </w:r>
      <w:r>
        <w:rPr>
          <w:b/>
        </w:rPr>
        <w:t>”</w:t>
      </w:r>
      <w:r>
        <w:t xml:space="preserve"> means the department of the State known as the Police Department;</w:t>
      </w:r>
    </w:p>
    <w:p>
      <w:pPr>
        <w:pStyle w:val="Defstart"/>
        <w:spacing w:before="50"/>
      </w:pPr>
      <w:r>
        <w:rPr>
          <w:b/>
        </w:rPr>
        <w:tab/>
        <w:t>“</w:t>
      </w:r>
      <w:r>
        <w:rPr>
          <w:rStyle w:val="CharDefText"/>
        </w:rPr>
        <w:t>Deputy Commissioner</w:t>
      </w:r>
      <w:r>
        <w:rPr>
          <w:b/>
        </w:rPr>
        <w:t>”</w:t>
      </w:r>
      <w:r>
        <w:t xml:space="preserve"> means a person holding or acting in the office of Deputy Commissioner;</w:t>
      </w:r>
    </w:p>
    <w:p>
      <w:pPr>
        <w:pStyle w:val="Defstart"/>
        <w:spacing w:before="50"/>
      </w:pPr>
      <w:r>
        <w:rPr>
          <w:b/>
        </w:rPr>
        <w:tab/>
        <w:t>“</w:t>
      </w:r>
      <w:r>
        <w:rPr>
          <w:rStyle w:val="CharDefText"/>
        </w:rPr>
        <w:t>member</w:t>
      </w:r>
      <w:r>
        <w:rPr>
          <w:b/>
        </w:rPr>
        <w:t>”</w:t>
      </w:r>
      <w:r>
        <w:t xml:space="preserve"> includes any person holding office as a Commissioned Officer, non</w:t>
      </w:r>
      <w:r>
        <w:noBreakHyphen/>
        <w:t>commissioned officer or constable under the Act;</w:t>
      </w:r>
    </w:p>
    <w:p>
      <w:pPr>
        <w:pStyle w:val="Defstart"/>
        <w:spacing w:before="50"/>
      </w:pPr>
      <w:r>
        <w:rPr>
          <w:b/>
        </w:rPr>
        <w:tab/>
        <w:t>“</w:t>
      </w:r>
      <w:r>
        <w:rPr>
          <w:rStyle w:val="CharDefText"/>
        </w:rPr>
        <w:t>metropolitan area</w:t>
      </w:r>
      <w:r>
        <w:rPr>
          <w:b/>
        </w:rPr>
        <w:t>”</w:t>
      </w:r>
      <w:r>
        <w:t xml:space="preserve"> means the portion of the State within the Metropolitan Police Region created pursuant to section 39(2) of the Act;</w:t>
      </w:r>
    </w:p>
    <w:p>
      <w:pPr>
        <w:pStyle w:val="Defstart"/>
        <w:spacing w:before="50"/>
      </w:pPr>
      <w:r>
        <w:rPr>
          <w:b/>
        </w:rPr>
        <w:tab/>
        <w:t>“</w:t>
      </w:r>
      <w:r>
        <w:rPr>
          <w:rStyle w:val="CharDefText"/>
        </w:rPr>
        <w:t>non</w:t>
      </w:r>
      <w:r>
        <w:rPr>
          <w:rStyle w:val="CharDefText"/>
        </w:rPr>
        <w:noBreakHyphen/>
        <w:t>commissioned officer</w:t>
      </w:r>
      <w:r>
        <w:rPr>
          <w:b/>
        </w:rPr>
        <w:t>”</w:t>
      </w:r>
      <w:r>
        <w:t xml:space="preserve"> means a non</w:t>
      </w:r>
      <w:r>
        <w:noBreakHyphen/>
        <w:t>commissioned officer appointed under section 7(1) of the Act;</w:t>
      </w:r>
    </w:p>
    <w:p>
      <w:pPr>
        <w:pStyle w:val="Defstart"/>
        <w:spacing w:before="50"/>
      </w:pPr>
      <w:r>
        <w:rPr>
          <w:b/>
        </w:rPr>
        <w:tab/>
        <w:t>“</w:t>
      </w:r>
      <w:r>
        <w:rPr>
          <w:rStyle w:val="CharDefText"/>
        </w:rPr>
        <w:t>officer</w:t>
      </w:r>
      <w:r>
        <w:rPr>
          <w:b/>
        </w:rPr>
        <w:t>”</w:t>
      </w:r>
      <w:r>
        <w:t xml:space="preserve"> means a member other than a non</w:t>
      </w:r>
      <w:r>
        <w:noBreakHyphen/>
        <w:t>commissioned officer or a constable;</w:t>
      </w:r>
    </w:p>
    <w:p>
      <w:pPr>
        <w:pStyle w:val="Defstart"/>
        <w:spacing w:before="50"/>
      </w:pPr>
      <w:r>
        <w:rPr>
          <w:b/>
        </w:rPr>
        <w:tab/>
        <w:t>“</w:t>
      </w:r>
      <w:r>
        <w:rPr>
          <w:rStyle w:val="CharDefText"/>
        </w:rPr>
        <w:t>Police Gazette</w:t>
      </w:r>
      <w:r>
        <w:rPr>
          <w:b/>
        </w:rPr>
        <w:t>”</w:t>
      </w:r>
      <w:r>
        <w:t xml:space="preserve"> means the publication published pursuant to regulation 307;</w:t>
      </w:r>
    </w:p>
    <w:p>
      <w:pPr>
        <w:pStyle w:val="Defstart"/>
        <w:spacing w:before="50"/>
      </w:pPr>
      <w:r>
        <w:rPr>
          <w:b/>
        </w:rPr>
        <w:tab/>
        <w:t>“</w:t>
      </w:r>
      <w:r>
        <w:rPr>
          <w:rStyle w:val="CharDefText"/>
        </w:rPr>
        <w:t>physical performance evaluation</w:t>
      </w:r>
      <w:r>
        <w:rPr>
          <w:b/>
        </w:rPr>
        <w:t>”</w:t>
      </w:r>
      <w:r>
        <w:t xml:space="preserve"> means a course designed to evaluate a person’s physical capabilities in relation to job requirements;</w:t>
      </w:r>
    </w:p>
    <w:p>
      <w:pPr>
        <w:pStyle w:val="Defstart"/>
        <w:spacing w:before="50"/>
      </w:pPr>
      <w:r>
        <w:rPr>
          <w:b/>
        </w:rPr>
        <w:tab/>
        <w:t>“</w:t>
      </w:r>
      <w:r>
        <w:rPr>
          <w:rStyle w:val="CharDefText"/>
        </w:rPr>
        <w:t>the Award</w:t>
      </w:r>
      <w:r>
        <w:rPr>
          <w:b/>
        </w:rPr>
        <w:t>”</w:t>
      </w:r>
      <w:r>
        <w:t xml:space="preserve"> means — </w:t>
      </w:r>
    </w:p>
    <w:p>
      <w:pPr>
        <w:pStyle w:val="Defpara"/>
        <w:spacing w:before="50"/>
      </w:pPr>
      <w:r>
        <w:tab/>
        <w:t>(a)</w:t>
      </w:r>
      <w:r>
        <w:tab/>
        <w:t>in relation to a matter relating to members — the Police Award 1965;</w:t>
      </w:r>
    </w:p>
    <w:p>
      <w:pPr>
        <w:pStyle w:val="Defpara"/>
        <w:spacing w:before="50"/>
      </w:pPr>
      <w:r>
        <w:tab/>
        <w:t>(b)</w:t>
      </w:r>
      <w:r>
        <w:tab/>
        <w:t>in relation to a matter relating to cadets — the Police Cadet Award</w:t>
      </w:r>
    </w:p>
    <w:p>
      <w:pPr>
        <w:pStyle w:val="Defstart"/>
        <w:spacing w:before="50"/>
      </w:pPr>
      <w:r>
        <w:tab/>
      </w:r>
      <w:r>
        <w:tab/>
        <w:t xml:space="preserve">in force under the </w:t>
      </w:r>
      <w:r>
        <w:rPr>
          <w:i/>
        </w:rPr>
        <w:t>Industrial Relations Act 1979</w:t>
      </w:r>
      <w:r>
        <w:t xml:space="preserve"> </w:t>
      </w:r>
      <w:r>
        <w:rPr>
          <w:sz w:val="28"/>
          <w:vertAlign w:val="superscript"/>
        </w:rPr>
        <w:t>2</w:t>
      </w:r>
      <w:r>
        <w:t xml:space="preserve"> including any amendment to such an award and any award in substitution for such an award; the term also includes an industrial agreement registered under that Act;</w:t>
      </w:r>
    </w:p>
    <w:p>
      <w:pPr>
        <w:pStyle w:val="Defstart"/>
        <w:spacing w:before="50"/>
      </w:pPr>
      <w:r>
        <w:rPr>
          <w:b/>
        </w:rPr>
        <w:tab/>
        <w:t>“</w:t>
      </w:r>
      <w:r>
        <w:rPr>
          <w:rStyle w:val="CharDefText"/>
        </w:rPr>
        <w:t>the Force</w:t>
      </w:r>
      <w:r>
        <w:rPr>
          <w:b/>
        </w:rPr>
        <w:t>”</w:t>
      </w:r>
      <w:r>
        <w:t xml:space="preserve"> means the Police Force established under the Act;</w:t>
      </w:r>
    </w:p>
    <w:p>
      <w:pPr>
        <w:pStyle w:val="Defstart"/>
      </w:pPr>
      <w:r>
        <w:rPr>
          <w:b/>
        </w:rPr>
        <w:tab/>
        <w:t>“</w:t>
      </w:r>
      <w:r>
        <w:rPr>
          <w:rStyle w:val="CharDefText"/>
        </w:rPr>
        <w:t>uniform</w:t>
      </w:r>
      <w:bookmarkStart w:id="21" w:name="endcomma"/>
      <w:bookmarkEnd w:id="21"/>
      <w:r>
        <w:rPr>
          <w:b/>
        </w:rPr>
        <w:t>”</w:t>
      </w:r>
      <w:r>
        <w:t xml:space="preserve"> includes all appropriate ancillary attire, such as belts, socks, stockings, head wear, etc., accoutrements and the relevant insignia of rank, the badges and name plates, and any awards, that have been issued or given to a particular member or cadet, in accordance with the Act.</w:t>
      </w:r>
    </w:p>
    <w:p>
      <w:pPr>
        <w:pStyle w:val="Footnotesection"/>
        <w:spacing w:before="80"/>
        <w:ind w:left="890" w:hanging="890"/>
      </w:pPr>
      <w:r>
        <w:tab/>
        <w:t>[Regulation 103 amended in Gazette 15 Jan 1982 p. 55; 7 Dec 1984 p. 4024; 22 Jan 1988 p. 127; 17 Mar 1989 p. 752; 14 Jul 1992 p. 3364; 22 Aug 1997 p. 4815; 2 Feb 2007 p. 246</w:t>
      </w:r>
      <w:r>
        <w:noBreakHyphen/>
        <w:t xml:space="preserve">7.] </w:t>
      </w:r>
    </w:p>
    <w:p>
      <w:pPr>
        <w:pStyle w:val="Heading2"/>
      </w:pPr>
      <w:bookmarkStart w:id="22" w:name="_Toc90976420"/>
      <w:bookmarkStart w:id="23" w:name="_Toc91044652"/>
      <w:bookmarkStart w:id="24" w:name="_Toc91044832"/>
      <w:bookmarkStart w:id="25" w:name="_Toc123621341"/>
      <w:bookmarkStart w:id="26" w:name="_Toc123622884"/>
      <w:bookmarkStart w:id="27" w:name="_Toc153957257"/>
      <w:bookmarkStart w:id="28" w:name="_Toc153958600"/>
      <w:bookmarkStart w:id="29" w:name="_Toc154478679"/>
      <w:bookmarkStart w:id="30" w:name="_Toc158523500"/>
      <w:r>
        <w:rPr>
          <w:rStyle w:val="CharPartNo"/>
        </w:rPr>
        <w:t>Part II</w:t>
      </w:r>
      <w:r>
        <w:rPr>
          <w:rStyle w:val="CharDivNo"/>
        </w:rPr>
        <w:t> </w:t>
      </w:r>
      <w:r>
        <w:t>—</w:t>
      </w:r>
      <w:r>
        <w:rPr>
          <w:rStyle w:val="CharDivText"/>
        </w:rPr>
        <w:t> </w:t>
      </w:r>
      <w:r>
        <w:rPr>
          <w:rStyle w:val="CharPartText"/>
        </w:rPr>
        <w:t>Constitution</w:t>
      </w:r>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500034675"/>
      <w:bookmarkStart w:id="32" w:name="_Toc515769473"/>
      <w:bookmarkStart w:id="33" w:name="_Toc522083154"/>
      <w:bookmarkStart w:id="34" w:name="_Toc123622885"/>
      <w:bookmarkStart w:id="35" w:name="_Toc158523501"/>
      <w:r>
        <w:rPr>
          <w:rStyle w:val="CharSectno"/>
        </w:rPr>
        <w:t>201</w:t>
      </w:r>
      <w:r>
        <w:rPr>
          <w:snapToGrid w:val="0"/>
        </w:rPr>
        <w:t>.</w:t>
      </w:r>
      <w:r>
        <w:rPr>
          <w:snapToGrid w:val="0"/>
        </w:rPr>
        <w:tab/>
        <w:t>Order of rank</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The Force comprises ranks with authority in the following order — </w:t>
      </w:r>
    </w:p>
    <w:p>
      <w:pPr>
        <w:pStyle w:val="Indenta"/>
        <w:outlineLvl w:val="0"/>
        <w:rPr>
          <w:snapToGrid w:val="0"/>
        </w:rPr>
      </w:pPr>
      <w:r>
        <w:rPr>
          <w:snapToGrid w:val="0"/>
        </w:rPr>
        <w:tab/>
        <w:t>(a)</w:t>
      </w:r>
      <w:r>
        <w:rPr>
          <w:snapToGrid w:val="0"/>
        </w:rPr>
        <w:tab/>
        <w:t>Officer ranks — </w:t>
      </w:r>
    </w:p>
    <w:p>
      <w:pPr>
        <w:pStyle w:val="Indenti"/>
        <w:rPr>
          <w:snapToGrid w:val="0"/>
        </w:rPr>
      </w:pPr>
      <w:r>
        <w:rPr>
          <w:snapToGrid w:val="0"/>
        </w:rPr>
        <w:tab/>
        <w:t>(i)</w:t>
      </w:r>
      <w:r>
        <w:rPr>
          <w:snapToGrid w:val="0"/>
        </w:rPr>
        <w:tab/>
        <w:t>Commissioner;</w:t>
      </w:r>
    </w:p>
    <w:p>
      <w:pPr>
        <w:pStyle w:val="Indenti"/>
        <w:rPr>
          <w:snapToGrid w:val="0"/>
        </w:rPr>
      </w:pPr>
      <w:r>
        <w:rPr>
          <w:snapToGrid w:val="0"/>
        </w:rPr>
        <w:tab/>
        <w:t>(ii)</w:t>
      </w:r>
      <w:r>
        <w:rPr>
          <w:snapToGrid w:val="0"/>
        </w:rPr>
        <w:tab/>
        <w:t>Deputy Commissioner;</w:t>
      </w:r>
    </w:p>
    <w:p>
      <w:pPr>
        <w:pStyle w:val="Indenti"/>
        <w:rPr>
          <w:snapToGrid w:val="0"/>
        </w:rPr>
      </w:pPr>
      <w:r>
        <w:rPr>
          <w:snapToGrid w:val="0"/>
        </w:rPr>
        <w:tab/>
        <w:t>(iii)</w:t>
      </w:r>
      <w:r>
        <w:rPr>
          <w:snapToGrid w:val="0"/>
        </w:rPr>
        <w:tab/>
        <w:t>Assistant Commissioner;</w:t>
      </w:r>
    </w:p>
    <w:p>
      <w:pPr>
        <w:pStyle w:val="Indenti"/>
        <w:rPr>
          <w:snapToGrid w:val="0"/>
        </w:rPr>
      </w:pPr>
      <w:r>
        <w:rPr>
          <w:snapToGrid w:val="0"/>
        </w:rPr>
        <w:tab/>
        <w:t>(iv)</w:t>
      </w:r>
      <w:r>
        <w:rPr>
          <w:snapToGrid w:val="0"/>
        </w:rPr>
        <w:tab/>
        <w:t>Commander;</w:t>
      </w:r>
    </w:p>
    <w:p>
      <w:pPr>
        <w:pStyle w:val="Ednotesubpara"/>
        <w:rPr>
          <w:snapToGrid w:val="0"/>
        </w:rPr>
      </w:pPr>
      <w:r>
        <w:rPr>
          <w:snapToGrid w:val="0"/>
        </w:rPr>
        <w:tab/>
        <w:t>[(v)</w:t>
      </w:r>
      <w:r>
        <w:rPr>
          <w:snapToGrid w:val="0"/>
        </w:rPr>
        <w:tab/>
        <w:t>deleted]</w:t>
      </w:r>
    </w:p>
    <w:p>
      <w:pPr>
        <w:pStyle w:val="Indenti"/>
        <w:rPr>
          <w:snapToGrid w:val="0"/>
        </w:rPr>
      </w:pPr>
      <w:r>
        <w:rPr>
          <w:snapToGrid w:val="0"/>
        </w:rPr>
        <w:tab/>
        <w:t>(vi)</w:t>
      </w:r>
      <w:r>
        <w:rPr>
          <w:snapToGrid w:val="0"/>
        </w:rPr>
        <w:tab/>
        <w:t>Superintendent;</w:t>
      </w:r>
    </w:p>
    <w:p>
      <w:pPr>
        <w:pStyle w:val="Ednotesubpara"/>
        <w:rPr>
          <w:snapToGrid w:val="0"/>
        </w:rPr>
      </w:pPr>
      <w:r>
        <w:rPr>
          <w:snapToGrid w:val="0"/>
        </w:rPr>
        <w:tab/>
        <w:t>[(vii)</w:t>
      </w:r>
      <w:r>
        <w:rPr>
          <w:snapToGrid w:val="0"/>
        </w:rPr>
        <w:tab/>
        <w:t>deleted]</w:t>
      </w:r>
    </w:p>
    <w:p>
      <w:pPr>
        <w:pStyle w:val="Indenti"/>
        <w:rPr>
          <w:snapToGrid w:val="0"/>
        </w:rPr>
      </w:pPr>
      <w:r>
        <w:rPr>
          <w:snapToGrid w:val="0"/>
        </w:rPr>
        <w:tab/>
        <w:t>(viii)</w:t>
      </w:r>
      <w:r>
        <w:rPr>
          <w:snapToGrid w:val="0"/>
        </w:rPr>
        <w:tab/>
        <w:t>Inspector;</w:t>
      </w:r>
    </w:p>
    <w:p>
      <w:pPr>
        <w:pStyle w:val="Indenta"/>
        <w:outlineLvl w:val="0"/>
        <w:rPr>
          <w:snapToGrid w:val="0"/>
        </w:rPr>
      </w:pPr>
      <w:r>
        <w:rPr>
          <w:snapToGrid w:val="0"/>
        </w:rPr>
        <w:tab/>
        <w:t>(b)</w:t>
      </w:r>
      <w:r>
        <w:rPr>
          <w:snapToGrid w:val="0"/>
        </w:rPr>
        <w:tab/>
        <w:t>Non</w:t>
      </w:r>
      <w:r>
        <w:rPr>
          <w:snapToGrid w:val="0"/>
        </w:rPr>
        <w:noBreakHyphen/>
        <w:t>commissioned officer ranks — </w:t>
      </w:r>
    </w:p>
    <w:p>
      <w:pPr>
        <w:pStyle w:val="Indenti"/>
        <w:rPr>
          <w:snapToGrid w:val="0"/>
        </w:rPr>
      </w:pPr>
      <w:r>
        <w:rPr>
          <w:snapToGrid w:val="0"/>
        </w:rPr>
        <w:tab/>
        <w:t>(i)</w:t>
      </w:r>
      <w:r>
        <w:rPr>
          <w:snapToGrid w:val="0"/>
        </w:rPr>
        <w:tab/>
        <w:t>Senior Sergeant;</w:t>
      </w:r>
    </w:p>
    <w:p>
      <w:pPr>
        <w:pStyle w:val="Indenti"/>
        <w:rPr>
          <w:snapToGrid w:val="0"/>
        </w:rPr>
      </w:pPr>
      <w:r>
        <w:rPr>
          <w:snapToGrid w:val="0"/>
        </w:rPr>
        <w:tab/>
        <w:t>(ii)</w:t>
      </w:r>
      <w:r>
        <w:rPr>
          <w:snapToGrid w:val="0"/>
        </w:rPr>
        <w:tab/>
        <w:t>Sergeant First Class;</w:t>
      </w:r>
    </w:p>
    <w:p>
      <w:pPr>
        <w:pStyle w:val="Indenti"/>
        <w:rPr>
          <w:snapToGrid w:val="0"/>
        </w:rPr>
      </w:pPr>
      <w:r>
        <w:rPr>
          <w:snapToGrid w:val="0"/>
        </w:rPr>
        <w:tab/>
        <w:t>(iii)</w:t>
      </w:r>
      <w:r>
        <w:rPr>
          <w:snapToGrid w:val="0"/>
        </w:rPr>
        <w:tab/>
        <w:t>Sergeant;</w:t>
      </w:r>
    </w:p>
    <w:p>
      <w:pPr>
        <w:pStyle w:val="Indenta"/>
        <w:outlineLvl w:val="0"/>
        <w:rPr>
          <w:snapToGrid w:val="0"/>
        </w:rPr>
      </w:pPr>
      <w:r>
        <w:rPr>
          <w:snapToGrid w:val="0"/>
        </w:rPr>
        <w:tab/>
        <w:t>(c)</w:t>
      </w:r>
      <w:r>
        <w:rPr>
          <w:snapToGrid w:val="0"/>
        </w:rPr>
        <w:tab/>
        <w:t>Other ranks — </w:t>
      </w:r>
    </w:p>
    <w:p>
      <w:pPr>
        <w:pStyle w:val="Indenti"/>
        <w:rPr>
          <w:snapToGrid w:val="0"/>
        </w:rPr>
      </w:pPr>
      <w:r>
        <w:rPr>
          <w:snapToGrid w:val="0"/>
        </w:rPr>
        <w:tab/>
        <w:t>(i)</w:t>
      </w:r>
      <w:r>
        <w:rPr>
          <w:snapToGrid w:val="0"/>
        </w:rPr>
        <w:tab/>
        <w:t>Senior Constable;</w:t>
      </w:r>
    </w:p>
    <w:p>
      <w:pPr>
        <w:pStyle w:val="Indenti"/>
        <w:rPr>
          <w:snapToGrid w:val="0"/>
        </w:rPr>
      </w:pPr>
      <w:r>
        <w:rPr>
          <w:snapToGrid w:val="0"/>
        </w:rPr>
        <w:tab/>
        <w:t>(ii)</w:t>
      </w:r>
      <w:r>
        <w:rPr>
          <w:snapToGrid w:val="0"/>
        </w:rPr>
        <w:tab/>
        <w:t>Constable First Class;</w:t>
      </w:r>
    </w:p>
    <w:p>
      <w:pPr>
        <w:pStyle w:val="Indenti"/>
        <w:rPr>
          <w:snapToGrid w:val="0"/>
        </w:rPr>
      </w:pPr>
      <w:r>
        <w:rPr>
          <w:snapToGrid w:val="0"/>
        </w:rPr>
        <w:tab/>
        <w:t>(iii)</w:t>
      </w:r>
      <w:r>
        <w:rPr>
          <w:snapToGrid w:val="0"/>
        </w:rPr>
        <w:tab/>
        <w:t>Constable;</w:t>
      </w:r>
    </w:p>
    <w:p>
      <w:pPr>
        <w:pStyle w:val="Indenta"/>
        <w:rPr>
          <w:snapToGrid w:val="0"/>
        </w:rPr>
      </w:pPr>
      <w:r>
        <w:rPr>
          <w:snapToGrid w:val="0"/>
        </w:rPr>
        <w:tab/>
      </w:r>
      <w:r>
        <w:rPr>
          <w:snapToGrid w:val="0"/>
        </w:rPr>
        <w:tab/>
        <w:t>and</w:t>
      </w:r>
    </w:p>
    <w:p>
      <w:pPr>
        <w:pStyle w:val="Indenta"/>
        <w:outlineLvl w:val="0"/>
      </w:pPr>
      <w:r>
        <w:tab/>
        <w:t>(d)</w:t>
      </w:r>
      <w:r>
        <w:tab/>
        <w:t>Aboriginal aide ranks — </w:t>
      </w:r>
    </w:p>
    <w:p>
      <w:pPr>
        <w:pStyle w:val="Indenti"/>
        <w:rPr>
          <w:snapToGrid w:val="0"/>
        </w:rPr>
      </w:pPr>
      <w:r>
        <w:rPr>
          <w:snapToGrid w:val="0"/>
        </w:rPr>
        <w:tab/>
        <w:t>(i)</w:t>
      </w:r>
      <w:r>
        <w:rPr>
          <w:snapToGrid w:val="0"/>
        </w:rPr>
        <w:tab/>
        <w:t>senior aboriginal aide;</w:t>
      </w:r>
    </w:p>
    <w:p>
      <w:pPr>
        <w:pStyle w:val="Indenti"/>
        <w:rPr>
          <w:snapToGrid w:val="0"/>
        </w:rPr>
      </w:pPr>
      <w:r>
        <w:rPr>
          <w:snapToGrid w:val="0"/>
        </w:rPr>
        <w:tab/>
        <w:t>(ii)</w:t>
      </w:r>
      <w:r>
        <w:rPr>
          <w:snapToGrid w:val="0"/>
        </w:rPr>
        <w:tab/>
        <w:t>aboriginal aide first class;</w:t>
      </w:r>
    </w:p>
    <w:p>
      <w:pPr>
        <w:pStyle w:val="Indenti"/>
        <w:rPr>
          <w:snapToGrid w:val="0"/>
        </w:rPr>
      </w:pPr>
      <w:r>
        <w:rPr>
          <w:snapToGrid w:val="0"/>
        </w:rPr>
        <w:tab/>
        <w:t>(iii)</w:t>
      </w:r>
      <w:r>
        <w:rPr>
          <w:snapToGrid w:val="0"/>
        </w:rPr>
        <w:tab/>
        <w:t>aboriginal aide.</w:t>
      </w:r>
    </w:p>
    <w:p>
      <w:pPr>
        <w:pStyle w:val="Ednotesubsection"/>
      </w:pPr>
      <w:r>
        <w:tab/>
        <w:t>[(2)</w:t>
      </w:r>
      <w:r>
        <w:tab/>
        <w:t>repealed]</w:t>
      </w:r>
    </w:p>
    <w:p>
      <w:pPr>
        <w:pStyle w:val="Footnotesection"/>
      </w:pPr>
      <w:r>
        <w:tab/>
        <w:t>[Regulation 201 amended in Gazette 16 Feb 1979 p. 425; 31 Jul 1981 p. 3158; 23 Mar 1984 p. 745; 24 Apr 1986 p. 1476; 17 Mar 1989 p. 752; 30 Mar 1990 p. 1648; 14 Jul 1992 p. 3364</w:t>
      </w:r>
      <w:r>
        <w:noBreakHyphen/>
        <w:t xml:space="preserve">5; 15 Dec 2006 p. 5631.] </w:t>
      </w:r>
    </w:p>
    <w:p>
      <w:pPr>
        <w:pStyle w:val="Heading2"/>
      </w:pPr>
      <w:bookmarkStart w:id="36" w:name="_Toc90976422"/>
      <w:bookmarkStart w:id="37" w:name="_Toc91044654"/>
      <w:bookmarkStart w:id="38" w:name="_Toc91044834"/>
      <w:bookmarkStart w:id="39" w:name="_Toc123621343"/>
      <w:bookmarkStart w:id="40" w:name="_Toc123622886"/>
      <w:bookmarkStart w:id="41" w:name="_Toc153957259"/>
      <w:bookmarkStart w:id="42" w:name="_Toc153958602"/>
      <w:bookmarkStart w:id="43" w:name="_Toc154478681"/>
      <w:bookmarkStart w:id="44" w:name="_Toc158523502"/>
      <w:r>
        <w:rPr>
          <w:rStyle w:val="CharPartNo"/>
        </w:rPr>
        <w:t>Part III</w:t>
      </w:r>
      <w:r>
        <w:rPr>
          <w:rStyle w:val="CharDivNo"/>
        </w:rPr>
        <w:t> </w:t>
      </w:r>
      <w:r>
        <w:t>—</w:t>
      </w:r>
      <w:r>
        <w:rPr>
          <w:rStyle w:val="CharDivText"/>
        </w:rPr>
        <w:t> </w:t>
      </w:r>
      <w:r>
        <w:rPr>
          <w:rStyle w:val="CharPartText"/>
        </w:rPr>
        <w:t>Organization</w:t>
      </w:r>
      <w:bookmarkEnd w:id="36"/>
      <w:bookmarkEnd w:id="37"/>
      <w:bookmarkEnd w:id="38"/>
      <w:bookmarkEnd w:id="39"/>
      <w:bookmarkEnd w:id="40"/>
      <w:bookmarkEnd w:id="41"/>
      <w:bookmarkEnd w:id="42"/>
      <w:bookmarkEnd w:id="43"/>
      <w:bookmarkEnd w:id="44"/>
      <w:r>
        <w:rPr>
          <w:rStyle w:val="CharPartText"/>
        </w:rPr>
        <w:t xml:space="preserve"> </w:t>
      </w:r>
    </w:p>
    <w:p>
      <w:pPr>
        <w:pStyle w:val="Heading5"/>
        <w:rPr>
          <w:snapToGrid w:val="0"/>
        </w:rPr>
      </w:pPr>
      <w:bookmarkStart w:id="45" w:name="_Toc500034676"/>
      <w:bookmarkStart w:id="46" w:name="_Toc515769474"/>
      <w:bookmarkStart w:id="47" w:name="_Toc522083155"/>
      <w:bookmarkStart w:id="48" w:name="_Toc123622887"/>
      <w:bookmarkStart w:id="49" w:name="_Toc158523503"/>
      <w:r>
        <w:rPr>
          <w:rStyle w:val="CharSectno"/>
        </w:rPr>
        <w:t>301</w:t>
      </w:r>
      <w:r>
        <w:rPr>
          <w:snapToGrid w:val="0"/>
        </w:rPr>
        <w:t>.</w:t>
      </w:r>
      <w:r>
        <w:rPr>
          <w:snapToGrid w:val="0"/>
        </w:rPr>
        <w:tab/>
        <w:t>Commissioner to determine functions, duties and responsibilities</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50" w:name="_Toc500034677"/>
      <w:bookmarkStart w:id="51" w:name="_Toc515769475"/>
      <w:bookmarkStart w:id="52" w:name="_Toc522083156"/>
      <w:bookmarkStart w:id="53" w:name="_Toc123622888"/>
      <w:bookmarkStart w:id="54" w:name="_Toc158523504"/>
      <w:r>
        <w:rPr>
          <w:rStyle w:val="CharSectno"/>
        </w:rPr>
        <w:t>302</w:t>
      </w:r>
      <w:r>
        <w:rPr>
          <w:snapToGrid w:val="0"/>
        </w:rPr>
        <w:t>.</w:t>
      </w:r>
      <w:r>
        <w:rPr>
          <w:snapToGrid w:val="0"/>
        </w:rPr>
        <w:tab/>
        <w:t>Deployment and control</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For the purposes of the deployment and control of the Force the Commissioner may from time to time — </w:t>
      </w:r>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w:t>
      </w:r>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55" w:name="_Toc500034678"/>
      <w:bookmarkStart w:id="56" w:name="_Toc515769476"/>
      <w:bookmarkStart w:id="57" w:name="_Toc522083157"/>
      <w:bookmarkStart w:id="58" w:name="_Toc123622889"/>
      <w:bookmarkStart w:id="59" w:name="_Toc158523505"/>
      <w:r>
        <w:rPr>
          <w:rStyle w:val="CharSectno"/>
        </w:rPr>
        <w:t>303</w:t>
      </w:r>
      <w:r>
        <w:rPr>
          <w:snapToGrid w:val="0"/>
        </w:rPr>
        <w:t>.</w:t>
      </w:r>
      <w:r>
        <w:rPr>
          <w:snapToGrid w:val="0"/>
        </w:rPr>
        <w:tab/>
        <w:t>Officers in control</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Each Police Region shall be under an officer known as the Regional Officer who shall be the officer</w:t>
      </w:r>
      <w:r>
        <w:rPr>
          <w:snapToGrid w:val="0"/>
        </w:rPr>
        <w:noBreakHyphen/>
        <w:t>in</w:t>
      </w:r>
      <w:r>
        <w:rPr>
          <w:snapToGrid w:val="0"/>
        </w:rPr>
        <w:noBreakHyphen/>
        <w:t>charge of the region.</w:t>
      </w:r>
    </w:p>
    <w:p>
      <w:pPr>
        <w:pStyle w:val="Subsection"/>
        <w:rPr>
          <w:snapToGrid w:val="0"/>
        </w:rPr>
      </w:pPr>
      <w:r>
        <w:rPr>
          <w:snapToGrid w:val="0"/>
        </w:rPr>
        <w:tab/>
        <w:t>(2)</w:t>
      </w:r>
      <w:r>
        <w:rPr>
          <w:snapToGrid w:val="0"/>
        </w:rPr>
        <w:tab/>
        <w:t xml:space="preserve">The Regional Officer is responsible for the discipline of all members and cadets (including members and cadets transferred for duties in the Traffic Patrol under the provisions of the </w:t>
      </w:r>
      <w:r>
        <w:rPr>
          <w:i/>
          <w:snapToGrid w:val="0"/>
        </w:rPr>
        <w:t>Road Traffic Act 1974</w:t>
      </w:r>
      <w:r>
        <w:rPr>
          <w:snapToGrid w:val="0"/>
        </w:rPr>
        <w:t>) stationed in the region.</w:t>
      </w:r>
    </w:p>
    <w:p>
      <w:pPr>
        <w:pStyle w:val="Subsection"/>
        <w:rPr>
          <w:snapToGrid w:val="0"/>
        </w:rPr>
      </w:pPr>
      <w:r>
        <w:rPr>
          <w:snapToGrid w:val="0"/>
        </w:rPr>
        <w:tab/>
        <w:t>(3)</w:t>
      </w:r>
      <w:r>
        <w:rPr>
          <w:snapToGrid w:val="0"/>
        </w:rPr>
        <w:tab/>
        <w:t>Each police division shall be under the control of an officer who shall be known as the Divisional Officer.</w:t>
      </w:r>
    </w:p>
    <w:p>
      <w:pPr>
        <w:pStyle w:val="Subsection"/>
        <w:rPr>
          <w:snapToGrid w:val="0"/>
        </w:rPr>
      </w:pPr>
      <w:r>
        <w:rPr>
          <w:snapToGrid w:val="0"/>
        </w:rPr>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w:t>
      </w:r>
      <w:r>
        <w:rPr>
          <w:snapToGrid w:val="0"/>
        </w:rPr>
        <w:noBreakHyphen/>
        <w:t>in</w:t>
      </w:r>
      <w:r>
        <w:rPr>
          <w:snapToGrid w:val="0"/>
        </w:rPr>
        <w:noBreakHyphen/>
        <w:t>charge of the sub</w:t>
      </w:r>
      <w:r>
        <w:rPr>
          <w:snapToGrid w:val="0"/>
        </w:rPr>
        <w:noBreakHyphen/>
        <w:t>division.</w:t>
      </w:r>
    </w:p>
    <w:p>
      <w:pPr>
        <w:pStyle w:val="Heading5"/>
        <w:rPr>
          <w:snapToGrid w:val="0"/>
        </w:rPr>
      </w:pPr>
      <w:bookmarkStart w:id="60" w:name="_Toc500034679"/>
      <w:bookmarkStart w:id="61" w:name="_Toc515769477"/>
      <w:bookmarkStart w:id="62" w:name="_Toc522083158"/>
      <w:bookmarkStart w:id="63" w:name="_Toc123622890"/>
      <w:bookmarkStart w:id="64" w:name="_Toc158523506"/>
      <w:r>
        <w:rPr>
          <w:rStyle w:val="CharSectno"/>
        </w:rPr>
        <w:t>304</w:t>
      </w:r>
      <w:r>
        <w:rPr>
          <w:snapToGrid w:val="0"/>
        </w:rPr>
        <w:t>.</w:t>
      </w:r>
      <w:r>
        <w:rPr>
          <w:snapToGrid w:val="0"/>
        </w:rPr>
        <w:tab/>
        <w:t>Officers</w:t>
      </w:r>
      <w:r>
        <w:rPr>
          <w:snapToGrid w:val="0"/>
        </w:rPr>
        <w:noBreakHyphen/>
        <w:t>in</w:t>
      </w:r>
      <w:r>
        <w:rPr>
          <w:snapToGrid w:val="0"/>
        </w:rPr>
        <w:noBreakHyphen/>
        <w:t>charge absent</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Subject to this regulation, where — </w:t>
      </w:r>
    </w:p>
    <w:p>
      <w:pPr>
        <w:pStyle w:val="Indenta"/>
        <w:rPr>
          <w:snapToGrid w:val="0"/>
        </w:rPr>
      </w:pPr>
      <w:r>
        <w:rPr>
          <w:snapToGrid w:val="0"/>
        </w:rPr>
        <w:tab/>
        <w:t>(a)</w:t>
      </w:r>
      <w:r>
        <w:rPr>
          <w:snapToGrid w:val="0"/>
        </w:rPr>
        <w:tab/>
        <w:t>an officer</w:t>
      </w:r>
      <w:r>
        <w:rPr>
          <w:snapToGrid w:val="0"/>
        </w:rPr>
        <w:noBreakHyphen/>
        <w:t>in</w:t>
      </w:r>
      <w:r>
        <w:rPr>
          <w:snapToGrid w:val="0"/>
        </w:rPr>
        <w:noBreakHyphen/>
        <w:t>charge of a region is absent from his region;</w:t>
      </w:r>
    </w:p>
    <w:p>
      <w:pPr>
        <w:pStyle w:val="Indenta"/>
        <w:rPr>
          <w:snapToGrid w:val="0"/>
        </w:rPr>
      </w:pPr>
      <w:r>
        <w:rPr>
          <w:snapToGrid w:val="0"/>
        </w:rPr>
        <w:tab/>
        <w:t>(b)</w:t>
      </w:r>
      <w:r>
        <w:rPr>
          <w:snapToGrid w:val="0"/>
        </w:rPr>
        <w:tab/>
        <w:t>an officer</w:t>
      </w:r>
      <w:r>
        <w:rPr>
          <w:snapToGrid w:val="0"/>
        </w:rPr>
        <w:noBreakHyphen/>
        <w:t>in</w:t>
      </w:r>
      <w:r>
        <w:rPr>
          <w:snapToGrid w:val="0"/>
        </w:rPr>
        <w:noBreakHyphen/>
        <w:t>charge of a division is absent from his division;</w:t>
      </w:r>
    </w:p>
    <w:p>
      <w:pPr>
        <w:pStyle w:val="Indenta"/>
        <w:rPr>
          <w:snapToGrid w:val="0"/>
        </w:rPr>
      </w:pPr>
      <w:r>
        <w:rPr>
          <w:snapToGrid w:val="0"/>
        </w:rPr>
        <w:tab/>
        <w:t>(c)</w:t>
      </w:r>
      <w:r>
        <w:rPr>
          <w:snapToGrid w:val="0"/>
        </w:rPr>
        <w:tab/>
        <w:t>an officer</w:t>
      </w:r>
      <w:r>
        <w:rPr>
          <w:snapToGrid w:val="0"/>
        </w:rPr>
        <w:noBreakHyphen/>
        <w:t>in</w:t>
      </w:r>
      <w:r>
        <w:rPr>
          <w:snapToGrid w:val="0"/>
        </w:rPr>
        <w:noBreakHyphen/>
        <w:t>charge of a sub</w:t>
      </w:r>
      <w:r>
        <w:rPr>
          <w:snapToGrid w:val="0"/>
        </w:rPr>
        <w:noBreakHyphen/>
        <w:t>division is absent from his police station or police office,</w:t>
      </w:r>
    </w:p>
    <w:p>
      <w:pPr>
        <w:pStyle w:val="Subsection"/>
        <w:rPr>
          <w:snapToGrid w:val="0"/>
        </w:rPr>
      </w:pPr>
      <w:r>
        <w:rPr>
          <w:snapToGrid w:val="0"/>
        </w:rPr>
        <w:tab/>
      </w:r>
      <w:r>
        <w:rPr>
          <w:snapToGrid w:val="0"/>
        </w:rPr>
        <w:tab/>
        <w:t>the functions, duties and responsibilities of that officer</w:t>
      </w:r>
      <w:r>
        <w:rPr>
          <w:snapToGrid w:val="0"/>
        </w:rPr>
        <w:noBreakHyphen/>
        <w:t>in</w:t>
      </w:r>
      <w:r>
        <w:rPr>
          <w:snapToGrid w:val="0"/>
        </w:rPr>
        <w:noBreakHyphen/>
        <w:t>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w:t>
      </w:r>
      <w:r>
        <w:rPr>
          <w:snapToGrid w:val="0"/>
        </w:rPr>
        <w:noBreakHyphen/>
        <w:t>in</w:t>
      </w:r>
      <w:r>
        <w:rPr>
          <w:snapToGrid w:val="0"/>
        </w:rPr>
        <w:noBreakHyphen/>
        <w:t>charge of the region shall be assumed by the officer</w:t>
      </w:r>
      <w:r>
        <w:rPr>
          <w:snapToGrid w:val="0"/>
        </w:rPr>
        <w:noBreakHyphen/>
        <w:t>in</w:t>
      </w:r>
      <w:r>
        <w:rPr>
          <w:snapToGrid w:val="0"/>
        </w:rPr>
        <w:noBreakHyphen/>
        <w:t>charge of the headquarters police station.</w:t>
      </w:r>
    </w:p>
    <w:p>
      <w:pPr>
        <w:pStyle w:val="Subsection"/>
        <w:rPr>
          <w:snapToGrid w:val="0"/>
        </w:rPr>
      </w:pPr>
      <w:r>
        <w:rPr>
          <w:snapToGrid w:val="0"/>
        </w:rPr>
        <w:tab/>
        <w:t>(3)</w:t>
      </w:r>
      <w:r>
        <w:rPr>
          <w:snapToGrid w:val="0"/>
        </w:rPr>
        <w:tab/>
        <w:t>Where a Divisional Officer is absent from his Division the functions, duties and responsibilities of the Divisional Officer shall be assumed by the officer</w:t>
      </w:r>
      <w:r>
        <w:rPr>
          <w:snapToGrid w:val="0"/>
        </w:rPr>
        <w:noBreakHyphen/>
        <w:t>in</w:t>
      </w:r>
      <w:r>
        <w:rPr>
          <w:snapToGrid w:val="0"/>
        </w:rPr>
        <w:noBreakHyphen/>
        <w:t>charge of the region in which the Division is situated.</w:t>
      </w:r>
    </w:p>
    <w:p>
      <w:pPr>
        <w:pStyle w:val="Heading5"/>
        <w:rPr>
          <w:snapToGrid w:val="0"/>
        </w:rPr>
      </w:pPr>
      <w:bookmarkStart w:id="65" w:name="_Toc500034680"/>
      <w:bookmarkStart w:id="66" w:name="_Toc515769478"/>
      <w:bookmarkStart w:id="67" w:name="_Toc522083159"/>
      <w:bookmarkStart w:id="68" w:name="_Toc123622891"/>
      <w:bookmarkStart w:id="69" w:name="_Toc158523507"/>
      <w:r>
        <w:rPr>
          <w:rStyle w:val="CharSectno"/>
        </w:rPr>
        <w:t>305</w:t>
      </w:r>
      <w:r>
        <w:rPr>
          <w:snapToGrid w:val="0"/>
        </w:rPr>
        <w:t>.</w:t>
      </w:r>
      <w:r>
        <w:rPr>
          <w:snapToGrid w:val="0"/>
        </w:rPr>
        <w:tab/>
        <w:t>Commissioner may appoint any member when officer</w:t>
      </w:r>
      <w:r>
        <w:rPr>
          <w:snapToGrid w:val="0"/>
        </w:rPr>
        <w:noBreakHyphen/>
        <w:t>in</w:t>
      </w:r>
      <w:r>
        <w:rPr>
          <w:snapToGrid w:val="0"/>
        </w:rPr>
        <w:noBreakHyphen/>
        <w:t>charge absent</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w:t>
      </w:r>
      <w:r>
        <w:rPr>
          <w:snapToGrid w:val="0"/>
        </w:rPr>
        <w:noBreakHyphen/>
        <w:t>in</w:t>
      </w:r>
      <w:r>
        <w:rPr>
          <w:snapToGrid w:val="0"/>
        </w:rPr>
        <w:noBreakHyphen/>
        <w:t>charge of a region, division, sub</w:t>
      </w:r>
      <w:r>
        <w:rPr>
          <w:snapToGrid w:val="0"/>
        </w:rPr>
        <w:noBreakHyphen/>
        <w:t>division, section, branch or sub</w:t>
      </w:r>
      <w:r>
        <w:rPr>
          <w:snapToGrid w:val="0"/>
        </w:rPr>
        <w:noBreakHyphen/>
        <w:t>branch during the absence of the officer</w:t>
      </w:r>
      <w:r>
        <w:rPr>
          <w:snapToGrid w:val="0"/>
        </w:rPr>
        <w:noBreakHyphen/>
        <w:t>in</w:t>
      </w:r>
      <w:r>
        <w:rPr>
          <w:snapToGrid w:val="0"/>
        </w:rPr>
        <w:noBreakHyphen/>
        <w:t>charge from the region, division, sub</w:t>
      </w:r>
      <w:r>
        <w:rPr>
          <w:snapToGrid w:val="0"/>
        </w:rPr>
        <w:noBreakHyphen/>
        <w:t>division, section, branch or sub</w:t>
      </w:r>
      <w:r>
        <w:rPr>
          <w:snapToGrid w:val="0"/>
        </w:rPr>
        <w:noBreakHyphen/>
        <w:t>branch and the member so appointed shall be the officer</w:t>
      </w:r>
      <w:r>
        <w:rPr>
          <w:snapToGrid w:val="0"/>
        </w:rPr>
        <w:noBreakHyphen/>
        <w:t>in</w:t>
      </w:r>
      <w:r>
        <w:rPr>
          <w:snapToGrid w:val="0"/>
        </w:rPr>
        <w:noBreakHyphen/>
        <w:t>charge of the region according to the terms of the appointment or direction.</w:t>
      </w:r>
    </w:p>
    <w:p>
      <w:pPr>
        <w:pStyle w:val="Heading5"/>
        <w:rPr>
          <w:snapToGrid w:val="0"/>
        </w:rPr>
      </w:pPr>
      <w:bookmarkStart w:id="70" w:name="_Toc500034681"/>
      <w:bookmarkStart w:id="71" w:name="_Toc515769479"/>
      <w:bookmarkStart w:id="72" w:name="_Toc522083160"/>
      <w:bookmarkStart w:id="73" w:name="_Toc123622892"/>
      <w:bookmarkStart w:id="74" w:name="_Toc158523508"/>
      <w:r>
        <w:rPr>
          <w:rStyle w:val="CharSectno"/>
        </w:rPr>
        <w:t>306</w:t>
      </w:r>
      <w:r>
        <w:rPr>
          <w:snapToGrid w:val="0"/>
        </w:rPr>
        <w:t>.</w:t>
      </w:r>
      <w:r>
        <w:rPr>
          <w:snapToGrid w:val="0"/>
        </w:rPr>
        <w:tab/>
        <w:t>Senior member to exercise command unless member specially detailed</w:t>
      </w:r>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75" w:name="_Toc500034682"/>
      <w:bookmarkStart w:id="76" w:name="_Toc515769480"/>
      <w:bookmarkStart w:id="77" w:name="_Toc522083161"/>
      <w:bookmarkStart w:id="78" w:name="_Toc123622893"/>
      <w:bookmarkStart w:id="79" w:name="_Toc158523509"/>
      <w:r>
        <w:rPr>
          <w:rStyle w:val="CharSectno"/>
        </w:rPr>
        <w:t>307</w:t>
      </w:r>
      <w:r>
        <w:rPr>
          <w:snapToGrid w:val="0"/>
        </w:rPr>
        <w:t>.</w:t>
      </w:r>
      <w:r>
        <w:rPr>
          <w:snapToGrid w:val="0"/>
        </w:rPr>
        <w:tab/>
      </w:r>
      <w:r>
        <w:rPr>
          <w:i/>
          <w:snapToGrid w:val="0"/>
        </w:rPr>
        <w:t>Police Gazette</w:t>
      </w:r>
      <w:r>
        <w:rPr>
          <w:snapToGrid w:val="0"/>
        </w:rPr>
        <w:t xml:space="preserve"> to be published</w:t>
      </w:r>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 xml:space="preserve">For the purposes of the better management and control of the Force and cadets and as a means of keeping the Force and cadets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Heading2"/>
      </w:pPr>
      <w:bookmarkStart w:id="80" w:name="_Toc90976430"/>
      <w:bookmarkStart w:id="81" w:name="_Toc91044662"/>
      <w:bookmarkStart w:id="82" w:name="_Toc91044842"/>
      <w:bookmarkStart w:id="83" w:name="_Toc123621351"/>
      <w:bookmarkStart w:id="84" w:name="_Toc123622894"/>
      <w:bookmarkStart w:id="85" w:name="_Toc153957267"/>
      <w:bookmarkStart w:id="86" w:name="_Toc153958610"/>
      <w:bookmarkStart w:id="87" w:name="_Toc154478689"/>
      <w:bookmarkStart w:id="88" w:name="_Toc158523510"/>
      <w:r>
        <w:rPr>
          <w:rStyle w:val="CharPartNo"/>
        </w:rPr>
        <w:t>Part IV</w:t>
      </w:r>
      <w:r>
        <w:rPr>
          <w:rStyle w:val="CharDivNo"/>
        </w:rPr>
        <w:t> </w:t>
      </w:r>
      <w:r>
        <w:t>—</w:t>
      </w:r>
      <w:r>
        <w:rPr>
          <w:rStyle w:val="CharDivText"/>
        </w:rPr>
        <w:t> </w:t>
      </w:r>
      <w:r>
        <w:rPr>
          <w:rStyle w:val="CharPartText"/>
        </w:rPr>
        <w:t>Duties</w:t>
      </w:r>
      <w:bookmarkEnd w:id="80"/>
      <w:bookmarkEnd w:id="81"/>
      <w:bookmarkEnd w:id="82"/>
      <w:bookmarkEnd w:id="83"/>
      <w:bookmarkEnd w:id="84"/>
      <w:bookmarkEnd w:id="85"/>
      <w:bookmarkEnd w:id="86"/>
      <w:bookmarkEnd w:id="87"/>
      <w:bookmarkEnd w:id="88"/>
      <w:r>
        <w:rPr>
          <w:rStyle w:val="CharPartText"/>
        </w:rPr>
        <w:t xml:space="preserve"> </w:t>
      </w:r>
    </w:p>
    <w:p>
      <w:pPr>
        <w:pStyle w:val="Heading5"/>
        <w:rPr>
          <w:snapToGrid w:val="0"/>
        </w:rPr>
      </w:pPr>
      <w:bookmarkStart w:id="89" w:name="_Toc500034683"/>
      <w:bookmarkStart w:id="90" w:name="_Toc515769481"/>
      <w:bookmarkStart w:id="91" w:name="_Toc522083162"/>
      <w:bookmarkStart w:id="92" w:name="_Toc123622895"/>
      <w:bookmarkStart w:id="93" w:name="_Toc158523511"/>
      <w:r>
        <w:rPr>
          <w:rStyle w:val="CharSectno"/>
        </w:rPr>
        <w:t>401</w:t>
      </w:r>
      <w:r>
        <w:rPr>
          <w:snapToGrid w:val="0"/>
        </w:rPr>
        <w:t>.</w:t>
      </w:r>
      <w:r>
        <w:rPr>
          <w:snapToGrid w:val="0"/>
        </w:rPr>
        <w:tab/>
        <w:t>Member and cadet to obey directions</w:t>
      </w:r>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Every member or cadet shall carry out such functions, duties and responsibilities as he is directed by or on behalf of the Commissioner.</w:t>
      </w:r>
    </w:p>
    <w:p>
      <w:pPr>
        <w:pStyle w:val="Heading5"/>
        <w:rPr>
          <w:snapToGrid w:val="0"/>
        </w:rPr>
      </w:pPr>
      <w:bookmarkStart w:id="94" w:name="_Toc500034684"/>
      <w:bookmarkStart w:id="95" w:name="_Toc515769482"/>
      <w:bookmarkStart w:id="96" w:name="_Toc522083163"/>
      <w:bookmarkStart w:id="97" w:name="_Toc123622896"/>
      <w:bookmarkStart w:id="98" w:name="_Toc158523512"/>
      <w:r>
        <w:rPr>
          <w:rStyle w:val="CharSectno"/>
        </w:rPr>
        <w:t>402</w:t>
      </w:r>
      <w:r>
        <w:rPr>
          <w:snapToGrid w:val="0"/>
        </w:rPr>
        <w:t>.</w:t>
      </w:r>
      <w:r>
        <w:rPr>
          <w:snapToGrid w:val="0"/>
        </w:rPr>
        <w:tab/>
        <w:t>Provisions relating to behaviour</w:t>
      </w:r>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Every member or cadet shall — </w:t>
      </w:r>
    </w:p>
    <w:p>
      <w:pPr>
        <w:pStyle w:val="Indenta"/>
        <w:rPr>
          <w:snapToGrid w:val="0"/>
        </w:rPr>
      </w:pPr>
      <w:r>
        <w:rPr>
          <w:snapToGrid w:val="0"/>
        </w:rPr>
        <w:tab/>
        <w:t>(a)</w:t>
      </w:r>
      <w:r>
        <w:rPr>
          <w:snapToGrid w:val="0"/>
        </w:rPr>
        <w:tab/>
        <w:t>devote himself exclusively and zealously to the discharge of his duties during his hours of duty;</w:t>
      </w:r>
    </w:p>
    <w:p>
      <w:pPr>
        <w:pStyle w:val="Indenta"/>
        <w:rPr>
          <w:snapToGrid w:val="0"/>
        </w:rPr>
      </w:pPr>
      <w:r>
        <w:rPr>
          <w:snapToGrid w:val="0"/>
        </w:rPr>
        <w:tab/>
        <w:t>(b)</w:t>
      </w:r>
      <w:r>
        <w:rPr>
          <w:snapToGrid w:val="0"/>
        </w:rPr>
        <w:tab/>
        <w:t>behave at all times with courtesy to the public and every member or cadet, and give prompt attention to all reasonable requirements of the public;</w:t>
      </w:r>
    </w:p>
    <w:p>
      <w:pPr>
        <w:pStyle w:val="Indenta"/>
        <w:rPr>
          <w:snapToGrid w:val="0"/>
        </w:rPr>
      </w:pPr>
      <w:r>
        <w:rPr>
          <w:snapToGrid w:val="0"/>
        </w:rPr>
        <w:tab/>
        <w:t>(c)</w:t>
      </w:r>
      <w:r>
        <w:rPr>
          <w:snapToGrid w:val="0"/>
        </w:rPr>
        <w:tab/>
        <w:t>obey promptly all lawful instructions given by any member under whose control or supervision he is placed and, where necessary, act on his own initiative;</w:t>
      </w:r>
    </w:p>
    <w:p>
      <w:pPr>
        <w:pStyle w:val="Indenta"/>
        <w:rPr>
          <w:snapToGrid w:val="0"/>
        </w:rPr>
      </w:pPr>
      <w:r>
        <w:rPr>
          <w:snapToGrid w:val="0"/>
        </w:rPr>
        <w:tab/>
        <w:t>(d)</w:t>
      </w:r>
      <w:r>
        <w:rPr>
          <w:snapToGrid w:val="0"/>
        </w:rPr>
        <w:tab/>
        <w:t>promptly and correctly carry out all duties appertaining to his office, or any other duty he is lawfully directed to perform; and</w:t>
      </w:r>
    </w:p>
    <w:p>
      <w:pPr>
        <w:pStyle w:val="Indenta"/>
        <w:rPr>
          <w:snapToGrid w:val="0"/>
        </w:rPr>
      </w:pPr>
      <w:r>
        <w:rPr>
          <w:snapToGrid w:val="0"/>
        </w:rPr>
        <w:tab/>
        <w:t>(e)</w:t>
      </w:r>
      <w:r>
        <w:rPr>
          <w:snapToGrid w:val="0"/>
        </w:rPr>
        <w:tab/>
        <w:t>in due course and at proper times comply with, and give effect to, all enactments, regulations, rules, orders and administrative instructions made or issued for his guidance in the performance of his duties.</w:t>
      </w:r>
    </w:p>
    <w:p>
      <w:pPr>
        <w:pStyle w:val="Heading5"/>
        <w:rPr>
          <w:snapToGrid w:val="0"/>
        </w:rPr>
      </w:pPr>
      <w:bookmarkStart w:id="99" w:name="_Toc500034685"/>
      <w:bookmarkStart w:id="100" w:name="_Toc515769483"/>
      <w:bookmarkStart w:id="101" w:name="_Toc522083164"/>
      <w:bookmarkStart w:id="102" w:name="_Toc123622897"/>
      <w:bookmarkStart w:id="103" w:name="_Toc158523513"/>
      <w:r>
        <w:rPr>
          <w:rStyle w:val="CharSectno"/>
        </w:rPr>
        <w:t>403</w:t>
      </w:r>
      <w:r>
        <w:rPr>
          <w:snapToGrid w:val="0"/>
        </w:rPr>
        <w:t>.</w:t>
      </w:r>
      <w:r>
        <w:rPr>
          <w:snapToGrid w:val="0"/>
        </w:rPr>
        <w:tab/>
        <w:t>Proper care to be taken of firearms, etc.</w:t>
      </w:r>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Every member or cadet shall take proper care of any firearms or ammunition in his care, possession or custody.</w:t>
      </w:r>
    </w:p>
    <w:p>
      <w:pPr>
        <w:pStyle w:val="Heading5"/>
      </w:pPr>
      <w:bookmarkStart w:id="104" w:name="_Toc158523514"/>
      <w:bookmarkStart w:id="105" w:name="_Toc500034687"/>
      <w:bookmarkStart w:id="106" w:name="_Toc515769485"/>
      <w:bookmarkStart w:id="107" w:name="_Toc522083166"/>
      <w:bookmarkStart w:id="108" w:name="_Toc123622899"/>
      <w:r>
        <w:rPr>
          <w:rStyle w:val="CharSectno"/>
        </w:rPr>
        <w:t>404</w:t>
      </w:r>
      <w:r>
        <w:t>.</w:t>
      </w:r>
      <w:r>
        <w:tab/>
        <w:t>Station and personal issue firearms</w:t>
      </w:r>
      <w:bookmarkEnd w:id="104"/>
    </w:p>
    <w:p>
      <w:pPr>
        <w:pStyle w:val="Subsection"/>
      </w:pPr>
      <w:r>
        <w:tab/>
        <w:t>(1)</w:t>
      </w:r>
      <w:r>
        <w:tab/>
        <w:t xml:space="preserve">In this regulation — </w:t>
      </w:r>
    </w:p>
    <w:p>
      <w:pPr>
        <w:pStyle w:val="Defstart"/>
      </w:pPr>
      <w:r>
        <w:rPr>
          <w:b/>
        </w:rPr>
        <w:tab/>
        <w:t>“</w:t>
      </w:r>
      <w:r>
        <w:rPr>
          <w:rStyle w:val="CharDefText"/>
        </w:rPr>
        <w:t>personal issue firearm</w:t>
      </w:r>
      <w:r>
        <w:rPr>
          <w:b/>
        </w:rPr>
        <w:t>”</w:t>
      </w:r>
      <w:r>
        <w:t xml:space="preserve"> means a firearm allocated to, and used by, a specified member;</w:t>
      </w:r>
    </w:p>
    <w:p>
      <w:pPr>
        <w:pStyle w:val="Defstart"/>
      </w:pPr>
      <w:r>
        <w:rPr>
          <w:b/>
        </w:rPr>
        <w:tab/>
        <w:t>“</w:t>
      </w:r>
      <w:r>
        <w:rPr>
          <w:rStyle w:val="CharDefText"/>
        </w:rPr>
        <w:t>station firearm</w:t>
      </w:r>
      <w:r>
        <w:rPr>
          <w:b/>
        </w:rPr>
        <w:t>”</w:t>
      </w:r>
      <w:r>
        <w:t xml:space="preserve"> means a firearm allocated to a particular police station for issue to members from time to time.</w:t>
      </w:r>
    </w:p>
    <w:p>
      <w:pPr>
        <w:pStyle w:val="Subsection"/>
      </w:pPr>
      <w:r>
        <w:tab/>
        <w:t>(2)</w:t>
      </w:r>
      <w:r>
        <w:tab/>
        <w:t>A member or cadet to whom a station firearm has been issued shall return the firearm to the member in charge or supervisor on the completion of the duties for which the firearm was required.</w:t>
      </w:r>
    </w:p>
    <w:p>
      <w:pPr>
        <w:pStyle w:val="Subsection"/>
      </w:pPr>
      <w:r>
        <w:tab/>
        <w:t>(3)</w:t>
      </w:r>
      <w:r>
        <w:tab/>
        <w:t>A member to whom a personal issue firearm has been issued shall retain and maintain that firearm at that station on the completion of the duties for which the firearm was required.</w:t>
      </w:r>
    </w:p>
    <w:p>
      <w:pPr>
        <w:pStyle w:val="Subsection"/>
      </w:pPr>
      <w:r>
        <w:tab/>
        <w:t>(4)</w:t>
      </w:r>
      <w:r>
        <w:tab/>
        <w:t>A member to whom a personal issue firearm has been issued shall retain that firearm on transfer unless the member is transferred to a station that issues station firearms.</w:t>
      </w:r>
    </w:p>
    <w:p>
      <w:pPr>
        <w:pStyle w:val="Subsection"/>
      </w:pPr>
      <w:r>
        <w:tab/>
        <w:t>(5)</w:t>
      </w:r>
      <w:r>
        <w:tab/>
        <w:t>The member in charge or supervisor shall ensure that the procedures relating to the issue and receipt of firearms and ammunition ordered by the Commissioner are carried out and complied with when a member is issued with, or returns, a station or personal issue firearm or ammunition.</w:t>
      </w:r>
    </w:p>
    <w:p>
      <w:pPr>
        <w:pStyle w:val="Footnotesection"/>
      </w:pPr>
      <w:r>
        <w:tab/>
        <w:t>[Regulation 404 inserted in Gazette 2 Feb 2007 p. 247.]</w:t>
      </w:r>
    </w:p>
    <w:p>
      <w:pPr>
        <w:pStyle w:val="Ednotesection"/>
      </w:pPr>
      <w:bookmarkStart w:id="109" w:name="_Toc500034688"/>
      <w:bookmarkStart w:id="110" w:name="_Toc515769486"/>
      <w:bookmarkStart w:id="111" w:name="_Toc522083167"/>
      <w:bookmarkStart w:id="112" w:name="_Toc123622900"/>
      <w:bookmarkEnd w:id="105"/>
      <w:bookmarkEnd w:id="106"/>
      <w:bookmarkEnd w:id="107"/>
      <w:bookmarkEnd w:id="108"/>
      <w:r>
        <w:t>[</w:t>
      </w:r>
      <w:r>
        <w:rPr>
          <w:b/>
          <w:bCs/>
        </w:rPr>
        <w:t>405.</w:t>
      </w:r>
      <w:r>
        <w:tab/>
        <w:t>Repealed in Gazette 2 Feb 2007 p. 247.]</w:t>
      </w:r>
    </w:p>
    <w:p>
      <w:pPr>
        <w:pStyle w:val="Heading5"/>
        <w:rPr>
          <w:snapToGrid w:val="0"/>
        </w:rPr>
      </w:pPr>
      <w:bookmarkStart w:id="113" w:name="_Toc158523515"/>
      <w:r>
        <w:rPr>
          <w:rStyle w:val="CharSectno"/>
        </w:rPr>
        <w:t>406</w:t>
      </w:r>
      <w:r>
        <w:rPr>
          <w:snapToGrid w:val="0"/>
        </w:rPr>
        <w:t>.</w:t>
      </w:r>
      <w:r>
        <w:rPr>
          <w:snapToGrid w:val="0"/>
        </w:rPr>
        <w:tab/>
        <w:t xml:space="preserve">Notice to be taken of information published in </w:t>
      </w:r>
      <w:r>
        <w:rPr>
          <w:i/>
          <w:snapToGrid w:val="0"/>
        </w:rPr>
        <w:t>Police Gazette</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 xml:space="preserve">Every member and cadet shall acquaint himself with the information published in the </w:t>
      </w:r>
      <w:r>
        <w:rPr>
          <w:i/>
          <w:snapToGrid w:val="0"/>
        </w:rPr>
        <w:t>Police Gazette</w:t>
      </w:r>
      <w:r>
        <w:rPr>
          <w:snapToGrid w:val="0"/>
        </w:rPr>
        <w:t>.</w:t>
      </w:r>
    </w:p>
    <w:p>
      <w:pPr>
        <w:pStyle w:val="Subsection"/>
        <w:rPr>
          <w:snapToGrid w:val="0"/>
        </w:rPr>
      </w:pPr>
      <w:r>
        <w:rPr>
          <w:snapToGrid w:val="0"/>
        </w:rPr>
        <w:tab/>
        <w:t>(2)</w:t>
      </w:r>
      <w:r>
        <w:rPr>
          <w:snapToGrid w:val="0"/>
        </w:rPr>
        <w:tab/>
        <w:t>A member or cadet shall not — </w:t>
      </w:r>
    </w:p>
    <w:p>
      <w:pPr>
        <w:pStyle w:val="Indenta"/>
        <w:rPr>
          <w:snapToGrid w:val="0"/>
        </w:rPr>
      </w:pPr>
      <w:r>
        <w:rPr>
          <w:snapToGrid w:val="0"/>
        </w:rPr>
        <w:tab/>
        <w:t>(a)</w:t>
      </w:r>
      <w:r>
        <w:rPr>
          <w:snapToGrid w:val="0"/>
        </w:rPr>
        <w:tab/>
        <w:t xml:space="preserve">divulge any information gained by him from the </w:t>
      </w:r>
      <w:r>
        <w:rPr>
          <w:i/>
          <w:snapToGrid w:val="0"/>
        </w:rPr>
        <w:t>Police Gazette</w:t>
      </w:r>
      <w:r>
        <w:rPr>
          <w:snapToGrid w:val="0"/>
        </w:rPr>
        <w:t xml:space="preserve"> unless authorised to do so by the Commissioner;</w:t>
      </w:r>
    </w:p>
    <w:p>
      <w:pPr>
        <w:pStyle w:val="Indenta"/>
        <w:rPr>
          <w:snapToGrid w:val="0"/>
        </w:rPr>
      </w:pPr>
      <w:r>
        <w:rPr>
          <w:snapToGrid w:val="0"/>
        </w:rPr>
        <w:tab/>
        <w:t>(b)</w:t>
      </w:r>
      <w:r>
        <w:rPr>
          <w:snapToGrid w:val="0"/>
        </w:rPr>
        <w:tab/>
        <w:t xml:space="preserve">permit or suffer any person who is not a member or cadet to read the </w:t>
      </w:r>
      <w:r>
        <w:rPr>
          <w:i/>
          <w:snapToGrid w:val="0"/>
        </w:rPr>
        <w:t>Police Gazette</w:t>
      </w:r>
      <w:r>
        <w:rPr>
          <w:snapToGrid w:val="0"/>
        </w:rPr>
        <w:t xml:space="preserve"> or any portion thereof; or</w:t>
      </w:r>
    </w:p>
    <w:p>
      <w:pPr>
        <w:pStyle w:val="Indenta"/>
        <w:rPr>
          <w:snapToGrid w:val="0"/>
        </w:rPr>
      </w:pPr>
      <w:r>
        <w:rPr>
          <w:snapToGrid w:val="0"/>
        </w:rPr>
        <w:tab/>
        <w:t>(c)</w:t>
      </w:r>
      <w:r>
        <w:rPr>
          <w:snapToGrid w:val="0"/>
        </w:rPr>
        <w:tab/>
        <w:t xml:space="preserve">permit or suffer any </w:t>
      </w:r>
      <w:r>
        <w:rPr>
          <w:i/>
          <w:snapToGrid w:val="0"/>
        </w:rPr>
        <w:t>Police Gazette</w:t>
      </w:r>
      <w:r>
        <w:rPr>
          <w:snapToGrid w:val="0"/>
        </w:rPr>
        <w:t xml:space="preserve"> or portion thereof to come into the possession of a person who is not a member or cadet.</w:t>
      </w:r>
    </w:p>
    <w:p>
      <w:pPr>
        <w:pStyle w:val="Heading5"/>
        <w:rPr>
          <w:snapToGrid w:val="0"/>
        </w:rPr>
      </w:pPr>
      <w:bookmarkStart w:id="114" w:name="_Toc500034689"/>
      <w:bookmarkStart w:id="115" w:name="_Toc515769487"/>
      <w:bookmarkStart w:id="116" w:name="_Toc522083168"/>
      <w:bookmarkStart w:id="117" w:name="_Toc123622901"/>
      <w:bookmarkStart w:id="118" w:name="_Toc158523516"/>
      <w:r>
        <w:rPr>
          <w:rStyle w:val="CharSectno"/>
        </w:rPr>
        <w:t>407</w:t>
      </w:r>
      <w:r>
        <w:rPr>
          <w:snapToGrid w:val="0"/>
        </w:rPr>
        <w:t>.</w:t>
      </w:r>
      <w:r>
        <w:rPr>
          <w:snapToGrid w:val="0"/>
        </w:rPr>
        <w:tab/>
        <w:t>Notice of functions, duties and responsibilities of other members</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rPr>
          <w:snapToGrid w:val="0"/>
        </w:rPr>
      </w:pPr>
      <w:r>
        <w:rPr>
          <w:snapToGrid w:val="0"/>
        </w:rPr>
        <w:tab/>
        <w:t>(3)</w:t>
      </w:r>
      <w:r>
        <w:rPr>
          <w:snapToGrid w:val="0"/>
        </w:rPr>
        <w:tab/>
        <w:t>Except where the event or incident comes within the functions, duties and responsibilities of a particular branch, division, section or squad and subject to any direction to the contrary given by a senior member, where the officer</w:t>
      </w:r>
      <w:r>
        <w:rPr>
          <w:snapToGrid w:val="0"/>
        </w:rPr>
        <w:noBreakHyphen/>
        <w:t>in</w:t>
      </w:r>
      <w:r>
        <w:rPr>
          <w:snapToGrid w:val="0"/>
        </w:rPr>
        <w:noBreakHyphen/>
        <w:t>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he may give such lawful directions as he thinks are necessary for the performance of those functions, duties and responsibilities and every member concerned shall give effect to those directions.</w:t>
      </w:r>
    </w:p>
    <w:p>
      <w:pPr>
        <w:pStyle w:val="Subsection"/>
        <w:spacing w:before="140"/>
        <w:rPr>
          <w:snapToGrid w:val="0"/>
        </w:rPr>
      </w:pPr>
      <w:r>
        <w:rPr>
          <w:snapToGrid w:val="0"/>
        </w:rPr>
        <w:tab/>
        <w:t>(4)</w:t>
      </w:r>
      <w:r>
        <w:rPr>
          <w:snapToGrid w:val="0"/>
        </w:rPr>
        <w:tab/>
        <w:t>Where a member who receives a direction given pursuant to subregulation (3) disagrees with the direction he shall nevertheless carry out the direction but may report the matter to the Commissioner in the manner directed by the Commissioner.</w:t>
      </w:r>
    </w:p>
    <w:p>
      <w:pPr>
        <w:pStyle w:val="Heading5"/>
        <w:rPr>
          <w:snapToGrid w:val="0"/>
        </w:rPr>
      </w:pPr>
      <w:bookmarkStart w:id="119" w:name="_Toc500034690"/>
      <w:bookmarkStart w:id="120" w:name="_Toc515769488"/>
      <w:bookmarkStart w:id="121" w:name="_Toc522083169"/>
      <w:bookmarkStart w:id="122" w:name="_Toc123622902"/>
      <w:bookmarkStart w:id="123" w:name="_Toc158523517"/>
      <w:r>
        <w:rPr>
          <w:rStyle w:val="CharSectno"/>
        </w:rPr>
        <w:t>408</w:t>
      </w:r>
      <w:r>
        <w:rPr>
          <w:snapToGrid w:val="0"/>
        </w:rPr>
        <w:t>.</w:t>
      </w:r>
      <w:r>
        <w:rPr>
          <w:snapToGrid w:val="0"/>
        </w:rPr>
        <w:tab/>
        <w:t>Persons etc., entitled to be saluted</w:t>
      </w:r>
      <w:bookmarkEnd w:id="119"/>
      <w:bookmarkEnd w:id="120"/>
      <w:bookmarkEnd w:id="121"/>
      <w:bookmarkEnd w:id="122"/>
      <w:bookmarkEnd w:id="123"/>
      <w:r>
        <w:rPr>
          <w:snapToGrid w:val="0"/>
        </w:rPr>
        <w:t xml:space="preserve"> </w:t>
      </w:r>
    </w:p>
    <w:p>
      <w:pPr>
        <w:pStyle w:val="Subsection"/>
        <w:spacing w:before="140"/>
        <w:rPr>
          <w:snapToGrid w:val="0"/>
        </w:rPr>
      </w:pPr>
      <w:r>
        <w:rPr>
          <w:snapToGrid w:val="0"/>
        </w:rPr>
        <w:tab/>
        <w:t>(1)</w:t>
      </w:r>
      <w:r>
        <w:rPr>
          <w:snapToGrid w:val="0"/>
        </w:rPr>
        <w:tab/>
        <w:t>A member shall salute — </w:t>
      </w:r>
    </w:p>
    <w:p>
      <w:pPr>
        <w:pStyle w:val="Indenta"/>
        <w:rPr>
          <w:snapToGrid w:val="0"/>
        </w:rPr>
      </w:pPr>
      <w:r>
        <w:rPr>
          <w:snapToGrid w:val="0"/>
        </w:rPr>
        <w:tab/>
        <w:t>(a)</w:t>
      </w:r>
      <w:r>
        <w:rPr>
          <w:snapToGrid w:val="0"/>
        </w:rPr>
        <w:tab/>
        <w:t>the following persons where known to him — </w:t>
      </w:r>
    </w:p>
    <w:p>
      <w:pPr>
        <w:pStyle w:val="Indenti"/>
        <w:rPr>
          <w:snapToGrid w:val="0"/>
        </w:rPr>
      </w:pPr>
      <w:r>
        <w:rPr>
          <w:snapToGrid w:val="0"/>
        </w:rPr>
        <w:tab/>
        <w:t>(i)</w:t>
      </w:r>
      <w:r>
        <w:rPr>
          <w:snapToGrid w:val="0"/>
        </w:rPr>
        <w:tab/>
        <w:t>His Excellency the Governor;</w:t>
      </w:r>
    </w:p>
    <w:p>
      <w:pPr>
        <w:pStyle w:val="Indenti"/>
        <w:rPr>
          <w:snapToGrid w:val="0"/>
        </w:rPr>
      </w:pPr>
      <w:r>
        <w:rPr>
          <w:snapToGrid w:val="0"/>
        </w:rPr>
        <w:tab/>
        <w:t>(ii)</w:t>
      </w:r>
      <w:r>
        <w:rPr>
          <w:snapToGrid w:val="0"/>
        </w:rPr>
        <w:tab/>
        <w:t>Executive Council members;</w:t>
      </w:r>
    </w:p>
    <w:p>
      <w:pPr>
        <w:pStyle w:val="Indenti"/>
        <w:rPr>
          <w:snapToGrid w:val="0"/>
        </w:rPr>
      </w:pPr>
      <w:r>
        <w:rPr>
          <w:snapToGrid w:val="0"/>
        </w:rPr>
        <w:tab/>
        <w:t>(iii)</w:t>
      </w:r>
      <w:r>
        <w:rPr>
          <w:snapToGrid w:val="0"/>
        </w:rPr>
        <w:tab/>
        <w:t>Supreme Court Judges;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Royal Colours when they are borne past him.</w:t>
      </w:r>
    </w:p>
    <w:p>
      <w:pPr>
        <w:pStyle w:val="Subsection"/>
        <w:spacing w:before="140"/>
        <w:rPr>
          <w:snapToGrid w:val="0"/>
        </w:rPr>
      </w:pPr>
      <w:r>
        <w:rPr>
          <w:snapToGrid w:val="0"/>
        </w:rPr>
        <w:tab/>
        <w:t>(2)</w:t>
      </w:r>
      <w:r>
        <w:rPr>
          <w:snapToGrid w:val="0"/>
        </w:rPr>
        <w:tab/>
        <w:t>A commissioned officer shall salute a senior officer when reporting for, or being dismissed from, parade, or when making a report to him.</w:t>
      </w:r>
    </w:p>
    <w:p>
      <w:pPr>
        <w:pStyle w:val="Subsection"/>
        <w:spacing w:before="140"/>
        <w:rPr>
          <w:snapToGrid w:val="0"/>
        </w:rPr>
      </w:pPr>
      <w:r>
        <w:rPr>
          <w:snapToGrid w:val="0"/>
        </w:rPr>
        <w:tab/>
        <w:t>(3)</w:t>
      </w:r>
      <w:r>
        <w:rPr>
          <w:snapToGrid w:val="0"/>
        </w:rPr>
        <w:tab/>
        <w:t>A sergeant or constable shall salute — </w:t>
      </w:r>
    </w:p>
    <w:p>
      <w:pPr>
        <w:pStyle w:val="Indenta"/>
        <w:rPr>
          <w:snapToGrid w:val="0"/>
        </w:rPr>
      </w:pPr>
      <w:r>
        <w:rPr>
          <w:snapToGrid w:val="0"/>
        </w:rPr>
        <w:tab/>
        <w:t>(a)</w:t>
      </w:r>
      <w:r>
        <w:rPr>
          <w:snapToGrid w:val="0"/>
        </w:rPr>
        <w:tab/>
        <w:t>magistrates and justices of the peace met at their courts; and</w:t>
      </w:r>
    </w:p>
    <w:p>
      <w:pPr>
        <w:pStyle w:val="Indenta"/>
        <w:rPr>
          <w:snapToGrid w:val="0"/>
        </w:rPr>
      </w:pPr>
      <w:r>
        <w:rPr>
          <w:snapToGrid w:val="0"/>
        </w:rPr>
        <w:tab/>
        <w:t>(b)</w:t>
      </w:r>
      <w:r>
        <w:rPr>
          <w:snapToGrid w:val="0"/>
        </w:rPr>
        <w:tab/>
        <w:t>commissioned officers known to be such, whether in uniform or not.</w:t>
      </w:r>
    </w:p>
    <w:p>
      <w:pPr>
        <w:pStyle w:val="Subsection"/>
        <w:rPr>
          <w:snapToGrid w:val="0"/>
        </w:rPr>
      </w:pPr>
      <w:r>
        <w:rPr>
          <w:snapToGrid w:val="0"/>
        </w:rPr>
        <w:tab/>
        <w:t>(4)</w:t>
      </w:r>
      <w:r>
        <w:rPr>
          <w:snapToGrid w:val="0"/>
        </w:rPr>
        <w:tab/>
        <w:t>Subregulations (1), (2) and (3) do not apply to a member present in a court or at a hearing of a complaint presided over by one of the persons mentioned in this regulation, or to a member on urgent duty which demands the whole of his attention.</w:t>
      </w:r>
    </w:p>
    <w:p>
      <w:pPr>
        <w:pStyle w:val="Subsection"/>
        <w:rPr>
          <w:snapToGrid w:val="0"/>
        </w:rPr>
      </w:pPr>
      <w:r>
        <w:rPr>
          <w:snapToGrid w:val="0"/>
        </w:rPr>
        <w:tab/>
        <w:t>(5)</w:t>
      </w:r>
      <w:r>
        <w:rPr>
          <w:snapToGrid w:val="0"/>
        </w:rPr>
        <w:tab/>
        <w:t>Where a salute is received from a subordinate by — </w:t>
      </w:r>
    </w:p>
    <w:p>
      <w:pPr>
        <w:pStyle w:val="Indenta"/>
        <w:rPr>
          <w:snapToGrid w:val="0"/>
        </w:rPr>
      </w:pPr>
      <w:r>
        <w:rPr>
          <w:snapToGrid w:val="0"/>
        </w:rPr>
        <w:tab/>
        <w:t>(a)</w:t>
      </w:r>
      <w:r>
        <w:rPr>
          <w:snapToGrid w:val="0"/>
        </w:rPr>
        <w:tab/>
        <w:t>a commissioned officer, the commissioned officer shall return the salute;</w:t>
      </w:r>
    </w:p>
    <w:p>
      <w:pPr>
        <w:pStyle w:val="Indenta"/>
        <w:rPr>
          <w:snapToGrid w:val="0"/>
        </w:rPr>
      </w:pPr>
      <w:r>
        <w:rPr>
          <w:snapToGrid w:val="0"/>
        </w:rPr>
        <w:tab/>
        <w:t>(b)</w:t>
      </w:r>
      <w:r>
        <w:rPr>
          <w:snapToGrid w:val="0"/>
        </w:rPr>
        <w:tab/>
        <w:t>a group of commissioned officers, the senior commissioned officer shall return the salute.</w:t>
      </w:r>
    </w:p>
    <w:p>
      <w:pPr>
        <w:pStyle w:val="Heading5"/>
        <w:rPr>
          <w:snapToGrid w:val="0"/>
        </w:rPr>
      </w:pPr>
      <w:bookmarkStart w:id="124" w:name="_Toc500034691"/>
      <w:bookmarkStart w:id="125" w:name="_Toc515769489"/>
      <w:bookmarkStart w:id="126" w:name="_Toc522083170"/>
      <w:bookmarkStart w:id="127" w:name="_Toc123622903"/>
      <w:bookmarkStart w:id="128" w:name="_Toc158523518"/>
      <w:r>
        <w:rPr>
          <w:rStyle w:val="CharSectno"/>
        </w:rPr>
        <w:t>409</w:t>
      </w:r>
      <w:r>
        <w:rPr>
          <w:snapToGrid w:val="0"/>
        </w:rPr>
        <w:t>.</w:t>
      </w:r>
      <w:r>
        <w:rPr>
          <w:snapToGrid w:val="0"/>
        </w:rPr>
        <w:tab/>
        <w:t>How to salute</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To salute a person entitled to be saluted, a member shall — </w:t>
      </w:r>
    </w:p>
    <w:p>
      <w:pPr>
        <w:pStyle w:val="Indenta"/>
        <w:rPr>
          <w:snapToGrid w:val="0"/>
        </w:rPr>
      </w:pPr>
      <w:r>
        <w:rPr>
          <w:snapToGrid w:val="0"/>
        </w:rPr>
        <w:tab/>
        <w:t>(a)</w:t>
      </w:r>
      <w:r>
        <w:rPr>
          <w:snapToGrid w:val="0"/>
        </w:rPr>
        <w:tab/>
        <w:t>where stationary when the person is passing, turn towards him and stand to attention;</w:t>
      </w:r>
    </w:p>
    <w:p>
      <w:pPr>
        <w:pStyle w:val="Indenta"/>
        <w:rPr>
          <w:snapToGrid w:val="0"/>
        </w:rPr>
      </w:pPr>
      <w:r>
        <w:rPr>
          <w:snapToGrid w:val="0"/>
        </w:rPr>
        <w:tab/>
        <w:t>(b)</w:t>
      </w:r>
      <w:r>
        <w:rPr>
          <w:snapToGrid w:val="0"/>
        </w:rPr>
        <w:tab/>
        <w:t>where walking past the person, turn the head slightly towards him; or</w:t>
      </w:r>
    </w:p>
    <w:p>
      <w:pPr>
        <w:pStyle w:val="Indenta"/>
        <w:rPr>
          <w:snapToGrid w:val="0"/>
        </w:rPr>
      </w:pPr>
      <w:r>
        <w:rPr>
          <w:snapToGrid w:val="0"/>
        </w:rPr>
        <w:tab/>
        <w:t>(c)</w:t>
      </w:r>
      <w:r>
        <w:rPr>
          <w:snapToGrid w:val="0"/>
        </w:rPr>
        <w:tab/>
        <w:t>where addressing him or appearing before him, halt 2 paces from him and stand to attention,</w:t>
      </w:r>
    </w:p>
    <w:p>
      <w:pPr>
        <w:pStyle w:val="Subsection"/>
        <w:rPr>
          <w:snapToGrid w:val="0"/>
        </w:rPr>
      </w:pPr>
      <w:r>
        <w:rPr>
          <w:snapToGrid w:val="0"/>
        </w:rPr>
        <w:tab/>
      </w:r>
      <w:r>
        <w:rPr>
          <w:snapToGrid w:val="0"/>
        </w:rPr>
        <w:tab/>
        <w:t>and where wearing head</w:t>
      </w:r>
      <w:r>
        <w:rPr>
          <w:snapToGrid w:val="0"/>
        </w:rPr>
        <w:noBreakHyphen/>
        <w:t>dress and able to use the right hand, raise the right hand smartly to the head</w:t>
      </w:r>
      <w:r>
        <w:rPr>
          <w:snapToGrid w:val="0"/>
        </w:rPr>
        <w:noBreakHyphen/>
        <w:t>dress.</w:t>
      </w:r>
    </w:p>
    <w:p>
      <w:pPr>
        <w:pStyle w:val="Subsection"/>
        <w:rPr>
          <w:snapToGrid w:val="0"/>
        </w:rPr>
      </w:pPr>
      <w:r>
        <w:rPr>
          <w:snapToGrid w:val="0"/>
        </w:rPr>
        <w:tab/>
        <w:t>(2)</w:t>
      </w:r>
      <w:r>
        <w:rPr>
          <w:snapToGrid w:val="0"/>
        </w:rPr>
        <w:tab/>
        <w:t>To salute the Royal Colours, a member shall turn towards the colours, stand to attention, and, where he is wearing head</w:t>
      </w:r>
      <w:r>
        <w:rPr>
          <w:snapToGrid w:val="0"/>
        </w:rPr>
        <w:noBreakHyphen/>
        <w:t>dress and able to use the right hand, raise the right hand smartly to the head</w:t>
      </w:r>
      <w:r>
        <w:rPr>
          <w:snapToGrid w:val="0"/>
        </w:rPr>
        <w:noBreakHyphen/>
        <w:t>dress.</w:t>
      </w:r>
    </w:p>
    <w:p>
      <w:pPr>
        <w:pStyle w:val="Subsection"/>
        <w:rPr>
          <w:snapToGrid w:val="0"/>
        </w:rPr>
      </w:pPr>
      <w:r>
        <w:rPr>
          <w:snapToGrid w:val="0"/>
        </w:rPr>
        <w:tab/>
        <w:t>(3)</w:t>
      </w:r>
      <w:r>
        <w:rPr>
          <w:snapToGrid w:val="0"/>
        </w:rPr>
        <w:tab/>
        <w:t>Subregulations (1) and (2) do not apply to members marching as a group, as in that circumstance, each member shall salute by turning head and eyes to the right or left on the command, “Eyes right!” or “Eyes left!” by the member in charge of the group.</w:t>
      </w:r>
    </w:p>
    <w:p>
      <w:pPr>
        <w:pStyle w:val="Heading5"/>
        <w:rPr>
          <w:snapToGrid w:val="0"/>
        </w:rPr>
      </w:pPr>
      <w:bookmarkStart w:id="129" w:name="_Toc500034692"/>
      <w:bookmarkStart w:id="130" w:name="_Toc515769490"/>
      <w:bookmarkStart w:id="131" w:name="_Toc522083171"/>
      <w:bookmarkStart w:id="132" w:name="_Toc123622904"/>
      <w:bookmarkStart w:id="133" w:name="_Toc158523519"/>
      <w:r>
        <w:rPr>
          <w:rStyle w:val="CharSectno"/>
        </w:rPr>
        <w:t>410</w:t>
      </w:r>
      <w:r>
        <w:rPr>
          <w:snapToGrid w:val="0"/>
        </w:rPr>
        <w:t>.</w:t>
      </w:r>
      <w:r>
        <w:rPr>
          <w:snapToGrid w:val="0"/>
        </w:rPr>
        <w:tab/>
        <w:t>When to stand to attention</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A member or cadet shall stand to attention when addressed by a superior officer.</w:t>
      </w:r>
    </w:p>
    <w:p>
      <w:pPr>
        <w:pStyle w:val="Subsection"/>
        <w:rPr>
          <w:snapToGrid w:val="0"/>
        </w:rPr>
      </w:pPr>
      <w:r>
        <w:rPr>
          <w:snapToGrid w:val="0"/>
        </w:rPr>
        <w:tab/>
        <w:t>(2)</w:t>
      </w:r>
      <w:r>
        <w:rPr>
          <w:snapToGrid w:val="0"/>
        </w:rPr>
        <w:tab/>
        <w:t>Where an officer visits a room or office occupied by subordinate members or cadets, the first member or cadet to see the officer shall call the members or cadets to attention and they shall cease work and remain at attention until the officer leaves or releases them.</w:t>
      </w:r>
    </w:p>
    <w:p>
      <w:pPr>
        <w:pStyle w:val="Heading2"/>
      </w:pPr>
      <w:bookmarkStart w:id="134" w:name="_Toc90976441"/>
      <w:bookmarkStart w:id="135" w:name="_Toc91044673"/>
      <w:bookmarkStart w:id="136" w:name="_Toc91044853"/>
      <w:bookmarkStart w:id="137" w:name="_Toc123621362"/>
      <w:bookmarkStart w:id="138" w:name="_Toc123622905"/>
      <w:bookmarkStart w:id="139" w:name="_Toc153957278"/>
      <w:bookmarkStart w:id="140" w:name="_Toc153958621"/>
      <w:bookmarkStart w:id="141" w:name="_Toc154478700"/>
      <w:bookmarkStart w:id="142" w:name="_Toc158523520"/>
      <w:r>
        <w:rPr>
          <w:rStyle w:val="CharPartNo"/>
        </w:rPr>
        <w:t>Part V</w:t>
      </w:r>
      <w:r>
        <w:rPr>
          <w:rStyle w:val="CharDivNo"/>
        </w:rPr>
        <w:t> </w:t>
      </w:r>
      <w:r>
        <w:t>—</w:t>
      </w:r>
      <w:r>
        <w:rPr>
          <w:rStyle w:val="CharDivText"/>
        </w:rPr>
        <w:t> </w:t>
      </w:r>
      <w:r>
        <w:rPr>
          <w:rStyle w:val="CharPartText"/>
        </w:rPr>
        <w:t>Appointment</w:t>
      </w:r>
      <w:bookmarkEnd w:id="134"/>
      <w:bookmarkEnd w:id="135"/>
      <w:bookmarkEnd w:id="136"/>
      <w:bookmarkEnd w:id="137"/>
      <w:bookmarkEnd w:id="138"/>
      <w:bookmarkEnd w:id="139"/>
      <w:bookmarkEnd w:id="140"/>
      <w:bookmarkEnd w:id="141"/>
      <w:bookmarkEnd w:id="142"/>
      <w:r>
        <w:rPr>
          <w:rStyle w:val="CharPartText"/>
        </w:rPr>
        <w:t xml:space="preserve"> </w:t>
      </w:r>
    </w:p>
    <w:p>
      <w:pPr>
        <w:pStyle w:val="Heading5"/>
        <w:rPr>
          <w:snapToGrid w:val="0"/>
        </w:rPr>
      </w:pPr>
      <w:bookmarkStart w:id="143" w:name="_Toc500034693"/>
      <w:bookmarkStart w:id="144" w:name="_Toc515769491"/>
      <w:bookmarkStart w:id="145" w:name="_Toc522083172"/>
      <w:bookmarkStart w:id="146" w:name="_Toc123622906"/>
      <w:bookmarkStart w:id="147" w:name="_Toc158523521"/>
      <w:r>
        <w:rPr>
          <w:rStyle w:val="CharSectno"/>
        </w:rPr>
        <w:t>501</w:t>
      </w:r>
      <w:r>
        <w:rPr>
          <w:snapToGrid w:val="0"/>
        </w:rPr>
        <w:t>.</w:t>
      </w:r>
      <w:r>
        <w:rPr>
          <w:snapToGrid w:val="0"/>
        </w:rPr>
        <w:tab/>
        <w:t>Application for appointment</w:t>
      </w:r>
      <w:bookmarkEnd w:id="143"/>
      <w:bookmarkEnd w:id="144"/>
      <w:bookmarkEnd w:id="145"/>
      <w:bookmarkEnd w:id="146"/>
      <w:bookmarkEnd w:id="147"/>
      <w:r>
        <w:rPr>
          <w:snapToGrid w:val="0"/>
        </w:rPr>
        <w:t xml:space="preserve"> </w:t>
      </w:r>
    </w:p>
    <w:p>
      <w:pPr>
        <w:pStyle w:val="Subsection"/>
        <w:spacing w:before="140"/>
        <w:rPr>
          <w:snapToGrid w:val="0"/>
        </w:rPr>
      </w:pPr>
      <w:r>
        <w:rPr>
          <w:snapToGrid w:val="0"/>
        </w:rPr>
        <w:tab/>
        <w:t>(1)</w:t>
      </w:r>
      <w:r>
        <w:rPr>
          <w:snapToGrid w:val="0"/>
        </w:rPr>
        <w:tab/>
        <w:t>A person who is desirous of being appointed as a member or a cadet shall apply in his own handwriting to the Commissioner.</w:t>
      </w:r>
    </w:p>
    <w:p>
      <w:pPr>
        <w:pStyle w:val="Subsection"/>
        <w:spacing w:before="140"/>
        <w:rPr>
          <w:snapToGrid w:val="0"/>
        </w:rPr>
      </w:pPr>
      <w:r>
        <w:rPr>
          <w:snapToGrid w:val="0"/>
        </w:rPr>
        <w:tab/>
        <w:t>(2)</w:t>
      </w:r>
      <w:r>
        <w:rPr>
          <w:snapToGrid w:val="0"/>
        </w:rPr>
        <w:tab/>
        <w:t>An application made under subregulation (1) shall be — </w:t>
      </w:r>
    </w:p>
    <w:p>
      <w:pPr>
        <w:pStyle w:val="Indenta"/>
        <w:spacing w:before="60"/>
        <w:rPr>
          <w:snapToGrid w:val="0"/>
        </w:rPr>
      </w:pPr>
      <w:r>
        <w:rPr>
          <w:snapToGrid w:val="0"/>
        </w:rPr>
        <w:tab/>
        <w:t>(a)</w:t>
      </w:r>
      <w:r>
        <w:rPr>
          <w:snapToGrid w:val="0"/>
        </w:rPr>
        <w:tab/>
        <w:t>on the approved form; and</w:t>
      </w:r>
    </w:p>
    <w:p>
      <w:pPr>
        <w:pStyle w:val="Indenta"/>
        <w:spacing w:before="60"/>
        <w:rPr>
          <w:snapToGrid w:val="0"/>
        </w:rPr>
      </w:pPr>
      <w:r>
        <w:rPr>
          <w:snapToGrid w:val="0"/>
        </w:rPr>
        <w:tab/>
        <w:t>(b)</w:t>
      </w:r>
      <w:r>
        <w:rPr>
          <w:snapToGrid w:val="0"/>
        </w:rPr>
        <w:tab/>
        <w:t>accompanied by — </w:t>
      </w:r>
    </w:p>
    <w:p>
      <w:pPr>
        <w:pStyle w:val="Indenti"/>
        <w:spacing w:before="60"/>
        <w:rPr>
          <w:snapToGrid w:val="0"/>
        </w:rPr>
      </w:pPr>
      <w:r>
        <w:rPr>
          <w:snapToGrid w:val="0"/>
        </w:rPr>
        <w:tab/>
        <w:t>(i)</w:t>
      </w:r>
      <w:r>
        <w:rPr>
          <w:snapToGrid w:val="0"/>
        </w:rPr>
        <w:tab/>
        <w:t>evidence of the date of birth of the applicant;</w:t>
      </w:r>
    </w:p>
    <w:p>
      <w:pPr>
        <w:pStyle w:val="Indenti"/>
        <w:spacing w:before="60"/>
        <w:rPr>
          <w:snapToGrid w:val="0"/>
        </w:rPr>
      </w:pPr>
      <w:r>
        <w:rPr>
          <w:snapToGrid w:val="0"/>
        </w:rPr>
        <w:tab/>
        <w:t>(ii)</w:t>
      </w:r>
      <w:r>
        <w:rPr>
          <w:snapToGrid w:val="0"/>
        </w:rPr>
        <w:tab/>
        <w:t>testimonials of character from persons to whom the applicant is known;</w:t>
      </w:r>
    </w:p>
    <w:p>
      <w:pPr>
        <w:pStyle w:val="Indenti"/>
        <w:spacing w:before="60"/>
        <w:rPr>
          <w:snapToGrid w:val="0"/>
        </w:rPr>
      </w:pPr>
      <w:r>
        <w:rPr>
          <w:snapToGrid w:val="0"/>
        </w:rPr>
        <w:tab/>
        <w:t>(iii)</w:t>
      </w:r>
      <w:r>
        <w:rPr>
          <w:snapToGrid w:val="0"/>
        </w:rPr>
        <w:tab/>
        <w:t>where the applicant has had previous service in a police force, the armed services or with a public authority, any certificate issued in respect of that previous service; and</w:t>
      </w:r>
    </w:p>
    <w:p>
      <w:pPr>
        <w:pStyle w:val="Indenti"/>
        <w:spacing w:before="60"/>
        <w:rPr>
          <w:snapToGrid w:val="0"/>
        </w:rPr>
      </w:pPr>
      <w:r>
        <w:rPr>
          <w:snapToGrid w:val="0"/>
        </w:rPr>
        <w:tab/>
        <w:t>(iv)</w:t>
      </w:r>
      <w:r>
        <w:rPr>
          <w:snapToGrid w:val="0"/>
        </w:rPr>
        <w:tab/>
        <w:t>unless otherwise required by the Commissioner, a certificate from a medical practitioner in the form of Form 1 in the Third Schedule.</w:t>
      </w:r>
    </w:p>
    <w:p>
      <w:pPr>
        <w:pStyle w:val="Footnotesection"/>
      </w:pPr>
      <w:r>
        <w:tab/>
        <w:t xml:space="preserve">[Regulation 501 amended in Gazette 22 Jan 1988 p. 128.] </w:t>
      </w:r>
    </w:p>
    <w:p>
      <w:pPr>
        <w:pStyle w:val="Heading5"/>
        <w:rPr>
          <w:snapToGrid w:val="0"/>
        </w:rPr>
      </w:pPr>
      <w:bookmarkStart w:id="148" w:name="_Toc500034694"/>
      <w:bookmarkStart w:id="149" w:name="_Toc515769492"/>
      <w:bookmarkStart w:id="150" w:name="_Toc522083173"/>
      <w:bookmarkStart w:id="151" w:name="_Toc123622907"/>
      <w:bookmarkStart w:id="152" w:name="_Toc158523522"/>
      <w:r>
        <w:rPr>
          <w:rStyle w:val="CharSectno"/>
        </w:rPr>
        <w:t>502</w:t>
      </w:r>
      <w:r>
        <w:rPr>
          <w:snapToGrid w:val="0"/>
        </w:rPr>
        <w:t>.</w:t>
      </w:r>
      <w:r>
        <w:rPr>
          <w:snapToGrid w:val="0"/>
        </w:rPr>
        <w:tab/>
        <w:t>Eligibility for appointment</w:t>
      </w:r>
      <w:bookmarkEnd w:id="148"/>
      <w:bookmarkEnd w:id="149"/>
      <w:bookmarkEnd w:id="150"/>
      <w:bookmarkEnd w:id="151"/>
      <w:bookmarkEnd w:id="152"/>
      <w:r>
        <w:rPr>
          <w:snapToGrid w:val="0"/>
        </w:rPr>
        <w:t xml:space="preserve"> </w:t>
      </w:r>
    </w:p>
    <w:p>
      <w:pPr>
        <w:pStyle w:val="Subsection"/>
        <w:spacing w:before="140"/>
        <w:rPr>
          <w:snapToGrid w:val="0"/>
        </w:rPr>
      </w:pPr>
      <w:r>
        <w:rPr>
          <w:snapToGrid w:val="0"/>
        </w:rPr>
        <w:tab/>
        <w:t>(1)</w:t>
      </w:r>
      <w:r>
        <w:rPr>
          <w:snapToGrid w:val="0"/>
        </w:rPr>
        <w:tab/>
        <w:t>Subject to these regulations, a person is not eligible for appointment unless — </w:t>
      </w:r>
    </w:p>
    <w:p>
      <w:pPr>
        <w:pStyle w:val="Indenta"/>
      </w:pPr>
      <w:r>
        <w:tab/>
        <w:t>(a)</w:t>
      </w:r>
      <w:r>
        <w:tab/>
        <w:t xml:space="preserve">he is — </w:t>
      </w:r>
    </w:p>
    <w:p>
      <w:pPr>
        <w:pStyle w:val="Indenti"/>
      </w:pPr>
      <w:r>
        <w:tab/>
        <w:t>(i)</w:t>
      </w:r>
      <w:r>
        <w:tab/>
        <w:t xml:space="preserve">an Australian citizen, or a permanent resident, within the meaning of the </w:t>
      </w:r>
      <w:r>
        <w:rPr>
          <w:i/>
        </w:rPr>
        <w:t>Australian Citizenship Act 1948</w:t>
      </w:r>
      <w:r>
        <w:t xml:space="preserve"> of the Commonwealth; or</w:t>
      </w:r>
    </w:p>
    <w:p>
      <w:pPr>
        <w:pStyle w:val="Indenti"/>
      </w:pPr>
      <w:r>
        <w:tab/>
        <w:t>(ii)</w:t>
      </w:r>
      <w:r>
        <w:tab/>
        <w:t xml:space="preserve">the holder of a temporary visa within the meaning of the </w:t>
      </w:r>
      <w:r>
        <w:rPr>
          <w:i/>
        </w:rPr>
        <w:t xml:space="preserve">Migration Act 1958 </w:t>
      </w:r>
      <w:r>
        <w:t>of the Commonwealth and is authorised by that temporary visa to engage in relevant work in Australia;</w:t>
      </w:r>
    </w:p>
    <w:p>
      <w:pPr>
        <w:pStyle w:val="Indenta"/>
        <w:spacing w:before="60"/>
        <w:rPr>
          <w:snapToGrid w:val="0"/>
        </w:rPr>
      </w:pPr>
      <w:r>
        <w:rPr>
          <w:snapToGrid w:val="0"/>
        </w:rPr>
        <w:tab/>
        <w:t>(b)</w:t>
      </w:r>
      <w:r>
        <w:rPr>
          <w:snapToGrid w:val="0"/>
        </w:rPr>
        <w:tab/>
        <w:t>he is of good character and repute;</w:t>
      </w:r>
    </w:p>
    <w:p>
      <w:pPr>
        <w:pStyle w:val="Ednotepara"/>
        <w:spacing w:before="60"/>
        <w:ind w:left="1610" w:hanging="1610"/>
        <w:rPr>
          <w:snapToGrid w:val="0"/>
        </w:rPr>
      </w:pPr>
      <w:r>
        <w:rPr>
          <w:snapToGrid w:val="0"/>
        </w:rPr>
        <w:tab/>
        <w:t>[(c)</w:t>
      </w:r>
      <w:r>
        <w:rPr>
          <w:snapToGrid w:val="0"/>
        </w:rPr>
        <w:tab/>
        <w:t xml:space="preserve">deleted] </w:t>
      </w:r>
    </w:p>
    <w:p>
      <w:pPr>
        <w:pStyle w:val="Indenta"/>
        <w:spacing w:before="60"/>
        <w:rPr>
          <w:snapToGrid w:val="0"/>
        </w:rPr>
      </w:pPr>
      <w:r>
        <w:rPr>
          <w:snapToGrid w:val="0"/>
        </w:rPr>
        <w:tab/>
        <w:t>(d)</w:t>
      </w:r>
      <w:r>
        <w:rPr>
          <w:snapToGrid w:val="0"/>
        </w:rPr>
        <w:tab/>
        <w:t>he passes a medical examination conducted by a legally qualified medical practitioner who certifies that he is physically fit and free from any constitutional, organic or other disability likely to render him unfit for duty as a member or cadet;</w:t>
      </w:r>
    </w:p>
    <w:p>
      <w:pPr>
        <w:pStyle w:val="Indenta"/>
        <w:rPr>
          <w:snapToGrid w:val="0"/>
        </w:rPr>
      </w:pPr>
      <w:r>
        <w:rPr>
          <w:snapToGrid w:val="0"/>
        </w:rPr>
        <w:tab/>
        <w:t>(e)</w:t>
      </w:r>
      <w:r>
        <w:rPr>
          <w:snapToGrid w:val="0"/>
        </w:rPr>
        <w:tab/>
        <w:t>he is — </w:t>
      </w:r>
    </w:p>
    <w:p>
      <w:pPr>
        <w:pStyle w:val="Indenti"/>
        <w:rPr>
          <w:snapToGrid w:val="0"/>
        </w:rPr>
      </w:pPr>
      <w:r>
        <w:rPr>
          <w:snapToGrid w:val="0"/>
        </w:rPr>
        <w:tab/>
        <w:t>(i)</w:t>
      </w:r>
      <w:r>
        <w:rPr>
          <w:snapToGrid w:val="0"/>
        </w:rPr>
        <w:tab/>
        <w:t>in the case of an application for appointment as a member not less than 19 years of age;</w:t>
      </w:r>
    </w:p>
    <w:p>
      <w:pPr>
        <w:pStyle w:val="Indenti"/>
        <w:rPr>
          <w:snapToGrid w:val="0"/>
        </w:rPr>
      </w:pPr>
      <w:r>
        <w:rPr>
          <w:snapToGrid w:val="0"/>
        </w:rPr>
        <w:tab/>
        <w:t>(ii)</w:t>
      </w:r>
      <w:r>
        <w:rPr>
          <w:snapToGrid w:val="0"/>
        </w:rPr>
        <w:tab/>
        <w:t xml:space="preserve">in the case of an application for appointment as a cadet not less than 16 years of age and not more than 18 years of age,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he has — </w:t>
      </w:r>
    </w:p>
    <w:p>
      <w:pPr>
        <w:pStyle w:val="Indenti"/>
        <w:rPr>
          <w:snapToGrid w:val="0"/>
        </w:rPr>
      </w:pPr>
      <w:r>
        <w:rPr>
          <w:snapToGrid w:val="0"/>
        </w:rPr>
        <w:tab/>
        <w:t>(i)</w:t>
      </w:r>
      <w:r>
        <w:rPr>
          <w:snapToGrid w:val="0"/>
        </w:rPr>
        <w:tab/>
        <w:t>in the case of an application for appointment as a member, successfully completed at least Year 10 of school education in a school in Western Australia or has achieved an equivalent standard;</w:t>
      </w:r>
    </w:p>
    <w:p>
      <w:pPr>
        <w:pStyle w:val="Indenti"/>
        <w:rPr>
          <w:snapToGrid w:val="0"/>
        </w:rPr>
      </w:pPr>
      <w:r>
        <w:rPr>
          <w:snapToGrid w:val="0"/>
        </w:rPr>
        <w:tab/>
        <w:t>(ii)</w:t>
      </w:r>
      <w:r>
        <w:rPr>
          <w:snapToGrid w:val="0"/>
        </w:rPr>
        <w:tab/>
        <w:t xml:space="preserve">in the case of an application for appointment as a cadet, successfully completed at least Year 11 of school education in a school in Western Australia or has achieved an equivalent standard and has passed the entrance examination prescribed by regulation 503;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in the case of an application for appointment as a member, and if required to do so by the Commissioner, he passes a physical performance evaluation conducted by a person appointed for that purpose by the Commissioner; and</w:t>
      </w:r>
    </w:p>
    <w:p>
      <w:pPr>
        <w:pStyle w:val="Indenta"/>
        <w:rPr>
          <w:snapToGrid w:val="0"/>
        </w:rPr>
      </w:pPr>
      <w:r>
        <w:rPr>
          <w:snapToGrid w:val="0"/>
        </w:rPr>
        <w:tab/>
        <w:t>(h)</w:t>
      </w:r>
      <w:r>
        <w:rPr>
          <w:snapToGrid w:val="0"/>
        </w:rPr>
        <w:tab/>
        <w:t>if required to do so by the Commissioner, he presents himself for personal interview by a Board of Selectors.</w:t>
      </w:r>
    </w:p>
    <w:p>
      <w:pPr>
        <w:pStyle w:val="Subsection"/>
        <w:rPr>
          <w:snapToGrid w:val="0"/>
        </w:rPr>
      </w:pPr>
      <w:r>
        <w:rPr>
          <w:snapToGrid w:val="0"/>
        </w:rPr>
        <w:tab/>
        <w:t>(2)</w:t>
      </w:r>
      <w:r>
        <w:rPr>
          <w:snapToGrid w:val="0"/>
        </w:rPr>
        <w:tab/>
        <w:t>The activities to be undertaken by an applicant for appointment as a member, for the purposes of a physical performance evaluation required under subregulation (1)(g), shall be as determined by the Commissioner.</w:t>
      </w:r>
    </w:p>
    <w:p>
      <w:pPr>
        <w:pStyle w:val="Footnotesection"/>
      </w:pPr>
      <w:r>
        <w:tab/>
        <w:t xml:space="preserve">[Regulation 502 amended in Gazette 1 Mar 1985 p. 790; 22 Jan 1988 p. 128; 20 Sep 1996 p. 4750; 17 Dec 2004 p. 6087.] </w:t>
      </w:r>
    </w:p>
    <w:p>
      <w:pPr>
        <w:pStyle w:val="Heading5"/>
        <w:rPr>
          <w:snapToGrid w:val="0"/>
        </w:rPr>
      </w:pPr>
      <w:bookmarkStart w:id="153" w:name="_Toc500034695"/>
      <w:bookmarkStart w:id="154" w:name="_Toc515769493"/>
      <w:bookmarkStart w:id="155" w:name="_Toc522083174"/>
      <w:bookmarkStart w:id="156" w:name="_Toc123622908"/>
      <w:bookmarkStart w:id="157" w:name="_Toc158523523"/>
      <w:r>
        <w:rPr>
          <w:rStyle w:val="CharSectno"/>
        </w:rPr>
        <w:t>503</w:t>
      </w:r>
      <w:r>
        <w:rPr>
          <w:snapToGrid w:val="0"/>
        </w:rPr>
        <w:t>.</w:t>
      </w:r>
      <w:r>
        <w:rPr>
          <w:snapToGrid w:val="0"/>
        </w:rPr>
        <w:tab/>
        <w:t>Entrance examination</w:t>
      </w:r>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The entrance examination to be passed by every person who desires to be considered for appointment to the Force shall consist of — </w:t>
      </w:r>
    </w:p>
    <w:p>
      <w:pPr>
        <w:pStyle w:val="Ednotepara"/>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a written examination in English expression, covering both grammar and spelling; and</w:t>
      </w:r>
    </w:p>
    <w:p>
      <w:pPr>
        <w:pStyle w:val="Indenta"/>
        <w:rPr>
          <w:snapToGrid w:val="0"/>
        </w:rPr>
      </w:pPr>
      <w:r>
        <w:rPr>
          <w:snapToGrid w:val="0"/>
        </w:rPr>
        <w:tab/>
        <w:t>(c)</w:t>
      </w:r>
      <w:r>
        <w:rPr>
          <w:snapToGrid w:val="0"/>
        </w:rPr>
        <w:tab/>
        <w:t>arithmetic.</w:t>
      </w:r>
    </w:p>
    <w:p>
      <w:pPr>
        <w:pStyle w:val="Footnotesection"/>
      </w:pPr>
      <w:r>
        <w:tab/>
        <w:t xml:space="preserve">[Regulation 503 amended in Gazette 18 Nov 1988 p. 4532.] </w:t>
      </w:r>
    </w:p>
    <w:p>
      <w:pPr>
        <w:pStyle w:val="Heading5"/>
        <w:rPr>
          <w:snapToGrid w:val="0"/>
        </w:rPr>
      </w:pPr>
      <w:bookmarkStart w:id="158" w:name="_Toc500034696"/>
      <w:bookmarkStart w:id="159" w:name="_Toc515769494"/>
      <w:bookmarkStart w:id="160" w:name="_Toc522083175"/>
      <w:bookmarkStart w:id="161" w:name="_Toc123622909"/>
      <w:bookmarkStart w:id="162" w:name="_Toc158523524"/>
      <w:r>
        <w:rPr>
          <w:rStyle w:val="CharSectno"/>
        </w:rPr>
        <w:t>504</w:t>
      </w:r>
      <w:r>
        <w:rPr>
          <w:snapToGrid w:val="0"/>
        </w:rPr>
        <w:t>.</w:t>
      </w:r>
      <w:r>
        <w:rPr>
          <w:snapToGrid w:val="0"/>
        </w:rPr>
        <w:tab/>
        <w:t>Board of Selectors</w:t>
      </w:r>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For the purposes of regulation 502(1)(h), the Commissioner may appoint a Board of Selectors, which shall have a membership as follows — </w:t>
      </w:r>
    </w:p>
    <w:p>
      <w:pPr>
        <w:pStyle w:val="Indenta"/>
        <w:rPr>
          <w:snapToGrid w:val="0"/>
        </w:rPr>
      </w:pPr>
      <w:r>
        <w:rPr>
          <w:snapToGrid w:val="0"/>
        </w:rPr>
        <w:tab/>
        <w:t>(a)</w:t>
      </w:r>
      <w:r>
        <w:rPr>
          <w:snapToGrid w:val="0"/>
        </w:rPr>
        <w:tab/>
        <w:t>as to number — </w:t>
      </w:r>
    </w:p>
    <w:p>
      <w:pPr>
        <w:pStyle w:val="Indenti"/>
        <w:rPr>
          <w:snapToGrid w:val="0"/>
        </w:rPr>
      </w:pPr>
      <w:r>
        <w:rPr>
          <w:snapToGrid w:val="0"/>
        </w:rPr>
        <w:tab/>
        <w:t>(i)</w:t>
      </w:r>
      <w:r>
        <w:rPr>
          <w:snapToGrid w:val="0"/>
        </w:rPr>
        <w:tab/>
        <w:t>in the absence of specific reasons for contrary action, 3 members; but</w:t>
      </w:r>
    </w:p>
    <w:p>
      <w:pPr>
        <w:pStyle w:val="Indenti"/>
        <w:rPr>
          <w:snapToGrid w:val="0"/>
        </w:rPr>
      </w:pPr>
      <w:r>
        <w:rPr>
          <w:snapToGrid w:val="0"/>
        </w:rPr>
        <w:tab/>
        <w:t>(ii)</w:t>
      </w:r>
      <w:r>
        <w:rPr>
          <w:snapToGrid w:val="0"/>
        </w:rPr>
        <w:tab/>
        <w:t>in any case a minimum of 2 members and a maximum of 4 members;</w:t>
      </w:r>
    </w:p>
    <w:p>
      <w:pPr>
        <w:pStyle w:val="Indenta"/>
        <w:rPr>
          <w:snapToGrid w:val="0"/>
        </w:rPr>
      </w:pPr>
      <w:r>
        <w:rPr>
          <w:snapToGrid w:val="0"/>
        </w:rPr>
        <w:tab/>
        <w:t>(b)</w:t>
      </w:r>
      <w:r>
        <w:rPr>
          <w:snapToGrid w:val="0"/>
        </w:rPr>
        <w:tab/>
        <w:t>as to sex, in the absence of specific reasons for contrary action, members of each sex; and</w:t>
      </w:r>
    </w:p>
    <w:p>
      <w:pPr>
        <w:pStyle w:val="Indenta"/>
        <w:rPr>
          <w:snapToGrid w:val="0"/>
        </w:rPr>
      </w:pPr>
      <w:r>
        <w:rPr>
          <w:snapToGrid w:val="0"/>
        </w:rPr>
        <w:tab/>
        <w:t>(c)</w:t>
      </w:r>
      <w:r>
        <w:rPr>
          <w:snapToGrid w:val="0"/>
        </w:rPr>
        <w:tab/>
        <w:t>as to status, a member may be a Commissioned Officer, a Senior Sergeant or a person who is a retired Commissioned Officer, except that a Commissioned Officer shall be appointed to be chairman.</w:t>
      </w:r>
    </w:p>
    <w:p>
      <w:pPr>
        <w:pStyle w:val="Footnotesection"/>
      </w:pPr>
      <w:r>
        <w:tab/>
        <w:t xml:space="preserve">[Regulation 504 inserted in Gazette 1 Dec 1989 p. 4395.] </w:t>
      </w:r>
    </w:p>
    <w:p>
      <w:pPr>
        <w:pStyle w:val="Heading5"/>
        <w:rPr>
          <w:snapToGrid w:val="0"/>
        </w:rPr>
      </w:pPr>
      <w:bookmarkStart w:id="163" w:name="_Toc500034697"/>
      <w:bookmarkStart w:id="164" w:name="_Toc515769495"/>
      <w:bookmarkStart w:id="165" w:name="_Toc522083176"/>
      <w:bookmarkStart w:id="166" w:name="_Toc123622910"/>
      <w:bookmarkStart w:id="167" w:name="_Toc158523525"/>
      <w:r>
        <w:rPr>
          <w:rStyle w:val="CharSectno"/>
        </w:rPr>
        <w:t>505</w:t>
      </w:r>
      <w:r>
        <w:rPr>
          <w:snapToGrid w:val="0"/>
        </w:rPr>
        <w:t>.</w:t>
      </w:r>
      <w:r>
        <w:rPr>
          <w:snapToGrid w:val="0"/>
        </w:rPr>
        <w:tab/>
        <w:t>Member in possession of information about applicant</w:t>
      </w:r>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Where a member possesses any information about any applicant that should be brought to the attention of the Commissioner, the member shall immediately communicate that information to his officer</w:t>
      </w:r>
      <w:r>
        <w:rPr>
          <w:snapToGrid w:val="0"/>
        </w:rPr>
        <w:noBreakHyphen/>
        <w:t>in</w:t>
      </w:r>
      <w:r>
        <w:rPr>
          <w:snapToGrid w:val="0"/>
        </w:rPr>
        <w:noBreakHyphen/>
        <w:t>charge for forwarding to the Officer</w:t>
      </w:r>
      <w:r>
        <w:rPr>
          <w:snapToGrid w:val="0"/>
        </w:rPr>
        <w:noBreakHyphen/>
        <w:t>in</w:t>
      </w:r>
      <w:r>
        <w:rPr>
          <w:snapToGrid w:val="0"/>
        </w:rPr>
        <w:noBreakHyphen/>
        <w:t>Charge, Recruiting.</w:t>
      </w:r>
    </w:p>
    <w:p>
      <w:pPr>
        <w:pStyle w:val="Heading5"/>
        <w:rPr>
          <w:snapToGrid w:val="0"/>
        </w:rPr>
      </w:pPr>
      <w:bookmarkStart w:id="168" w:name="_Toc500034698"/>
      <w:bookmarkStart w:id="169" w:name="_Toc515769496"/>
      <w:bookmarkStart w:id="170" w:name="_Toc522083177"/>
      <w:bookmarkStart w:id="171" w:name="_Toc123622911"/>
      <w:bookmarkStart w:id="172" w:name="_Toc158523526"/>
      <w:r>
        <w:rPr>
          <w:rStyle w:val="CharSectno"/>
        </w:rPr>
        <w:t>505A</w:t>
      </w:r>
      <w:r>
        <w:rPr>
          <w:snapToGrid w:val="0"/>
        </w:rPr>
        <w:t xml:space="preserve">. </w:t>
      </w:r>
      <w:r>
        <w:rPr>
          <w:snapToGrid w:val="0"/>
        </w:rPr>
        <w:tab/>
        <w:t>Probationary period</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A person appointed as a member is on probation for a period of 2 years beginning on the day of his induction into the Police Academy or, where the person did not attend the Police Academy, beginning on the day of his appointment as a member.</w:t>
      </w:r>
    </w:p>
    <w:p>
      <w:pPr>
        <w:pStyle w:val="Subsection"/>
        <w:rPr>
          <w:snapToGrid w:val="0"/>
        </w:rPr>
      </w:pPr>
      <w:r>
        <w:rPr>
          <w:snapToGrid w:val="0"/>
        </w:rPr>
        <w:tab/>
        <w:t>(2)</w:t>
      </w:r>
      <w:r>
        <w:rPr>
          <w:snapToGrid w:val="0"/>
        </w:rPr>
        <w:tab/>
        <w:t>Where the Commissioner is of the opinion that a member on probation will not give satisfactory service, he may, subject to the approval of the Minister remove the member from the Force.</w:t>
      </w:r>
    </w:p>
    <w:p>
      <w:pPr>
        <w:pStyle w:val="Subsection"/>
        <w:rPr>
          <w:snapToGrid w:val="0"/>
        </w:rPr>
      </w:pPr>
      <w:r>
        <w:rPr>
          <w:snapToGrid w:val="0"/>
        </w:rPr>
        <w:tab/>
        <w:t>(3)</w:t>
      </w:r>
      <w:r>
        <w:rPr>
          <w:snapToGrid w:val="0"/>
        </w:rPr>
        <w:tab/>
        <w:t>The Commissioner may, at his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 xml:space="preserve">[Regulation 505A inserted in Gazette 1 Mar 1985 p. 790; amended in Gazette 14 Jul 1992 p. 3365.] </w:t>
      </w:r>
    </w:p>
    <w:p>
      <w:pPr>
        <w:pStyle w:val="Heading2"/>
      </w:pPr>
      <w:bookmarkStart w:id="173" w:name="_Toc90976448"/>
      <w:bookmarkStart w:id="174" w:name="_Toc91044680"/>
      <w:bookmarkStart w:id="175" w:name="_Toc91044860"/>
      <w:bookmarkStart w:id="176" w:name="_Toc123621369"/>
      <w:bookmarkStart w:id="177" w:name="_Toc123622912"/>
      <w:bookmarkStart w:id="178" w:name="_Toc153957285"/>
      <w:bookmarkStart w:id="179" w:name="_Toc153958628"/>
      <w:bookmarkStart w:id="180" w:name="_Toc154478707"/>
      <w:bookmarkStart w:id="181" w:name="_Toc158523527"/>
      <w:r>
        <w:rPr>
          <w:rStyle w:val="CharPartNo"/>
        </w:rPr>
        <w:t>Part VI</w:t>
      </w:r>
      <w:r>
        <w:rPr>
          <w:rStyle w:val="CharDivNo"/>
        </w:rPr>
        <w:t> </w:t>
      </w:r>
      <w:r>
        <w:t>—</w:t>
      </w:r>
      <w:r>
        <w:rPr>
          <w:rStyle w:val="CharDivText"/>
        </w:rPr>
        <w:t> </w:t>
      </w:r>
      <w:r>
        <w:rPr>
          <w:rStyle w:val="CharPartText"/>
        </w:rPr>
        <w:t>General rules relating to discipline</w:t>
      </w:r>
      <w:bookmarkEnd w:id="173"/>
      <w:bookmarkEnd w:id="174"/>
      <w:bookmarkEnd w:id="175"/>
      <w:bookmarkEnd w:id="176"/>
      <w:bookmarkEnd w:id="177"/>
      <w:bookmarkEnd w:id="178"/>
      <w:bookmarkEnd w:id="179"/>
      <w:bookmarkEnd w:id="180"/>
      <w:bookmarkEnd w:id="181"/>
      <w:r>
        <w:rPr>
          <w:rStyle w:val="CharPartText"/>
        </w:rPr>
        <w:t xml:space="preserve"> </w:t>
      </w:r>
    </w:p>
    <w:p>
      <w:pPr>
        <w:pStyle w:val="Heading5"/>
        <w:rPr>
          <w:snapToGrid w:val="0"/>
        </w:rPr>
      </w:pPr>
      <w:bookmarkStart w:id="182" w:name="_Toc500034699"/>
      <w:bookmarkStart w:id="183" w:name="_Toc515769497"/>
      <w:bookmarkStart w:id="184" w:name="_Toc522083178"/>
      <w:bookmarkStart w:id="185" w:name="_Toc123622913"/>
      <w:bookmarkStart w:id="186" w:name="_Toc158523528"/>
      <w:r>
        <w:rPr>
          <w:rStyle w:val="CharSectno"/>
        </w:rPr>
        <w:t>601</w:t>
      </w:r>
      <w:r>
        <w:rPr>
          <w:snapToGrid w:val="0"/>
        </w:rPr>
        <w:t>.</w:t>
      </w:r>
      <w:r>
        <w:rPr>
          <w:snapToGrid w:val="0"/>
        </w:rPr>
        <w:tab/>
        <w:t>Acting in manner prejudicial to the Force</w:t>
      </w:r>
      <w:bookmarkEnd w:id="182"/>
      <w:bookmarkEnd w:id="183"/>
      <w:bookmarkEnd w:id="184"/>
      <w:bookmarkEnd w:id="185"/>
      <w:bookmarkEnd w:id="186"/>
      <w:r>
        <w:rPr>
          <w:snapToGrid w:val="0"/>
        </w:rPr>
        <w:t xml:space="preserve"> </w:t>
      </w:r>
    </w:p>
    <w:p>
      <w:pPr>
        <w:pStyle w:val="Subsection"/>
        <w:spacing w:before="140"/>
        <w:rPr>
          <w:snapToGrid w:val="0"/>
        </w:rPr>
      </w:pPr>
      <w:r>
        <w:rPr>
          <w:snapToGrid w:val="0"/>
        </w:rPr>
        <w:tab/>
        <w:t>(1)</w:t>
      </w:r>
      <w:r>
        <w:rPr>
          <w:snapToGrid w:val="0"/>
        </w:rPr>
        <w:tab/>
        <w:t>A member or cadet shall not act in a disorderly manner, or any manner prejudicial to discipline of the Force.</w:t>
      </w:r>
    </w:p>
    <w:p>
      <w:pPr>
        <w:pStyle w:val="Subsection"/>
        <w:spacing w:before="140"/>
        <w:rPr>
          <w:snapToGrid w:val="0"/>
        </w:rPr>
      </w:pPr>
      <w:r>
        <w:rPr>
          <w:snapToGrid w:val="0"/>
        </w:rPr>
        <w:tab/>
        <w:t>(2)</w:t>
      </w:r>
      <w:r>
        <w:rPr>
          <w:snapToGrid w:val="0"/>
        </w:rPr>
        <w:tab/>
        <w:t>A member or a cadet shall not act in a manner that is likely to bring discredit on the Force or in a manner that is unbecoming of a member of the Force or a cadet, as the case may be.</w:t>
      </w:r>
    </w:p>
    <w:p>
      <w:pPr>
        <w:pStyle w:val="Heading5"/>
        <w:rPr>
          <w:snapToGrid w:val="0"/>
        </w:rPr>
      </w:pPr>
      <w:bookmarkStart w:id="187" w:name="_Toc500034700"/>
      <w:bookmarkStart w:id="188" w:name="_Toc515769498"/>
      <w:bookmarkStart w:id="189" w:name="_Toc522083179"/>
      <w:bookmarkStart w:id="190" w:name="_Toc123622914"/>
      <w:bookmarkStart w:id="191" w:name="_Toc158523529"/>
      <w:r>
        <w:rPr>
          <w:rStyle w:val="CharSectno"/>
        </w:rPr>
        <w:t>602</w:t>
      </w:r>
      <w:r>
        <w:rPr>
          <w:snapToGrid w:val="0"/>
        </w:rPr>
        <w:t>.</w:t>
      </w:r>
      <w:r>
        <w:rPr>
          <w:snapToGrid w:val="0"/>
        </w:rPr>
        <w:tab/>
        <w:t>Behaviour towards other members</w:t>
      </w:r>
      <w:bookmarkEnd w:id="187"/>
      <w:bookmarkEnd w:id="188"/>
      <w:bookmarkEnd w:id="189"/>
      <w:bookmarkEnd w:id="190"/>
      <w:bookmarkEnd w:id="191"/>
      <w:r>
        <w:rPr>
          <w:snapToGrid w:val="0"/>
        </w:rPr>
        <w:t xml:space="preserve"> </w:t>
      </w:r>
    </w:p>
    <w:p>
      <w:pPr>
        <w:pStyle w:val="Subsection"/>
        <w:spacing w:before="140"/>
        <w:rPr>
          <w:snapToGrid w:val="0"/>
        </w:rPr>
      </w:pPr>
      <w:r>
        <w:rPr>
          <w:snapToGrid w:val="0"/>
        </w:rPr>
        <w:tab/>
      </w:r>
      <w:r>
        <w:rPr>
          <w:snapToGrid w:val="0"/>
        </w:rPr>
        <w:tab/>
        <w:t>A member or cadet shall not — </w:t>
      </w:r>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 or cadet;</w:t>
      </w:r>
    </w:p>
    <w:p>
      <w:pPr>
        <w:pStyle w:val="Indenta"/>
        <w:spacing w:before="70"/>
        <w:rPr>
          <w:snapToGrid w:val="0"/>
        </w:rPr>
      </w:pPr>
      <w:r>
        <w:rPr>
          <w:snapToGrid w:val="0"/>
        </w:rPr>
        <w:tab/>
        <w:t>(d)</w:t>
      </w:r>
      <w:r>
        <w:rPr>
          <w:snapToGrid w:val="0"/>
        </w:rPr>
        <w:tab/>
        <w:t>wilfully or negligently make any false complaint or statement against a member or a cadet;</w:t>
      </w:r>
    </w:p>
    <w:p>
      <w:pPr>
        <w:pStyle w:val="Indenta"/>
        <w:spacing w:before="70"/>
        <w:rPr>
          <w:snapToGrid w:val="0"/>
        </w:rPr>
      </w:pPr>
      <w:r>
        <w:rPr>
          <w:snapToGrid w:val="0"/>
        </w:rPr>
        <w:tab/>
        <w:t>(e)</w:t>
      </w:r>
      <w:r>
        <w:rPr>
          <w:snapToGrid w:val="0"/>
        </w:rPr>
        <w:tab/>
        <w:t>assault a member or a cadet;</w:t>
      </w:r>
    </w:p>
    <w:p>
      <w:pPr>
        <w:pStyle w:val="Indenta"/>
        <w:spacing w:before="70"/>
        <w:rPr>
          <w:snapToGrid w:val="0"/>
        </w:rPr>
      </w:pPr>
      <w:r>
        <w:rPr>
          <w:snapToGrid w:val="0"/>
        </w:rPr>
        <w:tab/>
        <w:t>(f)</w:t>
      </w:r>
      <w:r>
        <w:rPr>
          <w:snapToGrid w:val="0"/>
        </w:rPr>
        <w:tab/>
        <w:t>withhold any complaint or report against a member or a cadet;</w:t>
      </w:r>
    </w:p>
    <w:p>
      <w:pPr>
        <w:pStyle w:val="Indenta"/>
        <w:spacing w:before="70"/>
        <w:rPr>
          <w:snapToGrid w:val="0"/>
        </w:rPr>
      </w:pPr>
      <w:r>
        <w:rPr>
          <w:snapToGrid w:val="0"/>
        </w:rPr>
        <w:tab/>
        <w:t>(g)</w:t>
      </w:r>
      <w:r>
        <w:rPr>
          <w:snapToGrid w:val="0"/>
        </w:rPr>
        <w:tab/>
        <w:t>cause or attempt to cause disaffection amongst members or cadets.</w:t>
      </w:r>
    </w:p>
    <w:p>
      <w:pPr>
        <w:pStyle w:val="Heading5"/>
        <w:rPr>
          <w:snapToGrid w:val="0"/>
        </w:rPr>
      </w:pPr>
      <w:bookmarkStart w:id="192" w:name="_Toc500034701"/>
      <w:bookmarkStart w:id="193" w:name="_Toc515769499"/>
      <w:bookmarkStart w:id="194" w:name="_Toc522083180"/>
      <w:bookmarkStart w:id="195" w:name="_Toc123622915"/>
      <w:bookmarkStart w:id="196" w:name="_Toc158523530"/>
      <w:r>
        <w:rPr>
          <w:rStyle w:val="CharSectno"/>
        </w:rPr>
        <w:t>603</w:t>
      </w:r>
      <w:r>
        <w:rPr>
          <w:snapToGrid w:val="0"/>
        </w:rPr>
        <w:t>.</w:t>
      </w:r>
      <w:r>
        <w:rPr>
          <w:snapToGrid w:val="0"/>
        </w:rPr>
        <w:tab/>
        <w:t>Lawful order not to be disobeyed</w:t>
      </w:r>
      <w:bookmarkEnd w:id="192"/>
      <w:bookmarkEnd w:id="193"/>
      <w:bookmarkEnd w:id="194"/>
      <w:bookmarkEnd w:id="195"/>
      <w:bookmarkEnd w:id="196"/>
      <w:r>
        <w:rPr>
          <w:snapToGrid w:val="0"/>
        </w:rPr>
        <w:t xml:space="preserve"> </w:t>
      </w:r>
    </w:p>
    <w:p>
      <w:pPr>
        <w:pStyle w:val="Subsection"/>
        <w:spacing w:before="140"/>
        <w:rPr>
          <w:snapToGrid w:val="0"/>
        </w:rPr>
      </w:pPr>
      <w:r>
        <w:rPr>
          <w:snapToGrid w:val="0"/>
        </w:rPr>
        <w:tab/>
      </w:r>
      <w:r>
        <w:rPr>
          <w:snapToGrid w:val="0"/>
        </w:rPr>
        <w:tab/>
        <w:t>A member or cadet shall not disobey a lawful order and shall not, without good and sufficient cause, fail to carry out a lawful order.</w:t>
      </w:r>
    </w:p>
    <w:p>
      <w:pPr>
        <w:pStyle w:val="Heading5"/>
        <w:rPr>
          <w:snapToGrid w:val="0"/>
        </w:rPr>
      </w:pPr>
      <w:bookmarkStart w:id="197" w:name="_Toc500034702"/>
      <w:bookmarkStart w:id="198" w:name="_Toc515769500"/>
      <w:bookmarkStart w:id="199" w:name="_Toc522083181"/>
      <w:bookmarkStart w:id="200" w:name="_Toc123622916"/>
      <w:bookmarkStart w:id="201" w:name="_Toc158523531"/>
      <w:r>
        <w:rPr>
          <w:rStyle w:val="CharSectno"/>
        </w:rPr>
        <w:t>604</w:t>
      </w:r>
      <w:r>
        <w:rPr>
          <w:snapToGrid w:val="0"/>
        </w:rPr>
        <w:t>.</w:t>
      </w:r>
      <w:r>
        <w:rPr>
          <w:snapToGrid w:val="0"/>
        </w:rPr>
        <w:tab/>
        <w:t>Officer</w:t>
      </w:r>
      <w:r>
        <w:rPr>
          <w:snapToGrid w:val="0"/>
        </w:rPr>
        <w:noBreakHyphen/>
        <w:t>in</w:t>
      </w:r>
      <w:r>
        <w:rPr>
          <w:snapToGrid w:val="0"/>
        </w:rPr>
        <w:noBreakHyphen/>
        <w:t>charge not to remain absent unless arrangements made for his absence</w:t>
      </w:r>
      <w:bookmarkEnd w:id="197"/>
      <w:bookmarkEnd w:id="198"/>
      <w:bookmarkEnd w:id="199"/>
      <w:bookmarkEnd w:id="200"/>
      <w:bookmarkEnd w:id="201"/>
      <w:r>
        <w:rPr>
          <w:snapToGrid w:val="0"/>
        </w:rPr>
        <w:t xml:space="preserve"> </w:t>
      </w:r>
    </w:p>
    <w:p>
      <w:pPr>
        <w:pStyle w:val="Subsection"/>
        <w:spacing w:before="140"/>
        <w:rPr>
          <w:snapToGrid w:val="0"/>
        </w:rPr>
      </w:pPr>
      <w:r>
        <w:rPr>
          <w:snapToGrid w:val="0"/>
        </w:rPr>
        <w:tab/>
      </w:r>
      <w:r>
        <w:rPr>
          <w:snapToGrid w:val="0"/>
        </w:rPr>
        <w:tab/>
        <w:t>An officer</w:t>
      </w:r>
      <w:r>
        <w:rPr>
          <w:snapToGrid w:val="0"/>
        </w:rPr>
        <w:noBreakHyphen/>
        <w:t>in</w:t>
      </w:r>
      <w:r>
        <w:rPr>
          <w:snapToGrid w:val="0"/>
        </w:rPr>
        <w:noBreakHyphen/>
        <w:t>charge shall not remain absent from his region, division, sub</w:t>
      </w:r>
      <w:r>
        <w:rPr>
          <w:snapToGrid w:val="0"/>
        </w:rPr>
        <w:noBreakHyphen/>
        <w:t>division, section, branch, sub</w:t>
      </w:r>
      <w:r>
        <w:rPr>
          <w:snapToGrid w:val="0"/>
        </w:rPr>
        <w:noBreakHyphen/>
        <w:t>branch, police station or office as the case may be, unless definite and adequate arrangements have been made for carrying out the functions, duties and responsibilities attaching to his office during his absence.</w:t>
      </w:r>
    </w:p>
    <w:p>
      <w:pPr>
        <w:pStyle w:val="Heading5"/>
        <w:rPr>
          <w:snapToGrid w:val="0"/>
        </w:rPr>
      </w:pPr>
      <w:bookmarkStart w:id="202" w:name="_Toc500034703"/>
      <w:bookmarkStart w:id="203" w:name="_Toc515769501"/>
      <w:bookmarkStart w:id="204" w:name="_Toc522083182"/>
      <w:bookmarkStart w:id="205" w:name="_Toc123622917"/>
      <w:bookmarkStart w:id="206" w:name="_Toc158523532"/>
      <w:r>
        <w:rPr>
          <w:rStyle w:val="CharSectno"/>
        </w:rPr>
        <w:t>605</w:t>
      </w:r>
      <w:r>
        <w:rPr>
          <w:snapToGrid w:val="0"/>
        </w:rPr>
        <w:t>.</w:t>
      </w:r>
      <w:r>
        <w:rPr>
          <w:snapToGrid w:val="0"/>
        </w:rPr>
        <w:tab/>
        <w:t>Performance generally</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A member or cadet shall — </w:t>
      </w:r>
    </w:p>
    <w:p>
      <w:pPr>
        <w:pStyle w:val="Indenta"/>
        <w:rPr>
          <w:snapToGrid w:val="0"/>
        </w:rPr>
      </w:pPr>
      <w:r>
        <w:rPr>
          <w:snapToGrid w:val="0"/>
        </w:rPr>
        <w:tab/>
        <w:t>(a)</w:t>
      </w:r>
      <w:r>
        <w:rPr>
          <w:snapToGrid w:val="0"/>
        </w:rPr>
        <w:tab/>
        <w:t>except for good or sufficient cause, promptly and diligently attend to and carry out anything which is his duty as a member or cadet;</w:t>
      </w:r>
    </w:p>
    <w:p>
      <w:pPr>
        <w:pStyle w:val="Indenta"/>
        <w:rPr>
          <w:snapToGrid w:val="0"/>
        </w:rPr>
      </w:pPr>
      <w:r>
        <w:rPr>
          <w:snapToGrid w:val="0"/>
        </w:rPr>
        <w:tab/>
        <w:t>(b)</w:t>
      </w:r>
      <w:r>
        <w:rPr>
          <w:snapToGrid w:val="0"/>
        </w:rPr>
        <w:tab/>
        <w:t>perform and carry out any duty in a proper manner;</w:t>
      </w:r>
    </w:p>
    <w:p>
      <w:pPr>
        <w:pStyle w:val="Indenta"/>
        <w:rPr>
          <w:snapToGrid w:val="0"/>
        </w:rPr>
      </w:pPr>
      <w:r>
        <w:rPr>
          <w:snapToGrid w:val="0"/>
        </w:rPr>
        <w:tab/>
        <w:t>(c)</w:t>
      </w:r>
      <w:r>
        <w:rPr>
          <w:snapToGrid w:val="0"/>
        </w:rPr>
        <w:tab/>
        <w:t>work his beat in accordance with orders;</w:t>
      </w:r>
    </w:p>
    <w:p>
      <w:pPr>
        <w:pStyle w:val="Indenta"/>
        <w:rPr>
          <w:snapToGrid w:val="0"/>
        </w:rPr>
      </w:pPr>
      <w:r>
        <w:rPr>
          <w:snapToGrid w:val="0"/>
        </w:rPr>
        <w:tab/>
        <w:t>(d)</w:t>
      </w:r>
      <w:r>
        <w:rPr>
          <w:snapToGrid w:val="0"/>
        </w:rPr>
        <w:tab/>
        <w:t>when knowing where any offender is to be found, report the same and shall make due exertion for making him amenable to justice;</w:t>
      </w:r>
    </w:p>
    <w:p>
      <w:pPr>
        <w:pStyle w:val="Indenta"/>
        <w:rPr>
          <w:snapToGrid w:val="0"/>
        </w:rPr>
      </w:pPr>
      <w:r>
        <w:rPr>
          <w:snapToGrid w:val="0"/>
        </w:rPr>
        <w:tab/>
        <w:t>(e)</w:t>
      </w:r>
      <w:r>
        <w:rPr>
          <w:snapToGrid w:val="0"/>
        </w:rPr>
        <w:tab/>
        <w:t>report any matter which it is his duty to report;</w:t>
      </w:r>
    </w:p>
    <w:p>
      <w:pPr>
        <w:pStyle w:val="Indenta"/>
        <w:rPr>
          <w:snapToGrid w:val="0"/>
        </w:rPr>
      </w:pPr>
      <w:r>
        <w:rPr>
          <w:snapToGrid w:val="0"/>
        </w:rPr>
        <w:tab/>
        <w:t>(f)</w:t>
      </w:r>
      <w:r>
        <w:rPr>
          <w:snapToGrid w:val="0"/>
        </w:rPr>
        <w:tab/>
        <w:t>report anything which he knows concerning a criminal charge and shall disclose any evidence which he, or any person within his knowledge can give for or against any accused or defendant to a criminal charge.</w:t>
      </w:r>
    </w:p>
    <w:p>
      <w:pPr>
        <w:pStyle w:val="Subsection"/>
        <w:rPr>
          <w:snapToGrid w:val="0"/>
        </w:rPr>
      </w:pPr>
      <w:r>
        <w:rPr>
          <w:snapToGrid w:val="0"/>
        </w:rPr>
        <w:tab/>
        <w:t>(2)</w:t>
      </w:r>
      <w:r>
        <w:rPr>
          <w:snapToGrid w:val="0"/>
        </w:rPr>
        <w:tab/>
        <w:t>A member or cadet shall not — </w:t>
      </w:r>
    </w:p>
    <w:p>
      <w:pPr>
        <w:pStyle w:val="Indenta"/>
        <w:rPr>
          <w:snapToGrid w:val="0"/>
        </w:rPr>
      </w:pPr>
      <w:r>
        <w:rPr>
          <w:snapToGrid w:val="0"/>
        </w:rPr>
        <w:tab/>
        <w:t>(a)</w:t>
      </w:r>
      <w:r>
        <w:rPr>
          <w:snapToGrid w:val="0"/>
        </w:rPr>
        <w:tab/>
        <w:t>sleep while on duty;</w:t>
      </w:r>
    </w:p>
    <w:p>
      <w:pPr>
        <w:pStyle w:val="Indenta"/>
        <w:rPr>
          <w:snapToGrid w:val="0"/>
        </w:rPr>
      </w:pPr>
      <w:r>
        <w:rPr>
          <w:snapToGrid w:val="0"/>
        </w:rPr>
        <w:tab/>
        <w:t>(b)</w:t>
      </w:r>
      <w:r>
        <w:rPr>
          <w:snapToGrid w:val="0"/>
        </w:rPr>
        <w:tab/>
        <w:t>by carelessness or neglect permit a prisoner to escape;</w:t>
      </w:r>
    </w:p>
    <w:p>
      <w:pPr>
        <w:pStyle w:val="Indenta"/>
        <w:rPr>
          <w:snapToGrid w:val="0"/>
        </w:rPr>
      </w:pPr>
      <w:r>
        <w:rPr>
          <w:snapToGrid w:val="0"/>
        </w:rPr>
        <w:tab/>
        <w:t>(c)</w:t>
      </w:r>
      <w:r>
        <w:rPr>
          <w:snapToGrid w:val="0"/>
        </w:rPr>
        <w:tab/>
        <w:t>omit to make any necessary entry in any official document or book;</w:t>
      </w:r>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rPr>
          <w:snapToGrid w:val="0"/>
        </w:rPr>
      </w:pPr>
      <w:r>
        <w:rPr>
          <w:snapToGrid w:val="0"/>
        </w:rPr>
        <w:tab/>
        <w:t>(e)</w:t>
      </w:r>
      <w:r>
        <w:rPr>
          <w:snapToGrid w:val="0"/>
        </w:rPr>
        <w:tab/>
        <w:t>if absent from duty on account of sickness or ill</w:t>
      </w:r>
      <w:r>
        <w:rPr>
          <w:snapToGrid w:val="0"/>
        </w:rPr>
        <w:noBreakHyphen/>
        <w:t>health, do any act that will, or is likely to, retard his return to duty, or conduct himself in a manner that is likely to cause a delay in his return to duty.</w:t>
      </w:r>
    </w:p>
    <w:p>
      <w:pPr>
        <w:pStyle w:val="Heading5"/>
        <w:rPr>
          <w:snapToGrid w:val="0"/>
        </w:rPr>
      </w:pPr>
      <w:bookmarkStart w:id="207" w:name="_Toc500034704"/>
      <w:bookmarkStart w:id="208" w:name="_Toc515769502"/>
      <w:bookmarkStart w:id="209" w:name="_Toc522083183"/>
      <w:bookmarkStart w:id="210" w:name="_Toc123622918"/>
      <w:bookmarkStart w:id="211" w:name="_Toc158523533"/>
      <w:r>
        <w:rPr>
          <w:rStyle w:val="CharSectno"/>
        </w:rPr>
        <w:t>606</w:t>
      </w:r>
      <w:r>
        <w:rPr>
          <w:snapToGrid w:val="0"/>
        </w:rPr>
        <w:t>.</w:t>
      </w:r>
      <w:r>
        <w:rPr>
          <w:snapToGrid w:val="0"/>
        </w:rPr>
        <w:tab/>
        <w:t>False, misleading or inaccurate statements, etc.</w:t>
      </w:r>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A member or cadet shall not — </w:t>
      </w:r>
    </w:p>
    <w:p>
      <w:pPr>
        <w:pStyle w:val="Indenta"/>
        <w:rPr>
          <w:snapToGrid w:val="0"/>
        </w:rPr>
      </w:pPr>
      <w:r>
        <w:rPr>
          <w:snapToGrid w:val="0"/>
        </w:rPr>
        <w:tab/>
        <w:t>(a)</w:t>
      </w:r>
      <w:r>
        <w:rPr>
          <w:snapToGrid w:val="0"/>
        </w:rPr>
        <w:tab/>
        <w:t>knowingly make or sign any false statement in any official document or book;</w:t>
      </w:r>
    </w:p>
    <w:p>
      <w:pPr>
        <w:pStyle w:val="Indenta"/>
        <w:rPr>
          <w:snapToGrid w:val="0"/>
        </w:rPr>
      </w:pPr>
      <w:r>
        <w:rPr>
          <w:snapToGrid w:val="0"/>
        </w:rPr>
        <w:tab/>
        <w:t>(b)</w:t>
      </w:r>
      <w:r>
        <w:rPr>
          <w:snapToGrid w:val="0"/>
        </w:rPr>
        <w:tab/>
        <w:t>wilfully or negligently make any false, misleading or inaccurate statement;</w:t>
      </w:r>
    </w:p>
    <w:p>
      <w:pPr>
        <w:pStyle w:val="Indenta"/>
        <w:rPr>
          <w:snapToGrid w:val="0"/>
        </w:rPr>
      </w:pPr>
      <w:r>
        <w:rPr>
          <w:snapToGrid w:val="0"/>
        </w:rPr>
        <w:tab/>
        <w:t>(c)</w:t>
      </w:r>
      <w:r>
        <w:rPr>
          <w:snapToGrid w:val="0"/>
        </w:rPr>
        <w:tab/>
        <w:t>without good and sufficient cause destroy or mutilate any official document or record or alter or erase any entry therein.</w:t>
      </w:r>
    </w:p>
    <w:p>
      <w:pPr>
        <w:pStyle w:val="Heading5"/>
        <w:rPr>
          <w:snapToGrid w:val="0"/>
        </w:rPr>
      </w:pPr>
      <w:bookmarkStart w:id="212" w:name="_Toc500034705"/>
      <w:bookmarkStart w:id="213" w:name="_Toc515769503"/>
      <w:bookmarkStart w:id="214" w:name="_Toc522083184"/>
      <w:bookmarkStart w:id="215" w:name="_Toc123622919"/>
      <w:bookmarkStart w:id="216" w:name="_Toc158523534"/>
      <w:r>
        <w:rPr>
          <w:rStyle w:val="CharSectno"/>
        </w:rPr>
        <w:t>607</w:t>
      </w:r>
      <w:r>
        <w:rPr>
          <w:snapToGrid w:val="0"/>
        </w:rPr>
        <w:t>.</w:t>
      </w:r>
      <w:r>
        <w:rPr>
          <w:snapToGrid w:val="0"/>
        </w:rPr>
        <w:tab/>
        <w:t>Secrecy</w:t>
      </w:r>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A member or cadet shall not — </w:t>
      </w:r>
    </w:p>
    <w:p>
      <w:pPr>
        <w:pStyle w:val="Indenta"/>
        <w:rPr>
          <w:snapToGrid w:val="0"/>
        </w:rPr>
      </w:pPr>
      <w:r>
        <w:rPr>
          <w:snapToGrid w:val="0"/>
        </w:rPr>
        <w:tab/>
        <w:t>(a)</w:t>
      </w:r>
      <w:r>
        <w:rPr>
          <w:snapToGrid w:val="0"/>
        </w:rPr>
        <w:tab/>
        <w:t>give any person any information relating to the Force or other information that has been furnished to him or obtained by him in the course of his duty as a member or cadet; or</w:t>
      </w:r>
    </w:p>
    <w:p>
      <w:pPr>
        <w:pStyle w:val="Indenta"/>
        <w:rPr>
          <w:snapToGrid w:val="0"/>
        </w:rPr>
      </w:pPr>
      <w:r>
        <w:rPr>
          <w:snapToGrid w:val="0"/>
        </w:rPr>
        <w:tab/>
        <w:t>(b)</w:t>
      </w:r>
      <w:r>
        <w:rPr>
          <w:snapToGrid w:val="0"/>
        </w:rPr>
        <w:tab/>
        <w:t>disclose the contents of any official papers or documents that have been supplied to him in the course of his duties as a member or cadet or otherwise,</w:t>
      </w:r>
    </w:p>
    <w:p>
      <w:pPr>
        <w:pStyle w:val="Subsection"/>
        <w:rPr>
          <w:snapToGrid w:val="0"/>
        </w:rPr>
      </w:pPr>
      <w:r>
        <w:rPr>
          <w:snapToGrid w:val="0"/>
        </w:rPr>
        <w:tab/>
      </w:r>
      <w:r>
        <w:rPr>
          <w:snapToGrid w:val="0"/>
        </w:rPr>
        <w:tab/>
        <w:t>except in the course of his duty as a member or cadet.</w:t>
      </w:r>
    </w:p>
    <w:p>
      <w:pPr>
        <w:pStyle w:val="Subsection"/>
        <w:rPr>
          <w:snapToGrid w:val="0"/>
        </w:rPr>
      </w:pPr>
      <w:r>
        <w:rPr>
          <w:snapToGrid w:val="0"/>
        </w:rPr>
        <w:tab/>
        <w:t>(2)</w:t>
      </w:r>
      <w:r>
        <w:rPr>
          <w:snapToGrid w:val="0"/>
        </w:rPr>
        <w:tab/>
        <w:t>A member or cadet shall not, except with the express permission of his officer</w:t>
      </w:r>
      <w:r>
        <w:rPr>
          <w:snapToGrid w:val="0"/>
        </w:rPr>
        <w:noBreakHyphen/>
        <w:t>in</w:t>
      </w:r>
      <w:r>
        <w:rPr>
          <w:snapToGrid w:val="0"/>
        </w:rPr>
        <w:noBreakHyphen/>
        <w:t>charge or the Commissioner — </w:t>
      </w:r>
    </w:p>
    <w:p>
      <w:pPr>
        <w:pStyle w:val="Indenta"/>
        <w:rPr>
          <w:snapToGrid w:val="0"/>
        </w:rPr>
      </w:pPr>
      <w:r>
        <w:rPr>
          <w:snapToGrid w:val="0"/>
        </w:rPr>
        <w:tab/>
        <w:t>(a)</w:t>
      </w:r>
      <w:r>
        <w:rPr>
          <w:snapToGrid w:val="0"/>
        </w:rPr>
        <w:tab/>
        <w:t>publicly comment, either orally or in writing, on any administrative action, or upon the administration of the Force;</w:t>
      </w:r>
    </w:p>
    <w:p>
      <w:pPr>
        <w:pStyle w:val="Indenta"/>
        <w:rPr>
          <w:snapToGrid w:val="0"/>
        </w:rPr>
      </w:pPr>
      <w:r>
        <w:rPr>
          <w:snapToGrid w:val="0"/>
        </w:rPr>
        <w:tab/>
        <w:t>(b)</w:t>
      </w:r>
      <w:r>
        <w:rPr>
          <w:snapToGrid w:val="0"/>
        </w:rPr>
        <w:tab/>
        <w:t>use for any purpose, other than for the discharge of his official duties as a member or cadet, information gained by him through his employment in the Force or as a cadet;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rPr>
          <w:snapToGrid w:val="0"/>
        </w:rPr>
      </w:pPr>
      <w:r>
        <w:rPr>
          <w:snapToGrid w:val="0"/>
        </w:rPr>
        <w:tab/>
        <w:t>(3)</w:t>
      </w:r>
      <w:r>
        <w:rPr>
          <w:snapToGrid w:val="0"/>
        </w:rPr>
        <w:tab/>
        <w:t>A member or cadet shall not — </w:t>
      </w:r>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 xml:space="preserve">[Regulation 607 amended in Gazette 22 Jan 1988 p. 128.] </w:t>
      </w:r>
    </w:p>
    <w:p>
      <w:pPr>
        <w:pStyle w:val="Heading5"/>
        <w:rPr>
          <w:snapToGrid w:val="0"/>
        </w:rPr>
      </w:pPr>
      <w:bookmarkStart w:id="217" w:name="_Toc500034706"/>
      <w:bookmarkStart w:id="218" w:name="_Toc515769504"/>
      <w:bookmarkStart w:id="219" w:name="_Toc522083185"/>
      <w:bookmarkStart w:id="220" w:name="_Toc123622920"/>
      <w:bookmarkStart w:id="221" w:name="_Toc158523535"/>
      <w:r>
        <w:rPr>
          <w:rStyle w:val="CharSectno"/>
        </w:rPr>
        <w:t>608</w:t>
      </w:r>
      <w:r>
        <w:rPr>
          <w:snapToGrid w:val="0"/>
        </w:rPr>
        <w:t>.</w:t>
      </w:r>
      <w:r>
        <w:rPr>
          <w:snapToGrid w:val="0"/>
        </w:rPr>
        <w:tab/>
        <w:t>Member or cadet not to compromise his position</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A member or cadet shall not — </w:t>
      </w:r>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regulation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place himself under pecuniary obligation to any person who is directly or indirectly interested in any 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improperly use his reputation or position as a member or as a cadet for his private advantage;</w:t>
      </w:r>
    </w:p>
    <w:p>
      <w:pPr>
        <w:pStyle w:val="Indenta"/>
        <w:rPr>
          <w:snapToGrid w:val="0"/>
        </w:rPr>
      </w:pPr>
      <w:r>
        <w:rPr>
          <w:snapToGrid w:val="0"/>
        </w:rPr>
        <w:tab/>
        <w:t>(e)</w:t>
      </w:r>
      <w:r>
        <w:rPr>
          <w:snapToGrid w:val="0"/>
        </w:rPr>
        <w:tab/>
        <w:t>in his capacity as a member or as a cadet, sign, write or give, without the approval of the Commissioner, any testimonial of character or recommendation with the object of obtaining employment for any person or of supporting an application for the grant of a licence of any kind;</w:t>
      </w:r>
    </w:p>
    <w:p>
      <w:pPr>
        <w:pStyle w:val="Indenta"/>
        <w:rPr>
          <w:snapToGrid w:val="0"/>
        </w:rPr>
      </w:pPr>
      <w:r>
        <w:rPr>
          <w:snapToGrid w:val="0"/>
        </w:rPr>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pPr>
      <w:r>
        <w:tab/>
        <w:t>(1a)</w:t>
      </w:r>
      <w:r>
        <w:tab/>
        <w:t>The Commissioner may delegate, to an officer of the rank of Superintendent or higher, the approval power conferred on the Commissioner under subregulation (1)(b).</w:t>
      </w:r>
    </w:p>
    <w:p>
      <w:pPr>
        <w:pStyle w:val="Subsection"/>
        <w:rPr>
          <w:snapToGrid w:val="0"/>
        </w:rPr>
      </w:pPr>
      <w:r>
        <w:rPr>
          <w:snapToGrid w:val="0"/>
        </w:rPr>
        <w:tab/>
        <w:t>(2)</w:t>
      </w:r>
      <w:r>
        <w:rPr>
          <w:snapToGrid w:val="0"/>
        </w:rPr>
        <w:tab/>
        <w:t>A member or cadet shall account for and make prompt and true return of any money or property received by him in his official capacity.</w:t>
      </w:r>
    </w:p>
    <w:p>
      <w:pPr>
        <w:pStyle w:val="Subsection"/>
        <w:rPr>
          <w:snapToGrid w:val="0"/>
        </w:rPr>
      </w:pPr>
      <w:r>
        <w:rPr>
          <w:snapToGrid w:val="0"/>
        </w:rPr>
        <w:tab/>
        <w:t>(3)</w:t>
      </w:r>
      <w:r>
        <w:rPr>
          <w:snapToGrid w:val="0"/>
        </w:rPr>
        <w:tab/>
        <w:t>Where the Commissioner requires a member or cadet to account for any money or property whether received by him in his capacity as a member or cadet or not the member or cadet shall comply with that requirement within the time specified by the Commissioner.</w:t>
      </w:r>
    </w:p>
    <w:p>
      <w:pPr>
        <w:pStyle w:val="Footnotesection"/>
      </w:pPr>
      <w:r>
        <w:tab/>
        <w:t>[Regulation 608 amended in Gazette 10 Aug 2001 p. 4214.]</w:t>
      </w:r>
    </w:p>
    <w:p>
      <w:pPr>
        <w:pStyle w:val="Heading5"/>
        <w:rPr>
          <w:snapToGrid w:val="0"/>
        </w:rPr>
      </w:pPr>
      <w:bookmarkStart w:id="222" w:name="_Toc500034707"/>
      <w:bookmarkStart w:id="223" w:name="_Toc515769505"/>
      <w:bookmarkStart w:id="224" w:name="_Toc522083186"/>
      <w:bookmarkStart w:id="225" w:name="_Toc123622921"/>
      <w:bookmarkStart w:id="226" w:name="_Toc158523536"/>
      <w:r>
        <w:rPr>
          <w:rStyle w:val="CharSectno"/>
        </w:rPr>
        <w:t>609</w:t>
      </w:r>
      <w:r>
        <w:rPr>
          <w:snapToGrid w:val="0"/>
        </w:rPr>
        <w:t>.</w:t>
      </w:r>
      <w:r>
        <w:rPr>
          <w:snapToGrid w:val="0"/>
        </w:rPr>
        <w:tab/>
        <w:t>Unlawful arrest and unnecessary force</w:t>
      </w:r>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A member or cadet shall not — </w:t>
      </w:r>
    </w:p>
    <w:p>
      <w:pPr>
        <w:pStyle w:val="Indenta"/>
        <w:rPr>
          <w:snapToGrid w:val="0"/>
        </w:rPr>
      </w:pPr>
      <w:r>
        <w:rPr>
          <w:snapToGrid w:val="0"/>
        </w:rPr>
        <w:tab/>
        <w:t>(a)</w:t>
      </w:r>
      <w:r>
        <w:rPr>
          <w:snapToGrid w:val="0"/>
        </w:rPr>
        <w:tab/>
        <w:t>make any unlawful arrest; or</w:t>
      </w:r>
    </w:p>
    <w:p>
      <w:pPr>
        <w:pStyle w:val="Indenta"/>
        <w:rPr>
          <w:snapToGrid w:val="0"/>
        </w:rPr>
      </w:pPr>
      <w:r>
        <w:rPr>
          <w:snapToGrid w:val="0"/>
        </w:rPr>
        <w:tab/>
        <w:t>(b)</w:t>
      </w:r>
      <w:r>
        <w:rPr>
          <w:snapToGrid w:val="0"/>
        </w:rPr>
        <w:tab/>
        <w:t>use any unnecessary force on any prisoner or other person with whom he may be brought into contact in the performance of his duty.</w:t>
      </w:r>
    </w:p>
    <w:p>
      <w:pPr>
        <w:pStyle w:val="Heading5"/>
        <w:rPr>
          <w:snapToGrid w:val="0"/>
        </w:rPr>
      </w:pPr>
      <w:bookmarkStart w:id="227" w:name="_Toc500034708"/>
      <w:bookmarkStart w:id="228" w:name="_Toc515769506"/>
      <w:bookmarkStart w:id="229" w:name="_Toc522083187"/>
      <w:bookmarkStart w:id="230" w:name="_Toc123622922"/>
      <w:bookmarkStart w:id="231" w:name="_Toc158523537"/>
      <w:r>
        <w:rPr>
          <w:rStyle w:val="CharSectno"/>
        </w:rPr>
        <w:t>610</w:t>
      </w:r>
      <w:r>
        <w:rPr>
          <w:snapToGrid w:val="0"/>
        </w:rPr>
        <w:t>.</w:t>
      </w:r>
      <w:r>
        <w:rPr>
          <w:snapToGrid w:val="0"/>
        </w:rPr>
        <w:tab/>
        <w:t>Feigning sickness or injury</w:t>
      </w:r>
      <w:bookmarkEnd w:id="227"/>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A member or cadet shall not feign or exaggerate any sickness or injury with a view to evading duty.</w:t>
      </w:r>
    </w:p>
    <w:p>
      <w:pPr>
        <w:pStyle w:val="Heading5"/>
        <w:rPr>
          <w:snapToGrid w:val="0"/>
        </w:rPr>
      </w:pPr>
      <w:bookmarkStart w:id="232" w:name="_Toc500034709"/>
      <w:bookmarkStart w:id="233" w:name="_Toc515769507"/>
      <w:bookmarkStart w:id="234" w:name="_Toc522083188"/>
      <w:bookmarkStart w:id="235" w:name="_Toc123622923"/>
      <w:bookmarkStart w:id="236" w:name="_Toc158523538"/>
      <w:r>
        <w:rPr>
          <w:rStyle w:val="CharSectno"/>
        </w:rPr>
        <w:t>611</w:t>
      </w:r>
      <w:r>
        <w:rPr>
          <w:snapToGrid w:val="0"/>
        </w:rPr>
        <w:t>.</w:t>
      </w:r>
      <w:r>
        <w:rPr>
          <w:snapToGrid w:val="0"/>
        </w:rPr>
        <w:tab/>
        <w:t>Not to be absent or late without reasonable excuse</w:t>
      </w:r>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A member or cadet shall not without reasonable excuse be absent without leave from, or be late for, parade, court or any other duty.</w:t>
      </w:r>
    </w:p>
    <w:p>
      <w:pPr>
        <w:pStyle w:val="Ednotesection"/>
      </w:pPr>
      <w:bookmarkStart w:id="237" w:name="_Toc500034712"/>
      <w:bookmarkStart w:id="238" w:name="_Toc515769510"/>
      <w:bookmarkStart w:id="239" w:name="_Toc522083191"/>
      <w:bookmarkStart w:id="240" w:name="_Toc123622926"/>
      <w:r>
        <w:t>[</w:t>
      </w:r>
      <w:r>
        <w:rPr>
          <w:b/>
          <w:bCs/>
        </w:rPr>
        <w:t>612, 613.</w:t>
      </w:r>
      <w:r>
        <w:tab/>
        <w:t>Repealed in Gazette 2 Feb 2007 p. 247.]</w:t>
      </w:r>
    </w:p>
    <w:p>
      <w:pPr>
        <w:pStyle w:val="Heading5"/>
        <w:rPr>
          <w:snapToGrid w:val="0"/>
        </w:rPr>
      </w:pPr>
      <w:bookmarkStart w:id="241" w:name="_Toc158523539"/>
      <w:r>
        <w:rPr>
          <w:rStyle w:val="CharSectno"/>
        </w:rPr>
        <w:t>614</w:t>
      </w:r>
      <w:r>
        <w:rPr>
          <w:snapToGrid w:val="0"/>
        </w:rPr>
        <w:t>.</w:t>
      </w:r>
      <w:r>
        <w:rPr>
          <w:snapToGrid w:val="0"/>
        </w:rPr>
        <w:tab/>
        <w:t>Under influence of intoxicating liquor or any drug</w:t>
      </w:r>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A member or cadet who at any time when on duty, or at any time when it is time for him to go on duty, is found to be under the influence of intoxicating liquor or any drug to such an extent as to affect or be likely to affect his speech, action or judgment, commits an offence against the discipline of the Force.</w:t>
      </w:r>
    </w:p>
    <w:p>
      <w:pPr>
        <w:pStyle w:val="Heading5"/>
        <w:rPr>
          <w:snapToGrid w:val="0"/>
        </w:rPr>
      </w:pPr>
      <w:bookmarkStart w:id="242" w:name="_Toc500034713"/>
      <w:bookmarkStart w:id="243" w:name="_Toc515769511"/>
      <w:bookmarkStart w:id="244" w:name="_Toc522083192"/>
      <w:bookmarkStart w:id="245" w:name="_Toc123622927"/>
      <w:bookmarkStart w:id="246" w:name="_Toc158523540"/>
      <w:r>
        <w:rPr>
          <w:rStyle w:val="CharSectno"/>
        </w:rPr>
        <w:t>615</w:t>
      </w:r>
      <w:r>
        <w:rPr>
          <w:snapToGrid w:val="0"/>
        </w:rPr>
        <w:t>.</w:t>
      </w:r>
      <w:r>
        <w:rPr>
          <w:snapToGrid w:val="0"/>
        </w:rPr>
        <w:tab/>
        <w:t>Receiving and being supplied with intoxicating liquor while on duty</w:t>
      </w:r>
      <w:bookmarkEnd w:id="242"/>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A member or cadet shall not without the consent of his superior officer — </w:t>
      </w:r>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request or attempt to persuade any person to supply him with intoxicating liquor,</w:t>
      </w:r>
    </w:p>
    <w:p>
      <w:pPr>
        <w:pStyle w:val="Subsection"/>
        <w:rPr>
          <w:snapToGrid w:val="0"/>
        </w:rPr>
      </w:pPr>
      <w:r>
        <w:rPr>
          <w:snapToGrid w:val="0"/>
        </w:rPr>
        <w:tab/>
      </w:r>
      <w:r>
        <w:rPr>
          <w:snapToGrid w:val="0"/>
        </w:rPr>
        <w:tab/>
        <w:t>while he is on duty.</w:t>
      </w:r>
    </w:p>
    <w:p>
      <w:pPr>
        <w:pStyle w:val="Heading5"/>
        <w:rPr>
          <w:snapToGrid w:val="0"/>
        </w:rPr>
      </w:pPr>
      <w:bookmarkStart w:id="247" w:name="_Toc500034714"/>
      <w:bookmarkStart w:id="248" w:name="_Toc515769512"/>
      <w:bookmarkStart w:id="249" w:name="_Toc522083193"/>
      <w:bookmarkStart w:id="250" w:name="_Toc123622928"/>
      <w:bookmarkStart w:id="251" w:name="_Toc158523541"/>
      <w:r>
        <w:rPr>
          <w:rStyle w:val="CharSectno"/>
        </w:rPr>
        <w:t>616</w:t>
      </w:r>
      <w:r>
        <w:rPr>
          <w:snapToGrid w:val="0"/>
        </w:rPr>
        <w:t>.</w:t>
      </w:r>
      <w:r>
        <w:rPr>
          <w:snapToGrid w:val="0"/>
        </w:rPr>
        <w:tab/>
        <w:t>Entering licensed premises</w:t>
      </w:r>
      <w:bookmarkEnd w:id="247"/>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 xml:space="preserve">A member or cadet shall not enter while on duty any premises licensed under the </w:t>
      </w:r>
      <w:r>
        <w:rPr>
          <w:i/>
          <w:snapToGrid w:val="0"/>
        </w:rPr>
        <w:t>Liquor Act 1970</w:t>
      </w:r>
      <w:r>
        <w:rPr>
          <w:snapToGrid w:val="0"/>
        </w:rPr>
        <w:t xml:space="preserve"> </w:t>
      </w:r>
      <w:r>
        <w:rPr>
          <w:snapToGrid w:val="0"/>
          <w:sz w:val="28"/>
          <w:vertAlign w:val="superscript"/>
        </w:rPr>
        <w:t>3</w:t>
      </w:r>
      <w:r>
        <w:rPr>
          <w:snapToGrid w:val="0"/>
        </w:rPr>
        <w:t xml:space="preserve"> or any other premises where intoxicating liquor is stored or distributed, when his presence there is not required in the performance of his duty.</w:t>
      </w:r>
    </w:p>
    <w:p>
      <w:pPr>
        <w:pStyle w:val="Heading5"/>
        <w:rPr>
          <w:snapToGrid w:val="0"/>
        </w:rPr>
      </w:pPr>
      <w:bookmarkStart w:id="252" w:name="_Toc500034715"/>
      <w:bookmarkStart w:id="253" w:name="_Toc515769513"/>
      <w:bookmarkStart w:id="254" w:name="_Toc522083194"/>
      <w:bookmarkStart w:id="255" w:name="_Toc123622929"/>
      <w:bookmarkStart w:id="256" w:name="_Toc158523542"/>
      <w:r>
        <w:rPr>
          <w:rStyle w:val="CharSectno"/>
        </w:rPr>
        <w:t>617</w:t>
      </w:r>
      <w:r>
        <w:rPr>
          <w:snapToGrid w:val="0"/>
        </w:rPr>
        <w:t>.</w:t>
      </w:r>
      <w:r>
        <w:rPr>
          <w:snapToGrid w:val="0"/>
        </w:rPr>
        <w:tab/>
        <w:t>Consumption of intoxicating liquor</w:t>
      </w:r>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A member does not commit an offence against subregulation (1) if he consumes intoxicating liquor at the Police Canteen.</w:t>
      </w:r>
    </w:p>
    <w:p>
      <w:pPr>
        <w:pStyle w:val="Heading5"/>
        <w:rPr>
          <w:snapToGrid w:val="0"/>
        </w:rPr>
      </w:pPr>
      <w:bookmarkStart w:id="257" w:name="_Toc500034716"/>
      <w:bookmarkStart w:id="258" w:name="_Toc515769514"/>
      <w:bookmarkStart w:id="259" w:name="_Toc522083195"/>
      <w:bookmarkStart w:id="260" w:name="_Toc123622930"/>
      <w:bookmarkStart w:id="261" w:name="_Toc158523543"/>
      <w:r>
        <w:rPr>
          <w:rStyle w:val="CharSectno"/>
        </w:rPr>
        <w:t>618</w:t>
      </w:r>
      <w:r>
        <w:rPr>
          <w:snapToGrid w:val="0"/>
        </w:rPr>
        <w:t>.</w:t>
      </w:r>
      <w:r>
        <w:rPr>
          <w:snapToGrid w:val="0"/>
        </w:rPr>
        <w:tab/>
        <w:t>Premises supplying intoxicating liquor</w:t>
      </w:r>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Subject to subregulation (2), a member or cadet shall not keep premises for the sale of intoxicating liquor either in his own or any other name or be directly or indirectly interested in the management or control of any such premises.</w:t>
      </w:r>
    </w:p>
    <w:p>
      <w:pPr>
        <w:pStyle w:val="Subsection"/>
        <w:rPr>
          <w:snapToGrid w:val="0"/>
        </w:rPr>
      </w:pPr>
      <w:r>
        <w:rPr>
          <w:snapToGrid w:val="0"/>
        </w:rPr>
        <w:tab/>
        <w:t>(2)</w:t>
      </w:r>
      <w:r>
        <w:rPr>
          <w:snapToGrid w:val="0"/>
        </w:rPr>
        <w:tab/>
        <w:t>The Commissioner of Police may in writing authorise a member or cadet to keep premises for the sale of intoxicating liquor or to be directly or indirectly interested in the management or control of any such premises if — </w:t>
      </w:r>
    </w:p>
    <w:p>
      <w:pPr>
        <w:pStyle w:val="Indenta"/>
        <w:rPr>
          <w:snapToGrid w:val="0"/>
        </w:rPr>
      </w:pPr>
      <w:r>
        <w:rPr>
          <w:snapToGrid w:val="0"/>
        </w:rPr>
        <w:tab/>
        <w:t>(a)</w:t>
      </w:r>
      <w:r>
        <w:rPr>
          <w:snapToGrid w:val="0"/>
        </w:rPr>
        <w:tab/>
        <w:t>the premises have been approved by the Commissioner;</w:t>
      </w:r>
    </w:p>
    <w:p>
      <w:pPr>
        <w:pStyle w:val="Indenta"/>
        <w:rPr>
          <w:snapToGrid w:val="0"/>
        </w:rPr>
      </w:pPr>
      <w:r>
        <w:rPr>
          <w:snapToGrid w:val="0"/>
        </w:rPr>
        <w:tab/>
        <w:t>(b)</w:t>
      </w:r>
      <w:r>
        <w:rPr>
          <w:snapToGrid w:val="0"/>
        </w:rPr>
        <w:tab/>
        <w:t>the member or cadet is a member of the Western Australian Police Social Club (Inc.); and</w:t>
      </w:r>
    </w:p>
    <w:p>
      <w:pPr>
        <w:pStyle w:val="Indenta"/>
        <w:rPr>
          <w:snapToGrid w:val="0"/>
        </w:rPr>
      </w:pPr>
      <w:r>
        <w:rPr>
          <w:snapToGrid w:val="0"/>
        </w:rPr>
        <w:tab/>
        <w:t>(c)</w:t>
      </w:r>
      <w:r>
        <w:rPr>
          <w:snapToGrid w:val="0"/>
        </w:rPr>
        <w:tab/>
        <w:t>the premises are owned or leased by that Club.</w:t>
      </w:r>
    </w:p>
    <w:p>
      <w:pPr>
        <w:pStyle w:val="Footnotesection"/>
      </w:pPr>
      <w:r>
        <w:tab/>
        <w:t xml:space="preserve">[Regulation 618 amended in Gazette 14 Nov 1997 p. 6457.] </w:t>
      </w:r>
    </w:p>
    <w:p>
      <w:pPr>
        <w:pStyle w:val="Heading5"/>
        <w:rPr>
          <w:snapToGrid w:val="0"/>
        </w:rPr>
      </w:pPr>
      <w:bookmarkStart w:id="262" w:name="_Toc500034717"/>
      <w:bookmarkStart w:id="263" w:name="_Toc515769515"/>
      <w:bookmarkStart w:id="264" w:name="_Toc522083196"/>
      <w:bookmarkStart w:id="265" w:name="_Toc123622931"/>
      <w:bookmarkStart w:id="266" w:name="_Toc158523544"/>
      <w:r>
        <w:rPr>
          <w:rStyle w:val="CharSectno"/>
        </w:rPr>
        <w:t>619</w:t>
      </w:r>
      <w:r>
        <w:rPr>
          <w:snapToGrid w:val="0"/>
        </w:rPr>
        <w:t>.</w:t>
      </w:r>
      <w:r>
        <w:rPr>
          <w:snapToGrid w:val="0"/>
        </w:rPr>
        <w:tab/>
        <w:t>Restrictions relating to loans, securities and debts</w:t>
      </w:r>
      <w:bookmarkEnd w:id="262"/>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A member or cadet shall not — </w:t>
      </w:r>
    </w:p>
    <w:p>
      <w:pPr>
        <w:pStyle w:val="Indenta"/>
        <w:rPr>
          <w:snapToGrid w:val="0"/>
        </w:rPr>
      </w:pPr>
      <w:r>
        <w:rPr>
          <w:snapToGrid w:val="0"/>
        </w:rPr>
        <w:tab/>
        <w:t>(a)</w:t>
      </w:r>
      <w:r>
        <w:rPr>
          <w:snapToGrid w:val="0"/>
        </w:rPr>
        <w:tab/>
        <w:t>lend money to any superior or borrow money or accept presents from any inferior;</w:t>
      </w:r>
    </w:p>
    <w:p>
      <w:pPr>
        <w:pStyle w:val="Indenta"/>
        <w:rPr>
          <w:snapToGrid w:val="0"/>
        </w:rPr>
      </w:pPr>
      <w:r>
        <w:rPr>
          <w:snapToGrid w:val="0"/>
        </w:rPr>
        <w:tab/>
        <w:t>(b)</w:t>
      </w:r>
      <w:r>
        <w:rPr>
          <w:snapToGrid w:val="0"/>
        </w:rPr>
        <w:tab/>
        <w:t>induce any other member or cadet to become a security for a loan or debt;</w:t>
      </w:r>
    </w:p>
    <w:p>
      <w:pPr>
        <w:pStyle w:val="Indenta"/>
        <w:rPr>
          <w:snapToGrid w:val="0"/>
        </w:rPr>
      </w:pPr>
      <w:r>
        <w:rPr>
          <w:snapToGrid w:val="0"/>
        </w:rPr>
        <w:tab/>
        <w:t>(c)</w:t>
      </w:r>
      <w:r>
        <w:rPr>
          <w:snapToGrid w:val="0"/>
        </w:rPr>
        <w:tab/>
        <w:t>neglect to pay a lawful debt.</w:t>
      </w:r>
    </w:p>
    <w:p>
      <w:pPr>
        <w:pStyle w:val="Heading5"/>
        <w:rPr>
          <w:snapToGrid w:val="0"/>
        </w:rPr>
      </w:pPr>
      <w:bookmarkStart w:id="267" w:name="_Toc500034718"/>
      <w:bookmarkStart w:id="268" w:name="_Toc515769516"/>
      <w:bookmarkStart w:id="269" w:name="_Toc522083197"/>
      <w:bookmarkStart w:id="270" w:name="_Toc123622932"/>
      <w:bookmarkStart w:id="271" w:name="_Toc158523545"/>
      <w:r>
        <w:rPr>
          <w:rStyle w:val="CharSectno"/>
        </w:rPr>
        <w:t>620</w:t>
      </w:r>
      <w:r>
        <w:rPr>
          <w:snapToGrid w:val="0"/>
        </w:rPr>
        <w:t>.</w:t>
      </w:r>
      <w:r>
        <w:rPr>
          <w:snapToGrid w:val="0"/>
        </w:rPr>
        <w:tab/>
        <w:t>Interest in racing</w:t>
      </w:r>
      <w:bookmarkEnd w:id="267"/>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A member or cadet being an owner or directly or indirectly interested in or in any way taking part in the training or racing of a race horse or racing dog shall not act in a manner likely to bring discredit on the reputation of the Force or unbecoming to a member of the Force or cadet.</w:t>
      </w:r>
    </w:p>
    <w:p>
      <w:pPr>
        <w:pStyle w:val="Heading5"/>
        <w:rPr>
          <w:snapToGrid w:val="0"/>
        </w:rPr>
      </w:pPr>
      <w:bookmarkStart w:id="272" w:name="_Toc500034719"/>
      <w:bookmarkStart w:id="273" w:name="_Toc515769517"/>
      <w:bookmarkStart w:id="274" w:name="_Toc522083198"/>
      <w:bookmarkStart w:id="275" w:name="_Toc123622933"/>
      <w:bookmarkStart w:id="276" w:name="_Toc158523546"/>
      <w:r>
        <w:rPr>
          <w:rStyle w:val="CharSectno"/>
        </w:rPr>
        <w:t>621</w:t>
      </w:r>
      <w:r>
        <w:rPr>
          <w:snapToGrid w:val="0"/>
        </w:rPr>
        <w:t>.</w:t>
      </w:r>
      <w:r>
        <w:rPr>
          <w:snapToGrid w:val="0"/>
        </w:rPr>
        <w:tab/>
        <w:t>Restrictions relating to trade, business or professions outside the Force</w:t>
      </w:r>
      <w:bookmarkEnd w:id="272"/>
      <w:bookmarkEnd w:id="273"/>
      <w:bookmarkEnd w:id="274"/>
      <w:bookmarkEnd w:id="275"/>
      <w:bookmarkEnd w:id="276"/>
      <w:r>
        <w:rPr>
          <w:snapToGrid w:val="0"/>
        </w:rPr>
        <w:t xml:space="preserve"> </w:t>
      </w:r>
    </w:p>
    <w:p>
      <w:pPr>
        <w:pStyle w:val="Subsection"/>
      </w:pPr>
      <w:r>
        <w:rPr>
          <w:snapToGrid w:val="0"/>
        </w:rPr>
        <w:tab/>
        <w:t>(1)</w:t>
      </w:r>
      <w:r>
        <w:rPr>
          <w:snapToGrid w:val="0"/>
        </w:rPr>
        <w:tab/>
        <w:t xml:space="preserve">A member or cadet shall not carry on any trade, business or profession or accept any other remuneration for employment </w:t>
      </w:r>
      <w:r>
        <w:t>without the approval of the Commissioner or a commissioned officer.</w:t>
      </w:r>
    </w:p>
    <w:p>
      <w:pPr>
        <w:pStyle w:val="Subsection"/>
      </w:pPr>
      <w:r>
        <w:tab/>
        <w:t>(2)</w:t>
      </w:r>
      <w:r>
        <w:tab/>
        <w:t>The approval under subsection (1) must be given in accordance with, and subject to, any instructions or directions issued by the Commissioner.</w:t>
      </w:r>
    </w:p>
    <w:p>
      <w:pPr>
        <w:pStyle w:val="Footnotesection"/>
      </w:pPr>
      <w:r>
        <w:tab/>
        <w:t>[Regulation 621 amended in Gazette 30 Dec 2005 p. 6879.]</w:t>
      </w:r>
    </w:p>
    <w:p>
      <w:pPr>
        <w:pStyle w:val="Heading5"/>
        <w:rPr>
          <w:snapToGrid w:val="0"/>
        </w:rPr>
      </w:pPr>
      <w:bookmarkStart w:id="277" w:name="_Toc500034720"/>
      <w:bookmarkStart w:id="278" w:name="_Toc515769518"/>
      <w:bookmarkStart w:id="279" w:name="_Toc522083199"/>
      <w:bookmarkStart w:id="280" w:name="_Toc123622934"/>
      <w:bookmarkStart w:id="281" w:name="_Toc158523547"/>
      <w:r>
        <w:rPr>
          <w:rStyle w:val="CharSectno"/>
        </w:rPr>
        <w:t>622</w:t>
      </w:r>
      <w:r>
        <w:rPr>
          <w:snapToGrid w:val="0"/>
        </w:rPr>
        <w:t>.</w:t>
      </w:r>
      <w:r>
        <w:rPr>
          <w:snapToGrid w:val="0"/>
        </w:rPr>
        <w:tab/>
        <w:t>Acts against discipline</w:t>
      </w:r>
      <w:bookmarkEnd w:id="277"/>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A member or cadet shall not induce or attempt to induce any member of the Force or cadet to withhold his services, or commit a breach of discipline, or connive at or knowingly be an accessory to any offence against discipline of the Force.</w:t>
      </w:r>
    </w:p>
    <w:p>
      <w:pPr>
        <w:pStyle w:val="Heading5"/>
        <w:rPr>
          <w:snapToGrid w:val="0"/>
        </w:rPr>
      </w:pPr>
      <w:bookmarkStart w:id="282" w:name="_Toc500034721"/>
      <w:bookmarkStart w:id="283" w:name="_Toc515769519"/>
      <w:bookmarkStart w:id="284" w:name="_Toc522083200"/>
      <w:bookmarkStart w:id="285" w:name="_Toc123622935"/>
      <w:bookmarkStart w:id="286" w:name="_Toc158523548"/>
      <w:r>
        <w:rPr>
          <w:rStyle w:val="CharSectno"/>
        </w:rPr>
        <w:t>623</w:t>
      </w:r>
      <w:r>
        <w:rPr>
          <w:snapToGrid w:val="0"/>
        </w:rPr>
        <w:t>.</w:t>
      </w:r>
      <w:r>
        <w:rPr>
          <w:snapToGrid w:val="0"/>
        </w:rPr>
        <w:tab/>
        <w:t>Offence against discipline to be reported</w:t>
      </w:r>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Any member being an officer, non</w:t>
      </w:r>
      <w:r>
        <w:rPr>
          <w:snapToGrid w:val="0"/>
        </w:rPr>
        <w:noBreakHyphen/>
        <w:t>commissioned officer or officer</w:t>
      </w:r>
      <w:r>
        <w:rPr>
          <w:snapToGrid w:val="0"/>
        </w:rPr>
        <w:noBreakHyphen/>
        <w:t>in</w:t>
      </w:r>
      <w:r>
        <w:rPr>
          <w:snapToGrid w:val="0"/>
        </w:rPr>
        <w:noBreakHyphen/>
        <w:t>charge of a police station shall report promptly any member or cadet who has committed an offence against discipline of the Force.</w:t>
      </w:r>
    </w:p>
    <w:p>
      <w:pPr>
        <w:pStyle w:val="Heading5"/>
        <w:rPr>
          <w:snapToGrid w:val="0"/>
        </w:rPr>
      </w:pPr>
      <w:bookmarkStart w:id="287" w:name="_Toc500034722"/>
      <w:bookmarkStart w:id="288" w:name="_Toc515769520"/>
      <w:bookmarkStart w:id="289" w:name="_Toc522083201"/>
      <w:bookmarkStart w:id="290" w:name="_Toc123622936"/>
      <w:bookmarkStart w:id="291" w:name="_Toc158523549"/>
      <w:r>
        <w:rPr>
          <w:rStyle w:val="CharSectno"/>
        </w:rPr>
        <w:t>624</w:t>
      </w:r>
      <w:r>
        <w:rPr>
          <w:snapToGrid w:val="0"/>
        </w:rPr>
        <w:t>.</w:t>
      </w:r>
      <w:r>
        <w:rPr>
          <w:snapToGrid w:val="0"/>
        </w:rPr>
        <w:tab/>
        <w:t>Investigation into acts against discipline</w:t>
      </w:r>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Where an allegation is made that a member or cadet has committed an offence against the discipline of the Force the officer designated by the Commissioner for that purpose or the officer</w:t>
      </w:r>
      <w:r>
        <w:rPr>
          <w:snapToGrid w:val="0"/>
        </w:rPr>
        <w:noBreakHyphen/>
        <w:t>in</w:t>
      </w:r>
      <w:r>
        <w:rPr>
          <w:snapToGrid w:val="0"/>
        </w:rPr>
        <w:noBreakHyphen/>
        <w:t>charge of the region or branch in which the member or cadet is stationed shall cause an investigation to be made by a commissioned officer or non</w:t>
      </w:r>
      <w:r>
        <w:rPr>
          <w:snapToGrid w:val="0"/>
        </w:rPr>
        <w:noBreakHyphen/>
        <w:t xml:space="preserve">commissioned officer (in subregulation (2) called </w:t>
      </w:r>
      <w:r>
        <w:rPr>
          <w:b/>
          <w:snapToGrid w:val="0"/>
        </w:rPr>
        <w:t>“</w:t>
      </w:r>
      <w:r>
        <w:rPr>
          <w:rStyle w:val="CharDefText"/>
        </w:rPr>
        <w:t>the investigating officer</w:t>
      </w:r>
      <w:r>
        <w:rPr>
          <w:b/>
          <w:snapToGrid w:val="0"/>
        </w:rPr>
        <w:t>”</w:t>
      </w:r>
      <w:r>
        <w:rPr>
          <w:snapToGrid w:val="0"/>
        </w:rPr>
        <w:t>) into the allegation.</w:t>
      </w:r>
    </w:p>
    <w:p>
      <w:pPr>
        <w:pStyle w:val="Subsection"/>
        <w:rPr>
          <w:snapToGrid w:val="0"/>
        </w:rPr>
      </w:pPr>
      <w:r>
        <w:rPr>
          <w:snapToGrid w:val="0"/>
        </w:rPr>
        <w:tab/>
        <w:t>(2)</w:t>
      </w:r>
      <w:r>
        <w:rPr>
          <w:snapToGrid w:val="0"/>
        </w:rPr>
        <w:tab/>
        <w:t>The investigating officer shall on completing his investigation make his report to the officer by whom he was appointed to make the investigation.</w:t>
      </w:r>
    </w:p>
    <w:p>
      <w:pPr>
        <w:pStyle w:val="Subsection"/>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 xml:space="preserve">[Regulation 624 amended in Gazette 16 Feb 1979 p. 425; 23 Mar 1984 p. 745; 22 Aug 1997 p. 4815.] </w:t>
      </w:r>
    </w:p>
    <w:p>
      <w:pPr>
        <w:pStyle w:val="Heading5"/>
        <w:rPr>
          <w:snapToGrid w:val="0"/>
        </w:rPr>
      </w:pPr>
      <w:bookmarkStart w:id="292" w:name="_Toc500034723"/>
      <w:bookmarkStart w:id="293" w:name="_Toc515769521"/>
      <w:bookmarkStart w:id="294" w:name="_Toc522083202"/>
      <w:bookmarkStart w:id="295" w:name="_Toc123622937"/>
      <w:bookmarkStart w:id="296" w:name="_Toc158523550"/>
      <w:r>
        <w:rPr>
          <w:rStyle w:val="CharSectno"/>
        </w:rPr>
        <w:t>625</w:t>
      </w:r>
      <w:r>
        <w:rPr>
          <w:snapToGrid w:val="0"/>
        </w:rPr>
        <w:t>.</w:t>
      </w:r>
      <w:r>
        <w:rPr>
          <w:snapToGrid w:val="0"/>
        </w:rPr>
        <w:tab/>
        <w:t>Disciplinary proceedings</w:t>
      </w:r>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Where proceedings are taken pursuant to section 23 of the Act — </w:t>
      </w:r>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tab/>
        <w:t>(b)</w:t>
      </w:r>
      <w:r>
        <w:rPr>
          <w:snapToGrid w:val="0"/>
        </w:rPr>
        <w:tab/>
        <w:t>the officer</w:t>
      </w:r>
      <w:r>
        <w:rPr>
          <w:snapToGrid w:val="0"/>
        </w:rPr>
        <w:noBreakHyphen/>
        <w:t>in</w:t>
      </w:r>
      <w:r>
        <w:rPr>
          <w:snapToGrid w:val="0"/>
        </w:rPr>
        <w:noBreakHyphen/>
        <w:t>charge of the region or branch shall cause a copy of the disciplinary charge sheet containing the charge to be served on the member or cadet charged with the offence before he pleads to the charge;</w:t>
      </w:r>
    </w:p>
    <w:p>
      <w:pPr>
        <w:pStyle w:val="Indenta"/>
        <w:rPr>
          <w:snapToGrid w:val="0"/>
        </w:rPr>
      </w:pPr>
      <w:r>
        <w:rPr>
          <w:snapToGrid w:val="0"/>
        </w:rPr>
        <w:tab/>
        <w:t>(c)</w:t>
      </w:r>
      <w:r>
        <w:rPr>
          <w:snapToGrid w:val="0"/>
        </w:rPr>
        <w:tab/>
        <w:t>the officer</w:t>
      </w:r>
      <w:r>
        <w:rPr>
          <w:snapToGrid w:val="0"/>
        </w:rPr>
        <w:noBreakHyphen/>
        <w:t>in</w:t>
      </w:r>
      <w:r>
        <w:rPr>
          <w:snapToGrid w:val="0"/>
        </w:rPr>
        <w:noBreakHyphen/>
        <w:t>charge of the region or branch in which the member or cadet is stationed shall take reasonable steps to secure the attendance at the hearing of all persons whose names and addresses have been supplied by the accused member or cadet as witnesses on his behalf.</w:t>
      </w:r>
    </w:p>
    <w:p>
      <w:pPr>
        <w:pStyle w:val="Footnotesection"/>
      </w:pPr>
      <w:r>
        <w:tab/>
        <w:t xml:space="preserve">[Regulation 625 amended in Gazette 7 Sep 1979 p. 2717; 27 Oct 1989 p. 3888.] </w:t>
      </w:r>
    </w:p>
    <w:p>
      <w:pPr>
        <w:pStyle w:val="Heading5"/>
        <w:rPr>
          <w:snapToGrid w:val="0"/>
        </w:rPr>
      </w:pPr>
      <w:bookmarkStart w:id="297" w:name="_Toc500034724"/>
      <w:bookmarkStart w:id="298" w:name="_Toc515769522"/>
      <w:bookmarkStart w:id="299" w:name="_Toc522083203"/>
      <w:bookmarkStart w:id="300" w:name="_Toc123622938"/>
      <w:bookmarkStart w:id="301" w:name="_Toc158523551"/>
      <w:r>
        <w:rPr>
          <w:rStyle w:val="CharSectno"/>
        </w:rPr>
        <w:t>626</w:t>
      </w:r>
      <w:r>
        <w:rPr>
          <w:snapToGrid w:val="0"/>
        </w:rPr>
        <w:t>.</w:t>
      </w:r>
      <w:r>
        <w:rPr>
          <w:snapToGrid w:val="0"/>
        </w:rPr>
        <w:tab/>
        <w:t>Civil or criminal proceedings against member or cadet</w:t>
      </w:r>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Where any proceeding, whether civil or criminal (not being a charge for an offence against the discipline of the Force) is brought against a member or cadet, the member or cadet shall, as soon as possible after the commencement of the proceedings, report the fact to the officer</w:t>
      </w:r>
      <w:r>
        <w:rPr>
          <w:snapToGrid w:val="0"/>
        </w:rPr>
        <w:noBreakHyphen/>
        <w:t>in</w:t>
      </w:r>
      <w:r>
        <w:rPr>
          <w:snapToGrid w:val="0"/>
        </w:rPr>
        <w:noBreakHyphen/>
        <w:t>charge of the region or the branch in which he is stationed.</w:t>
      </w:r>
    </w:p>
    <w:p>
      <w:pPr>
        <w:pStyle w:val="Subsection"/>
        <w:rPr>
          <w:snapToGrid w:val="0"/>
        </w:rPr>
      </w:pPr>
      <w:r>
        <w:rPr>
          <w:snapToGrid w:val="0"/>
        </w:rPr>
        <w:tab/>
        <w:t>(2)</w:t>
      </w:r>
      <w:r>
        <w:rPr>
          <w:snapToGrid w:val="0"/>
        </w:rPr>
        <w:tab/>
        <w:t>An officer</w:t>
      </w:r>
      <w:r>
        <w:rPr>
          <w:snapToGrid w:val="0"/>
        </w:rPr>
        <w:noBreakHyphen/>
        <w:t>in</w:t>
      </w:r>
      <w:r>
        <w:rPr>
          <w:snapToGrid w:val="0"/>
        </w:rPr>
        <w:noBreakHyphen/>
        <w:t>charge of a region or branch who receives a report pursuant to subregulation (1) shall immediately report the matter to the Commissioner.</w:t>
      </w:r>
    </w:p>
    <w:p>
      <w:pPr>
        <w:pStyle w:val="Heading2"/>
      </w:pPr>
      <w:bookmarkStart w:id="302" w:name="_Toc90976475"/>
      <w:bookmarkStart w:id="303" w:name="_Toc91044707"/>
      <w:bookmarkStart w:id="304" w:name="_Toc91044887"/>
      <w:bookmarkStart w:id="305" w:name="_Toc123621396"/>
      <w:bookmarkStart w:id="306" w:name="_Toc123622939"/>
      <w:bookmarkStart w:id="307" w:name="_Toc153957312"/>
      <w:bookmarkStart w:id="308" w:name="_Toc153958655"/>
      <w:bookmarkStart w:id="309" w:name="_Toc154478734"/>
      <w:bookmarkStart w:id="310" w:name="_Toc158523552"/>
      <w:r>
        <w:rPr>
          <w:rStyle w:val="CharPartNo"/>
        </w:rPr>
        <w:t>Part VIA</w:t>
      </w:r>
      <w:r>
        <w:rPr>
          <w:b w:val="0"/>
        </w:rPr>
        <w:t> </w:t>
      </w:r>
      <w:r>
        <w:t>—</w:t>
      </w:r>
      <w:r>
        <w:rPr>
          <w:b w:val="0"/>
        </w:rPr>
        <w:t> </w:t>
      </w:r>
      <w:r>
        <w:rPr>
          <w:rStyle w:val="CharPartText"/>
        </w:rPr>
        <w:t>Procedure relating to Part IIB of the Act</w:t>
      </w:r>
      <w:bookmarkEnd w:id="302"/>
      <w:bookmarkEnd w:id="303"/>
      <w:bookmarkEnd w:id="304"/>
      <w:bookmarkEnd w:id="305"/>
      <w:bookmarkEnd w:id="306"/>
      <w:bookmarkEnd w:id="307"/>
      <w:bookmarkEnd w:id="308"/>
      <w:bookmarkEnd w:id="309"/>
      <w:bookmarkEnd w:id="310"/>
    </w:p>
    <w:p>
      <w:pPr>
        <w:pStyle w:val="Footnotesection"/>
      </w:pPr>
      <w:r>
        <w:tab/>
        <w:t>[Heading inserted in Gazette 26 Aug 2003 p. 3758.]</w:t>
      </w:r>
    </w:p>
    <w:p>
      <w:pPr>
        <w:pStyle w:val="Heading5"/>
      </w:pPr>
      <w:bookmarkStart w:id="311" w:name="_Toc123622940"/>
      <w:bookmarkStart w:id="312" w:name="_Toc158523553"/>
      <w:r>
        <w:rPr>
          <w:rStyle w:val="CharSectno"/>
        </w:rPr>
        <w:t>6A01</w:t>
      </w:r>
      <w:r>
        <w:t>.</w:t>
      </w:r>
      <w:r>
        <w:tab/>
        <w:t>Interpretation</w:t>
      </w:r>
      <w:bookmarkEnd w:id="311"/>
      <w:bookmarkEnd w:id="312"/>
    </w:p>
    <w:p>
      <w:pPr>
        <w:pStyle w:val="Subsection"/>
      </w:pPr>
      <w:r>
        <w:tab/>
      </w:r>
      <w:r>
        <w:tab/>
        <w:t xml:space="preserve">In this Part, unless the contrary intention appears — </w:t>
      </w:r>
    </w:p>
    <w:p>
      <w:pPr>
        <w:pStyle w:val="Defstart"/>
      </w:pPr>
      <w:r>
        <w:rPr>
          <w:b/>
        </w:rPr>
        <w:tab/>
        <w:t>“</w:t>
      </w:r>
      <w:r>
        <w:rPr>
          <w:rStyle w:val="CharDefText"/>
        </w:rPr>
        <w:t>member</w:t>
      </w:r>
      <w:r>
        <w:rPr>
          <w:b/>
        </w:rPr>
        <w:t>”</w:t>
      </w:r>
      <w:r>
        <w:t xml:space="preserve"> has the same meaning as it has in section 33K of the Act;</w:t>
      </w:r>
    </w:p>
    <w:p>
      <w:pPr>
        <w:pStyle w:val="Defstart"/>
      </w:pPr>
      <w:r>
        <w:rPr>
          <w:b/>
        </w:rPr>
        <w:tab/>
        <w:t>“</w:t>
      </w:r>
      <w:r>
        <w:rPr>
          <w:rStyle w:val="CharDefText"/>
        </w:rPr>
        <w:t>notice</w:t>
      </w:r>
      <w:r>
        <w:rPr>
          <w:b/>
        </w:rPr>
        <w:t>”</w:t>
      </w:r>
      <w:r>
        <w:t xml:space="preserve"> means a notice given under section 33L(1) of the Act;</w:t>
      </w:r>
    </w:p>
    <w:p>
      <w:pPr>
        <w:pStyle w:val="Defstart"/>
      </w:pPr>
      <w:r>
        <w:rPr>
          <w:b/>
        </w:rPr>
        <w:tab/>
        <w:t>“</w:t>
      </w:r>
      <w:r>
        <w:rPr>
          <w:rStyle w:val="CharDefText"/>
        </w:rPr>
        <w:t>privilege</w:t>
      </w:r>
      <w:r>
        <w:rPr>
          <w:b/>
        </w:rPr>
        <w:t>”</w:t>
      </w:r>
      <w:r>
        <w:t xml:space="preserve"> means — </w:t>
      </w:r>
    </w:p>
    <w:p>
      <w:pPr>
        <w:pStyle w:val="Defpara"/>
      </w:pPr>
      <w:r>
        <w:tab/>
        <w:t>(a)</w:t>
      </w:r>
      <w:r>
        <w:tab/>
        <w:t>a privilege that would attach to documents prepared for the purpose of pending or contemplated proceedings or in connection with the obtaining or giving of legal advice;</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t>“</w:t>
      </w:r>
      <w:r>
        <w:rPr>
          <w:rStyle w:val="CharDefText"/>
        </w:rPr>
        <w:t>review officer</w:t>
      </w:r>
      <w:r>
        <w:rPr>
          <w:b/>
        </w:rPr>
        <w:t>”</w:t>
      </w:r>
      <w:r>
        <w:t xml:space="preserve"> means a person appointed under regulation 6A02.</w:t>
      </w:r>
    </w:p>
    <w:p>
      <w:pPr>
        <w:pStyle w:val="Footnotesection"/>
      </w:pPr>
      <w:r>
        <w:tab/>
        <w:t>[Regulation 6A01 inserted in Gazette 26 Aug 2003 p. 3758-9; amended in Gazette 15 Dec 2006 p. 5632.]</w:t>
      </w:r>
    </w:p>
    <w:p>
      <w:pPr>
        <w:pStyle w:val="Heading5"/>
      </w:pPr>
      <w:bookmarkStart w:id="313" w:name="_Toc123622941"/>
      <w:bookmarkStart w:id="314" w:name="_Toc158523554"/>
      <w:r>
        <w:rPr>
          <w:rStyle w:val="CharSectno"/>
        </w:rPr>
        <w:t>6A02</w:t>
      </w:r>
      <w:r>
        <w:t>.</w:t>
      </w:r>
      <w:r>
        <w:tab/>
        <w:t>Appointment of review officer</w:t>
      </w:r>
      <w:bookmarkEnd w:id="313"/>
      <w:bookmarkEnd w:id="314"/>
    </w:p>
    <w:p>
      <w:pPr>
        <w:pStyle w:val="Subsection"/>
      </w:pPr>
      <w:r>
        <w:tab/>
        <w:t>(1)</w:t>
      </w:r>
      <w:r>
        <w:tab/>
        <w:t>If a complaint or other information is received by the Commissioner or the Assistant Commissioner concerning a member’s integrity, honesty, competence, performance or conduct, the Commissioner or the Assistant Commissioner may appoint a review officer in relation to that member.</w:t>
      </w:r>
    </w:p>
    <w:p>
      <w:pPr>
        <w:pStyle w:val="Subsection"/>
      </w:pPr>
      <w:r>
        <w:tab/>
        <w:t>(2)</w:t>
      </w:r>
      <w:r>
        <w:tab/>
        <w:t>If practicable, a person is not to be appointed as a review officer in relation to a member if that person is or has been involved in an investigation that resulted in the complaint being made or the information being supplied to the Commissioner or the Assistant Commissioner.</w:t>
      </w:r>
    </w:p>
    <w:p>
      <w:pPr>
        <w:pStyle w:val="Footnotesection"/>
      </w:pPr>
      <w:r>
        <w:tab/>
        <w:t>[Regulation 6A02 inserted in Gazette 26 Aug 2003 p. 3759.]</w:t>
      </w:r>
    </w:p>
    <w:p>
      <w:pPr>
        <w:pStyle w:val="Heading5"/>
      </w:pPr>
      <w:bookmarkStart w:id="315" w:name="_Toc123622942"/>
      <w:bookmarkStart w:id="316" w:name="_Toc158523555"/>
      <w:r>
        <w:rPr>
          <w:rStyle w:val="CharSectno"/>
        </w:rPr>
        <w:t>6A03</w:t>
      </w:r>
      <w:r>
        <w:t>.</w:t>
      </w:r>
      <w:r>
        <w:tab/>
        <w:t>Role of review officer</w:t>
      </w:r>
      <w:bookmarkEnd w:id="315"/>
      <w:bookmarkEnd w:id="316"/>
    </w:p>
    <w:p>
      <w:pPr>
        <w:pStyle w:val="Subsection"/>
      </w:pPr>
      <w:r>
        <w:tab/>
        <w:t>(1)</w:t>
      </w:r>
      <w:r>
        <w:tab/>
        <w:t xml:space="preserve">In subregulation (2) — </w:t>
      </w:r>
    </w:p>
    <w:p>
      <w:pPr>
        <w:pStyle w:val="Defstart"/>
      </w:pPr>
      <w:r>
        <w:rPr>
          <w:b/>
        </w:rPr>
        <w:tab/>
        <w:t>“</w:t>
      </w:r>
      <w:r>
        <w:rPr>
          <w:rStyle w:val="CharDefText"/>
        </w:rPr>
        <w:t>relevant materials</w:t>
      </w:r>
      <w:r>
        <w:rPr>
          <w:b/>
        </w:rPr>
        <w:t>”</w:t>
      </w:r>
      <w:r>
        <w:t xml:space="preserve"> means materials relevant to issues identified in the Summary of Investigation concerning the member.</w:t>
      </w:r>
    </w:p>
    <w:p>
      <w:pPr>
        <w:pStyle w:val="Subsection"/>
      </w:pPr>
      <w:r>
        <w:tab/>
        <w:t>(2)</w:t>
      </w:r>
      <w:r>
        <w:tab/>
        <w:t xml:space="preserve">The review officer shall conduct an inquiry into the member referred to in regulation 6A02(1) and prepare — </w:t>
      </w:r>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The review officer is subject to the direction of the Assistant Commissioner in conducting the inquiry and preparing the Summary of Investigation and Inspection List.</w:t>
      </w:r>
    </w:p>
    <w:p>
      <w:pPr>
        <w:pStyle w:val="Footnotesection"/>
      </w:pPr>
      <w:r>
        <w:tab/>
        <w:t>[Regulation 6A03 inserted in Gazette 26 Aug 2003 p. 3759-60.]</w:t>
      </w:r>
    </w:p>
    <w:p>
      <w:pPr>
        <w:pStyle w:val="Heading5"/>
      </w:pPr>
      <w:bookmarkStart w:id="317" w:name="_Toc123622943"/>
      <w:bookmarkStart w:id="318" w:name="_Toc158523556"/>
      <w:r>
        <w:rPr>
          <w:rStyle w:val="CharSectno"/>
        </w:rPr>
        <w:t>6A04</w:t>
      </w:r>
      <w:r>
        <w:t>.</w:t>
      </w:r>
      <w:r>
        <w:tab/>
        <w:t>Provision of materials to the Commissioner</w:t>
      </w:r>
      <w:bookmarkEnd w:id="317"/>
      <w:bookmarkEnd w:id="318"/>
    </w:p>
    <w:p>
      <w:pPr>
        <w:pStyle w:val="Subsection"/>
      </w:pPr>
      <w:r>
        <w:tab/>
        <w:t>(1)</w:t>
      </w:r>
      <w:r>
        <w:tab/>
        <w:t xml:space="preserve">When the review officer completes his or her inquiry, the review officer or the Assistant Commissioner shall provide the Commissioner with — </w:t>
      </w:r>
    </w:p>
    <w:p>
      <w:pPr>
        <w:pStyle w:val="Indenta"/>
      </w:pPr>
      <w:r>
        <w:tab/>
        <w:t>(a)</w:t>
      </w:r>
      <w:r>
        <w:tab/>
        <w:t>the Summary of Investigation;</w:t>
      </w:r>
    </w:p>
    <w:p>
      <w:pPr>
        <w:pStyle w:val="Indenta"/>
      </w:pPr>
      <w:r>
        <w:tab/>
        <w:t>(b)</w:t>
      </w:r>
      <w:r>
        <w:tab/>
        <w:t>the Inspection List; and</w:t>
      </w:r>
    </w:p>
    <w:p>
      <w:pPr>
        <w:pStyle w:val="Indenta"/>
      </w:pPr>
      <w:r>
        <w:tab/>
        <w:t>(c)</w:t>
      </w:r>
      <w:r>
        <w:tab/>
        <w:t>any material referred to in the Inspection List that the review officer or the Assistant Commissioner considers appropriate.</w:t>
      </w:r>
    </w:p>
    <w:p>
      <w:pPr>
        <w:pStyle w:val="Subsection"/>
      </w:pPr>
      <w:r>
        <w:tab/>
        <w:t>(2)</w:t>
      </w:r>
      <w:r>
        <w:tab/>
        <w:t>Before the Commissioner decides whether or not to issue a notice, the Commissioner or the Assistant Commissioner may cause further materials, including written reports, to be provided to the Commissioner.</w:t>
      </w:r>
    </w:p>
    <w:p>
      <w:pPr>
        <w:pStyle w:val="Subsection"/>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pPr>
      <w:r>
        <w:tab/>
        <w:t>(4)</w:t>
      </w:r>
      <w:r>
        <w:tab/>
        <w:t>The Commissioner’s direction may include a direction as to the matters to be investigated and included in the supplementary Summary of Investigation.</w:t>
      </w:r>
    </w:p>
    <w:p>
      <w:pPr>
        <w:pStyle w:val="Footnotesection"/>
      </w:pPr>
      <w:r>
        <w:tab/>
        <w:t>[Regulation 6A04 inserted in Gazette 26 Aug 2003 p. 3760.]</w:t>
      </w:r>
    </w:p>
    <w:p>
      <w:pPr>
        <w:pStyle w:val="Heading5"/>
      </w:pPr>
      <w:bookmarkStart w:id="319" w:name="_Toc123622944"/>
      <w:bookmarkStart w:id="320" w:name="_Toc158523557"/>
      <w:r>
        <w:rPr>
          <w:rStyle w:val="CharSectno"/>
        </w:rPr>
        <w:t>6A05</w:t>
      </w:r>
      <w:r>
        <w:t>.</w:t>
      </w:r>
      <w:r>
        <w:tab/>
        <w:t>Notice for purpose of section 33L(1) of the Act</w:t>
      </w:r>
      <w:bookmarkEnd w:id="319"/>
      <w:bookmarkEnd w:id="320"/>
    </w:p>
    <w:p>
      <w:pPr>
        <w:pStyle w:val="Subsection"/>
      </w:pPr>
      <w:r>
        <w:tab/>
        <w:t>(1)</w:t>
      </w:r>
      <w:r>
        <w:tab/>
        <w:t xml:space="preserve">Apart from the matter set out in section 33L(1) of the Act, a notice shall — </w:t>
      </w:r>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pPr>
      <w:r>
        <w:tab/>
        <w:t>(2)</w:t>
      </w:r>
      <w:r>
        <w:tab/>
        <w:t xml:space="preserve">As soon as practicable after the Commissioner gives a notice to a member, the Commissioner shall — </w:t>
      </w:r>
    </w:p>
    <w:p>
      <w:pPr>
        <w:pStyle w:val="Indenta"/>
      </w:pPr>
      <w:r>
        <w:tab/>
        <w:t>(a)</w:t>
      </w:r>
      <w:r>
        <w:tab/>
        <w:t xml:space="preserve">provide to the member a copy of any of the following documents relating to the decision to give the notice — </w:t>
      </w:r>
    </w:p>
    <w:p>
      <w:pPr>
        <w:pStyle w:val="Indenti"/>
      </w:pPr>
      <w:r>
        <w:tab/>
        <w:t>(i)</w:t>
      </w:r>
      <w:r>
        <w:tab/>
        <w:t>the Summary of Investigation and any supplementary Summary of Investigation;</w:t>
      </w:r>
    </w:p>
    <w:p>
      <w:pPr>
        <w:pStyle w:val="Indenti"/>
      </w:pPr>
      <w:r>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 6A05 inserted in Gazette 26 Aug 2003 p. 3760-1.]</w:t>
      </w:r>
    </w:p>
    <w:p>
      <w:pPr>
        <w:pStyle w:val="Heading5"/>
      </w:pPr>
      <w:bookmarkStart w:id="321" w:name="_Toc123622945"/>
      <w:bookmarkStart w:id="322" w:name="_Toc158523558"/>
      <w:r>
        <w:rPr>
          <w:rStyle w:val="CharSectno"/>
        </w:rPr>
        <w:t>6A06</w:t>
      </w:r>
      <w:r>
        <w:t>.</w:t>
      </w:r>
      <w:r>
        <w:tab/>
        <w:t>Access to material</w:t>
      </w:r>
      <w:bookmarkEnd w:id="321"/>
      <w:bookmarkEnd w:id="322"/>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pPr>
      <w:r>
        <w:tab/>
        <w:t>(2)</w:t>
      </w:r>
      <w:r>
        <w:tab/>
        <w:t xml:space="preserve">If a member who has been given a notice wishes to inspect any material, other than material provided to the member under these regulations, that — </w:t>
      </w:r>
    </w:p>
    <w:p>
      <w:pPr>
        <w:pStyle w:val="Indenta"/>
      </w:pPr>
      <w:r>
        <w:tab/>
        <w:t>(a)</w:t>
      </w:r>
      <w:r>
        <w:tab/>
        <w:t>the member has seen or created in the course of his or her duties as a member; and</w:t>
      </w:r>
    </w:p>
    <w:p>
      <w:pPr>
        <w:pStyle w:val="Indenta"/>
      </w:pPr>
      <w:r>
        <w:tab/>
        <w:t>(b)</w:t>
      </w:r>
      <w:r>
        <w:tab/>
        <w:t xml:space="preserve">is relevant to issues concerning the member referred to in the notice, </w:t>
      </w:r>
    </w:p>
    <w:p>
      <w:pPr>
        <w:pStyle w:val="Subsection"/>
      </w:pPr>
      <w:r>
        <w:tab/>
      </w:r>
      <w:r>
        <w:tab/>
        <w:t>the member may make a request in writing to the Assistant Commissioner for permission to inspect that material.</w:t>
      </w:r>
    </w:p>
    <w:p>
      <w:pPr>
        <w:pStyle w:val="Subsection"/>
      </w:pPr>
      <w:r>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 6A06 inserted in Gazette 26 Aug 2003 p. 3761.]</w:t>
      </w:r>
    </w:p>
    <w:p>
      <w:pPr>
        <w:pStyle w:val="Heading5"/>
      </w:pPr>
      <w:bookmarkStart w:id="323" w:name="_Toc123622946"/>
      <w:bookmarkStart w:id="324" w:name="_Toc158523559"/>
      <w:r>
        <w:rPr>
          <w:rStyle w:val="CharSectno"/>
        </w:rPr>
        <w:t>6A07</w:t>
      </w:r>
      <w:r>
        <w:t>.</w:t>
      </w:r>
      <w:r>
        <w:tab/>
        <w:t>Commissioner’s assessment of the member’s submission</w:t>
      </w:r>
      <w:bookmarkEnd w:id="323"/>
      <w:bookmarkEnd w:id="324"/>
    </w:p>
    <w:p>
      <w:pPr>
        <w:pStyle w:val="Subsection"/>
      </w:pPr>
      <w:r>
        <w:tab/>
        <w:t>(1)</w:t>
      </w:r>
      <w:r>
        <w:tab/>
        <w:t>If the Commissioner receives a submission from a member under section 33L(2) of the Act, the Commissioner or the Assistant Commissioner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If the Commissioner decides that a further period for investigation or analysis is required, the Commissioner shall endeavour to cause that investigation or analysis to be completed within 7 weeks of receiving the member’s submission.</w:t>
      </w:r>
    </w:p>
    <w:p>
      <w:pPr>
        <w:pStyle w:val="Subsection"/>
      </w:pPr>
      <w:r>
        <w:tab/>
        <w:t>(4)</w:t>
      </w:r>
      <w:r>
        <w:tab/>
        <w:t xml:space="preserve">If the further investigation or analysis cannot be completed within the period referred to in subregulation (3), the Commissioner shall give the member a notice stating — </w:t>
      </w:r>
    </w:p>
    <w:p>
      <w:pPr>
        <w:pStyle w:val="Indenta"/>
      </w:pPr>
      <w:r>
        <w:tab/>
        <w:t>(a)</w:t>
      </w:r>
      <w:r>
        <w:tab/>
        <w:t>the reasons for the further investigation or analysis;</w:t>
      </w:r>
    </w:p>
    <w:p>
      <w:pPr>
        <w:pStyle w:val="Indenta"/>
      </w:pPr>
      <w:r>
        <w:tab/>
        <w:t>(b)</w:t>
      </w:r>
      <w:r>
        <w:tab/>
        <w:t>the period of time required to complete the further investigation or analysis; and</w:t>
      </w:r>
    </w:p>
    <w:p>
      <w:pPr>
        <w:pStyle w:val="Indenta"/>
      </w:pPr>
      <w:r>
        <w:tab/>
        <w:t>(c)</w:t>
      </w:r>
      <w:r>
        <w:tab/>
        <w:t>the reason for the need for that period of time.</w:t>
      </w:r>
    </w:p>
    <w:p>
      <w:pPr>
        <w:pStyle w:val="Subsection"/>
      </w:pPr>
      <w:r>
        <w:tab/>
        <w:t>(5)</w:t>
      </w:r>
      <w:r>
        <w:tab/>
      </w:r>
      <w:r>
        <w:rPr>
          <w:snapToGrid w:val="0"/>
          <w:lang w:val="en-US"/>
        </w:rPr>
        <w:t>Despite deciding under section 33L(3)(a) of the Act not to take removal action, the Commissioner may consider whether or not the member’s performance or conduct warrants other action being taken in relation to the member under the Act or these regulations.</w:t>
      </w:r>
    </w:p>
    <w:p>
      <w:pPr>
        <w:pStyle w:val="Footnotesection"/>
      </w:pPr>
      <w:r>
        <w:tab/>
        <w:t>[Regulation 6A07 inserted in Gazette 26 Aug 2003 p. 3761-2.]</w:t>
      </w:r>
    </w:p>
    <w:p>
      <w:pPr>
        <w:pStyle w:val="Heading5"/>
      </w:pPr>
      <w:bookmarkStart w:id="325" w:name="_Toc123622947"/>
      <w:bookmarkStart w:id="326" w:name="_Toc158523560"/>
      <w:r>
        <w:rPr>
          <w:rStyle w:val="CharSectno"/>
        </w:rPr>
        <w:t>6A08</w:t>
      </w:r>
      <w:r>
        <w:t>.</w:t>
      </w:r>
      <w:r>
        <w:tab/>
        <w:t>Further ground for removal, or revocation of appointment</w:t>
      </w:r>
      <w:bookmarkEnd w:id="325"/>
      <w:bookmarkEnd w:id="326"/>
    </w:p>
    <w:p>
      <w:pPr>
        <w:pStyle w:val="Subsection"/>
      </w:pPr>
      <w:r>
        <w:tab/>
        <w:t>(1)</w:t>
      </w:r>
      <w:r>
        <w:tab/>
        <w:t xml:space="preserve">If during an assessment under this Part the Commissioner concludes that he or she has lost confidence in the suitability of the member the subject of the assessment to continue as a member on a ground other than a ground set out in the notice the Commissioner shall — </w:t>
      </w:r>
    </w:p>
    <w:p>
      <w:pPr>
        <w:pStyle w:val="Indenta"/>
      </w:pPr>
      <w:r>
        <w:tab/>
        <w:t>(a)</w:t>
      </w:r>
      <w:r>
        <w:tab/>
        <w:t>give the member notice in writing of the further ground;</w:t>
      </w:r>
    </w:p>
    <w:p>
      <w:pPr>
        <w:pStyle w:val="Indenta"/>
      </w:pPr>
      <w:r>
        <w:tab/>
        <w:t>(b)</w:t>
      </w:r>
      <w:r>
        <w:tab/>
        <w:t xml:space="preserve">provide to the member a copy of any documents and make available for inspection any other materials that have been examined and taken into account by the Commissioner during the assessment under this Part with the exception of — </w:t>
      </w:r>
    </w:p>
    <w:p>
      <w:pPr>
        <w:pStyle w:val="Indenti"/>
      </w:pPr>
      <w:r>
        <w:tab/>
        <w:t>(i)</w:t>
      </w:r>
      <w:r>
        <w:tab/>
        <w:t>those documents copies of which have already been given to the member or materials which have already been made available for inspection by the member under this Part; and</w:t>
      </w:r>
    </w:p>
    <w:p>
      <w:pPr>
        <w:pStyle w:val="Indenti"/>
      </w:pPr>
      <w:r>
        <w:tab/>
        <w:t>(ii)</w:t>
      </w:r>
      <w:r>
        <w:tab/>
        <w:t>privileged documents or materials;</w:t>
      </w:r>
    </w:p>
    <w:p>
      <w:pPr>
        <w:pStyle w:val="Indenta"/>
      </w:pPr>
      <w:r>
        <w:tab/>
      </w:r>
      <w:r>
        <w:tab/>
        <w:t>and</w:t>
      </w:r>
    </w:p>
    <w:p>
      <w:pPr>
        <w:pStyle w:val="Indenta"/>
      </w:pPr>
      <w:r>
        <w:tab/>
        <w:t>(c)</w:t>
      </w:r>
      <w:r>
        <w:tab/>
        <w:t>allow the member a specified period to provide a response to the further ground.</w:t>
      </w:r>
    </w:p>
    <w:p>
      <w:pPr>
        <w:pStyle w:val="Subsection"/>
      </w:pPr>
      <w:r>
        <w:tab/>
        <w:t>(2)</w:t>
      </w:r>
      <w:r>
        <w:tab/>
        <w:t xml:space="preserve">For the purpose of subregulation (1), the specified period is — </w:t>
      </w:r>
    </w:p>
    <w:p>
      <w:pPr>
        <w:pStyle w:val="Indenta"/>
      </w:pPr>
      <w:r>
        <w:tab/>
        <w:t>(a)</w:t>
      </w:r>
      <w:r>
        <w:tab/>
        <w:t>the period of 21 days beginning on the day on which the member is given the notice of the further ground or copies of documents under subregulation (1), whichever is the later; or</w:t>
      </w:r>
    </w:p>
    <w:p>
      <w:pPr>
        <w:pStyle w:val="Indenta"/>
      </w:pPr>
      <w:r>
        <w:tab/>
        <w:t>(b)</w:t>
      </w:r>
      <w:r>
        <w:tab/>
        <w:t>such other longer period as the Commissioner may approve on an application made before the expiration of the period referred to in paragraph (a).</w:t>
      </w:r>
    </w:p>
    <w:p>
      <w:pPr>
        <w:pStyle w:val="Subsection"/>
      </w:pPr>
      <w:r>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 6A08 inserted in Gazette 26 Aug 2003 p. 3762-3.]</w:t>
      </w:r>
    </w:p>
    <w:p>
      <w:pPr>
        <w:pStyle w:val="Heading5"/>
      </w:pPr>
      <w:bookmarkStart w:id="327" w:name="_Toc123622948"/>
      <w:bookmarkStart w:id="328" w:name="_Toc158523561"/>
      <w:r>
        <w:rPr>
          <w:rStyle w:val="CharSectno"/>
        </w:rPr>
        <w:t>6A09</w:t>
      </w:r>
      <w:r>
        <w:t>.</w:t>
      </w:r>
      <w:r>
        <w:tab/>
        <w:t>Notice of Commissioner’s recommendation or revocation of appointment of aboriginal aide</w:t>
      </w:r>
      <w:bookmarkEnd w:id="327"/>
      <w:bookmarkEnd w:id="328"/>
    </w:p>
    <w:p>
      <w:pPr>
        <w:pStyle w:val="Subsection"/>
      </w:pPr>
      <w:r>
        <w:tab/>
        <w:t>(1)</w:t>
      </w:r>
      <w:r>
        <w:tab/>
        <w:t>A notice under section 33L(3)(b) of the Act shall be given to the member within 7 days of the making of the decision to take removal action.</w:t>
      </w:r>
    </w:p>
    <w:p>
      <w:pPr>
        <w:pStyle w:val="Subsection"/>
      </w:pPr>
      <w:r>
        <w:tab/>
        <w:t>(2)</w:t>
      </w:r>
      <w:r>
        <w:tab/>
        <w:t xml:space="preserve">The Commissioner is not required to comply with section 33L(5)(b) of the Act — </w:t>
      </w:r>
    </w:p>
    <w:p>
      <w:pPr>
        <w:pStyle w:val="Indenta"/>
      </w:pPr>
      <w:r>
        <w:tab/>
        <w:t>(a)</w:t>
      </w:r>
      <w:r>
        <w:tab/>
        <w:t>to the extent that he or she has already provided the member with a copy of the documents or made available 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tab/>
        <w:t>(4)</w:t>
      </w:r>
      <w:r>
        <w:tab/>
        <w:t>Subregulation (3) does not apply if the Commissioner has already advised the member under this Part of the ground for the documents or materials being privileged.</w:t>
      </w:r>
    </w:p>
    <w:p>
      <w:pPr>
        <w:pStyle w:val="Footnotesection"/>
      </w:pPr>
      <w:r>
        <w:tab/>
        <w:t>[Regulation 6A09 inserted in Gazette 26 Aug 2003 p. 3763.]</w:t>
      </w:r>
    </w:p>
    <w:p>
      <w:pPr>
        <w:pStyle w:val="Heading5"/>
      </w:pPr>
      <w:bookmarkStart w:id="329" w:name="_Toc123622949"/>
      <w:bookmarkStart w:id="330" w:name="_Toc158523562"/>
      <w:r>
        <w:rPr>
          <w:rStyle w:val="CharSectno"/>
        </w:rPr>
        <w:t>6A10</w:t>
      </w:r>
      <w:r>
        <w:t>.</w:t>
      </w:r>
      <w:r>
        <w:tab/>
        <w:t>Services of notices or documents</w:t>
      </w:r>
      <w:bookmarkEnd w:id="329"/>
      <w:bookmarkEnd w:id="330"/>
    </w:p>
    <w:p>
      <w:pPr>
        <w:pStyle w:val="Subsection"/>
      </w:pPr>
      <w:r>
        <w:tab/>
        <w:t>(1)</w:t>
      </w:r>
      <w:r>
        <w:tab/>
        <w:t xml:space="preserve">If a notice or document is required to be given to a member under Part IIB of the Act or this Part, service may be effected on the member — </w:t>
      </w:r>
    </w:p>
    <w:p>
      <w:pPr>
        <w:pStyle w:val="Indenta"/>
      </w:pPr>
      <w:r>
        <w:tab/>
        <w:t>(a)</w:t>
      </w:r>
      <w:r>
        <w:tab/>
        <w:t>by delivering it to the member personally;</w:t>
      </w:r>
    </w:p>
    <w:p>
      <w:pPr>
        <w:pStyle w:val="Indenta"/>
      </w:pPr>
      <w:r>
        <w:tab/>
        <w:t>(b)</w:t>
      </w:r>
      <w:r>
        <w:tab/>
        <w:t>by properly addressing and posting it (by pre</w:t>
      </w:r>
      <w:r>
        <w:noBreakHyphen/>
        <w:t>paid post) as a letter to the usual or last known place of abode of the member or address for service given by the member in writing to the Assistant Commissioner;</w:t>
      </w:r>
    </w:p>
    <w:p>
      <w:pPr>
        <w:pStyle w:val="Indenta"/>
      </w:pPr>
      <w:r>
        <w:tab/>
        <w:t>(c)</w:t>
      </w:r>
      <w:r>
        <w:tab/>
        <w:t>by leaving it for the member at his or her usual or last known place of abode; or</w:t>
      </w:r>
    </w:p>
    <w:p>
      <w:pPr>
        <w:pStyle w:val="Indenta"/>
      </w:pPr>
      <w:r>
        <w:tab/>
        <w:t>(d)</w:t>
      </w:r>
      <w:r>
        <w:tab/>
        <w:t>by leaving if for the member at an address for service given by the member in writing to the Assistant Commissioner.</w:t>
      </w:r>
    </w:p>
    <w:p>
      <w:pPr>
        <w:pStyle w:val="Subsection"/>
      </w:pPr>
      <w:r>
        <w:tab/>
        <w:t>(2)</w:t>
      </w:r>
      <w:r>
        <w:tab/>
        <w:t xml:space="preserve">Service under subregulation (1) is to be taken to be effected — </w:t>
      </w:r>
    </w:p>
    <w:p>
      <w:pPr>
        <w:pStyle w:val="Indenta"/>
      </w:pPr>
      <w:r>
        <w:tab/>
        <w:t>(a)</w:t>
      </w:r>
      <w:r>
        <w:tab/>
        <w:t>in the case of service under subregulation (1)(a), at the time of delivery to the member;</w:t>
      </w:r>
    </w:p>
    <w:p>
      <w:pPr>
        <w:pStyle w:val="Indenta"/>
      </w:pPr>
      <w:r>
        <w:tab/>
        <w:t>(b)</w:t>
      </w:r>
      <w:r>
        <w:tab/>
        <w:t>in the case of service under subregulation (1)(b), at the time when the letter would have been delivered in the ordinary course of post;</w:t>
      </w:r>
    </w:p>
    <w:p>
      <w:pPr>
        <w:pStyle w:val="Indenta"/>
      </w:pPr>
      <w:r>
        <w:tab/>
        <w:t>(c)</w:t>
      </w:r>
      <w:r>
        <w:tab/>
        <w:t>in the case of service under subregulation (1)(c), at the time it is left at the abode; or</w:t>
      </w:r>
    </w:p>
    <w:p>
      <w:pPr>
        <w:pStyle w:val="Indenta"/>
      </w:pPr>
      <w:r>
        <w:tab/>
        <w:t>(d)</w:t>
      </w:r>
      <w:r>
        <w:tab/>
        <w:t>in the case of service under subregulation (1)(d), at the time it is left at the address given to the Assistant Commissioner.</w:t>
      </w:r>
    </w:p>
    <w:p>
      <w:pPr>
        <w:pStyle w:val="Footnotesection"/>
      </w:pPr>
      <w:r>
        <w:tab/>
        <w:t>[Regulation 6A10 inserted in Gazette 26 Aug 2003 p. 3764.]</w:t>
      </w:r>
    </w:p>
    <w:p>
      <w:pPr>
        <w:pStyle w:val="Heading5"/>
      </w:pPr>
      <w:bookmarkStart w:id="331" w:name="_Toc123622950"/>
      <w:bookmarkStart w:id="332" w:name="_Toc158523563"/>
      <w:r>
        <w:rPr>
          <w:rStyle w:val="CharSectno"/>
        </w:rPr>
        <w:t>6A11</w:t>
      </w:r>
      <w:r>
        <w:t>.</w:t>
      </w:r>
      <w:r>
        <w:tab/>
        <w:t>Members unfit for further active service</w:t>
      </w:r>
      <w:bookmarkEnd w:id="331"/>
      <w:bookmarkEnd w:id="332"/>
    </w:p>
    <w:p>
      <w:pPr>
        <w:pStyle w:val="Subsection"/>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 6A11 inserted in Gazette 26 Aug 2003 p. 3764.]</w:t>
      </w:r>
    </w:p>
    <w:p>
      <w:pPr>
        <w:pStyle w:val="Heading5"/>
      </w:pPr>
      <w:bookmarkStart w:id="333" w:name="_Toc123622951"/>
      <w:bookmarkStart w:id="334" w:name="_Toc158523564"/>
      <w:r>
        <w:rPr>
          <w:rStyle w:val="CharSectno"/>
        </w:rPr>
        <w:t>6A12</w:t>
      </w:r>
      <w:r>
        <w:t>.</w:t>
      </w:r>
      <w:r>
        <w:tab/>
        <w:t>Restriction on suspending member’s pay</w:t>
      </w:r>
      <w:bookmarkEnd w:id="333"/>
      <w:bookmarkEnd w:id="334"/>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 6A12 inserted in Gazette 26 Aug 2003 p. 3764.]</w:t>
      </w:r>
    </w:p>
    <w:p>
      <w:pPr>
        <w:pStyle w:val="Ednotepart"/>
      </w:pPr>
      <w:r>
        <w:t>[Part VII (r. 701</w:t>
      </w:r>
      <w:r>
        <w:noBreakHyphen/>
        <w:t>8) repealed in Gazette 22 Dec 2006 p. 5823.]</w:t>
      </w:r>
    </w:p>
    <w:p>
      <w:pPr>
        <w:pStyle w:val="Ednotepart"/>
      </w:pPr>
      <w:r>
        <w:t>[Part VIIA repealed in Gazette 17 Mar 1995 p. 1055.]</w:t>
      </w:r>
    </w:p>
    <w:p>
      <w:pPr>
        <w:pStyle w:val="Heading2"/>
      </w:pPr>
      <w:bookmarkStart w:id="335" w:name="_Toc90976497"/>
      <w:bookmarkStart w:id="336" w:name="_Toc91044729"/>
      <w:bookmarkStart w:id="337" w:name="_Toc91044909"/>
      <w:bookmarkStart w:id="338" w:name="_Toc123621418"/>
      <w:bookmarkStart w:id="339" w:name="_Toc123622961"/>
      <w:bookmarkStart w:id="340" w:name="_Toc153957334"/>
      <w:bookmarkStart w:id="341" w:name="_Toc153958677"/>
      <w:bookmarkStart w:id="342" w:name="_Toc154478747"/>
      <w:bookmarkStart w:id="343" w:name="_Toc158523565"/>
      <w:r>
        <w:rPr>
          <w:rStyle w:val="CharPartNo"/>
        </w:rPr>
        <w:t>Part VIII</w:t>
      </w:r>
      <w:r>
        <w:rPr>
          <w:rStyle w:val="CharDivText"/>
        </w:rPr>
        <w:t> </w:t>
      </w:r>
      <w:r>
        <w:t>—</w:t>
      </w:r>
      <w:r>
        <w:rPr>
          <w:rStyle w:val="CharDivText"/>
        </w:rPr>
        <w:t> </w:t>
      </w:r>
      <w:r>
        <w:rPr>
          <w:rStyle w:val="CharPartText"/>
        </w:rPr>
        <w:t>Seniority</w:t>
      </w:r>
      <w:bookmarkEnd w:id="335"/>
      <w:bookmarkEnd w:id="336"/>
      <w:bookmarkEnd w:id="337"/>
      <w:bookmarkEnd w:id="338"/>
      <w:bookmarkEnd w:id="339"/>
      <w:bookmarkEnd w:id="340"/>
      <w:bookmarkEnd w:id="341"/>
      <w:bookmarkEnd w:id="342"/>
      <w:bookmarkEnd w:id="343"/>
      <w:r>
        <w:rPr>
          <w:rStyle w:val="CharPartText"/>
        </w:rPr>
        <w:t xml:space="preserve"> </w:t>
      </w:r>
    </w:p>
    <w:p>
      <w:pPr>
        <w:pStyle w:val="Footnoteheading"/>
        <w:rPr>
          <w:snapToGrid w:val="0"/>
        </w:rPr>
      </w:pPr>
      <w:r>
        <w:rPr>
          <w:snapToGrid w:val="0"/>
        </w:rPr>
        <w:tab/>
        <w:t xml:space="preserve">[Heading amended in Gazette 30 Mar 1990 p. 1665; 21 Aug 1998 p. 4678.] </w:t>
      </w:r>
    </w:p>
    <w:p>
      <w:pPr>
        <w:pStyle w:val="Heading5"/>
        <w:rPr>
          <w:snapToGrid w:val="0"/>
        </w:rPr>
      </w:pPr>
      <w:bookmarkStart w:id="344" w:name="_Toc500034733"/>
      <w:bookmarkStart w:id="345" w:name="_Toc515769531"/>
      <w:bookmarkStart w:id="346" w:name="_Toc522083212"/>
      <w:bookmarkStart w:id="347" w:name="_Toc123622962"/>
      <w:bookmarkStart w:id="348" w:name="_Toc158523566"/>
      <w:r>
        <w:rPr>
          <w:rStyle w:val="CharSectno"/>
        </w:rPr>
        <w:t>801</w:t>
      </w:r>
      <w:r>
        <w:rPr>
          <w:snapToGrid w:val="0"/>
        </w:rPr>
        <w:t>.</w:t>
      </w:r>
      <w:r>
        <w:rPr>
          <w:snapToGrid w:val="0"/>
        </w:rPr>
        <w:tab/>
        <w:t>Interpretation</w:t>
      </w:r>
      <w:bookmarkEnd w:id="344"/>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Register</w:t>
      </w:r>
      <w:r>
        <w:rPr>
          <w:b/>
        </w:rPr>
        <w:t>”</w:t>
      </w:r>
      <w:r>
        <w:t xml:space="preserve"> means the Register of Training and Education Qualifications established pursuant to regulation 803;</w:t>
      </w:r>
    </w:p>
    <w:p>
      <w:pPr>
        <w:pStyle w:val="Defstart"/>
      </w:pPr>
      <w:r>
        <w:rPr>
          <w:b/>
        </w:rPr>
        <w:tab/>
        <w:t>“</w:t>
      </w:r>
      <w:r>
        <w:rPr>
          <w:rStyle w:val="CharDefText"/>
        </w:rPr>
        <w:t>Seniority List</w:t>
      </w:r>
      <w:r>
        <w:rPr>
          <w:b/>
        </w:rPr>
        <w:t>”</w:t>
      </w:r>
      <w:r>
        <w:t xml:space="preserve"> means the General Seniority List established pursuant to regulation 804.</w:t>
      </w:r>
    </w:p>
    <w:p>
      <w:pPr>
        <w:pStyle w:val="Footnotesection"/>
      </w:pPr>
      <w:r>
        <w:tab/>
        <w:t xml:space="preserve">[Regulation 801 amended in Gazette 7 Dec 1984 p. 4024; 24 Apr 1986 p. 1476; 30 Mar 1990 p. 1655; 14 Jul 1992 p. 3369; 21 Aug 1998 p. 4678.] </w:t>
      </w:r>
    </w:p>
    <w:p>
      <w:pPr>
        <w:pStyle w:val="Heading5"/>
      </w:pPr>
      <w:bookmarkStart w:id="349" w:name="_Toc500034734"/>
      <w:bookmarkStart w:id="350" w:name="_Toc515769532"/>
      <w:bookmarkStart w:id="351" w:name="_Toc522083213"/>
      <w:bookmarkStart w:id="352" w:name="_Toc123622963"/>
      <w:bookmarkStart w:id="353" w:name="_Toc158523567"/>
      <w:r>
        <w:rPr>
          <w:rStyle w:val="CharSectno"/>
        </w:rPr>
        <w:t>802</w:t>
      </w:r>
      <w:r>
        <w:t>.</w:t>
      </w:r>
      <w:r>
        <w:tab/>
        <w:t>Regulations not to affect power conferred on the Governor, Commissioner or Award</w:t>
      </w:r>
      <w:bookmarkEnd w:id="349"/>
      <w:bookmarkEnd w:id="350"/>
      <w:bookmarkEnd w:id="351"/>
      <w:bookmarkEnd w:id="352"/>
      <w:bookmarkEnd w:id="353"/>
    </w:p>
    <w:p>
      <w:pPr>
        <w:pStyle w:val="Subsection"/>
      </w:pPr>
      <w:r>
        <w:tab/>
      </w:r>
      <w:r>
        <w:tab/>
        <w:t>Nothing in these regulations affects — </w:t>
      </w:r>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rPr>
          <w:snapToGrid w:val="0"/>
        </w:rPr>
      </w:pPr>
      <w:r>
        <w:rPr>
          <w:snapToGrid w:val="0"/>
        </w:rPr>
        <w:tab/>
        <w:t>(b)</w:t>
      </w:r>
      <w:r>
        <w:rPr>
          <w:snapToGrid w:val="0"/>
        </w:rPr>
        <w:tab/>
        <w:t>anything contained in the Award.</w:t>
      </w:r>
    </w:p>
    <w:p>
      <w:pPr>
        <w:pStyle w:val="Heading5"/>
        <w:rPr>
          <w:snapToGrid w:val="0"/>
        </w:rPr>
      </w:pPr>
      <w:bookmarkStart w:id="354" w:name="_Toc500034735"/>
      <w:bookmarkStart w:id="355" w:name="_Toc515769533"/>
      <w:bookmarkStart w:id="356" w:name="_Toc522083214"/>
      <w:bookmarkStart w:id="357" w:name="_Toc123622964"/>
      <w:bookmarkStart w:id="358" w:name="_Toc158523568"/>
      <w:r>
        <w:rPr>
          <w:rStyle w:val="CharSectno"/>
        </w:rPr>
        <w:t>803</w:t>
      </w:r>
      <w:r>
        <w:rPr>
          <w:snapToGrid w:val="0"/>
        </w:rPr>
        <w:t>.</w:t>
      </w:r>
      <w:r>
        <w:rPr>
          <w:snapToGrid w:val="0"/>
        </w:rPr>
        <w:tab/>
        <w:t>Register of Training and Education Qualifications</w:t>
      </w:r>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rPr>
          <w:snapToGrid w:val="0"/>
        </w:rPr>
      </w:pPr>
      <w:r>
        <w:rPr>
          <w:snapToGrid w:val="0"/>
        </w:rPr>
        <w:tab/>
        <w:t>(2)</w:t>
      </w:r>
      <w:r>
        <w:rPr>
          <w:snapToGrid w:val="0"/>
        </w:rPr>
        <w:tab/>
        <w:t>The Register of Training and Education Qualifications shall contain the results obtained by all members who attend the Police Academy, or who undertake courses of study internally or externally, approved as a prerequisite to appointment or promotion.</w:t>
      </w:r>
    </w:p>
    <w:p>
      <w:pPr>
        <w:pStyle w:val="Footnotesection"/>
      </w:pPr>
      <w:r>
        <w:tab/>
        <w:t xml:space="preserve">[Regulation 803 amended in Gazette 7 Dec 1984 p. 4024.] </w:t>
      </w:r>
    </w:p>
    <w:p>
      <w:pPr>
        <w:pStyle w:val="Heading5"/>
        <w:rPr>
          <w:snapToGrid w:val="0"/>
        </w:rPr>
      </w:pPr>
      <w:bookmarkStart w:id="359" w:name="_Toc500034736"/>
      <w:bookmarkStart w:id="360" w:name="_Toc515769534"/>
      <w:bookmarkStart w:id="361" w:name="_Toc522083215"/>
      <w:bookmarkStart w:id="362" w:name="_Toc123622965"/>
      <w:bookmarkStart w:id="363" w:name="_Toc158523569"/>
      <w:r>
        <w:rPr>
          <w:rStyle w:val="CharSectno"/>
        </w:rPr>
        <w:t>804</w:t>
      </w:r>
      <w:r>
        <w:rPr>
          <w:snapToGrid w:val="0"/>
        </w:rPr>
        <w:t>.</w:t>
      </w:r>
      <w:r>
        <w:rPr>
          <w:snapToGrid w:val="0"/>
        </w:rPr>
        <w:tab/>
        <w:t>General Seniority List to be established</w:t>
      </w:r>
      <w:bookmarkEnd w:id="359"/>
      <w:bookmarkEnd w:id="360"/>
      <w:bookmarkEnd w:id="361"/>
      <w:bookmarkEnd w:id="362"/>
      <w:bookmarkEnd w:id="363"/>
      <w:r>
        <w:rPr>
          <w:snapToGrid w:val="0"/>
        </w:rPr>
        <w:t xml:space="preserve"> </w:t>
      </w:r>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364" w:name="_Toc500034737"/>
      <w:bookmarkStart w:id="365" w:name="_Toc515769535"/>
      <w:bookmarkStart w:id="366" w:name="_Toc522083216"/>
      <w:bookmarkStart w:id="367" w:name="_Toc123622966"/>
      <w:bookmarkStart w:id="368" w:name="_Toc158523570"/>
      <w:r>
        <w:rPr>
          <w:rStyle w:val="CharSectno"/>
        </w:rPr>
        <w:t>805</w:t>
      </w:r>
      <w:r>
        <w:rPr>
          <w:snapToGrid w:val="0"/>
        </w:rPr>
        <w:t>.</w:t>
      </w:r>
      <w:r>
        <w:rPr>
          <w:snapToGrid w:val="0"/>
        </w:rPr>
        <w:tab/>
        <w:t>General seniority of Force members</w:t>
      </w:r>
      <w:bookmarkEnd w:id="364"/>
      <w:bookmarkEnd w:id="365"/>
      <w:bookmarkEnd w:id="366"/>
      <w:bookmarkEnd w:id="367"/>
      <w:bookmarkEnd w:id="368"/>
      <w:r>
        <w:rPr>
          <w:snapToGrid w:val="0"/>
        </w:rPr>
        <w:t xml:space="preserve"> </w:t>
      </w:r>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Subject to these regulations, the seniority of a member is determined by the rank held by him.</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 </w:t>
      </w:r>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rPr>
          <w:snapToGrid w:val="0"/>
        </w:rPr>
      </w:pPr>
      <w:r>
        <w:rPr>
          <w:snapToGrid w:val="0"/>
        </w:rPr>
        <w:tab/>
        <w:t>(b)</w:t>
      </w:r>
      <w:r>
        <w:rPr>
          <w:snapToGrid w:val="0"/>
        </w:rPr>
        <w:tab/>
        <w:t>in the case of members whose rank is that of constable, the member who took the oath of office pursuant to section 10 of the Act first is senior but — </w:t>
      </w:r>
    </w:p>
    <w:p>
      <w:pPr>
        <w:pStyle w:val="Indenti"/>
        <w:rPr>
          <w:snapToGrid w:val="0"/>
        </w:rPr>
      </w:pPr>
      <w:r>
        <w:rPr>
          <w:snapToGrid w:val="0"/>
        </w:rPr>
        <w:tab/>
        <w:t>(i)</w:t>
      </w:r>
      <w:r>
        <w:rPr>
          <w:snapToGrid w:val="0"/>
        </w:rPr>
        <w:tab/>
        <w:t>if the members took that oath on the same date and attended the course at the Police Academy — the member who received the higher or highest rating as the case may be, is senior;</w:t>
      </w:r>
    </w:p>
    <w:p>
      <w:pPr>
        <w:pStyle w:val="Indenti"/>
        <w:rPr>
          <w:snapToGrid w:val="0"/>
        </w:rPr>
      </w:pPr>
      <w:r>
        <w:rPr>
          <w:snapToGrid w:val="0"/>
        </w:rPr>
        <w:tab/>
        <w:t>(ii)</w:t>
      </w:r>
      <w:r>
        <w:rPr>
          <w:snapToGrid w:val="0"/>
        </w:rPr>
        <w:tab/>
        <w:t>if the members took that oath on the same date, attended the course at the Police Academy and received the same rating at the course — the member who is older or oldest, as the case may be, is senior;</w:t>
      </w:r>
    </w:p>
    <w:p>
      <w:pPr>
        <w:pStyle w:val="Indenti"/>
        <w:rPr>
          <w:snapToGrid w:val="0"/>
        </w:rPr>
      </w:pPr>
      <w:r>
        <w:rPr>
          <w:snapToGrid w:val="0"/>
        </w:rPr>
        <w:tab/>
        <w:t>(iii)</w:t>
      </w:r>
      <w:r>
        <w:rPr>
          <w:snapToGrid w:val="0"/>
        </w:rPr>
        <w:tab/>
        <w:t>if the members took that oath on the same date but have not all attended the course at the Police Academy — the older or oldest as the case may be is senior.</w:t>
      </w:r>
    </w:p>
    <w:p>
      <w:pPr>
        <w:pStyle w:val="Footnotesection"/>
      </w:pPr>
      <w:r>
        <w:tab/>
        <w:t xml:space="preserve">[Regulation 805 amended in Gazette 7 Dec 1985 p. 4024.] </w:t>
      </w:r>
    </w:p>
    <w:p>
      <w:pPr>
        <w:pStyle w:val="Ednotesection"/>
      </w:pPr>
      <w:r>
        <w:t>[</w:t>
      </w:r>
      <w:r>
        <w:rPr>
          <w:b/>
        </w:rPr>
        <w:t>806.</w:t>
      </w:r>
      <w:r>
        <w:tab/>
        <w:t xml:space="preserve">Repealed in Gazette 14 Jul 1992 p. 3369.] </w:t>
      </w:r>
    </w:p>
    <w:p>
      <w:pPr>
        <w:pStyle w:val="Ednotesection"/>
      </w:pPr>
      <w:r>
        <w:t>[</w:t>
      </w:r>
      <w:r>
        <w:rPr>
          <w:b/>
        </w:rPr>
        <w:t>807, 808, 808A, 808B.</w:t>
      </w:r>
      <w:r>
        <w:tab/>
        <w:t xml:space="preserve">Repealed in Gazette 21 Aug 1998 p. 4678.] </w:t>
      </w:r>
    </w:p>
    <w:p>
      <w:pPr>
        <w:pStyle w:val="Ednotesection"/>
      </w:pPr>
      <w:r>
        <w:t>[</w:t>
      </w:r>
      <w:r>
        <w:rPr>
          <w:b/>
        </w:rPr>
        <w:t>808C.</w:t>
      </w:r>
      <w:r>
        <w:tab/>
        <w:t>Repealed in Gazette 14 Jul 1992 p. 3369.]</w:t>
      </w:r>
    </w:p>
    <w:p>
      <w:pPr>
        <w:pStyle w:val="Ednotesection"/>
      </w:pPr>
      <w:r>
        <w:t>[</w:t>
      </w:r>
      <w:r>
        <w:rPr>
          <w:b/>
        </w:rPr>
        <w:t>809-812.</w:t>
      </w:r>
      <w:r>
        <w:tab/>
        <w:t>Repealed in Gazette 21 Aug 1998 p. 4678</w:t>
      </w:r>
      <w:r>
        <w:noBreakHyphen/>
        <w:t>9.]</w:t>
      </w:r>
    </w:p>
    <w:p>
      <w:pPr>
        <w:pStyle w:val="Ednotesection"/>
      </w:pPr>
      <w:r>
        <w:t>[</w:t>
      </w:r>
      <w:r>
        <w:rPr>
          <w:b/>
        </w:rPr>
        <w:t>812A.</w:t>
      </w:r>
      <w:r>
        <w:tab/>
        <w:t xml:space="preserve">Repealed in Gazette 7 Feb 1995 p. 422.] </w:t>
      </w:r>
    </w:p>
    <w:p>
      <w:pPr>
        <w:pStyle w:val="Ednotesection"/>
      </w:pPr>
      <w:r>
        <w:t>[</w:t>
      </w:r>
      <w:r>
        <w:rPr>
          <w:b/>
        </w:rPr>
        <w:t>813-826.</w:t>
      </w:r>
      <w:r>
        <w:tab/>
        <w:t xml:space="preserve">Repealed in Gazette 30 Mar 1990 p. 1656.] </w:t>
      </w:r>
    </w:p>
    <w:p>
      <w:pPr>
        <w:pStyle w:val="Heading2"/>
      </w:pPr>
      <w:bookmarkStart w:id="369" w:name="_Toc90976503"/>
      <w:bookmarkStart w:id="370" w:name="_Toc91044735"/>
      <w:bookmarkStart w:id="371" w:name="_Toc91044915"/>
      <w:bookmarkStart w:id="372" w:name="_Toc123621424"/>
      <w:bookmarkStart w:id="373" w:name="_Toc123622967"/>
      <w:bookmarkStart w:id="374" w:name="_Toc153957340"/>
      <w:bookmarkStart w:id="375" w:name="_Toc153958683"/>
      <w:bookmarkStart w:id="376" w:name="_Toc154478753"/>
      <w:bookmarkStart w:id="377" w:name="_Toc158523571"/>
      <w:r>
        <w:rPr>
          <w:rStyle w:val="CharPartNo"/>
        </w:rPr>
        <w:t>Part VIIIA</w:t>
      </w:r>
      <w:r>
        <w:rPr>
          <w:rStyle w:val="CharDivNo"/>
        </w:rPr>
        <w:t> </w:t>
      </w:r>
      <w:r>
        <w:t>—</w:t>
      </w:r>
      <w:r>
        <w:rPr>
          <w:rStyle w:val="CharDivText"/>
        </w:rPr>
        <w:t> </w:t>
      </w:r>
      <w:r>
        <w:rPr>
          <w:rStyle w:val="CharPartText"/>
        </w:rPr>
        <w:t>Recognition of bravery and merit</w:t>
      </w:r>
      <w:bookmarkEnd w:id="369"/>
      <w:bookmarkEnd w:id="370"/>
      <w:bookmarkEnd w:id="371"/>
      <w:bookmarkEnd w:id="372"/>
      <w:bookmarkEnd w:id="373"/>
      <w:bookmarkEnd w:id="374"/>
      <w:bookmarkEnd w:id="375"/>
      <w:bookmarkEnd w:id="376"/>
      <w:bookmarkEnd w:id="377"/>
      <w:r>
        <w:rPr>
          <w:rStyle w:val="CharPartText"/>
        </w:rPr>
        <w:t xml:space="preserve"> </w:t>
      </w:r>
    </w:p>
    <w:p>
      <w:pPr>
        <w:pStyle w:val="Footnoteheading"/>
        <w:rPr>
          <w:snapToGrid w:val="0"/>
        </w:rPr>
      </w:pPr>
      <w:r>
        <w:rPr>
          <w:snapToGrid w:val="0"/>
        </w:rPr>
        <w:tab/>
        <w:t xml:space="preserve">[Heading inserted in Gazette 2 Feb 1990 p. 788.] </w:t>
      </w:r>
    </w:p>
    <w:p>
      <w:pPr>
        <w:pStyle w:val="Heading5"/>
        <w:rPr>
          <w:snapToGrid w:val="0"/>
        </w:rPr>
      </w:pPr>
      <w:bookmarkStart w:id="378" w:name="_Toc500034738"/>
      <w:bookmarkStart w:id="379" w:name="_Toc515769536"/>
      <w:bookmarkStart w:id="380" w:name="_Toc522083217"/>
      <w:bookmarkStart w:id="381" w:name="_Toc123622968"/>
      <w:bookmarkStart w:id="382" w:name="_Toc158523572"/>
      <w:r>
        <w:rPr>
          <w:rStyle w:val="CharSectno"/>
        </w:rPr>
        <w:t>8A01</w:t>
      </w:r>
      <w:r>
        <w:rPr>
          <w:snapToGrid w:val="0"/>
        </w:rPr>
        <w:t>.</w:t>
      </w:r>
      <w:r>
        <w:rPr>
          <w:snapToGrid w:val="0"/>
        </w:rPr>
        <w:tab/>
        <w:t>Interpretation of Part</w:t>
      </w:r>
      <w:bookmarkEnd w:id="378"/>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award</w:t>
      </w:r>
      <w:r>
        <w:rPr>
          <w:b/>
        </w:rPr>
        <w:t>”</w:t>
      </w:r>
      <w:r>
        <w:t xml:space="preserve"> means any award designated in regulation 8A02;</w:t>
      </w:r>
    </w:p>
    <w:p>
      <w:pPr>
        <w:pStyle w:val="Defstart"/>
      </w:pPr>
      <w:r>
        <w:rPr>
          <w:b/>
        </w:rPr>
        <w:tab/>
        <w:t>“</w:t>
      </w:r>
      <w:r>
        <w:rPr>
          <w:rStyle w:val="CharDefText"/>
        </w:rPr>
        <w:t>Committee</w:t>
      </w:r>
      <w:r>
        <w:rPr>
          <w:b/>
        </w:rPr>
        <w:t>”</w:t>
      </w:r>
      <w:r>
        <w:t xml:space="preserve"> means the Police Honours and Awards Committee referred to in regulation 8A11;</w:t>
      </w:r>
    </w:p>
    <w:p>
      <w:pPr>
        <w:pStyle w:val="Defstart"/>
      </w:pPr>
      <w:r>
        <w:rPr>
          <w:b/>
        </w:rPr>
        <w:tab/>
        <w:t>“</w:t>
      </w:r>
      <w:r>
        <w:rPr>
          <w:rStyle w:val="CharDefText"/>
        </w:rPr>
        <w:t>member of the Force</w:t>
      </w:r>
      <w:r>
        <w:rPr>
          <w:b/>
        </w:rPr>
        <w:t>”</w:t>
      </w:r>
      <w:r>
        <w:t xml:space="preserve"> means a member, cadet or aboriginal aide.</w:t>
      </w:r>
    </w:p>
    <w:p>
      <w:pPr>
        <w:pStyle w:val="Footnotesection"/>
      </w:pPr>
      <w:r>
        <w:tab/>
        <w:t xml:space="preserve">[Regulation 8A01 inserted in Gazette 2 Feb 1990 p. 788; amended in Gazette 15 Dec 2006 p. 5632.] </w:t>
      </w:r>
    </w:p>
    <w:p>
      <w:pPr>
        <w:pStyle w:val="Heading5"/>
        <w:rPr>
          <w:snapToGrid w:val="0"/>
        </w:rPr>
      </w:pPr>
      <w:bookmarkStart w:id="383" w:name="_Toc500034739"/>
      <w:bookmarkStart w:id="384" w:name="_Toc515769537"/>
      <w:bookmarkStart w:id="385" w:name="_Toc522083218"/>
      <w:bookmarkStart w:id="386" w:name="_Toc123622969"/>
      <w:bookmarkStart w:id="387" w:name="_Toc158523573"/>
      <w:r>
        <w:rPr>
          <w:rStyle w:val="CharSectno"/>
        </w:rPr>
        <w:t>8A02</w:t>
      </w:r>
      <w:r>
        <w:rPr>
          <w:snapToGrid w:val="0"/>
        </w:rPr>
        <w:t>.</w:t>
      </w:r>
      <w:r>
        <w:rPr>
          <w:snapToGrid w:val="0"/>
        </w:rPr>
        <w:tab/>
        <w:t>Classes of awards</w:t>
      </w:r>
      <w:bookmarkEnd w:id="383"/>
      <w:bookmarkEnd w:id="384"/>
      <w:bookmarkEnd w:id="385"/>
      <w:bookmarkEnd w:id="386"/>
      <w:bookmarkEnd w:id="387"/>
      <w:r>
        <w:rPr>
          <w:snapToGrid w:val="0"/>
        </w:rPr>
        <w:t xml:space="preserve"> </w:t>
      </w:r>
    </w:p>
    <w:p>
      <w:pPr>
        <w:pStyle w:val="Subsection"/>
        <w:rPr>
          <w:snapToGrid w:val="0"/>
        </w:rPr>
      </w:pPr>
      <w:r>
        <w:rPr>
          <w:snapToGrid w:val="0"/>
        </w:rPr>
        <w:tab/>
      </w:r>
      <w:r>
        <w:rPr>
          <w:snapToGrid w:val="0"/>
        </w:rPr>
        <w:tab/>
        <w:t xml:space="preserve">The Commissioner may, </w:t>
      </w:r>
      <w:r>
        <w:t xml:space="preserve">subject to this Part, </w:t>
      </w:r>
      <w:r>
        <w:rPr>
          <w:snapToGrid w:val="0"/>
        </w:rPr>
        <w:t>grant an award of a designation set out in the following table to a member of the Force who is eligible under the criterion shown opposite the designated award.</w:t>
      </w:r>
    </w:p>
    <w:p>
      <w:pPr>
        <w:pStyle w:val="MiscellaneousHeading"/>
        <w:spacing w:after="60"/>
        <w:outlineLvl w:val="0"/>
        <w:rPr>
          <w:b/>
          <w:snapToGrid w:val="0"/>
        </w:rPr>
      </w:pPr>
      <w:r>
        <w:rPr>
          <w:b/>
          <w:snapToGrid w:val="0"/>
        </w:rPr>
        <w:t>Table</w:t>
      </w:r>
    </w:p>
    <w:tbl>
      <w:tblPr>
        <w:tblW w:w="0" w:type="auto"/>
        <w:tblInd w:w="959" w:type="dxa"/>
        <w:tblLayout w:type="fixed"/>
        <w:tblLook w:val="0000" w:firstRow="0" w:lastRow="0" w:firstColumn="0" w:lastColumn="0" w:noHBand="0" w:noVBand="0"/>
      </w:tblPr>
      <w:tblGrid>
        <w:gridCol w:w="2551"/>
        <w:gridCol w:w="3794"/>
      </w:tblGrid>
      <w:tr>
        <w:tc>
          <w:tcPr>
            <w:tcW w:w="2551" w:type="dxa"/>
          </w:tcPr>
          <w:p>
            <w:pPr>
              <w:pStyle w:val="Table"/>
              <w:spacing w:before="0"/>
              <w:ind w:left="175"/>
              <w:rPr>
                <w:snapToGrid w:val="0"/>
              </w:rPr>
            </w:pPr>
            <w:r>
              <w:rPr>
                <w:snapToGrid w:val="0"/>
              </w:rPr>
              <w:t xml:space="preserve">Award for Bravery </w:t>
            </w:r>
          </w:p>
        </w:tc>
        <w:tc>
          <w:tcPr>
            <w:tcW w:w="3794" w:type="dxa"/>
          </w:tcPr>
          <w:p>
            <w:pPr>
              <w:pStyle w:val="Table"/>
              <w:spacing w:before="0"/>
              <w:rPr>
                <w:snapToGrid w:val="0"/>
              </w:rPr>
            </w:pPr>
            <w:r>
              <w:rPr>
                <w:snapToGrid w:val="0"/>
              </w:rPr>
              <w:t>Performance of an act of conspicuous merit involving exceptional bravery in the execution of duty.</w:t>
            </w:r>
          </w:p>
        </w:tc>
      </w:tr>
      <w:tr>
        <w:tc>
          <w:tcPr>
            <w:tcW w:w="2551" w:type="dxa"/>
          </w:tcPr>
          <w:p>
            <w:pPr>
              <w:pStyle w:val="Table"/>
              <w:spacing w:before="0"/>
              <w:ind w:left="175"/>
              <w:rPr>
                <w:snapToGrid w:val="0"/>
              </w:rPr>
            </w:pPr>
            <w:r>
              <w:rPr>
                <w:snapToGrid w:val="0"/>
              </w:rPr>
              <w:t xml:space="preserve">Bar to the Award for Bravery </w:t>
            </w:r>
          </w:p>
        </w:tc>
        <w:tc>
          <w:tcPr>
            <w:tcW w:w="3794" w:type="dxa"/>
          </w:tcPr>
          <w:p>
            <w:pPr>
              <w:pStyle w:val="Table"/>
              <w:spacing w:before="0"/>
              <w:rPr>
                <w:snapToGrid w:val="0"/>
              </w:rPr>
            </w:pPr>
            <w:r>
              <w:rPr>
                <w:snapToGrid w:val="0"/>
              </w:rPr>
              <w:t>Performance by the holder of an Award for Bravery of an additional act of conspicuous merit involving exceptional bravery in the execution of duty.</w:t>
            </w:r>
          </w:p>
        </w:tc>
      </w:tr>
      <w:tr>
        <w:tc>
          <w:tcPr>
            <w:tcW w:w="2551" w:type="dxa"/>
          </w:tcPr>
          <w:p>
            <w:pPr>
              <w:pStyle w:val="Table"/>
              <w:spacing w:before="0"/>
              <w:ind w:left="175"/>
              <w:rPr>
                <w:snapToGrid w:val="0"/>
              </w:rPr>
            </w:pPr>
            <w:r>
              <w:rPr>
                <w:snapToGrid w:val="0"/>
              </w:rPr>
              <w:t xml:space="preserve">Certificate of Merit </w:t>
            </w:r>
          </w:p>
        </w:tc>
        <w:tc>
          <w:tcPr>
            <w:tcW w:w="3794" w:type="dxa"/>
          </w:tcPr>
          <w:p>
            <w:pPr>
              <w:pStyle w:val="Table"/>
              <w:spacing w:before="0"/>
              <w:rPr>
                <w:snapToGrid w:val="0"/>
              </w:rPr>
            </w:pPr>
            <w:r>
              <w:rPr>
                <w:snapToGrid w:val="0"/>
              </w:rPr>
              <w:t>Display in the execution of duty of initiative, resourcefulness and courageous action, putting aside thought of personal safety, greater than what might reasonably be expected.</w:t>
            </w:r>
          </w:p>
        </w:tc>
      </w:tr>
      <w:tr>
        <w:tc>
          <w:tcPr>
            <w:tcW w:w="2551" w:type="dxa"/>
          </w:tcPr>
          <w:p>
            <w:pPr>
              <w:pStyle w:val="Table"/>
              <w:spacing w:before="0"/>
              <w:ind w:left="175"/>
              <w:rPr>
                <w:snapToGrid w:val="0"/>
              </w:rPr>
            </w:pPr>
            <w:r>
              <w:rPr>
                <w:snapToGrid w:val="0"/>
              </w:rPr>
              <w:t xml:space="preserve">Special Commendation </w:t>
            </w:r>
          </w:p>
        </w:tc>
        <w:tc>
          <w:tcPr>
            <w:tcW w:w="3794" w:type="dxa"/>
          </w:tcPr>
          <w:p>
            <w:pPr>
              <w:pStyle w:val="Table"/>
              <w:spacing w:before="0"/>
              <w:rPr>
                <w:snapToGrid w:val="0"/>
              </w:rPr>
            </w:pPr>
            <w:r>
              <w:rPr>
                <w:snapToGrid w:val="0"/>
              </w:rPr>
              <w:t>Meritorious conduct under stressful conditions in the course of operational duty.</w:t>
            </w:r>
          </w:p>
        </w:tc>
      </w:tr>
      <w:tr>
        <w:tc>
          <w:tcPr>
            <w:tcW w:w="2551" w:type="dxa"/>
          </w:tcPr>
          <w:p>
            <w:pPr>
              <w:pStyle w:val="Table"/>
              <w:keepNext/>
              <w:spacing w:before="0"/>
              <w:ind w:left="175"/>
              <w:rPr>
                <w:snapToGrid w:val="0"/>
              </w:rPr>
            </w:pPr>
            <w:r>
              <w:rPr>
                <w:snapToGrid w:val="0"/>
              </w:rPr>
              <w:t xml:space="preserve">Commendation </w:t>
            </w:r>
          </w:p>
        </w:tc>
        <w:tc>
          <w:tcPr>
            <w:tcW w:w="3794" w:type="dxa"/>
          </w:tcPr>
          <w:p>
            <w:pPr>
              <w:pStyle w:val="Table"/>
              <w:keepNext/>
              <w:spacing w:before="0"/>
              <w:rPr>
                <w:snapToGrid w:val="0"/>
              </w:rPr>
            </w:pPr>
            <w:r>
              <w:rPr>
                <w:snapToGrid w:val="0"/>
              </w:rPr>
              <w:t>Display of initiative, resourcefulness and devotion to duty reflecting credit on the Force</w:t>
            </w:r>
          </w:p>
        </w:tc>
      </w:tr>
    </w:tbl>
    <w:p>
      <w:pPr>
        <w:pStyle w:val="Footnotesection"/>
      </w:pPr>
      <w:r>
        <w:tab/>
        <w:t>[Regulation 8A02 inserted in Gazette 2 Feb 1990 p. 788</w:t>
      </w:r>
      <w:r>
        <w:noBreakHyphen/>
        <w:t xml:space="preserve">9; amended in Gazette 15 Dec 2006 p. 5632.] </w:t>
      </w:r>
    </w:p>
    <w:p>
      <w:pPr>
        <w:pStyle w:val="Heading5"/>
        <w:rPr>
          <w:snapToGrid w:val="0"/>
        </w:rPr>
      </w:pPr>
      <w:bookmarkStart w:id="388" w:name="_Toc500034740"/>
      <w:bookmarkStart w:id="389" w:name="_Toc515769538"/>
      <w:bookmarkStart w:id="390" w:name="_Toc522083219"/>
      <w:bookmarkStart w:id="391" w:name="_Toc123622970"/>
      <w:bookmarkStart w:id="392" w:name="_Toc158523574"/>
      <w:r>
        <w:rPr>
          <w:rStyle w:val="CharSectno"/>
        </w:rPr>
        <w:t>8A03</w:t>
      </w:r>
      <w:r>
        <w:rPr>
          <w:snapToGrid w:val="0"/>
        </w:rPr>
        <w:t>.</w:t>
      </w:r>
      <w:r>
        <w:rPr>
          <w:snapToGrid w:val="0"/>
        </w:rPr>
        <w:tab/>
        <w:t>Nature of awards</w:t>
      </w:r>
      <w:bookmarkEnd w:id="388"/>
      <w:bookmarkEnd w:id="389"/>
      <w:bookmarkEnd w:id="390"/>
      <w:bookmarkEnd w:id="391"/>
      <w:bookmarkEnd w:id="392"/>
      <w:r>
        <w:rPr>
          <w:snapToGrid w:val="0"/>
        </w:rPr>
        <w:t xml:space="preserve"> </w:t>
      </w:r>
    </w:p>
    <w:p>
      <w:pPr>
        <w:pStyle w:val="Subsection"/>
        <w:rPr>
          <w:snapToGrid w:val="0"/>
        </w:rPr>
      </w:pPr>
      <w:r>
        <w:rPr>
          <w:snapToGrid w:val="0"/>
        </w:rPr>
        <w:tab/>
      </w:r>
      <w:r>
        <w:rPr>
          <w:snapToGrid w:val="0"/>
        </w:rPr>
        <w:tab/>
        <w:t>Each award consists of what is specified in the following table — </w:t>
      </w:r>
    </w:p>
    <w:p>
      <w:pPr>
        <w:pStyle w:val="MiscellaneousHeading"/>
        <w:spacing w:after="60"/>
        <w:outlineLvl w:val="0"/>
        <w:rPr>
          <w:b/>
          <w:snapToGrid w:val="0"/>
        </w:rPr>
      </w:pPr>
      <w:r>
        <w:rPr>
          <w:b/>
          <w:snapToGrid w:val="0"/>
        </w:rPr>
        <w:t>Table</w:t>
      </w:r>
    </w:p>
    <w:tbl>
      <w:tblPr>
        <w:tblW w:w="0" w:type="auto"/>
        <w:tblInd w:w="675" w:type="dxa"/>
        <w:tblLayout w:type="fixed"/>
        <w:tblLook w:val="0000" w:firstRow="0" w:lastRow="0" w:firstColumn="0" w:lastColumn="0" w:noHBand="0" w:noVBand="0"/>
      </w:tblPr>
      <w:tblGrid>
        <w:gridCol w:w="426"/>
        <w:gridCol w:w="2126"/>
        <w:gridCol w:w="283"/>
        <w:gridCol w:w="3793"/>
      </w:tblGrid>
      <w:tr>
        <w:trPr>
          <w:cantSplit/>
        </w:trPr>
        <w:tc>
          <w:tcPr>
            <w:tcW w:w="426" w:type="dxa"/>
          </w:tcPr>
          <w:p>
            <w:pPr>
              <w:pStyle w:val="Table"/>
              <w:rPr>
                <w:snapToGrid w:val="0"/>
              </w:rPr>
            </w:pPr>
            <w:r>
              <w:rPr>
                <w:snapToGrid w:val="0"/>
              </w:rPr>
              <w:t>1</w:t>
            </w:r>
          </w:p>
        </w:tc>
        <w:tc>
          <w:tcPr>
            <w:tcW w:w="2126" w:type="dxa"/>
          </w:tcPr>
          <w:p>
            <w:pPr>
              <w:pStyle w:val="Table"/>
              <w:rPr>
                <w:snapToGrid w:val="0"/>
              </w:rPr>
            </w:pPr>
            <w:r>
              <w:rPr>
                <w:snapToGrid w:val="0"/>
              </w:rPr>
              <w:t>Award for Bravery</w:t>
            </w:r>
          </w:p>
        </w:tc>
        <w:tc>
          <w:tcPr>
            <w:tcW w:w="283" w:type="dxa"/>
            <w:vMerge w:val="restart"/>
          </w:tcPr>
          <w:p>
            <w:pPr>
              <w:pStyle w:val="Table"/>
              <w:rPr>
                <w:snapToGrid w:val="0"/>
              </w:rPr>
            </w:pPr>
            <w:r>
              <w:rPr>
                <w:noProof/>
                <w:lang w:eastAsia="en-AU"/>
              </w:rPr>
              <w:drawing>
                <wp:inline distT="0" distB="0" distL="0" distR="0">
                  <wp:extent cx="114300" cy="942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942975"/>
                          </a:xfrm>
                          <a:prstGeom prst="rect">
                            <a:avLst/>
                          </a:prstGeom>
                          <a:noFill/>
                          <a:ln>
                            <a:noFill/>
                          </a:ln>
                        </pic:spPr>
                      </pic:pic>
                    </a:graphicData>
                  </a:graphic>
                </wp:inline>
              </w:drawing>
            </w:r>
          </w:p>
        </w:tc>
        <w:tc>
          <w:tcPr>
            <w:tcW w:w="3793" w:type="dxa"/>
            <w:vMerge w:val="restart"/>
          </w:tcPr>
          <w:p>
            <w:pPr>
              <w:pStyle w:val="Table"/>
              <w:rPr>
                <w:snapToGrid w:val="0"/>
              </w:rPr>
            </w:pPr>
            <w:r>
              <w:rPr>
                <w:snapToGrid w:val="0"/>
              </w:rPr>
              <w:t>An award of a type and design approved by the Committee</w:t>
            </w:r>
          </w:p>
          <w:p>
            <w:pPr>
              <w:pStyle w:val="Table"/>
              <w:tabs>
                <w:tab w:val="left" w:pos="885"/>
              </w:tabs>
              <w:rPr>
                <w:snapToGrid w:val="0"/>
              </w:rPr>
            </w:pPr>
            <w:r>
              <w:rPr>
                <w:snapToGrid w:val="0"/>
              </w:rPr>
              <w:tab/>
              <w:t>and</w:t>
            </w:r>
          </w:p>
          <w:p>
            <w:pPr>
              <w:pStyle w:val="Table"/>
              <w:rPr>
                <w:snapToGrid w:val="0"/>
              </w:rPr>
            </w:pPr>
            <w:r>
              <w:rPr>
                <w:snapToGrid w:val="0"/>
              </w:rPr>
              <w:t>A citation from the Commissioner describing the conduct for which the award is granted</w:t>
            </w:r>
          </w:p>
        </w:tc>
      </w:tr>
      <w:tr>
        <w:trPr>
          <w:cantSplit/>
        </w:trPr>
        <w:tc>
          <w:tcPr>
            <w:tcW w:w="426" w:type="dxa"/>
          </w:tcPr>
          <w:p>
            <w:pPr>
              <w:pStyle w:val="Table"/>
              <w:rPr>
                <w:snapToGrid w:val="0"/>
              </w:rPr>
            </w:pPr>
            <w:r>
              <w:rPr>
                <w:snapToGrid w:val="0"/>
              </w:rPr>
              <w:t>2</w:t>
            </w:r>
          </w:p>
        </w:tc>
        <w:tc>
          <w:tcPr>
            <w:tcW w:w="2126" w:type="dxa"/>
          </w:tcPr>
          <w:p>
            <w:pPr>
              <w:pStyle w:val="Table"/>
              <w:rPr>
                <w:snapToGrid w:val="0"/>
              </w:rPr>
            </w:pPr>
            <w:r>
              <w:rPr>
                <w:snapToGrid w:val="0"/>
              </w:rPr>
              <w:t xml:space="preserve">Bar to the Award for Bravery </w:t>
            </w:r>
          </w:p>
        </w:tc>
        <w:tc>
          <w:tcPr>
            <w:tcW w:w="283" w:type="dxa"/>
            <w:vMerge/>
          </w:tcPr>
          <w:p>
            <w:pPr>
              <w:pStyle w:val="Table"/>
              <w:rPr>
                <w:snapToGrid w:val="0"/>
              </w:rPr>
            </w:pPr>
          </w:p>
        </w:tc>
        <w:tc>
          <w:tcPr>
            <w:tcW w:w="3793" w:type="dxa"/>
            <w:vMerge/>
          </w:tcPr>
          <w:p>
            <w:pPr>
              <w:pStyle w:val="Table"/>
              <w:rPr>
                <w:snapToGrid w:val="0"/>
              </w:rPr>
            </w:pPr>
          </w:p>
        </w:tc>
      </w:tr>
      <w:tr>
        <w:trPr>
          <w:cantSplit/>
        </w:trPr>
        <w:tc>
          <w:tcPr>
            <w:tcW w:w="426" w:type="dxa"/>
          </w:tcPr>
          <w:p>
            <w:pPr>
              <w:pStyle w:val="Table"/>
              <w:rPr>
                <w:snapToGrid w:val="0"/>
              </w:rPr>
            </w:pPr>
            <w:r>
              <w:rPr>
                <w:snapToGrid w:val="0"/>
              </w:rPr>
              <w:t>3</w:t>
            </w:r>
          </w:p>
        </w:tc>
        <w:tc>
          <w:tcPr>
            <w:tcW w:w="2126" w:type="dxa"/>
          </w:tcPr>
          <w:p>
            <w:pPr>
              <w:pStyle w:val="Table"/>
              <w:rPr>
                <w:snapToGrid w:val="0"/>
              </w:rPr>
            </w:pPr>
            <w:r>
              <w:rPr>
                <w:snapToGrid w:val="0"/>
              </w:rPr>
              <w:t>Certificate of Merit</w:t>
            </w:r>
          </w:p>
        </w:tc>
        <w:tc>
          <w:tcPr>
            <w:tcW w:w="283" w:type="dxa"/>
            <w:vMerge w:val="restart"/>
          </w:tcPr>
          <w:p>
            <w:pPr>
              <w:pStyle w:val="Table"/>
              <w:rPr>
                <w:snapToGrid w:val="0"/>
              </w:rPr>
            </w:pPr>
            <w:r>
              <w:rPr>
                <w:noProof/>
                <w:lang w:eastAsia="en-AU"/>
              </w:rPr>
              <w:drawing>
                <wp:inline distT="0" distB="0" distL="0" distR="0">
                  <wp:extent cx="133350" cy="628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3350" cy="628650"/>
                          </a:xfrm>
                          <a:prstGeom prst="rect">
                            <a:avLst/>
                          </a:prstGeom>
                          <a:noFill/>
                          <a:ln>
                            <a:noFill/>
                          </a:ln>
                        </pic:spPr>
                      </pic:pic>
                    </a:graphicData>
                  </a:graphic>
                </wp:inline>
              </w:drawing>
            </w:r>
          </w:p>
        </w:tc>
        <w:tc>
          <w:tcPr>
            <w:tcW w:w="3793" w:type="dxa"/>
            <w:vMerge w:val="restart"/>
            <w:vAlign w:val="center"/>
          </w:tcPr>
          <w:p>
            <w:pPr>
              <w:pStyle w:val="Table"/>
              <w:rPr>
                <w:snapToGrid w:val="0"/>
              </w:rPr>
            </w:pPr>
            <w:r>
              <w:rPr>
                <w:snapToGrid w:val="0"/>
              </w:rPr>
              <w:t>A certificate from the Commissioner describing the conduct for which the award is granted</w:t>
            </w:r>
          </w:p>
        </w:tc>
      </w:tr>
      <w:tr>
        <w:trPr>
          <w:cantSplit/>
        </w:trPr>
        <w:tc>
          <w:tcPr>
            <w:tcW w:w="426" w:type="dxa"/>
          </w:tcPr>
          <w:p>
            <w:pPr>
              <w:pStyle w:val="Table"/>
              <w:rPr>
                <w:snapToGrid w:val="0"/>
              </w:rPr>
            </w:pPr>
            <w:r>
              <w:rPr>
                <w:snapToGrid w:val="0"/>
              </w:rPr>
              <w:t>4</w:t>
            </w:r>
          </w:p>
        </w:tc>
        <w:tc>
          <w:tcPr>
            <w:tcW w:w="2126" w:type="dxa"/>
          </w:tcPr>
          <w:p>
            <w:pPr>
              <w:pStyle w:val="Table"/>
              <w:rPr>
                <w:snapToGrid w:val="0"/>
              </w:rPr>
            </w:pPr>
            <w:r>
              <w:rPr>
                <w:snapToGrid w:val="0"/>
              </w:rPr>
              <w:t>Special Commendation</w:t>
            </w:r>
          </w:p>
        </w:tc>
        <w:tc>
          <w:tcPr>
            <w:tcW w:w="283" w:type="dxa"/>
            <w:vMerge/>
          </w:tcPr>
          <w:p>
            <w:pPr>
              <w:pStyle w:val="Table"/>
              <w:rPr>
                <w:snapToGrid w:val="0"/>
              </w:rPr>
            </w:pPr>
          </w:p>
        </w:tc>
        <w:tc>
          <w:tcPr>
            <w:tcW w:w="3793" w:type="dxa"/>
            <w:vMerge/>
          </w:tcPr>
          <w:p>
            <w:pPr>
              <w:pStyle w:val="Table"/>
              <w:rPr>
                <w:snapToGrid w:val="0"/>
              </w:rPr>
            </w:pPr>
          </w:p>
        </w:tc>
      </w:tr>
      <w:tr>
        <w:trPr>
          <w:cantSplit/>
        </w:trPr>
        <w:tc>
          <w:tcPr>
            <w:tcW w:w="426" w:type="dxa"/>
          </w:tcPr>
          <w:p>
            <w:pPr>
              <w:pStyle w:val="Table"/>
              <w:rPr>
                <w:snapToGrid w:val="0"/>
              </w:rPr>
            </w:pPr>
            <w:r>
              <w:rPr>
                <w:snapToGrid w:val="0"/>
              </w:rPr>
              <w:t>5</w:t>
            </w:r>
          </w:p>
        </w:tc>
        <w:tc>
          <w:tcPr>
            <w:tcW w:w="2126" w:type="dxa"/>
          </w:tcPr>
          <w:p>
            <w:pPr>
              <w:pStyle w:val="Table"/>
              <w:rPr>
                <w:snapToGrid w:val="0"/>
              </w:rPr>
            </w:pPr>
            <w:r>
              <w:rPr>
                <w:snapToGrid w:val="0"/>
              </w:rPr>
              <w:t xml:space="preserve">Commendation </w:t>
            </w:r>
          </w:p>
        </w:tc>
        <w:tc>
          <w:tcPr>
            <w:tcW w:w="283" w:type="dxa"/>
            <w:vMerge/>
          </w:tcPr>
          <w:p>
            <w:pPr>
              <w:pStyle w:val="Table"/>
              <w:rPr>
                <w:snapToGrid w:val="0"/>
              </w:rPr>
            </w:pPr>
          </w:p>
        </w:tc>
        <w:tc>
          <w:tcPr>
            <w:tcW w:w="3793" w:type="dxa"/>
            <w:vMerge/>
          </w:tcPr>
          <w:p>
            <w:pPr>
              <w:pStyle w:val="Table"/>
              <w:rPr>
                <w:snapToGrid w:val="0"/>
              </w:rPr>
            </w:pPr>
          </w:p>
        </w:tc>
      </w:tr>
    </w:tbl>
    <w:p>
      <w:pPr>
        <w:pStyle w:val="Footnotesection"/>
      </w:pPr>
      <w:r>
        <w:tab/>
        <w:t xml:space="preserve">[Regulation 8A03 inserted in Gazette 2 Feb 1990 p. 789; amended in Gazette 15 Dec 2006 p. 5632.] </w:t>
      </w:r>
    </w:p>
    <w:p>
      <w:pPr>
        <w:pStyle w:val="Heading5"/>
        <w:rPr>
          <w:snapToGrid w:val="0"/>
        </w:rPr>
      </w:pPr>
      <w:bookmarkStart w:id="393" w:name="_Toc500034741"/>
      <w:bookmarkStart w:id="394" w:name="_Toc515769539"/>
      <w:bookmarkStart w:id="395" w:name="_Toc522083220"/>
      <w:bookmarkStart w:id="396" w:name="_Toc123622971"/>
      <w:bookmarkStart w:id="397" w:name="_Toc158523575"/>
      <w:r>
        <w:rPr>
          <w:rStyle w:val="CharSectno"/>
        </w:rPr>
        <w:t>8A04</w:t>
      </w:r>
      <w:r>
        <w:rPr>
          <w:snapToGrid w:val="0"/>
        </w:rPr>
        <w:t>.</w:t>
      </w:r>
      <w:r>
        <w:rPr>
          <w:snapToGrid w:val="0"/>
        </w:rPr>
        <w:tab/>
        <w:t>Nomination for an award</w:t>
      </w:r>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A member of the Force may be nominated for an award by any person, including another member of the Force.</w:t>
      </w:r>
    </w:p>
    <w:p>
      <w:pPr>
        <w:pStyle w:val="Subsection"/>
        <w:rPr>
          <w:snapToGrid w:val="0"/>
        </w:rPr>
      </w:pPr>
      <w:r>
        <w:rPr>
          <w:snapToGrid w:val="0"/>
        </w:rPr>
        <w:tab/>
        <w:t>(2)</w:t>
      </w:r>
      <w:r>
        <w:rPr>
          <w:snapToGrid w:val="0"/>
        </w:rPr>
        <w:tab/>
        <w:t>A nomination</w:t>
      </w:r>
      <w:r>
        <w:t xml:space="preserve"> is to be made in writing to the Commissioner.</w:t>
      </w:r>
    </w:p>
    <w:p>
      <w:pPr>
        <w:pStyle w:val="Footnotesection"/>
      </w:pPr>
      <w:r>
        <w:tab/>
        <w:t xml:space="preserve">[Regulation 8A04 inserted in Gazette 2 Feb 1990 p. 789; amended in Gazette 15 Dec 2006 p.  5633.] </w:t>
      </w:r>
    </w:p>
    <w:p>
      <w:pPr>
        <w:pStyle w:val="Heading5"/>
      </w:pPr>
      <w:bookmarkStart w:id="398" w:name="_Toc158523576"/>
      <w:bookmarkStart w:id="399" w:name="_Toc500034743"/>
      <w:bookmarkStart w:id="400" w:name="_Toc515769541"/>
      <w:bookmarkStart w:id="401" w:name="_Toc522083222"/>
      <w:bookmarkStart w:id="402" w:name="_Toc123622973"/>
      <w:r>
        <w:rPr>
          <w:rStyle w:val="CharSectno"/>
        </w:rPr>
        <w:t>8A05</w:t>
      </w:r>
      <w:r>
        <w:t>.</w:t>
      </w:r>
      <w:r>
        <w:tab/>
      </w:r>
      <w:r>
        <w:rPr>
          <w:snapToGrid w:val="0"/>
        </w:rPr>
        <w:t>Determination of nominations</w:t>
      </w:r>
      <w:bookmarkEnd w:id="398"/>
    </w:p>
    <w:p>
      <w:pPr>
        <w:pStyle w:val="Subsection"/>
      </w:pPr>
      <w:r>
        <w:tab/>
        <w:t>(1)</w:t>
      </w:r>
      <w:r>
        <w:tab/>
        <w:t>On receipt of a nomination under regulation 8A04 the Commissioner is to refer the nomination to a Commissioned Officer (</w:t>
      </w:r>
      <w:r>
        <w:rPr>
          <w:b/>
        </w:rPr>
        <w:t>“</w:t>
      </w:r>
      <w:r>
        <w:rPr>
          <w:rStyle w:val="CharDefText"/>
        </w:rPr>
        <w:t>inquiring officer</w:t>
      </w:r>
      <w:r>
        <w:rPr>
          <w:b/>
        </w:rPr>
        <w:t>”</w:t>
      </w:r>
      <w:r>
        <w:t xml:space="preserve">) for inquiry. </w:t>
      </w:r>
    </w:p>
    <w:p>
      <w:pPr>
        <w:pStyle w:val="Subsection"/>
      </w:pPr>
      <w:r>
        <w:tab/>
        <w:t>(2)</w:t>
      </w:r>
      <w:r>
        <w:tab/>
        <w:t xml:space="preserve">An inquiring officer is to inquire into, and report to the Commissioner on, whether the nominee has satisfied the criteria set out in regulation 8A02 for the proposed award. </w:t>
      </w:r>
    </w:p>
    <w:p>
      <w:pPr>
        <w:pStyle w:val="Subsection"/>
      </w:pPr>
      <w:r>
        <w:tab/>
        <w:t>(3)</w:t>
      </w:r>
      <w:r>
        <w:tab/>
        <w:t xml:space="preserve">In carrying out an inquiry an inquiring officer — </w:t>
      </w:r>
    </w:p>
    <w:p>
      <w:pPr>
        <w:pStyle w:val="Indenta"/>
      </w:pPr>
      <w:r>
        <w:tab/>
        <w:t>(a)</w:t>
      </w:r>
      <w:r>
        <w:tab/>
        <w:t xml:space="preserve">is to have regard to any guidelines prescribed under regulation 8A10; and </w:t>
      </w:r>
    </w:p>
    <w:p>
      <w:pPr>
        <w:pStyle w:val="Indenta"/>
      </w:pPr>
      <w:r>
        <w:tab/>
        <w:t>(b)</w:t>
      </w:r>
      <w:r>
        <w:tab/>
        <w:t>may appoint another Commissioned Officer to conduct all or any part of the inquiry.</w:t>
      </w:r>
    </w:p>
    <w:p>
      <w:pPr>
        <w:pStyle w:val="Subsection"/>
      </w:pPr>
      <w:r>
        <w:tab/>
        <w:t>(4)</w:t>
      </w:r>
      <w:r>
        <w:tab/>
        <w:t xml:space="preserve">If an inquiring officer reports that a nominee for an Award for Bravery or Bar to the Award for Bravery has satisfied the criteria for that award, the Commissioner is to refer the nomination and inquiring officer’s report to the Committee. </w:t>
      </w:r>
    </w:p>
    <w:p>
      <w:pPr>
        <w:pStyle w:val="Subsection"/>
      </w:pPr>
      <w:r>
        <w:tab/>
        <w:t>(5)</w:t>
      </w:r>
      <w:r>
        <w:tab/>
        <w:t xml:space="preserve">The Committee is to inquire into, and recommend to the Commissioner on, whether the proposed award should be granted. </w:t>
      </w:r>
    </w:p>
    <w:p>
      <w:pPr>
        <w:pStyle w:val="Subsection"/>
      </w:pPr>
      <w:r>
        <w:tab/>
        <w:t>(6)</w:t>
      </w:r>
      <w:r>
        <w:tab/>
        <w:t>In carrying out an inquiry the Committee may make any enquiries it considers appropriate.</w:t>
      </w:r>
    </w:p>
    <w:p>
      <w:pPr>
        <w:pStyle w:val="Subsection"/>
      </w:pPr>
      <w:r>
        <w:tab/>
        <w:t>(7)</w:t>
      </w:r>
      <w:r>
        <w:tab/>
        <w:t xml:space="preserve">The Commissioner may grant a proposed award if — </w:t>
      </w:r>
    </w:p>
    <w:p>
      <w:pPr>
        <w:pStyle w:val="Indenta"/>
      </w:pPr>
      <w:r>
        <w:tab/>
        <w:t>(a)</w:t>
      </w:r>
      <w:r>
        <w:tab/>
        <w:t xml:space="preserve">in the case of an Award for Bravery or Bar to the Award for Bravery, the Committee recommends that the award be granted; or </w:t>
      </w:r>
    </w:p>
    <w:p>
      <w:pPr>
        <w:pStyle w:val="Indenta"/>
      </w:pPr>
      <w:r>
        <w:tab/>
        <w:t>(b)</w:t>
      </w:r>
      <w:r>
        <w:tab/>
        <w:t>in the case of any other award, the inquiring officer reports that the nominee has satisfied the criteria for the award.</w:t>
      </w:r>
    </w:p>
    <w:p>
      <w:pPr>
        <w:pStyle w:val="Footnotesection"/>
      </w:pPr>
      <w:r>
        <w:tab/>
        <w:t xml:space="preserve">[Regulation 8A05 inserted in Gazette 15 Dec 2006 p. 5633.] </w:t>
      </w:r>
    </w:p>
    <w:p>
      <w:pPr>
        <w:pStyle w:val="Heading5"/>
        <w:rPr>
          <w:snapToGrid w:val="0"/>
        </w:rPr>
      </w:pPr>
      <w:bookmarkStart w:id="403" w:name="_Toc158523577"/>
      <w:r>
        <w:rPr>
          <w:rStyle w:val="CharSectno"/>
        </w:rPr>
        <w:t>8A06</w:t>
      </w:r>
      <w:r>
        <w:rPr>
          <w:snapToGrid w:val="0"/>
        </w:rPr>
        <w:t>.</w:t>
      </w:r>
      <w:r>
        <w:rPr>
          <w:snapToGrid w:val="0"/>
        </w:rPr>
        <w:tab/>
        <w:t>Record of awards</w:t>
      </w:r>
      <w:bookmarkEnd w:id="399"/>
      <w:bookmarkEnd w:id="400"/>
      <w:bookmarkEnd w:id="401"/>
      <w:bookmarkEnd w:id="402"/>
      <w:bookmarkEnd w:id="403"/>
      <w:r>
        <w:rPr>
          <w:snapToGrid w:val="0"/>
        </w:rPr>
        <w:t xml:space="preserve"> </w:t>
      </w:r>
    </w:p>
    <w:p>
      <w:pPr>
        <w:pStyle w:val="Subsection"/>
        <w:rPr>
          <w:snapToGrid w:val="0"/>
        </w:rPr>
      </w:pPr>
      <w:r>
        <w:rPr>
          <w:snapToGrid w:val="0"/>
        </w:rPr>
        <w:tab/>
      </w:r>
      <w:r>
        <w:rPr>
          <w:snapToGrid w:val="0"/>
        </w:rPr>
        <w:tab/>
        <w:t>The Commissioner shall ensure that the following action is taken to record the grant of an award — </w:t>
      </w:r>
    </w:p>
    <w:p>
      <w:pPr>
        <w:pStyle w:val="Indenta"/>
        <w:rPr>
          <w:snapToGrid w:val="0"/>
        </w:rPr>
      </w:pPr>
      <w:r>
        <w:rPr>
          <w:snapToGrid w:val="0"/>
        </w:rPr>
        <w:tab/>
        <w:t>(a)</w:t>
      </w:r>
      <w:r>
        <w:rPr>
          <w:snapToGrid w:val="0"/>
        </w:rPr>
        <w:tab/>
        <w:t>making of a record in the personal file of the member of the Force concerned; and</w:t>
      </w:r>
    </w:p>
    <w:p>
      <w:pPr>
        <w:pStyle w:val="Indenta"/>
        <w:rPr>
          <w:snapToGrid w:val="0"/>
        </w:rPr>
      </w:pPr>
      <w:r>
        <w:rPr>
          <w:snapToGrid w:val="0"/>
        </w:rPr>
        <w:tab/>
        <w:t>(b)</w:t>
      </w:r>
      <w:r>
        <w:rPr>
          <w:snapToGrid w:val="0"/>
        </w:rPr>
        <w:tab/>
        <w:t xml:space="preserve">except in the case of a Commendation, publication of particulars of the award in the </w:t>
      </w:r>
      <w:r>
        <w:rPr>
          <w:i/>
          <w:snapToGrid w:val="0"/>
        </w:rPr>
        <w:t>Police Gazette</w:t>
      </w:r>
      <w:r>
        <w:rPr>
          <w:snapToGrid w:val="0"/>
        </w:rPr>
        <w:t>.</w:t>
      </w:r>
    </w:p>
    <w:p>
      <w:pPr>
        <w:pStyle w:val="Footnotesection"/>
      </w:pPr>
      <w:r>
        <w:tab/>
        <w:t xml:space="preserve">[Regulation 8A06 inserted in Gazette 2 Feb 1990 p. 789.] </w:t>
      </w:r>
    </w:p>
    <w:p>
      <w:pPr>
        <w:pStyle w:val="Heading5"/>
        <w:rPr>
          <w:snapToGrid w:val="0"/>
        </w:rPr>
      </w:pPr>
      <w:bookmarkStart w:id="404" w:name="_Toc500034744"/>
      <w:bookmarkStart w:id="405" w:name="_Toc515769542"/>
      <w:bookmarkStart w:id="406" w:name="_Toc522083223"/>
      <w:bookmarkStart w:id="407" w:name="_Toc123622974"/>
      <w:bookmarkStart w:id="408" w:name="_Toc158523578"/>
      <w:r>
        <w:rPr>
          <w:rStyle w:val="CharSectno"/>
        </w:rPr>
        <w:t>8A07</w:t>
      </w:r>
      <w:r>
        <w:rPr>
          <w:snapToGrid w:val="0"/>
        </w:rPr>
        <w:t>.</w:t>
      </w:r>
      <w:r>
        <w:rPr>
          <w:snapToGrid w:val="0"/>
        </w:rPr>
        <w:tab/>
        <w:t>Letters after name</w:t>
      </w:r>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A member of the Force who is granted the Award for Bravery is entitled to have the letters “Cr.B.” after his name in all official documents of the Force, and if he is later granted the Bar to the Award for Bravery, the letters are to be followed by an asterisk.</w:t>
      </w:r>
    </w:p>
    <w:p>
      <w:pPr>
        <w:pStyle w:val="Footnotesection"/>
      </w:pPr>
      <w:r>
        <w:tab/>
        <w:t xml:space="preserve">[Regulation 8A07 inserted in Gazette 2 Feb 1990 p. 790.] </w:t>
      </w:r>
    </w:p>
    <w:p>
      <w:pPr>
        <w:pStyle w:val="Ednotesection"/>
      </w:pPr>
      <w:bookmarkStart w:id="409" w:name="_Toc500034746"/>
      <w:bookmarkStart w:id="410" w:name="_Toc515769544"/>
      <w:bookmarkStart w:id="411" w:name="_Toc522083225"/>
      <w:bookmarkStart w:id="412" w:name="_Toc123622976"/>
      <w:r>
        <w:t>[</w:t>
      </w:r>
      <w:r>
        <w:rPr>
          <w:b/>
          <w:bCs/>
        </w:rPr>
        <w:t>8A08.</w:t>
      </w:r>
      <w:r>
        <w:tab/>
        <w:t>Repealed in Gazette 2 Feb 2007 p. 248.]</w:t>
      </w:r>
    </w:p>
    <w:p>
      <w:pPr>
        <w:pStyle w:val="Heading5"/>
        <w:rPr>
          <w:snapToGrid w:val="0"/>
        </w:rPr>
      </w:pPr>
      <w:bookmarkStart w:id="413" w:name="_Toc158523579"/>
      <w:r>
        <w:rPr>
          <w:rStyle w:val="CharSectno"/>
        </w:rPr>
        <w:t>8A09</w:t>
      </w:r>
      <w:r>
        <w:rPr>
          <w:snapToGrid w:val="0"/>
        </w:rPr>
        <w:t>.</w:t>
      </w:r>
      <w:r>
        <w:rPr>
          <w:snapToGrid w:val="0"/>
        </w:rPr>
        <w:tab/>
        <w:t>Posthumous awards</w:t>
      </w:r>
      <w:bookmarkEnd w:id="409"/>
      <w:bookmarkEnd w:id="410"/>
      <w:bookmarkEnd w:id="411"/>
      <w:bookmarkEnd w:id="412"/>
      <w:bookmarkEnd w:id="413"/>
      <w:r>
        <w:rPr>
          <w:snapToGrid w:val="0"/>
        </w:rPr>
        <w:t xml:space="preserve"> </w:t>
      </w:r>
    </w:p>
    <w:p>
      <w:pPr>
        <w:pStyle w:val="Subsection"/>
        <w:rPr>
          <w:snapToGrid w:val="0"/>
        </w:rPr>
      </w:pPr>
      <w:r>
        <w:rPr>
          <w:snapToGrid w:val="0"/>
        </w:rPr>
        <w:tab/>
      </w:r>
      <w:r>
        <w:rPr>
          <w:snapToGrid w:val="0"/>
        </w:rPr>
        <w:tab/>
        <w:t xml:space="preserve">An award may be presented posthumously to the closest </w:t>
      </w:r>
      <w:r>
        <w:t xml:space="preserve">spouse or de facto partner, or other relative, </w:t>
      </w:r>
      <w:r>
        <w:rPr>
          <w:snapToGrid w:val="0"/>
        </w:rPr>
        <w:t>of a member of the Force who has earned an award, or to a person nominated by that</w:t>
      </w:r>
      <w:r>
        <w:t xml:space="preserve"> spouse or de facto partner, or other relative,</w:t>
      </w:r>
      <w:r>
        <w:rPr>
          <w:snapToGrid w:val="0"/>
        </w:rPr>
        <w:t>.</w:t>
      </w:r>
    </w:p>
    <w:p>
      <w:pPr>
        <w:pStyle w:val="Footnotesection"/>
      </w:pPr>
      <w:r>
        <w:tab/>
        <w:t xml:space="preserve">[Regulation 8A09 inserted in Gazette 2 Feb 1990 p. 790; amended in Gazette 30 Jun 2003 p. 2623.] </w:t>
      </w:r>
    </w:p>
    <w:p>
      <w:pPr>
        <w:pStyle w:val="Heading5"/>
        <w:rPr>
          <w:snapToGrid w:val="0"/>
        </w:rPr>
      </w:pPr>
      <w:bookmarkStart w:id="414" w:name="_Toc500034747"/>
      <w:bookmarkStart w:id="415" w:name="_Toc515769545"/>
      <w:bookmarkStart w:id="416" w:name="_Toc522083226"/>
      <w:bookmarkStart w:id="417" w:name="_Toc123622977"/>
      <w:bookmarkStart w:id="418" w:name="_Toc158523580"/>
      <w:r>
        <w:rPr>
          <w:rStyle w:val="CharSectno"/>
        </w:rPr>
        <w:t>8A10</w:t>
      </w:r>
      <w:r>
        <w:rPr>
          <w:snapToGrid w:val="0"/>
        </w:rPr>
        <w:t>.</w:t>
      </w:r>
      <w:r>
        <w:rPr>
          <w:snapToGrid w:val="0"/>
        </w:rPr>
        <w:tab/>
        <w:t>Guidelines for consideration of nominations</w:t>
      </w:r>
      <w:bookmarkEnd w:id="414"/>
      <w:bookmarkEnd w:id="415"/>
      <w:bookmarkEnd w:id="416"/>
      <w:bookmarkEnd w:id="417"/>
      <w:bookmarkEnd w:id="418"/>
      <w:r>
        <w:rPr>
          <w:snapToGrid w:val="0"/>
        </w:rPr>
        <w:t xml:space="preserve"> </w:t>
      </w:r>
    </w:p>
    <w:p>
      <w:pPr>
        <w:pStyle w:val="Subsection"/>
        <w:rPr>
          <w:snapToGrid w:val="0"/>
        </w:rPr>
      </w:pPr>
      <w:r>
        <w:rPr>
          <w:snapToGrid w:val="0"/>
        </w:rPr>
        <w:tab/>
      </w:r>
      <w:r>
        <w:rPr>
          <w:snapToGrid w:val="0"/>
        </w:rPr>
        <w:tab/>
        <w:t>The Commissioner shall prescribe guidelines for use by Commissioned Officers in considering whether the grant of an award to a member of the Force nominated for an award may be warranted.</w:t>
      </w:r>
    </w:p>
    <w:p>
      <w:pPr>
        <w:pStyle w:val="Footnotesection"/>
      </w:pPr>
      <w:r>
        <w:tab/>
        <w:t xml:space="preserve">[Regulation 8A10 inserted in Gazette 2 Feb 1990 p. 790.] </w:t>
      </w:r>
    </w:p>
    <w:p>
      <w:pPr>
        <w:pStyle w:val="Heading5"/>
        <w:rPr>
          <w:snapToGrid w:val="0"/>
        </w:rPr>
      </w:pPr>
      <w:bookmarkStart w:id="419" w:name="_Toc500034748"/>
      <w:bookmarkStart w:id="420" w:name="_Toc515769546"/>
      <w:bookmarkStart w:id="421" w:name="_Toc522083227"/>
      <w:bookmarkStart w:id="422" w:name="_Toc123622978"/>
      <w:bookmarkStart w:id="423" w:name="_Toc158523581"/>
      <w:r>
        <w:rPr>
          <w:rStyle w:val="CharSectno"/>
        </w:rPr>
        <w:t>8A11</w:t>
      </w:r>
      <w:r>
        <w:rPr>
          <w:snapToGrid w:val="0"/>
        </w:rPr>
        <w:t>.</w:t>
      </w:r>
      <w:r>
        <w:rPr>
          <w:snapToGrid w:val="0"/>
        </w:rPr>
        <w:tab/>
        <w:t>Police Honours and Awards Committee</w:t>
      </w:r>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For the purposes of this Part, there shall be a committee to be known as the Police Honours and Awards Committee.</w:t>
      </w:r>
    </w:p>
    <w:p>
      <w:pPr>
        <w:pStyle w:val="Subsection"/>
        <w:rPr>
          <w:snapToGrid w:val="0"/>
        </w:rPr>
      </w:pPr>
      <w:r>
        <w:rPr>
          <w:snapToGrid w:val="0"/>
        </w:rPr>
        <w:tab/>
        <w:t>(2)</w:t>
      </w:r>
      <w:r>
        <w:rPr>
          <w:snapToGrid w:val="0"/>
        </w:rPr>
        <w:tab/>
        <w:t>The Committee is to consist of —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Deputy</w:t>
      </w:r>
      <w:r>
        <w:t xml:space="preserve"> Commissioners;</w:t>
      </w:r>
    </w:p>
    <w:p>
      <w:pPr>
        <w:pStyle w:val="Indenta"/>
        <w:rPr>
          <w:snapToGrid w:val="0"/>
        </w:rPr>
      </w:pPr>
      <w:r>
        <w:rPr>
          <w:snapToGrid w:val="0"/>
        </w:rPr>
        <w:tab/>
        <w:t>(c)</w:t>
      </w:r>
      <w:r>
        <w:rPr>
          <w:snapToGrid w:val="0"/>
        </w:rPr>
        <w:tab/>
        <w:t>the Assistant Commissioners;</w:t>
      </w:r>
    </w:p>
    <w:p>
      <w:pPr>
        <w:pStyle w:val="Indenta"/>
      </w:pPr>
      <w:r>
        <w:tab/>
        <w:t>(ca)</w:t>
      </w:r>
      <w:r>
        <w:tab/>
        <w:t>the officers of the Department holding the office of Director; and</w:t>
      </w:r>
    </w:p>
    <w:p>
      <w:pPr>
        <w:pStyle w:val="Indenta"/>
        <w:rPr>
          <w:snapToGrid w:val="0"/>
        </w:rPr>
      </w:pPr>
      <w:r>
        <w:rPr>
          <w:snapToGrid w:val="0"/>
        </w:rPr>
        <w:tab/>
        <w:t>(d)</w:t>
      </w:r>
      <w:r>
        <w:rPr>
          <w:snapToGrid w:val="0"/>
        </w:rPr>
        <w:tab/>
        <w:t>an officer of the Department appointed by the Commissioner.</w:t>
      </w:r>
    </w:p>
    <w:p>
      <w:pPr>
        <w:pStyle w:val="Subsection"/>
        <w:rPr>
          <w:snapToGrid w:val="0"/>
        </w:rPr>
      </w:pPr>
      <w:r>
        <w:rPr>
          <w:snapToGrid w:val="0"/>
        </w:rPr>
        <w:tab/>
        <w:t>(3)</w:t>
      </w:r>
      <w:r>
        <w:rPr>
          <w:snapToGrid w:val="0"/>
        </w:rPr>
        <w:tab/>
        <w:t xml:space="preserve">The Committee may determine its procedure and the provisions of the </w:t>
      </w:r>
      <w:r>
        <w:rPr>
          <w:i/>
          <w:snapToGrid w:val="0"/>
        </w:rPr>
        <w:t>Interpretation Act 1984</w:t>
      </w:r>
      <w:r>
        <w:rPr>
          <w:snapToGrid w:val="0"/>
        </w:rPr>
        <w:t xml:space="preserve"> which would otherwise apply in relation to the procedure of the Committee apply only to the extent to which they are not inconsistent with determinations made by the Committee.</w:t>
      </w:r>
    </w:p>
    <w:p>
      <w:pPr>
        <w:pStyle w:val="Footnotesection"/>
      </w:pPr>
      <w:r>
        <w:tab/>
        <w:t xml:space="preserve">[Regulation 8A11 inserted in Gazette 2 Feb 1990 p. 790; amended in Gazette 14 Jul 1992 p. 3370; 15 Dec 2006 p. 5634.] </w:t>
      </w:r>
    </w:p>
    <w:p>
      <w:pPr>
        <w:pStyle w:val="Heading2"/>
      </w:pPr>
      <w:bookmarkStart w:id="424" w:name="_Toc158523582"/>
      <w:bookmarkStart w:id="425" w:name="_Toc90976550"/>
      <w:bookmarkStart w:id="426" w:name="_Toc91044782"/>
      <w:bookmarkStart w:id="427" w:name="_Toc91044962"/>
      <w:bookmarkStart w:id="428" w:name="_Toc123621471"/>
      <w:bookmarkStart w:id="429" w:name="_Toc123623014"/>
      <w:r>
        <w:rPr>
          <w:rStyle w:val="CharPartNo"/>
        </w:rPr>
        <w:t>Part IX</w:t>
      </w:r>
      <w:r>
        <w:rPr>
          <w:rStyle w:val="CharDivNo"/>
        </w:rPr>
        <w:t> </w:t>
      </w:r>
      <w:r>
        <w:t>—</w:t>
      </w:r>
      <w:r>
        <w:rPr>
          <w:rStyle w:val="CharDivText"/>
        </w:rPr>
        <w:t> </w:t>
      </w:r>
      <w:r>
        <w:rPr>
          <w:rStyle w:val="CharPartText"/>
        </w:rPr>
        <w:t>General dress and appearance requirements</w:t>
      </w:r>
      <w:bookmarkEnd w:id="424"/>
    </w:p>
    <w:p>
      <w:pPr>
        <w:pStyle w:val="Footnoteheading"/>
      </w:pPr>
      <w:r>
        <w:tab/>
        <w:t>[Heading inserted in Gazette 2 Feb 2007 p. 248.]</w:t>
      </w:r>
    </w:p>
    <w:p>
      <w:pPr>
        <w:pStyle w:val="Heading5"/>
      </w:pPr>
      <w:bookmarkStart w:id="430" w:name="_Toc158523583"/>
      <w:r>
        <w:rPr>
          <w:rStyle w:val="CharSectno"/>
        </w:rPr>
        <w:t>901</w:t>
      </w:r>
      <w:r>
        <w:t>.</w:t>
      </w:r>
      <w:r>
        <w:tab/>
        <w:t>Uniform to be worn as ordered</w:t>
      </w:r>
      <w:bookmarkEnd w:id="430"/>
    </w:p>
    <w:p>
      <w:pPr>
        <w:pStyle w:val="Subsection"/>
      </w:pPr>
      <w:r>
        <w:tab/>
        <w:t>(1)</w:t>
      </w:r>
      <w:r>
        <w:tab/>
        <w:t xml:space="preserve">A member or cadet, when required by the Commissioner’s uniform and appearance instruction to wear a uniform, shall — </w:t>
      </w:r>
    </w:p>
    <w:p>
      <w:pPr>
        <w:pStyle w:val="Indenta"/>
      </w:pPr>
      <w:r>
        <w:tab/>
        <w:t>(a)</w:t>
      </w:r>
      <w:r>
        <w:tab/>
        <w:t>wear the type of uniform specified in the Commissioner’s uniform and appearance instruction; and</w:t>
      </w:r>
    </w:p>
    <w:p>
      <w:pPr>
        <w:pStyle w:val="Indenta"/>
      </w:pPr>
      <w:r>
        <w:tab/>
        <w:t>(b)</w:t>
      </w:r>
      <w:r>
        <w:tab/>
        <w:t>wear that uniform in the manner specified in the Commissioner’s uniform and appearance instruction.</w:t>
      </w:r>
    </w:p>
    <w:p>
      <w:pPr>
        <w:pStyle w:val="Subsection"/>
      </w:pPr>
      <w:r>
        <w:tab/>
        <w:t>(2)</w:t>
      </w:r>
      <w:r>
        <w:tab/>
        <w:t xml:space="preserve">A member or cadet, when not required to wear a uniform on duty, shall — </w:t>
      </w:r>
    </w:p>
    <w:p>
      <w:pPr>
        <w:pStyle w:val="Indenta"/>
      </w:pPr>
      <w:r>
        <w:tab/>
        <w:t>(a)</w:t>
      </w:r>
      <w:r>
        <w:tab/>
        <w:t>dress to the standard specified in the Commissioner’s uniform and appearance instruction (if any); and</w:t>
      </w:r>
    </w:p>
    <w:p>
      <w:pPr>
        <w:pStyle w:val="Indenta"/>
      </w:pPr>
      <w:r>
        <w:tab/>
        <w:t>(b)</w:t>
      </w:r>
      <w:r>
        <w:tab/>
        <w:t>dress in a manner appropriate to the duties being undertaken.</w:t>
      </w:r>
    </w:p>
    <w:p>
      <w:pPr>
        <w:pStyle w:val="Footnotesection"/>
      </w:pPr>
      <w:r>
        <w:tab/>
        <w:t>[Regulation 901 inserted in Gazette 2 Feb 2007 p. 248.]</w:t>
      </w:r>
    </w:p>
    <w:p>
      <w:pPr>
        <w:pStyle w:val="Heading5"/>
      </w:pPr>
      <w:bookmarkStart w:id="431" w:name="_Toc158523584"/>
      <w:r>
        <w:rPr>
          <w:rStyle w:val="CharSectno"/>
        </w:rPr>
        <w:t>902</w:t>
      </w:r>
      <w:r>
        <w:t>.</w:t>
      </w:r>
      <w:r>
        <w:tab/>
        <w:t>Wearing of uniform while off duty</w:t>
      </w:r>
      <w:bookmarkEnd w:id="431"/>
    </w:p>
    <w:p>
      <w:pPr>
        <w:pStyle w:val="Subsection"/>
      </w:pPr>
      <w:r>
        <w:tab/>
        <w:t>(1)</w:t>
      </w:r>
      <w:r>
        <w:tab/>
        <w:t xml:space="preserve">A member or cadet shall not wear a uniform while off duty except — </w:t>
      </w:r>
    </w:p>
    <w:p>
      <w:pPr>
        <w:pStyle w:val="Indenta"/>
      </w:pPr>
      <w:r>
        <w:tab/>
        <w:t>(a)</w:t>
      </w:r>
      <w:r>
        <w:tab/>
        <w:t>while travelling to or from his place of duty; or</w:t>
      </w:r>
    </w:p>
    <w:p>
      <w:pPr>
        <w:pStyle w:val="Indenta"/>
      </w:pPr>
      <w:r>
        <w:tab/>
        <w:t>(b)</w:t>
      </w:r>
      <w:r>
        <w:tab/>
        <w:t xml:space="preserve">with the permission of his officer in charge or his immediate superior, as the case may be, as ceremonial dress where he is entering into marriage within the meaning of the </w:t>
      </w:r>
      <w:r>
        <w:rPr>
          <w:i/>
        </w:rPr>
        <w:t>Marriage Act 1961</w:t>
      </w:r>
      <w:r>
        <w:t xml:space="preserve"> of the Commonwealth; or</w:t>
      </w:r>
    </w:p>
    <w:p>
      <w:pPr>
        <w:pStyle w:val="Indenta"/>
      </w:pPr>
      <w:r>
        <w:tab/>
        <w:t>(c)</w:t>
      </w:r>
      <w:r>
        <w:tab/>
        <w:t>with the permission of his Assistant Commissioner or Director, at a special function or event.</w:t>
      </w:r>
    </w:p>
    <w:p>
      <w:pPr>
        <w:pStyle w:val="Subsection"/>
      </w:pPr>
      <w:r>
        <w:tab/>
        <w:t>(2)</w:t>
      </w:r>
      <w:r>
        <w:tab/>
        <w:t xml:space="preserve">A member or cadet cannot be authorised under subregulation (1)(b) or (c) to wear — </w:t>
      </w:r>
    </w:p>
    <w:p>
      <w:pPr>
        <w:pStyle w:val="Indenta"/>
      </w:pPr>
      <w:r>
        <w:tab/>
        <w:t>(a)</w:t>
      </w:r>
      <w:r>
        <w:tab/>
        <w:t>a firearm, handcuffs, a baton, equipment belt or associated accoutrements; or</w:t>
      </w:r>
    </w:p>
    <w:p>
      <w:pPr>
        <w:pStyle w:val="Indenta"/>
      </w:pPr>
      <w:r>
        <w:tab/>
        <w:t>(b)</w:t>
      </w:r>
      <w:r>
        <w:tab/>
        <w:t>a uniform at a place where alcohol is available for consumption.</w:t>
      </w:r>
    </w:p>
    <w:p>
      <w:pPr>
        <w:pStyle w:val="Footnotesection"/>
      </w:pPr>
      <w:r>
        <w:tab/>
        <w:t>[Regulation 902 inserted in Gazette 2 Feb 2007 p. 248.]</w:t>
      </w:r>
    </w:p>
    <w:p>
      <w:pPr>
        <w:pStyle w:val="Heading5"/>
      </w:pPr>
      <w:bookmarkStart w:id="432" w:name="_Toc158523585"/>
      <w:r>
        <w:rPr>
          <w:rStyle w:val="CharSectno"/>
        </w:rPr>
        <w:t>903</w:t>
      </w:r>
      <w:r>
        <w:t>.</w:t>
      </w:r>
      <w:r>
        <w:tab/>
        <w:t>Uniform not to be altered</w:t>
      </w:r>
      <w:bookmarkEnd w:id="432"/>
    </w:p>
    <w:p>
      <w:pPr>
        <w:pStyle w:val="Subsection"/>
      </w:pPr>
      <w:r>
        <w:tab/>
        <w:t>(1)</w:t>
      </w:r>
      <w:r>
        <w:tab/>
        <w:t>A member or cadet shall not wear any current issue uniform clothing on duty that has had its appearance altered or its shape interfered with.</w:t>
      </w:r>
    </w:p>
    <w:p>
      <w:pPr>
        <w:pStyle w:val="Subsection"/>
      </w:pPr>
      <w:r>
        <w:tab/>
        <w:t>(2)</w:t>
      </w:r>
      <w:r>
        <w:tab/>
        <w:t>A member or cadet shall not alter his current issue uniform clothing for use as private garments, or wear any of his current issue articles of uniform as a civilian garment.</w:t>
      </w:r>
    </w:p>
    <w:p>
      <w:pPr>
        <w:pStyle w:val="Footnotesection"/>
      </w:pPr>
      <w:r>
        <w:tab/>
        <w:t>[Regulation 903 inserted in Gazette 2 Feb 2007 p. 249.]</w:t>
      </w:r>
    </w:p>
    <w:p>
      <w:pPr>
        <w:pStyle w:val="Heading5"/>
      </w:pPr>
      <w:bookmarkStart w:id="433" w:name="_Toc158523586"/>
      <w:r>
        <w:rPr>
          <w:rStyle w:val="CharSectno"/>
        </w:rPr>
        <w:t>904</w:t>
      </w:r>
      <w:r>
        <w:t>.</w:t>
      </w:r>
      <w:r>
        <w:tab/>
        <w:t>Replacement and disposal of articles of uniform</w:t>
      </w:r>
      <w:bookmarkEnd w:id="433"/>
    </w:p>
    <w:p>
      <w:pPr>
        <w:pStyle w:val="Subsection"/>
      </w:pPr>
      <w:r>
        <w:tab/>
      </w:r>
      <w:r>
        <w:tab/>
        <w:t>If an article of uniform or equipment is to be replaced, a member or cadet shall remove or destroy all components of the uniform or equipment being replaced that identify it as Police issue, before disposal of the replaced article.</w:t>
      </w:r>
    </w:p>
    <w:p>
      <w:pPr>
        <w:pStyle w:val="Footnotesection"/>
      </w:pPr>
      <w:r>
        <w:tab/>
        <w:t>[Regulation 904 inserted in Gazette 2 Feb 2007 p. 249.]</w:t>
      </w:r>
    </w:p>
    <w:p>
      <w:pPr>
        <w:pStyle w:val="Heading5"/>
      </w:pPr>
      <w:bookmarkStart w:id="434" w:name="_Toc158523587"/>
      <w:r>
        <w:rPr>
          <w:rStyle w:val="CharSectno"/>
        </w:rPr>
        <w:t>905</w:t>
      </w:r>
      <w:r>
        <w:t>.</w:t>
      </w:r>
      <w:r>
        <w:tab/>
        <w:t>Wearing of headwear</w:t>
      </w:r>
      <w:bookmarkEnd w:id="434"/>
    </w:p>
    <w:p>
      <w:pPr>
        <w:pStyle w:val="Subsection"/>
      </w:pPr>
      <w:r>
        <w:tab/>
        <w:t>(1)</w:t>
      </w:r>
      <w:r>
        <w:tab/>
        <w:t>Subject to subregulations (2), (3) and (4), when in uniform, a member or cadet shall wear the cap or hat forming part of that uniform whenever he is outside a building or a vehicle.</w:t>
      </w:r>
    </w:p>
    <w:p>
      <w:pPr>
        <w:pStyle w:val="Subsection"/>
      </w:pPr>
      <w:r>
        <w:tab/>
        <w:t>(2)</w:t>
      </w:r>
      <w:r>
        <w:tab/>
        <w:t>A motor cycle helmet or other protective form of headwear forming part of a uniform is to be worn when a member or cadet in uniform is on a motorcycle, or in circumstances requiring head protection, as the case requires.</w:t>
      </w:r>
    </w:p>
    <w:p>
      <w:pPr>
        <w:pStyle w:val="Subsection"/>
      </w:pPr>
      <w:r>
        <w:tab/>
        <w:t>(3)</w:t>
      </w:r>
      <w:r>
        <w:tab/>
        <w:t>A uniformed member or cadet shall remove a hat, cap, motorcycle helmet or other protective helmet when seated in the Supreme Court or the District Court.</w:t>
      </w:r>
    </w:p>
    <w:p>
      <w:pPr>
        <w:pStyle w:val="Subsection"/>
      </w:pPr>
      <w:r>
        <w:tab/>
        <w:t>(4)</w:t>
      </w:r>
      <w:r>
        <w:tab/>
        <w:t>A uniformed member or cadet may remove his cap or hat when within the confines of an enclosed area of land that forms the curtilage of police premises.</w:t>
      </w:r>
    </w:p>
    <w:p>
      <w:pPr>
        <w:pStyle w:val="Footnotesection"/>
      </w:pPr>
      <w:r>
        <w:tab/>
        <w:t>[Regulation 905 inserted in Gazette 2 Feb 2007 p. 249.]</w:t>
      </w:r>
    </w:p>
    <w:p>
      <w:pPr>
        <w:pStyle w:val="Heading5"/>
      </w:pPr>
      <w:bookmarkStart w:id="435" w:name="_Toc158523588"/>
      <w:r>
        <w:rPr>
          <w:rStyle w:val="CharSectno"/>
        </w:rPr>
        <w:t>906</w:t>
      </w:r>
      <w:r>
        <w:t>.</w:t>
      </w:r>
      <w:r>
        <w:tab/>
        <w:t>Care to be taken of issued property</w:t>
      </w:r>
      <w:bookmarkEnd w:id="435"/>
    </w:p>
    <w:p>
      <w:pPr>
        <w:pStyle w:val="Subsection"/>
      </w:pPr>
      <w:r>
        <w:tab/>
        <w:t>(1)</w:t>
      </w:r>
      <w:r>
        <w:tab/>
        <w:t>A member or cadet shall take proper care of all articles of uniform, equipment, documents (including his Certificate of Authority), books and other items of property which have been issued to him.</w:t>
      </w:r>
    </w:p>
    <w:p>
      <w:pPr>
        <w:pStyle w:val="Subsection"/>
      </w:pPr>
      <w:r>
        <w:tab/>
        <w:t>(2)</w:t>
      </w:r>
      <w:r>
        <w:tab/>
        <w:t xml:space="preserve">A member or cadet shall not — </w:t>
      </w:r>
    </w:p>
    <w:p>
      <w:pPr>
        <w:pStyle w:val="Indenta"/>
      </w:pPr>
      <w:r>
        <w:tab/>
        <w:t>(a)</w:t>
      </w:r>
      <w:r>
        <w:tab/>
        <w:t>wilfully or carelessly cause any waste, loss or damage in respect of any article of uniform or equipment, or in respect of any book, document (including a Certificate of Authority) or other property issued to him, used by him or entrusted to his care; or</w:t>
      </w:r>
    </w:p>
    <w:p>
      <w:pPr>
        <w:pStyle w:val="Indenta"/>
      </w:pPr>
      <w:r>
        <w:tab/>
        <w:t>(b)</w:t>
      </w:r>
      <w:r>
        <w:tab/>
        <w:t>without lawful authority use any property issued to him or used by him or entrusted to his care other than in the performance of his duty.</w:t>
      </w:r>
    </w:p>
    <w:p>
      <w:pPr>
        <w:pStyle w:val="Subsection"/>
      </w:pPr>
      <w:r>
        <w:tab/>
        <w:t>(3)</w:t>
      </w:r>
      <w:r>
        <w:tab/>
        <w:t>A member or cadet shall promptly report any loss or damage, however caused, to any article supplied to him for the performance of his duties.</w:t>
      </w:r>
    </w:p>
    <w:p>
      <w:pPr>
        <w:pStyle w:val="Footnotesection"/>
      </w:pPr>
      <w:r>
        <w:tab/>
        <w:t>[Regulation 906 inserted in Gazette 2 Feb 2007 p. 249-50.]</w:t>
      </w:r>
    </w:p>
    <w:p>
      <w:pPr>
        <w:pStyle w:val="Heading5"/>
      </w:pPr>
      <w:bookmarkStart w:id="436" w:name="_Toc158523589"/>
      <w:r>
        <w:rPr>
          <w:rStyle w:val="CharSectno"/>
        </w:rPr>
        <w:t>907</w:t>
      </w:r>
      <w:r>
        <w:t>.</w:t>
      </w:r>
      <w:r>
        <w:tab/>
        <w:t>Certificate of Authority</w:t>
      </w:r>
      <w:bookmarkEnd w:id="436"/>
    </w:p>
    <w:p>
      <w:pPr>
        <w:pStyle w:val="Subsection"/>
      </w:pPr>
      <w:r>
        <w:tab/>
        <w:t>(1)</w:t>
      </w:r>
      <w:r>
        <w:tab/>
        <w:t xml:space="preserve">A member or cadet who is not in uniform shall have with him his Certificate of Authority, which he shall produce whenever requested to do so by a person in relation to whom he is about to exercise any power or duty as a member or cadet unless — </w:t>
      </w:r>
    </w:p>
    <w:p>
      <w:pPr>
        <w:pStyle w:val="Indenta"/>
      </w:pPr>
      <w:r>
        <w:tab/>
        <w:t>(a)</w:t>
      </w:r>
      <w:r>
        <w:tab/>
        <w:t xml:space="preserve">he has a reasonable cause to refuse to do so; or </w:t>
      </w:r>
    </w:p>
    <w:p>
      <w:pPr>
        <w:pStyle w:val="Indenta"/>
      </w:pPr>
      <w:r>
        <w:tab/>
        <w:t>(b)</w:t>
      </w:r>
      <w:r>
        <w:tab/>
        <w:t>it is not possible to do so.</w:t>
      </w:r>
    </w:p>
    <w:p>
      <w:pPr>
        <w:pStyle w:val="Subsection"/>
      </w:pPr>
      <w:r>
        <w:tab/>
        <w:t>(2)</w:t>
      </w:r>
      <w:r>
        <w:tab/>
        <w:t>A member or cadet who is not in uniform shall display his Certificate of Authority at all times while on police property or in police buildings, whether or not he is on duty at the time.</w:t>
      </w:r>
    </w:p>
    <w:p>
      <w:pPr>
        <w:pStyle w:val="Subsection"/>
      </w:pPr>
      <w:r>
        <w:tab/>
        <w:t>(3)</w:t>
      </w:r>
      <w:r>
        <w:tab/>
        <w:t>A member or cadet shall not transfer the Certificate of Authority issued to him to another member or cadet and shall not permit any person whether a member or not to use his Certificate of Authority.</w:t>
      </w:r>
    </w:p>
    <w:p>
      <w:pPr>
        <w:pStyle w:val="Footnotesection"/>
      </w:pPr>
      <w:r>
        <w:tab/>
        <w:t>[Regulation 907 inserted in Gazette 2 Feb 2007 p. 250.]</w:t>
      </w:r>
    </w:p>
    <w:p>
      <w:pPr>
        <w:pStyle w:val="Heading5"/>
      </w:pPr>
      <w:bookmarkStart w:id="437" w:name="_Toc158523590"/>
      <w:r>
        <w:rPr>
          <w:rStyle w:val="CharSectno"/>
        </w:rPr>
        <w:t>908</w:t>
      </w:r>
      <w:r>
        <w:t>.</w:t>
      </w:r>
      <w:r>
        <w:tab/>
        <w:t>Name plate</w:t>
      </w:r>
      <w:bookmarkEnd w:id="437"/>
    </w:p>
    <w:p>
      <w:pPr>
        <w:pStyle w:val="Subsection"/>
      </w:pPr>
      <w:r>
        <w:tab/>
        <w:t>(1)</w:t>
      </w:r>
      <w:r>
        <w:tab/>
        <w:t>A member or cadet shall wear his approved name plate on work or ceremonial dress in the circumstances, and in the manner, specified in the Commissioner’s uniform and appearance instruction.</w:t>
      </w:r>
    </w:p>
    <w:p>
      <w:pPr>
        <w:pStyle w:val="Subsection"/>
      </w:pPr>
      <w:r>
        <w:tab/>
        <w:t>(2)</w:t>
      </w:r>
      <w:r>
        <w:tab/>
        <w:t>A member or cadet shall not wear a name plate that does not conform to the specifications, and requirements, specified for a name plate in the Commissioner’s uniform and appearance instruction.</w:t>
      </w:r>
    </w:p>
    <w:p>
      <w:pPr>
        <w:pStyle w:val="Footnotesection"/>
      </w:pPr>
      <w:r>
        <w:tab/>
        <w:t>[Regulation 908 inserted in Gazette 2 Feb 2007 p. 250.]</w:t>
      </w:r>
    </w:p>
    <w:p>
      <w:pPr>
        <w:pStyle w:val="Heading5"/>
      </w:pPr>
      <w:bookmarkStart w:id="438" w:name="_Toc158523591"/>
      <w:r>
        <w:rPr>
          <w:rStyle w:val="CharSectno"/>
        </w:rPr>
        <w:t>909</w:t>
      </w:r>
      <w:r>
        <w:t>.</w:t>
      </w:r>
      <w:r>
        <w:tab/>
        <w:t>Appearance</w:t>
      </w:r>
      <w:bookmarkEnd w:id="438"/>
    </w:p>
    <w:p>
      <w:pPr>
        <w:pStyle w:val="Subsection"/>
      </w:pPr>
      <w:r>
        <w:tab/>
        <w:t>(1)</w:t>
      </w:r>
      <w:r>
        <w:tab/>
        <w:t>A member or cadet shall be neat and clean in his clothing, appearance and person.</w:t>
      </w:r>
    </w:p>
    <w:p>
      <w:pPr>
        <w:pStyle w:val="Subsection"/>
      </w:pPr>
      <w:r>
        <w:tab/>
        <w:t>(2)</w:t>
      </w:r>
      <w:r>
        <w:tab/>
        <w:t>A member or cadet shall have the hair on his head neatly groomed and trimmed in the manner specified in the Commissioner’s uniform and appearance instruction, unless otherwise approved.</w:t>
      </w:r>
    </w:p>
    <w:p>
      <w:pPr>
        <w:pStyle w:val="Subsection"/>
      </w:pPr>
      <w:r>
        <w:tab/>
        <w:t>(3)</w:t>
      </w:r>
      <w:r>
        <w:tab/>
        <w:t>A male member or cadet shall have his face clean shaven with the exception of the upper lip and, where a moustache is worn, have it neat and trimmed, unless otherwise approved.</w:t>
      </w:r>
    </w:p>
    <w:p>
      <w:pPr>
        <w:pStyle w:val="Subsection"/>
      </w:pPr>
      <w:r>
        <w:tab/>
        <w:t>(4)</w:t>
      </w:r>
      <w:r>
        <w:tab/>
        <w:t>A member or cadet in uniform shall not wear sunglasses unless the sunglasses are of a type, and are worn in the manner, specified in the Commissioner’s uniform and appearance instruction.</w:t>
      </w:r>
    </w:p>
    <w:p>
      <w:pPr>
        <w:pStyle w:val="Subsection"/>
      </w:pPr>
      <w:r>
        <w:tab/>
        <w:t>(5)</w:t>
      </w:r>
      <w:r>
        <w:tab/>
        <w:t>A member or cadet in uniform shall not wear jewellery or other adornments, unless the particular type of adornment is approved.</w:t>
      </w:r>
    </w:p>
    <w:p>
      <w:pPr>
        <w:pStyle w:val="Footnotesection"/>
      </w:pPr>
      <w:r>
        <w:tab/>
        <w:t>[Regulation 909 inserted in Gazette 2 Feb 2007 p. 250-1.]</w:t>
      </w:r>
    </w:p>
    <w:p>
      <w:pPr>
        <w:pStyle w:val="Ednotesection"/>
      </w:pPr>
      <w:r>
        <w:t>[</w:t>
      </w:r>
      <w:r>
        <w:rPr>
          <w:b/>
          <w:bCs/>
        </w:rPr>
        <w:t>910-922.</w:t>
      </w:r>
      <w:r>
        <w:tab/>
        <w:t>Repealed in Gazette 2 Feb 2007 p. 248.]</w:t>
      </w:r>
    </w:p>
    <w:p>
      <w:pPr>
        <w:pStyle w:val="Ednotepart"/>
      </w:pPr>
      <w:r>
        <w:t xml:space="preserve">[Part X (r. 1001-1007 repealed in Gazette 15 Dec 2006 p. 5635.] </w:t>
      </w:r>
    </w:p>
    <w:p>
      <w:pPr>
        <w:pStyle w:val="Heading2"/>
      </w:pPr>
      <w:bookmarkStart w:id="439" w:name="_Toc153957388"/>
      <w:bookmarkStart w:id="440" w:name="_Toc153958721"/>
      <w:bookmarkStart w:id="441" w:name="_Toc154478791"/>
      <w:bookmarkStart w:id="442" w:name="_Toc158523592"/>
      <w:r>
        <w:rPr>
          <w:rStyle w:val="CharPartNo"/>
        </w:rPr>
        <w:t>Part XI</w:t>
      </w:r>
      <w:r>
        <w:rPr>
          <w:rStyle w:val="CharDivNo"/>
        </w:rPr>
        <w:t> </w:t>
      </w:r>
      <w:r>
        <w:t>—</w:t>
      </w:r>
      <w:r>
        <w:rPr>
          <w:rStyle w:val="CharDivText"/>
        </w:rPr>
        <w:t> </w:t>
      </w:r>
      <w:r>
        <w:rPr>
          <w:rStyle w:val="CharPartText"/>
        </w:rPr>
        <w:t>Leave</w:t>
      </w:r>
      <w:bookmarkEnd w:id="425"/>
      <w:bookmarkEnd w:id="426"/>
      <w:bookmarkEnd w:id="427"/>
      <w:bookmarkEnd w:id="428"/>
      <w:bookmarkEnd w:id="429"/>
      <w:bookmarkEnd w:id="439"/>
      <w:bookmarkEnd w:id="440"/>
      <w:bookmarkEnd w:id="441"/>
      <w:bookmarkEnd w:id="442"/>
      <w:r>
        <w:rPr>
          <w:rStyle w:val="CharPartText"/>
        </w:rPr>
        <w:t xml:space="preserve"> </w:t>
      </w:r>
    </w:p>
    <w:p>
      <w:pPr>
        <w:pStyle w:val="Heading5"/>
        <w:rPr>
          <w:snapToGrid w:val="0"/>
        </w:rPr>
      </w:pPr>
      <w:bookmarkStart w:id="443" w:name="_Toc500034779"/>
      <w:bookmarkStart w:id="444" w:name="_Toc515769577"/>
      <w:bookmarkStart w:id="445" w:name="_Toc522083258"/>
      <w:bookmarkStart w:id="446" w:name="_Toc123623015"/>
      <w:bookmarkStart w:id="447" w:name="_Toc158523593"/>
      <w:r>
        <w:rPr>
          <w:rStyle w:val="CharSectno"/>
        </w:rPr>
        <w:t>1101</w:t>
      </w:r>
      <w:r>
        <w:rPr>
          <w:snapToGrid w:val="0"/>
        </w:rPr>
        <w:t>.</w:t>
      </w:r>
      <w:r>
        <w:rPr>
          <w:snapToGrid w:val="0"/>
        </w:rPr>
        <w:tab/>
        <w:t>Annual leave</w:t>
      </w:r>
      <w:bookmarkEnd w:id="443"/>
      <w:bookmarkEnd w:id="444"/>
      <w:bookmarkEnd w:id="445"/>
      <w:bookmarkEnd w:id="446"/>
      <w:bookmarkEnd w:id="447"/>
      <w:r>
        <w:rPr>
          <w:snapToGrid w:val="0"/>
        </w:rPr>
        <w:t xml:space="preserve"> </w:t>
      </w:r>
    </w:p>
    <w:p>
      <w:pPr>
        <w:pStyle w:val="Subsection"/>
        <w:rPr>
          <w:snapToGrid w:val="0"/>
        </w:rPr>
      </w:pPr>
      <w:r>
        <w:rPr>
          <w:snapToGrid w:val="0"/>
        </w:rPr>
        <w:tab/>
      </w:r>
      <w:r>
        <w:rPr>
          <w:snapToGrid w:val="0"/>
        </w:rPr>
        <w:tab/>
        <w:t>A member or cadet is entitled to such annual leave as is prescribed by the Award.</w:t>
      </w:r>
    </w:p>
    <w:p>
      <w:pPr>
        <w:pStyle w:val="Heading5"/>
        <w:rPr>
          <w:snapToGrid w:val="0"/>
        </w:rPr>
      </w:pPr>
      <w:bookmarkStart w:id="448" w:name="_Toc500034780"/>
      <w:bookmarkStart w:id="449" w:name="_Toc515769578"/>
      <w:bookmarkStart w:id="450" w:name="_Toc522083259"/>
      <w:bookmarkStart w:id="451" w:name="_Toc123623016"/>
      <w:bookmarkStart w:id="452" w:name="_Toc158523594"/>
      <w:r>
        <w:rPr>
          <w:rStyle w:val="CharSectno"/>
        </w:rPr>
        <w:t>1102</w:t>
      </w:r>
      <w:r>
        <w:rPr>
          <w:snapToGrid w:val="0"/>
        </w:rPr>
        <w:t>.</w:t>
      </w:r>
      <w:r>
        <w:rPr>
          <w:snapToGrid w:val="0"/>
        </w:rPr>
        <w:tab/>
        <w:t>Notice of annual leave</w:t>
      </w:r>
      <w:bookmarkEnd w:id="448"/>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For the purposes of compiling the annual leave roster showing the commencing and finishing date of annual leave prescribed by the Award every member shall not later than 30 June each year give notice to the Commissioner of the dates that he prefers to commence and finish his annual leave in the year immediately following.</w:t>
      </w:r>
    </w:p>
    <w:p>
      <w:pPr>
        <w:pStyle w:val="Subsection"/>
        <w:rPr>
          <w:snapToGrid w:val="0"/>
        </w:rPr>
      </w:pPr>
      <w:r>
        <w:rPr>
          <w:snapToGrid w:val="0"/>
        </w:rPr>
        <w:tab/>
        <w:t>(2)</w:t>
      </w:r>
      <w:r>
        <w:rPr>
          <w:snapToGrid w:val="0"/>
        </w:rPr>
        <w:tab/>
        <w:t>The notice referred to in subregulation (1) shall — </w:t>
      </w:r>
    </w:p>
    <w:p>
      <w:pPr>
        <w:pStyle w:val="Indenta"/>
        <w:rPr>
          <w:snapToGrid w:val="0"/>
        </w:rPr>
      </w:pPr>
      <w:r>
        <w:rPr>
          <w:snapToGrid w:val="0"/>
        </w:rPr>
        <w:tab/>
        <w:t>(a)</w:t>
      </w:r>
      <w:r>
        <w:rPr>
          <w:snapToGrid w:val="0"/>
        </w:rPr>
        <w:tab/>
        <w:t>in the case of an application by a member who is a commissioned officer or an officer</w:t>
      </w:r>
      <w:r>
        <w:rPr>
          <w:snapToGrid w:val="0"/>
        </w:rPr>
        <w:noBreakHyphen/>
        <w:t>in</w:t>
      </w:r>
      <w:r>
        <w:rPr>
          <w:snapToGrid w:val="0"/>
        </w:rPr>
        <w:noBreakHyphen/>
        <w:t>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w:t>
      </w:r>
      <w:r>
        <w:rPr>
          <w:snapToGrid w:val="0"/>
        </w:rPr>
        <w:noBreakHyphen/>
        <w:t>in</w:t>
      </w:r>
      <w:r>
        <w:rPr>
          <w:snapToGrid w:val="0"/>
        </w:rPr>
        <w:noBreakHyphen/>
        <w:t>charge of that member.</w:t>
      </w:r>
    </w:p>
    <w:p>
      <w:pPr>
        <w:pStyle w:val="Heading5"/>
        <w:rPr>
          <w:snapToGrid w:val="0"/>
        </w:rPr>
      </w:pPr>
      <w:bookmarkStart w:id="453" w:name="_Toc500034781"/>
      <w:bookmarkStart w:id="454" w:name="_Toc515769579"/>
      <w:bookmarkStart w:id="455" w:name="_Toc522083260"/>
      <w:bookmarkStart w:id="456" w:name="_Toc123623017"/>
      <w:bookmarkStart w:id="457" w:name="_Toc158523595"/>
      <w:r>
        <w:rPr>
          <w:rStyle w:val="CharSectno"/>
        </w:rPr>
        <w:t>1103</w:t>
      </w:r>
      <w:r>
        <w:rPr>
          <w:snapToGrid w:val="0"/>
        </w:rPr>
        <w:t>.</w:t>
      </w:r>
      <w:r>
        <w:rPr>
          <w:snapToGrid w:val="0"/>
        </w:rPr>
        <w:tab/>
        <w:t>Address for contact during leave</w:t>
      </w:r>
      <w:bookmarkEnd w:id="453"/>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In his application for leave a member or cadet shall state an address at which he can be contacted during his leave.</w:t>
      </w:r>
    </w:p>
    <w:p>
      <w:pPr>
        <w:pStyle w:val="Heading5"/>
        <w:rPr>
          <w:snapToGrid w:val="0"/>
        </w:rPr>
      </w:pPr>
      <w:bookmarkStart w:id="458" w:name="_Toc500034782"/>
      <w:bookmarkStart w:id="459" w:name="_Toc515769580"/>
      <w:bookmarkStart w:id="460" w:name="_Toc522083261"/>
      <w:bookmarkStart w:id="461" w:name="_Toc123623018"/>
      <w:bookmarkStart w:id="462" w:name="_Toc158523596"/>
      <w:r>
        <w:rPr>
          <w:rStyle w:val="CharSectno"/>
        </w:rPr>
        <w:t>1104</w:t>
      </w:r>
      <w:r>
        <w:rPr>
          <w:snapToGrid w:val="0"/>
        </w:rPr>
        <w:t>.</w:t>
      </w:r>
      <w:r>
        <w:rPr>
          <w:snapToGrid w:val="0"/>
        </w:rPr>
        <w:tab/>
        <w:t>Annual leave to be taken according to the roster</w:t>
      </w:r>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Subject to these regulations, a member or cadet shall only take annual leave in accordance with the dates indicated in relation to him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w:t>
      </w:r>
      <w:r>
        <w:rPr>
          <w:snapToGrid w:val="0"/>
        </w:rPr>
        <w:noBreakHyphen/>
        <w:t>in</w:t>
      </w:r>
      <w:r>
        <w:rPr>
          <w:snapToGrid w:val="0"/>
        </w:rPr>
        <w:noBreakHyphen/>
        <w:t>charge concerned may alter the dates indicated on the roster of annual leave either in relation to a particular member, or cadet, or generally.</w:t>
      </w:r>
    </w:p>
    <w:p>
      <w:pPr>
        <w:pStyle w:val="Heading5"/>
        <w:rPr>
          <w:snapToGrid w:val="0"/>
        </w:rPr>
      </w:pPr>
      <w:bookmarkStart w:id="463" w:name="_Toc500034783"/>
      <w:bookmarkStart w:id="464" w:name="_Toc515769581"/>
      <w:bookmarkStart w:id="465" w:name="_Toc522083262"/>
      <w:bookmarkStart w:id="466" w:name="_Toc123623019"/>
      <w:bookmarkStart w:id="467" w:name="_Toc158523597"/>
      <w:r>
        <w:rPr>
          <w:rStyle w:val="CharSectno"/>
        </w:rPr>
        <w:t>1105</w:t>
      </w:r>
      <w:r>
        <w:rPr>
          <w:snapToGrid w:val="0"/>
        </w:rPr>
        <w:t>.</w:t>
      </w:r>
      <w:r>
        <w:rPr>
          <w:snapToGrid w:val="0"/>
        </w:rPr>
        <w:tab/>
        <w:t>Leave accumulated by written permission</w:t>
      </w:r>
      <w:bookmarkEnd w:id="463"/>
      <w:bookmarkEnd w:id="464"/>
      <w:bookmarkEnd w:id="465"/>
      <w:bookmarkEnd w:id="466"/>
      <w:bookmarkEnd w:id="467"/>
      <w:r>
        <w:rPr>
          <w:snapToGrid w:val="0"/>
        </w:rPr>
        <w:t xml:space="preserve"> </w:t>
      </w:r>
    </w:p>
    <w:p>
      <w:pPr>
        <w:pStyle w:val="Subsection"/>
        <w:spacing w:before="140"/>
        <w:rPr>
          <w:snapToGrid w:val="0"/>
        </w:rPr>
      </w:pPr>
      <w:r>
        <w:rPr>
          <w:snapToGrid w:val="0"/>
        </w:rPr>
        <w:tab/>
      </w:r>
      <w:r>
        <w:rPr>
          <w:snapToGrid w:val="0"/>
        </w:rPr>
        <w:tab/>
        <w:t>Subject to the award, a member or cadet is not entitled to accumulate annual leave except with the written permission of the Commissioner.</w:t>
      </w:r>
    </w:p>
    <w:p>
      <w:pPr>
        <w:pStyle w:val="Heading5"/>
        <w:spacing w:before="200"/>
        <w:rPr>
          <w:snapToGrid w:val="0"/>
        </w:rPr>
      </w:pPr>
      <w:bookmarkStart w:id="468" w:name="_Toc500034784"/>
      <w:bookmarkStart w:id="469" w:name="_Toc515769582"/>
      <w:bookmarkStart w:id="470" w:name="_Toc522083263"/>
      <w:bookmarkStart w:id="471" w:name="_Toc123623020"/>
      <w:bookmarkStart w:id="472" w:name="_Toc158523598"/>
      <w:r>
        <w:rPr>
          <w:rStyle w:val="CharSectno"/>
        </w:rPr>
        <w:t>1106</w:t>
      </w:r>
      <w:r>
        <w:rPr>
          <w:snapToGrid w:val="0"/>
        </w:rPr>
        <w:t>.</w:t>
      </w:r>
      <w:r>
        <w:rPr>
          <w:snapToGrid w:val="0"/>
        </w:rPr>
        <w:tab/>
        <w:t>Additional leave may be granted</w:t>
      </w:r>
      <w:bookmarkEnd w:id="468"/>
      <w:bookmarkEnd w:id="469"/>
      <w:bookmarkEnd w:id="470"/>
      <w:bookmarkEnd w:id="471"/>
      <w:bookmarkEnd w:id="472"/>
      <w:r>
        <w:rPr>
          <w:snapToGrid w:val="0"/>
        </w:rPr>
        <w:t xml:space="preserve"> </w:t>
      </w:r>
    </w:p>
    <w:p>
      <w:pPr>
        <w:pStyle w:val="Subsection"/>
        <w:spacing w:before="140"/>
        <w:rPr>
          <w:snapToGrid w:val="0"/>
        </w:rPr>
      </w:pPr>
      <w:r>
        <w:rPr>
          <w:snapToGrid w:val="0"/>
        </w:rPr>
        <w:tab/>
      </w:r>
      <w:r>
        <w:rPr>
          <w:snapToGrid w:val="0"/>
        </w:rPr>
        <w:tab/>
        <w:t>Where the Commissioner is of the opinion that special circumstances exist in a particular case he may grant a member or cadet leave (not being annual leave) with or without payment during that period.</w:t>
      </w:r>
    </w:p>
    <w:p>
      <w:pPr>
        <w:pStyle w:val="Footnotesection"/>
        <w:spacing w:before="100"/>
        <w:ind w:left="890" w:hanging="890"/>
      </w:pPr>
      <w:r>
        <w:tab/>
        <w:t xml:space="preserve">[Regulation 1106 amended in Gazette 14 Jul 1992 p. 3370.] </w:t>
      </w:r>
    </w:p>
    <w:p>
      <w:pPr>
        <w:pStyle w:val="Heading5"/>
        <w:spacing w:before="200"/>
        <w:rPr>
          <w:snapToGrid w:val="0"/>
        </w:rPr>
      </w:pPr>
      <w:bookmarkStart w:id="473" w:name="_Toc500034785"/>
      <w:bookmarkStart w:id="474" w:name="_Toc515769583"/>
      <w:bookmarkStart w:id="475" w:name="_Toc522083264"/>
      <w:bookmarkStart w:id="476" w:name="_Toc123623021"/>
      <w:bookmarkStart w:id="477" w:name="_Toc158523599"/>
      <w:r>
        <w:rPr>
          <w:rStyle w:val="CharSectno"/>
        </w:rPr>
        <w:t>1107</w:t>
      </w:r>
      <w:r>
        <w:rPr>
          <w:snapToGrid w:val="0"/>
        </w:rPr>
        <w:t>.</w:t>
      </w:r>
      <w:r>
        <w:rPr>
          <w:snapToGrid w:val="0"/>
        </w:rPr>
        <w:tab/>
        <w:t>Travelling concession</w:t>
      </w:r>
      <w:bookmarkEnd w:id="473"/>
      <w:bookmarkEnd w:id="474"/>
      <w:bookmarkEnd w:id="475"/>
      <w:bookmarkEnd w:id="476"/>
      <w:bookmarkEnd w:id="477"/>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spacing w:before="70"/>
      </w:pPr>
      <w:r>
        <w:rPr>
          <w:b/>
        </w:rPr>
        <w:tab/>
        <w:t>“</w:t>
      </w:r>
      <w:r>
        <w:rPr>
          <w:rStyle w:val="CharDefText"/>
        </w:rPr>
        <w:t>distance rate</w:t>
      </w:r>
      <w:r>
        <w:rPr>
          <w:b/>
        </w:rPr>
        <w:t>”</w:t>
      </w:r>
      <w:r>
        <w:t xml:space="preserve"> means the rate per kilometre applicable in the North West of the State that is prescribed by the Award as payment to an employee for the use by the employee of his vehicle for the performance of police duties;</w:t>
      </w:r>
    </w:p>
    <w:p>
      <w:pPr>
        <w:pStyle w:val="Defstart"/>
        <w:spacing w:before="70"/>
      </w:pPr>
      <w:r>
        <w:rPr>
          <w:b/>
        </w:rPr>
        <w:tab/>
        <w:t>“</w:t>
      </w:r>
      <w:r>
        <w:rPr>
          <w:rStyle w:val="CharDefText"/>
        </w:rPr>
        <w:t>family</w:t>
      </w:r>
      <w:r>
        <w:rPr>
          <w:b/>
        </w:rPr>
        <w:t>”</w:t>
      </w:r>
      <w:r>
        <w:t xml:space="preserve"> in relation to a member or cadet means the member or cadet, spouse or de facto partner and all dependant children attending school and to those dependant children living with the member who are unemployed;</w:t>
      </w:r>
    </w:p>
    <w:p>
      <w:pPr>
        <w:pStyle w:val="Defstart"/>
        <w:spacing w:before="70"/>
      </w:pPr>
      <w:r>
        <w:rPr>
          <w:b/>
        </w:rPr>
        <w:tab/>
        <w:t>“</w:t>
      </w:r>
      <w:r>
        <w:rPr>
          <w:rStyle w:val="CharDefText"/>
        </w:rPr>
        <w:t>public transport</w:t>
      </w:r>
      <w:r>
        <w:rPr>
          <w:b/>
        </w:rPr>
        <w:t>”</w:t>
      </w:r>
      <w:r>
        <w:t xml:space="preserve"> means any means of public transport approved of by the Commissioner;</w:t>
      </w:r>
    </w:p>
    <w:p>
      <w:pPr>
        <w:pStyle w:val="Defstart"/>
        <w:spacing w:before="70"/>
      </w:pPr>
      <w:r>
        <w:rPr>
          <w:b/>
        </w:rPr>
        <w:tab/>
        <w:t>“</w:t>
      </w:r>
      <w:r>
        <w:rPr>
          <w:rStyle w:val="CharDefText"/>
        </w:rPr>
        <w:t>special area</w:t>
      </w:r>
      <w:r>
        <w:rPr>
          <w:b/>
        </w:rPr>
        <w:t>”</w:t>
      </w:r>
      <w:r>
        <w:t xml:space="preserve"> means — </w:t>
      </w:r>
    </w:p>
    <w:p>
      <w:pPr>
        <w:pStyle w:val="Defpara"/>
        <w:spacing w:before="70"/>
      </w:pPr>
      <w:r>
        <w:tab/>
        <w:t>(a)</w:t>
      </w:r>
      <w:r>
        <w:tab/>
        <w:t>any portion of the State that is — </w:t>
      </w:r>
    </w:p>
    <w:p>
      <w:pPr>
        <w:pStyle w:val="Defsubpara"/>
        <w:spacing w:before="70"/>
        <w:rPr>
          <w:snapToGrid w:val="0"/>
        </w:rPr>
      </w:pPr>
      <w:r>
        <w:rPr>
          <w:snapToGrid w:val="0"/>
        </w:rPr>
        <w:tab/>
        <w:t>(i)</w:t>
      </w:r>
      <w:r>
        <w:rPr>
          <w:snapToGrid w:val="0"/>
        </w:rPr>
        <w:tab/>
        <w:t>east of longitude 119</w:t>
      </w:r>
      <w:r>
        <w:rPr>
          <w:snapToGrid w:val="0"/>
          <w:sz w:val="28"/>
          <w:vertAlign w:val="superscript"/>
        </w:rPr>
        <w:t xml:space="preserve"> o</w:t>
      </w:r>
      <w:r>
        <w:rPr>
          <w:snapToGrid w:val="0"/>
        </w:rPr>
        <w:t xml:space="preserve"> east; or</w:t>
      </w:r>
    </w:p>
    <w:p>
      <w:pPr>
        <w:pStyle w:val="Defsubpara"/>
        <w:spacing w:before="70"/>
        <w:rPr>
          <w:snapToGrid w:val="0"/>
        </w:rPr>
      </w:pPr>
      <w:r>
        <w:rPr>
          <w:snapToGrid w:val="0"/>
        </w:rPr>
        <w:tab/>
        <w:t>(ii)</w:t>
      </w:r>
      <w:r>
        <w:rPr>
          <w:snapToGrid w:val="0"/>
        </w:rPr>
        <w:tab/>
        <w:t>north of 26</w:t>
      </w:r>
      <w:r>
        <w:rPr>
          <w:snapToGrid w:val="0"/>
          <w:sz w:val="28"/>
          <w:vertAlign w:val="superscript"/>
        </w:rPr>
        <w:t xml:space="preserve"> o</w:t>
      </w:r>
      <w:r>
        <w:rPr>
          <w:snapToGrid w:val="0"/>
        </w:rPr>
        <w:t xml:space="preserve"> of south latitude;</w:t>
      </w:r>
    </w:p>
    <w:p>
      <w:pPr>
        <w:pStyle w:val="Defpara"/>
        <w:spacing w:before="70"/>
      </w:pPr>
      <w:r>
        <w:tab/>
        <w:t>(b)</w:t>
      </w:r>
      <w:r>
        <w:tab/>
        <w:t>Yalgoo, Mount Magnet, Cue and Meekatharra; and</w:t>
      </w:r>
    </w:p>
    <w:p>
      <w:pPr>
        <w:pStyle w:val="Defpara"/>
        <w:spacing w:before="70"/>
      </w:pPr>
      <w:r>
        <w:tab/>
        <w:t>(c)</w:t>
      </w:r>
      <w:r>
        <w:tab/>
        <w:t>any area outside the State designated a special area by the Minister.</w:t>
      </w:r>
    </w:p>
    <w:p>
      <w:pPr>
        <w:pStyle w:val="Subsection"/>
        <w:spacing w:before="120"/>
        <w:rPr>
          <w:snapToGrid w:val="0"/>
        </w:rPr>
      </w:pPr>
      <w:r>
        <w:rPr>
          <w:snapToGrid w:val="0"/>
        </w:rPr>
        <w:tab/>
        <w:t>(2)</w:t>
      </w:r>
      <w:r>
        <w:rPr>
          <w:snapToGrid w:val="0"/>
        </w:rPr>
        <w:tab/>
        <w:t>The following travelling concessions apply to and in relation to a member or cadet stationed in a special area who for his annual leave travels to Perth or other place outside his sub</w:t>
      </w:r>
      <w:r>
        <w:rPr>
          <w:snapToGrid w:val="0"/>
        </w:rPr>
        <w:noBreakHyphen/>
        <w:t>region which is approved of by the Commissioner — </w:t>
      </w:r>
    </w:p>
    <w:p>
      <w:pPr>
        <w:pStyle w:val="Indenta"/>
        <w:rPr>
          <w:snapToGrid w:val="0"/>
        </w:rPr>
      </w:pPr>
      <w:r>
        <w:rPr>
          <w:snapToGrid w:val="0"/>
        </w:rPr>
        <w:tab/>
        <w:t>(a)</w:t>
      </w:r>
      <w:r>
        <w:rPr>
          <w:snapToGrid w:val="0"/>
        </w:rPr>
        <w:tab/>
        <w:t>where public transport is used — free return passes to Perth or that other place on public transport for the member or cadet and his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rPr>
          <w:snapToGrid w:val="0"/>
        </w:rPr>
      </w:pPr>
      <w:r>
        <w:rPr>
          <w:snapToGrid w:val="0"/>
        </w:rPr>
        <w:tab/>
        <w:t>(3)</w:t>
      </w:r>
      <w:r>
        <w:rPr>
          <w:snapToGrid w:val="0"/>
        </w:rPr>
        <w:tab/>
        <w:t>The travelling concession payable under subregulation (2) — </w:t>
      </w:r>
    </w:p>
    <w:p>
      <w:pPr>
        <w:pStyle w:val="Indenta"/>
        <w:rPr>
          <w:snapToGrid w:val="0"/>
        </w:rPr>
      </w:pPr>
      <w:r>
        <w:rPr>
          <w:snapToGrid w:val="0"/>
        </w:rPr>
        <w:tab/>
        <w:t>(a)</w:t>
      </w:r>
      <w:r>
        <w:rPr>
          <w:snapToGrid w:val="0"/>
        </w:rPr>
        <w:tab/>
        <w:t>is payable only in respect of a member or cadet — </w:t>
      </w:r>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if the member or cadet has not completed 12 months’ service in the special area before he proceeds on annual leave, he does so on his return from annual leave before he again takes annual leave;</w:t>
      </w:r>
    </w:p>
    <w:p>
      <w:pPr>
        <w:pStyle w:val="Indenta"/>
        <w:rPr>
          <w:snapToGrid w:val="0"/>
        </w:rPr>
      </w:pPr>
      <w:r>
        <w:rPr>
          <w:snapToGrid w:val="0"/>
        </w:rPr>
        <w:tab/>
        <w:t>(b)</w:t>
      </w:r>
      <w:r>
        <w:rPr>
          <w:snapToGrid w:val="0"/>
        </w:rPr>
        <w:tab/>
        <w:t>shall be repaid to the Department by the member or cadet if the member or cadet fails to complete 12 months’ service in the special area unless the failure is due to causes beyond his control.</w:t>
      </w:r>
    </w:p>
    <w:p>
      <w:pPr>
        <w:pStyle w:val="Footnotesection"/>
      </w:pPr>
      <w:r>
        <w:tab/>
        <w:t xml:space="preserve">[Regulation 1107 amended in Gazette 7 Sep 1979 p. 2717; 24 Apr 1986 p. 1479; 30 Jun 2003 p. 2623.] </w:t>
      </w:r>
    </w:p>
    <w:p>
      <w:pPr>
        <w:pStyle w:val="Ednotesection"/>
      </w:pPr>
      <w:r>
        <w:t>[</w:t>
      </w:r>
      <w:r>
        <w:rPr>
          <w:b/>
        </w:rPr>
        <w:t>1108.</w:t>
      </w:r>
      <w:r>
        <w:tab/>
        <w:t xml:space="preserve">Repealed in Gazette 7 Sep 1979 p. 2717.] </w:t>
      </w:r>
    </w:p>
    <w:p>
      <w:pPr>
        <w:pStyle w:val="Ednotesection"/>
      </w:pPr>
      <w:r>
        <w:t>[</w:t>
      </w:r>
      <w:r>
        <w:rPr>
          <w:b/>
        </w:rPr>
        <w:t>1109.</w:t>
      </w:r>
      <w:r>
        <w:tab/>
        <w:t xml:space="preserve">Repealed in Gazette 6 Oct 1989 p. 3739.] </w:t>
      </w:r>
    </w:p>
    <w:p>
      <w:pPr>
        <w:pStyle w:val="Heading2"/>
      </w:pPr>
      <w:bookmarkStart w:id="478" w:name="_Toc90976558"/>
      <w:bookmarkStart w:id="479" w:name="_Toc91044790"/>
      <w:bookmarkStart w:id="480" w:name="_Toc91044970"/>
      <w:bookmarkStart w:id="481" w:name="_Toc123621479"/>
      <w:bookmarkStart w:id="482" w:name="_Toc123623022"/>
      <w:bookmarkStart w:id="483" w:name="_Toc153957396"/>
      <w:bookmarkStart w:id="484" w:name="_Toc153958729"/>
      <w:bookmarkStart w:id="485" w:name="_Toc154478799"/>
      <w:bookmarkStart w:id="486" w:name="_Toc158523600"/>
      <w:r>
        <w:rPr>
          <w:rStyle w:val="CharPartNo"/>
        </w:rPr>
        <w:t>Part XII</w:t>
      </w:r>
      <w:r>
        <w:rPr>
          <w:rStyle w:val="CharDivNo"/>
        </w:rPr>
        <w:t> </w:t>
      </w:r>
      <w:r>
        <w:t>—</w:t>
      </w:r>
      <w:r>
        <w:rPr>
          <w:rStyle w:val="CharDivText"/>
        </w:rPr>
        <w:t> </w:t>
      </w:r>
      <w:r>
        <w:rPr>
          <w:rStyle w:val="CharPartText"/>
        </w:rPr>
        <w:t>Removal on transfer, promotion or retirement</w:t>
      </w:r>
      <w:bookmarkEnd w:id="478"/>
      <w:bookmarkEnd w:id="479"/>
      <w:bookmarkEnd w:id="480"/>
      <w:bookmarkEnd w:id="481"/>
      <w:bookmarkEnd w:id="482"/>
      <w:bookmarkEnd w:id="483"/>
      <w:bookmarkEnd w:id="484"/>
      <w:bookmarkEnd w:id="485"/>
      <w:bookmarkEnd w:id="486"/>
      <w:r>
        <w:rPr>
          <w:rStyle w:val="CharPartText"/>
        </w:rPr>
        <w:t xml:space="preserve"> </w:t>
      </w:r>
    </w:p>
    <w:p>
      <w:pPr>
        <w:pStyle w:val="Footnoteheading"/>
        <w:rPr>
          <w:snapToGrid w:val="0"/>
        </w:rPr>
      </w:pPr>
      <w:r>
        <w:rPr>
          <w:snapToGrid w:val="0"/>
        </w:rPr>
        <w:tab/>
        <w:t xml:space="preserve">[Heading amended in Gazette 31 Oct 1986 p. 4051.] </w:t>
      </w:r>
    </w:p>
    <w:p>
      <w:pPr>
        <w:pStyle w:val="Heading5"/>
        <w:rPr>
          <w:snapToGrid w:val="0"/>
        </w:rPr>
      </w:pPr>
      <w:bookmarkStart w:id="487" w:name="_Toc500034786"/>
      <w:bookmarkStart w:id="488" w:name="_Toc515769584"/>
      <w:bookmarkStart w:id="489" w:name="_Toc522083265"/>
      <w:bookmarkStart w:id="490" w:name="_Toc123623023"/>
      <w:bookmarkStart w:id="491" w:name="_Toc158523601"/>
      <w:r>
        <w:rPr>
          <w:rStyle w:val="CharSectno"/>
        </w:rPr>
        <w:t>1201</w:t>
      </w:r>
      <w:r>
        <w:rPr>
          <w:snapToGrid w:val="0"/>
        </w:rPr>
        <w:t>.</w:t>
      </w:r>
      <w:r>
        <w:rPr>
          <w:snapToGrid w:val="0"/>
        </w:rPr>
        <w:tab/>
        <w:t>This Part not in derogation of Award</w:t>
      </w:r>
      <w:bookmarkEnd w:id="487"/>
      <w:bookmarkEnd w:id="488"/>
      <w:bookmarkEnd w:id="489"/>
      <w:bookmarkEnd w:id="490"/>
      <w:bookmarkEnd w:id="491"/>
      <w:r>
        <w:rPr>
          <w:snapToGrid w:val="0"/>
        </w:rPr>
        <w:t xml:space="preserve"> </w:t>
      </w:r>
    </w:p>
    <w:p>
      <w:pPr>
        <w:pStyle w:val="Subsection"/>
        <w:spacing w:before="140"/>
        <w:rPr>
          <w:snapToGrid w:val="0"/>
        </w:rPr>
      </w:pPr>
      <w:r>
        <w:rPr>
          <w:snapToGrid w:val="0"/>
        </w:rPr>
        <w:tab/>
      </w:r>
      <w:r>
        <w:rPr>
          <w:snapToGrid w:val="0"/>
        </w:rPr>
        <w:tab/>
        <w:t>The provisions of this Part, are in addition to and not in derogation of anything in the Award.</w:t>
      </w:r>
    </w:p>
    <w:p>
      <w:pPr>
        <w:pStyle w:val="Heading5"/>
        <w:rPr>
          <w:snapToGrid w:val="0"/>
        </w:rPr>
      </w:pPr>
      <w:bookmarkStart w:id="492" w:name="_Toc500034787"/>
      <w:bookmarkStart w:id="493" w:name="_Toc515769585"/>
      <w:bookmarkStart w:id="494" w:name="_Toc522083266"/>
      <w:bookmarkStart w:id="495" w:name="_Toc123623024"/>
      <w:bookmarkStart w:id="496" w:name="_Toc158523602"/>
      <w:r>
        <w:rPr>
          <w:rStyle w:val="CharSectno"/>
        </w:rPr>
        <w:t>1202</w:t>
      </w:r>
      <w:r>
        <w:rPr>
          <w:snapToGrid w:val="0"/>
        </w:rPr>
        <w:t>.</w:t>
      </w:r>
      <w:r>
        <w:rPr>
          <w:snapToGrid w:val="0"/>
        </w:rPr>
        <w:tab/>
        <w:t>Leave in respect of transfer</w:t>
      </w:r>
      <w:bookmarkEnd w:id="492"/>
      <w:bookmarkEnd w:id="493"/>
      <w:bookmarkEnd w:id="494"/>
      <w:bookmarkEnd w:id="495"/>
      <w:bookmarkEnd w:id="496"/>
      <w:r>
        <w:rPr>
          <w:snapToGrid w:val="0"/>
        </w:rPr>
        <w:t xml:space="preserve"> </w:t>
      </w:r>
    </w:p>
    <w:p>
      <w:pPr>
        <w:pStyle w:val="Subsection"/>
        <w:spacing w:before="140"/>
        <w:rPr>
          <w:snapToGrid w:val="0"/>
        </w:rPr>
      </w:pPr>
      <w:r>
        <w:rPr>
          <w:snapToGrid w:val="0"/>
        </w:rPr>
        <w:tab/>
        <w:t>(1)</w:t>
      </w:r>
      <w:r>
        <w:rPr>
          <w:snapToGrid w:val="0"/>
        </w:rPr>
        <w:tab/>
        <w:t>Subject to subregulation (2), where a member is appointed to a position, whether by transfer or promotion, necessitating a change of his residence he is allowed to take 2 days off duty — one day in respect of the packing and loading of his household goods and effects and one day in respect of their unpacking and unloading.</w:t>
      </w:r>
    </w:p>
    <w:p>
      <w:pPr>
        <w:pStyle w:val="Subsection"/>
        <w:spacing w:before="140"/>
        <w:rPr>
          <w:snapToGrid w:val="0"/>
        </w:rPr>
      </w:pPr>
      <w:r>
        <w:rPr>
          <w:snapToGrid w:val="0"/>
        </w:rPr>
        <w:tab/>
        <w:t>(2)</w:t>
      </w:r>
      <w:r>
        <w:rPr>
          <w:snapToGrid w:val="0"/>
        </w:rPr>
        <w:tab/>
        <w:t>A member is not allowed to take the leave granted under subregulation (1) on any day on which he is required to attend Court or to any other pressing duty.</w:t>
      </w:r>
    </w:p>
    <w:p>
      <w:pPr>
        <w:pStyle w:val="Heading5"/>
        <w:rPr>
          <w:snapToGrid w:val="0"/>
        </w:rPr>
      </w:pPr>
      <w:bookmarkStart w:id="497" w:name="_Toc500034788"/>
      <w:bookmarkStart w:id="498" w:name="_Toc515769586"/>
      <w:bookmarkStart w:id="499" w:name="_Toc522083267"/>
      <w:bookmarkStart w:id="500" w:name="_Toc123623025"/>
      <w:bookmarkStart w:id="501" w:name="_Toc158523603"/>
      <w:r>
        <w:rPr>
          <w:rStyle w:val="CharSectno"/>
        </w:rPr>
        <w:t>1203</w:t>
      </w:r>
      <w:r>
        <w:rPr>
          <w:snapToGrid w:val="0"/>
        </w:rPr>
        <w:t>.</w:t>
      </w:r>
      <w:r>
        <w:rPr>
          <w:snapToGrid w:val="0"/>
        </w:rPr>
        <w:tab/>
        <w:t>Commissioner to be notified of transfer</w:t>
      </w:r>
      <w:bookmarkEnd w:id="497"/>
      <w:bookmarkEnd w:id="498"/>
      <w:bookmarkEnd w:id="499"/>
      <w:bookmarkEnd w:id="500"/>
      <w:bookmarkEnd w:id="501"/>
      <w:r>
        <w:rPr>
          <w:snapToGrid w:val="0"/>
        </w:rPr>
        <w:t xml:space="preserve"> </w:t>
      </w:r>
    </w:p>
    <w:p>
      <w:pPr>
        <w:pStyle w:val="Subsection"/>
        <w:spacing w:before="140"/>
        <w:rPr>
          <w:snapToGrid w:val="0"/>
        </w:rPr>
      </w:pPr>
      <w:r>
        <w:rPr>
          <w:snapToGrid w:val="0"/>
        </w:rPr>
        <w:tab/>
      </w:r>
      <w:r>
        <w:rPr>
          <w:snapToGrid w:val="0"/>
        </w:rPr>
        <w:tab/>
        <w:t>A member or cadet moving from one station or office to another for the purpose of taking up a position, whether by transfer or promotion, shall — </w:t>
      </w:r>
    </w:p>
    <w:p>
      <w:pPr>
        <w:pStyle w:val="Indenta"/>
        <w:rPr>
          <w:snapToGrid w:val="0"/>
        </w:rPr>
      </w:pPr>
      <w:r>
        <w:rPr>
          <w:snapToGrid w:val="0"/>
        </w:rPr>
        <w:tab/>
        <w:t>(a)</w:t>
      </w:r>
      <w:r>
        <w:rPr>
          <w:snapToGrid w:val="0"/>
        </w:rPr>
        <w:tab/>
        <w:t>notify the Commissioner through the Regional Officer of the region from which he is moving of the — </w:t>
      </w:r>
    </w:p>
    <w:p>
      <w:pPr>
        <w:pStyle w:val="Indenti"/>
        <w:rPr>
          <w:snapToGrid w:val="0"/>
        </w:rPr>
      </w:pPr>
      <w:r>
        <w:rPr>
          <w:snapToGrid w:val="0"/>
        </w:rPr>
        <w:tab/>
        <w:t>(i)</w:t>
      </w:r>
      <w:r>
        <w:rPr>
          <w:snapToGrid w:val="0"/>
        </w:rPr>
        <w:tab/>
        <w:t>date that he intends to cease duty at the station or office from which he is moving;</w:t>
      </w:r>
    </w:p>
    <w:p>
      <w:pPr>
        <w:pStyle w:val="Indenti"/>
        <w:rPr>
          <w:snapToGrid w:val="0"/>
        </w:rPr>
      </w:pPr>
      <w:r>
        <w:rPr>
          <w:snapToGrid w:val="0"/>
        </w:rPr>
        <w:tab/>
        <w:t>(ii)</w:t>
      </w:r>
      <w:r>
        <w:rPr>
          <w:snapToGrid w:val="0"/>
        </w:rPr>
        <w:tab/>
        <w:t>date of his intended departure for the station to which he is appointed;</w:t>
      </w:r>
    </w:p>
    <w:p>
      <w:pPr>
        <w:pStyle w:val="Indenti"/>
        <w:rPr>
          <w:snapToGrid w:val="0"/>
        </w:rPr>
      </w:pPr>
      <w:r>
        <w:rPr>
          <w:snapToGrid w:val="0"/>
        </w:rPr>
        <w:tab/>
        <w:t>(iii)</w:t>
      </w:r>
      <w:r>
        <w:rPr>
          <w:snapToGrid w:val="0"/>
        </w:rPr>
        <w:tab/>
        <w:t>time and date that his quarters, whether supplied by the Government or not, are to be vacated by him;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as soon as possible after his arrival at the region to which he is appointed notify the Commissioner through the Regional Officer of the region to which he is appointed of the — </w:t>
      </w:r>
    </w:p>
    <w:p>
      <w:pPr>
        <w:pStyle w:val="Indenti"/>
        <w:rPr>
          <w:snapToGrid w:val="0"/>
        </w:rPr>
      </w:pPr>
      <w:r>
        <w:rPr>
          <w:snapToGrid w:val="0"/>
        </w:rPr>
        <w:tab/>
        <w:t>(i)</w:t>
      </w:r>
      <w:r>
        <w:rPr>
          <w:snapToGrid w:val="0"/>
        </w:rPr>
        <w:tab/>
        <w:t>time and date of his arrival;</w:t>
      </w:r>
    </w:p>
    <w:p>
      <w:pPr>
        <w:pStyle w:val="Indenti"/>
        <w:rPr>
          <w:snapToGrid w:val="0"/>
        </w:rPr>
      </w:pPr>
      <w:r>
        <w:rPr>
          <w:snapToGrid w:val="0"/>
        </w:rPr>
        <w:tab/>
        <w:t>(ii)</w:t>
      </w:r>
      <w:r>
        <w:rPr>
          <w:snapToGrid w:val="0"/>
        </w:rPr>
        <w:tab/>
        <w:t>time and date that his quarters are occupied by him and indicating whether they are Government or private quarters; and</w:t>
      </w:r>
    </w:p>
    <w:p>
      <w:pPr>
        <w:pStyle w:val="Indenti"/>
        <w:rPr>
          <w:snapToGrid w:val="0"/>
        </w:rPr>
      </w:pPr>
      <w:r>
        <w:rPr>
          <w:snapToGrid w:val="0"/>
        </w:rPr>
        <w:tab/>
        <w:t>(iii)</w:t>
      </w:r>
      <w:r>
        <w:rPr>
          <w:snapToGrid w:val="0"/>
        </w:rPr>
        <w:tab/>
        <w:t>time and date that he intends to commence duty in relation to his appointment.</w:t>
      </w:r>
    </w:p>
    <w:p>
      <w:pPr>
        <w:pStyle w:val="Heading5"/>
      </w:pPr>
      <w:bookmarkStart w:id="502" w:name="_Toc158523604"/>
      <w:bookmarkStart w:id="503" w:name="_Toc500034789"/>
      <w:bookmarkStart w:id="504" w:name="_Toc515769587"/>
      <w:bookmarkStart w:id="505" w:name="_Toc522083268"/>
      <w:bookmarkStart w:id="506" w:name="_Toc123623026"/>
      <w:r>
        <w:rPr>
          <w:rStyle w:val="CharSectno"/>
        </w:rPr>
        <w:t>1203A</w:t>
      </w:r>
      <w:r>
        <w:t>.</w:t>
      </w:r>
      <w:r>
        <w:tab/>
        <w:t>Specialist equipment to be returned</w:t>
      </w:r>
      <w:bookmarkEnd w:id="502"/>
    </w:p>
    <w:p>
      <w:pPr>
        <w:pStyle w:val="Subsection"/>
      </w:pPr>
      <w:r>
        <w:tab/>
      </w:r>
      <w:r>
        <w:tab/>
        <w:t>When a member or cadet is to be transferred from a specialist area, the member or cadet is to ensure that all items of specialist equipment issued to the member or cadet are returned to the Officer in Charge before the member or cadet actually leaves that specialist area.</w:t>
      </w:r>
    </w:p>
    <w:p>
      <w:pPr>
        <w:pStyle w:val="Footnotesection"/>
      </w:pPr>
      <w:r>
        <w:tab/>
        <w:t>[Regulation 1203A inserted in Gazette 2 Feb 2007 p. 251.]</w:t>
      </w:r>
    </w:p>
    <w:p>
      <w:pPr>
        <w:pStyle w:val="Heading5"/>
        <w:rPr>
          <w:snapToGrid w:val="0"/>
        </w:rPr>
      </w:pPr>
      <w:bookmarkStart w:id="507" w:name="_Toc158523605"/>
      <w:r>
        <w:rPr>
          <w:rStyle w:val="CharSectno"/>
        </w:rPr>
        <w:t>1204</w:t>
      </w:r>
      <w:r>
        <w:rPr>
          <w:snapToGrid w:val="0"/>
        </w:rPr>
        <w:t>.</w:t>
      </w:r>
      <w:r>
        <w:rPr>
          <w:snapToGrid w:val="0"/>
        </w:rPr>
        <w:tab/>
        <w:t>Removal allowance</w:t>
      </w:r>
      <w:bookmarkEnd w:id="503"/>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Subject to subregulation (2), a member or cadet who is moved from one position to another or is required by the Commissioner to vacate one house to occupy another — </w:t>
      </w:r>
    </w:p>
    <w:p>
      <w:pPr>
        <w:pStyle w:val="Indenta"/>
        <w:rPr>
          <w:snapToGrid w:val="0"/>
        </w:rPr>
      </w:pPr>
      <w:r>
        <w:rPr>
          <w:snapToGrid w:val="0"/>
        </w:rPr>
        <w:tab/>
        <w:t>(a)</w:t>
      </w:r>
      <w:r>
        <w:rPr>
          <w:snapToGrid w:val="0"/>
        </w:rPr>
        <w:tab/>
        <w:t>in the public interest;</w:t>
      </w:r>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tab/>
        <w:t>(c)</w:t>
      </w:r>
      <w:r>
        <w:rPr>
          <w:snapToGrid w:val="0"/>
        </w:rPr>
        <w:tab/>
        <w:t>on account of illness due to causes over which he has no control,</w:t>
      </w:r>
    </w:p>
    <w:p>
      <w:pPr>
        <w:pStyle w:val="Subsection"/>
        <w:rPr>
          <w:snapToGrid w:val="0"/>
        </w:rPr>
      </w:pPr>
      <w:r>
        <w:rPr>
          <w:snapToGrid w:val="0"/>
        </w:rPr>
        <w:tab/>
      </w:r>
      <w:r>
        <w:rPr>
          <w:snapToGrid w:val="0"/>
        </w:rPr>
        <w:tab/>
        <w:t>shall be allowed — </w:t>
      </w:r>
    </w:p>
    <w:p>
      <w:pPr>
        <w:pStyle w:val="Indenta"/>
        <w:rPr>
          <w:snapToGrid w:val="0"/>
        </w:rPr>
      </w:pPr>
      <w:r>
        <w:rPr>
          <w:snapToGrid w:val="0"/>
        </w:rPr>
        <w:tab/>
        <w:t>(d)</w:t>
      </w:r>
      <w:r>
        <w:rPr>
          <w:snapToGrid w:val="0"/>
        </w:rPr>
        <w:tab/>
        <w:t>such costs and allowances as are prescribed by the Award;</w:t>
      </w:r>
    </w:p>
    <w:p>
      <w:pPr>
        <w:pStyle w:val="Indenta"/>
        <w:rPr>
          <w:snapToGrid w:val="0"/>
        </w:rPr>
      </w:pPr>
      <w:r>
        <w:rPr>
          <w:snapToGrid w:val="0"/>
        </w:rPr>
        <w:tab/>
        <w:t>(e)</w:t>
      </w:r>
      <w:r>
        <w:rPr>
          <w:snapToGrid w:val="0"/>
        </w:rPr>
        <w:tab/>
        <w:t>free transport by any means of transport approved of by the Commissioner for himself, his family and their household furniture, furnishings, domestic appliances, personal effects and one motor vehicle for which an allowance is not paid under paragraph (f);</w:t>
      </w:r>
    </w:p>
    <w:p>
      <w:pPr>
        <w:pStyle w:val="Indenta"/>
        <w:rPr>
          <w:snapToGrid w:val="0"/>
        </w:rPr>
      </w:pPr>
      <w:r>
        <w:rPr>
          <w:snapToGrid w:val="0"/>
        </w:rPr>
        <w:tab/>
        <w:t>(f)</w:t>
      </w:r>
      <w:r>
        <w:rPr>
          <w:snapToGrid w:val="0"/>
        </w:rPr>
        <w:tab/>
        <w:t>mileage allowance in accordance with the Award for his motor vehicle;</w:t>
      </w:r>
    </w:p>
    <w:p>
      <w:pPr>
        <w:pStyle w:val="Indenta"/>
        <w:rPr>
          <w:snapToGrid w:val="0"/>
        </w:rPr>
      </w:pPr>
      <w:r>
        <w:rPr>
          <w:snapToGrid w:val="0"/>
        </w:rPr>
        <w:tab/>
        <w:t>(g)</w:t>
      </w:r>
      <w:r>
        <w:rPr>
          <w:snapToGrid w:val="0"/>
        </w:rPr>
        <w:tab/>
        <w:t>the costs of storage in a warehouse approved by the Commissioner of any of the member’s or cadet’s excess household furniture and for a period of 3 years (subject to any extension by the Commissioner) the cost of any insurance policy in relation thereto to a maximum insured value of $15,000;</w:t>
      </w:r>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the property allowance payable in respect of an officer of the Public Service of the State in accordance with the Public Service Property Allowance Award 1975.</w:t>
      </w:r>
    </w:p>
    <w:p>
      <w:pPr>
        <w:pStyle w:val="Subsection"/>
        <w:rPr>
          <w:snapToGrid w:val="0"/>
        </w:rPr>
      </w:pPr>
      <w:r>
        <w:rPr>
          <w:snapToGrid w:val="0"/>
        </w:rPr>
        <w:tab/>
        <w:t>(2)</w:t>
      </w:r>
      <w:r>
        <w:rPr>
          <w:snapToGrid w:val="0"/>
        </w:rPr>
        <w:tab/>
        <w:t>In relation to the allowances payable pursuant to subregulation (1) — </w:t>
      </w:r>
    </w:p>
    <w:p>
      <w:pPr>
        <w:pStyle w:val="Indenta"/>
        <w:rPr>
          <w:snapToGrid w:val="0"/>
        </w:rPr>
      </w:pPr>
      <w:r>
        <w:rPr>
          <w:snapToGrid w:val="0"/>
        </w:rPr>
        <w:tab/>
        <w:t>(a)</w:t>
      </w:r>
      <w:r>
        <w:rPr>
          <w:snapToGrid w:val="0"/>
        </w:rPr>
        <w:tab/>
        <w:t>the maximum weight in respect of which the Department is liable in relation to the costs of the transport of the household furniture, furnishings, domestic appliances and personal effects of a single member or cadet is 2.5 tonnes;</w:t>
      </w:r>
    </w:p>
    <w:p>
      <w:pPr>
        <w:pStyle w:val="Indenta"/>
        <w:rPr>
          <w:snapToGrid w:val="0"/>
        </w:rPr>
      </w:pPr>
      <w:r>
        <w:rPr>
          <w:snapToGrid w:val="0"/>
        </w:rPr>
        <w:tab/>
        <w:t>(b)</w:t>
      </w:r>
      <w:r>
        <w:rPr>
          <w:snapToGrid w:val="0"/>
        </w:rPr>
        <w:tab/>
        <w:t>as far as practicable the means of transport used for the transport of household furniture, furnishings, domestic appliances and personal effects shall be State owned.</w:t>
      </w:r>
    </w:p>
    <w:p>
      <w:pPr>
        <w:pStyle w:val="Footnotesection"/>
      </w:pPr>
      <w:r>
        <w:tab/>
        <w:t xml:space="preserve">[Regulation 1204 amended in Gazette 7 Sep 1979 p. 2717; 24 Apr 1986 p. 1479; 18 Nov 1988 p. 4532.] </w:t>
      </w:r>
    </w:p>
    <w:p>
      <w:pPr>
        <w:pStyle w:val="Heading5"/>
        <w:rPr>
          <w:snapToGrid w:val="0"/>
        </w:rPr>
      </w:pPr>
      <w:bookmarkStart w:id="508" w:name="_Toc500034790"/>
      <w:bookmarkStart w:id="509" w:name="_Toc515769588"/>
      <w:bookmarkStart w:id="510" w:name="_Toc522083269"/>
      <w:bookmarkStart w:id="511" w:name="_Toc123623027"/>
      <w:bookmarkStart w:id="512" w:name="_Toc158523606"/>
      <w:r>
        <w:rPr>
          <w:rStyle w:val="CharSectno"/>
        </w:rPr>
        <w:t>1204A</w:t>
      </w:r>
      <w:r>
        <w:rPr>
          <w:snapToGrid w:val="0"/>
        </w:rPr>
        <w:t xml:space="preserve">. </w:t>
      </w:r>
      <w:r>
        <w:rPr>
          <w:snapToGrid w:val="0"/>
        </w:rPr>
        <w:tab/>
        <w:t>Removal cost for retiring member</w:t>
      </w:r>
      <w:bookmarkEnd w:id="508"/>
      <w:bookmarkEnd w:id="509"/>
      <w:bookmarkEnd w:id="510"/>
      <w:bookmarkEnd w:id="511"/>
      <w:bookmarkEnd w:id="512"/>
      <w:r>
        <w:rPr>
          <w:snapToGrid w:val="0"/>
        </w:rPr>
        <w:t xml:space="preserve"> </w:t>
      </w:r>
    </w:p>
    <w:p>
      <w:pPr>
        <w:pStyle w:val="Subsection"/>
        <w:rPr>
          <w:snapToGrid w:val="0"/>
        </w:rPr>
      </w:pPr>
      <w:r>
        <w:rPr>
          <w:snapToGrid w:val="0"/>
        </w:rPr>
        <w:tab/>
      </w:r>
      <w:r>
        <w:rPr>
          <w:snapToGrid w:val="0"/>
        </w:rPr>
        <w:tab/>
        <w:t>The removal costs of a member, who retires in accordance with regulation 1401, shall be paid in accordance with regulation 1204 (excluding subregulation (1)(g) and (i)), from the place where the member is stationed at the date of retirement, to the Metropolitan Area or any other area within the State as approved by the Commissioner.</w:t>
      </w:r>
    </w:p>
    <w:p>
      <w:pPr>
        <w:pStyle w:val="Footnotesection"/>
      </w:pPr>
      <w:r>
        <w:tab/>
        <w:t xml:space="preserve">[Regulation 1204A inserted in Gazette 31 Oct 1981 p. 4051.] </w:t>
      </w:r>
    </w:p>
    <w:p>
      <w:pPr>
        <w:pStyle w:val="Heading5"/>
        <w:rPr>
          <w:snapToGrid w:val="0"/>
        </w:rPr>
      </w:pPr>
      <w:bookmarkStart w:id="513" w:name="_Toc500034791"/>
      <w:bookmarkStart w:id="514" w:name="_Toc515769589"/>
      <w:bookmarkStart w:id="515" w:name="_Toc522083270"/>
      <w:bookmarkStart w:id="516" w:name="_Toc123623028"/>
      <w:bookmarkStart w:id="517" w:name="_Toc158523607"/>
      <w:r>
        <w:rPr>
          <w:rStyle w:val="CharSectno"/>
        </w:rPr>
        <w:t>1205</w:t>
      </w:r>
      <w:r>
        <w:rPr>
          <w:snapToGrid w:val="0"/>
        </w:rPr>
        <w:t>.</w:t>
      </w:r>
      <w:r>
        <w:rPr>
          <w:snapToGrid w:val="0"/>
        </w:rPr>
        <w:tab/>
        <w:t>When removal allowance not to be paid</w:t>
      </w:r>
      <w:bookmarkEnd w:id="513"/>
      <w:bookmarkEnd w:id="514"/>
      <w:bookmarkEnd w:id="515"/>
      <w:bookmarkEnd w:id="516"/>
      <w:bookmarkEnd w:id="517"/>
      <w:r>
        <w:rPr>
          <w:snapToGrid w:val="0"/>
        </w:rPr>
        <w:t xml:space="preserve"> </w:t>
      </w:r>
    </w:p>
    <w:p>
      <w:pPr>
        <w:pStyle w:val="Subsection"/>
        <w:rPr>
          <w:snapToGrid w:val="0"/>
        </w:rPr>
      </w:pPr>
      <w:r>
        <w:rPr>
          <w:snapToGrid w:val="0"/>
        </w:rPr>
        <w:tab/>
      </w:r>
      <w:r>
        <w:rPr>
          <w:snapToGrid w:val="0"/>
        </w:rPr>
        <w:tab/>
        <w:t>Except with the approval of the Commissioner the allowances payable under regulation 1204 are not payable in respect of a member, or cadet who is moved — </w:t>
      </w:r>
    </w:p>
    <w:p>
      <w:pPr>
        <w:pStyle w:val="Indenta"/>
        <w:rPr>
          <w:snapToGrid w:val="0"/>
        </w:rPr>
      </w:pPr>
      <w:r>
        <w:rPr>
          <w:snapToGrid w:val="0"/>
        </w:rPr>
        <w:tab/>
        <w:t>(a)</w:t>
      </w:r>
      <w:r>
        <w:rPr>
          <w:snapToGrid w:val="0"/>
        </w:rPr>
        <w:tab/>
        <w:t>at his own request; or</w:t>
      </w:r>
    </w:p>
    <w:p>
      <w:pPr>
        <w:pStyle w:val="Indenta"/>
        <w:rPr>
          <w:snapToGrid w:val="0"/>
        </w:rPr>
      </w:pPr>
      <w:r>
        <w:rPr>
          <w:snapToGrid w:val="0"/>
        </w:rPr>
        <w:tab/>
        <w:t>(b)</w:t>
      </w:r>
      <w:r>
        <w:rPr>
          <w:snapToGrid w:val="0"/>
        </w:rPr>
        <w:tab/>
        <w:t>because of his own misconduct.</w:t>
      </w:r>
    </w:p>
    <w:p>
      <w:pPr>
        <w:pStyle w:val="Heading2"/>
      </w:pPr>
      <w:bookmarkStart w:id="518" w:name="_Toc90976565"/>
      <w:bookmarkStart w:id="519" w:name="_Toc91044797"/>
      <w:bookmarkStart w:id="520" w:name="_Toc91044977"/>
      <w:bookmarkStart w:id="521" w:name="_Toc123621486"/>
      <w:bookmarkStart w:id="522" w:name="_Toc123623029"/>
      <w:bookmarkStart w:id="523" w:name="_Toc153957403"/>
      <w:bookmarkStart w:id="524" w:name="_Toc153958736"/>
      <w:bookmarkStart w:id="525" w:name="_Toc154478806"/>
      <w:bookmarkStart w:id="526" w:name="_Toc158523608"/>
      <w:r>
        <w:rPr>
          <w:rStyle w:val="CharPartNo"/>
        </w:rPr>
        <w:t>Part XIII</w:t>
      </w:r>
      <w:r>
        <w:rPr>
          <w:rStyle w:val="CharDivNo"/>
        </w:rPr>
        <w:t> </w:t>
      </w:r>
      <w:r>
        <w:t>—</w:t>
      </w:r>
      <w:r>
        <w:rPr>
          <w:rStyle w:val="CharDivText"/>
        </w:rPr>
        <w:t> </w:t>
      </w:r>
      <w:r>
        <w:rPr>
          <w:rStyle w:val="CharPartText"/>
        </w:rPr>
        <w:t>Illness and injury</w:t>
      </w:r>
      <w:bookmarkEnd w:id="518"/>
      <w:bookmarkEnd w:id="519"/>
      <w:bookmarkEnd w:id="520"/>
      <w:bookmarkEnd w:id="521"/>
      <w:bookmarkEnd w:id="522"/>
      <w:bookmarkEnd w:id="523"/>
      <w:bookmarkEnd w:id="524"/>
      <w:bookmarkEnd w:id="525"/>
      <w:bookmarkEnd w:id="526"/>
      <w:r>
        <w:rPr>
          <w:rStyle w:val="CharPartText"/>
        </w:rPr>
        <w:t xml:space="preserve"> </w:t>
      </w:r>
    </w:p>
    <w:p>
      <w:pPr>
        <w:pStyle w:val="Footnoteheading"/>
        <w:rPr>
          <w:snapToGrid w:val="0"/>
        </w:rPr>
      </w:pPr>
      <w:r>
        <w:rPr>
          <w:snapToGrid w:val="0"/>
        </w:rPr>
        <w:tab/>
        <w:t xml:space="preserve">[Heading inserted in Gazette 17 Nov 1989 p. 4110.] </w:t>
      </w:r>
    </w:p>
    <w:p>
      <w:pPr>
        <w:pStyle w:val="Heading5"/>
        <w:rPr>
          <w:snapToGrid w:val="0"/>
        </w:rPr>
      </w:pPr>
      <w:bookmarkStart w:id="527" w:name="_Toc500034792"/>
      <w:bookmarkStart w:id="528" w:name="_Toc515769590"/>
      <w:bookmarkStart w:id="529" w:name="_Toc522083271"/>
      <w:bookmarkStart w:id="530" w:name="_Toc123623030"/>
      <w:bookmarkStart w:id="531" w:name="_Toc158523609"/>
      <w:r>
        <w:rPr>
          <w:rStyle w:val="CharSectno"/>
        </w:rPr>
        <w:t>1301</w:t>
      </w:r>
      <w:r>
        <w:rPr>
          <w:snapToGrid w:val="0"/>
        </w:rPr>
        <w:t>.</w:t>
      </w:r>
      <w:r>
        <w:rPr>
          <w:snapToGrid w:val="0"/>
        </w:rPr>
        <w:tab/>
        <w:t>Interpretation</w:t>
      </w:r>
      <w:bookmarkEnd w:id="527"/>
      <w:bookmarkEnd w:id="528"/>
      <w:bookmarkEnd w:id="529"/>
      <w:bookmarkEnd w:id="530"/>
      <w:bookmarkEnd w:id="531"/>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dentist</w:t>
      </w:r>
      <w:r>
        <w:rPr>
          <w:b/>
        </w:rPr>
        <w:t>”</w:t>
      </w:r>
      <w:r>
        <w:t xml:space="preserve"> has the same meaning as it has in the </w:t>
      </w:r>
      <w:r>
        <w:rPr>
          <w:i/>
        </w:rPr>
        <w:t>Dental Act 1939</w:t>
      </w:r>
      <w:r>
        <w:t>;</w:t>
      </w:r>
    </w:p>
    <w:p>
      <w:pPr>
        <w:pStyle w:val="Defstart"/>
      </w:pPr>
      <w:r>
        <w:rPr>
          <w:b/>
        </w:rPr>
        <w:tab/>
        <w:t>“</w:t>
      </w:r>
      <w:r>
        <w:rPr>
          <w:rStyle w:val="CharDefText"/>
        </w:rPr>
        <w:t>incapacity</w:t>
      </w:r>
      <w:r>
        <w:rPr>
          <w:b/>
        </w:rPr>
        <w:t>”</w:t>
      </w:r>
      <w:r>
        <w:t xml:space="preserve"> means unfitness for and absence from duty as a result of illness or injury and </w:t>
      </w:r>
      <w:r>
        <w:rPr>
          <w:b/>
        </w:rPr>
        <w:t>“</w:t>
      </w:r>
      <w:r>
        <w:rPr>
          <w:rStyle w:val="CharDefText"/>
        </w:rPr>
        <w:t>incapacitated</w:t>
      </w:r>
      <w:r>
        <w:rPr>
          <w:b/>
        </w:rPr>
        <w:t>”</w:t>
      </w:r>
      <w:r>
        <w:t xml:space="preserve"> shall be construed accordingly;</w:t>
      </w:r>
    </w:p>
    <w:p>
      <w:pPr>
        <w:pStyle w:val="Defstart"/>
      </w:pPr>
      <w:r>
        <w:rPr>
          <w:b/>
        </w:rPr>
        <w:tab/>
        <w:t>“</w:t>
      </w:r>
      <w:r>
        <w:rPr>
          <w:rStyle w:val="CharDefText"/>
        </w:rPr>
        <w:t>Manager</w:t>
      </w:r>
      <w:r>
        <w:rPr>
          <w:b/>
        </w:rPr>
        <w:t>”</w:t>
      </w:r>
      <w:r>
        <w:t xml:space="preserve"> means the officer of the Department holding the office of Manager, Health and Welfare;</w:t>
      </w:r>
    </w:p>
    <w:p>
      <w:pPr>
        <w:pStyle w:val="Defstart"/>
      </w:pPr>
      <w:r>
        <w:rPr>
          <w:b/>
        </w:rPr>
        <w:tab/>
        <w:t>“</w:t>
      </w:r>
      <w:r>
        <w:rPr>
          <w:rStyle w:val="CharDefText"/>
        </w:rPr>
        <w:t>medical practitioner</w:t>
      </w:r>
      <w:r>
        <w:rPr>
          <w:b/>
        </w:rPr>
        <w:t>”</w:t>
      </w:r>
      <w:r>
        <w:t xml:space="preserve"> has the same meaning as it has in the </w:t>
      </w:r>
      <w:r>
        <w:rPr>
          <w:i/>
        </w:rPr>
        <w:t>Medical Act 1894</w:t>
      </w:r>
      <w:r>
        <w:t>;</w:t>
      </w:r>
    </w:p>
    <w:p>
      <w:pPr>
        <w:pStyle w:val="Defstart"/>
      </w:pPr>
      <w:r>
        <w:rPr>
          <w:b/>
        </w:rPr>
        <w:tab/>
        <w:t>“</w:t>
      </w:r>
      <w:r>
        <w:rPr>
          <w:rStyle w:val="CharDefText"/>
        </w:rPr>
        <w:t>Medicare benefits</w:t>
      </w:r>
      <w:r>
        <w:rPr>
          <w:b/>
        </w:rPr>
        <w:t>”</w:t>
      </w:r>
      <w:r>
        <w:t xml:space="preserve"> has the same meaning as it has in the </w:t>
      </w:r>
      <w:r>
        <w:rPr>
          <w:i/>
        </w:rPr>
        <w:t>Health Insurance Act 1973</w:t>
      </w:r>
      <w:r>
        <w:t xml:space="preserve"> of the Parliament of the Commonwealth;</w:t>
      </w:r>
    </w:p>
    <w:p>
      <w:pPr>
        <w:pStyle w:val="Defstart"/>
      </w:pPr>
      <w:r>
        <w:rPr>
          <w:b/>
        </w:rPr>
        <w:tab/>
        <w:t>“</w:t>
      </w:r>
      <w:r>
        <w:rPr>
          <w:rStyle w:val="CharDefText"/>
        </w:rPr>
        <w:t>pharmaceutical chemist</w:t>
      </w:r>
      <w:r>
        <w:rPr>
          <w:b/>
        </w:rPr>
        <w:t>”</w:t>
      </w:r>
      <w:r>
        <w:t xml:space="preserve"> has the same meaning as it has in the </w:t>
      </w:r>
      <w:r>
        <w:rPr>
          <w:i/>
        </w:rPr>
        <w:t>Pharmacy Act 1964</w:t>
      </w:r>
      <w:r>
        <w:t>;</w:t>
      </w:r>
    </w:p>
    <w:p>
      <w:pPr>
        <w:pStyle w:val="Defstart"/>
      </w:pPr>
      <w:r>
        <w:rPr>
          <w:b/>
        </w:rPr>
        <w:tab/>
        <w:t>“</w:t>
      </w:r>
      <w:r>
        <w:rPr>
          <w:rStyle w:val="CharDefText"/>
        </w:rPr>
        <w:t>region</w:t>
      </w:r>
      <w:r>
        <w:rPr>
          <w:b/>
        </w:rPr>
        <w:t>”</w:t>
      </w:r>
      <w:r>
        <w:t xml:space="preserve"> means region of the State within the meaning of section 39(2) of the Act. </w:t>
      </w:r>
    </w:p>
    <w:p>
      <w:pPr>
        <w:pStyle w:val="Footnotesection"/>
      </w:pPr>
      <w:r>
        <w:tab/>
        <w:t xml:space="preserve">[Regulation 1301 inserted in Gazette 17 Nov 1989 p. 4110; amended in Gazette 15 Dec 2006 p. 5635.] </w:t>
      </w:r>
    </w:p>
    <w:p>
      <w:pPr>
        <w:pStyle w:val="Heading5"/>
      </w:pPr>
      <w:bookmarkStart w:id="532" w:name="_Toc500034793"/>
      <w:bookmarkStart w:id="533" w:name="_Toc515769591"/>
      <w:bookmarkStart w:id="534" w:name="_Toc522083272"/>
      <w:bookmarkStart w:id="535" w:name="_Toc123623031"/>
      <w:bookmarkStart w:id="536" w:name="_Toc158523610"/>
      <w:r>
        <w:rPr>
          <w:rStyle w:val="CharSectno"/>
        </w:rPr>
        <w:t>1302</w:t>
      </w:r>
      <w:r>
        <w:t xml:space="preserve">. </w:t>
      </w:r>
      <w:r>
        <w:tab/>
        <w:t>Report of incapacity</w:t>
      </w:r>
      <w:bookmarkEnd w:id="532"/>
      <w:bookmarkEnd w:id="533"/>
      <w:bookmarkEnd w:id="534"/>
      <w:bookmarkEnd w:id="535"/>
      <w:bookmarkEnd w:id="536"/>
    </w:p>
    <w:p>
      <w:pPr>
        <w:pStyle w:val="Subsection"/>
      </w:pPr>
      <w:r>
        <w:tab/>
      </w:r>
      <w:r>
        <w:tab/>
        <w:t>A member or cadet who becomes incapacitated shall as soon as possible — </w:t>
      </w:r>
    </w:p>
    <w:p>
      <w:pPr>
        <w:pStyle w:val="Indenta"/>
      </w:pPr>
      <w:r>
        <w:tab/>
        <w:t>(a)</w:t>
      </w:r>
      <w:r>
        <w:tab/>
        <w:t>notify his officer</w:t>
      </w:r>
      <w:r>
        <w:noBreakHyphen/>
        <w:t>in</w:t>
      </w:r>
      <w:r>
        <w:noBreakHyphen/>
        <w:t>charge of that fact and of his whereabouts; and</w:t>
      </w:r>
    </w:p>
    <w:p>
      <w:pPr>
        <w:pStyle w:val="Indenta"/>
      </w:pPr>
      <w:r>
        <w:tab/>
        <w:t>(b)</w:t>
      </w:r>
      <w:r>
        <w:tab/>
        <w:t>notify the Manager of the nature of the illness or the nature and cause of the injury, as the case may be.</w:t>
      </w:r>
    </w:p>
    <w:p>
      <w:pPr>
        <w:pStyle w:val="Footnotesection"/>
      </w:pPr>
      <w:r>
        <w:tab/>
        <w:t xml:space="preserve">[Regulation 1302 inserted in Gazette 17 Nov 1989 p. 4110.] </w:t>
      </w:r>
    </w:p>
    <w:p>
      <w:pPr>
        <w:pStyle w:val="Heading5"/>
        <w:rPr>
          <w:snapToGrid w:val="0"/>
        </w:rPr>
      </w:pPr>
      <w:bookmarkStart w:id="537" w:name="_Toc500034794"/>
      <w:bookmarkStart w:id="538" w:name="_Toc515769592"/>
      <w:bookmarkStart w:id="539" w:name="_Toc522083273"/>
      <w:bookmarkStart w:id="540" w:name="_Toc123623032"/>
      <w:bookmarkStart w:id="541" w:name="_Toc158523611"/>
      <w:r>
        <w:rPr>
          <w:rStyle w:val="CharSectno"/>
        </w:rPr>
        <w:t>1303</w:t>
      </w:r>
      <w:r>
        <w:rPr>
          <w:snapToGrid w:val="0"/>
        </w:rPr>
        <w:t>.</w:t>
      </w:r>
      <w:r>
        <w:rPr>
          <w:snapToGrid w:val="0"/>
        </w:rPr>
        <w:tab/>
        <w:t>Application for leave</w:t>
      </w:r>
      <w:bookmarkEnd w:id="537"/>
      <w:bookmarkEnd w:id="538"/>
      <w:bookmarkEnd w:id="539"/>
      <w:bookmarkEnd w:id="540"/>
      <w:bookmarkEnd w:id="541"/>
      <w:r>
        <w:rPr>
          <w:snapToGrid w:val="0"/>
        </w:rPr>
        <w:t xml:space="preserve"> </w:t>
      </w:r>
    </w:p>
    <w:p>
      <w:pPr>
        <w:pStyle w:val="Subsection"/>
        <w:spacing w:before="120"/>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spacing w:before="120"/>
        <w:rPr>
          <w:snapToGrid w:val="0"/>
        </w:rPr>
      </w:pPr>
      <w:r>
        <w:rPr>
          <w:snapToGrid w:val="0"/>
        </w:rPr>
        <w:tab/>
        <w:t>(2)</w:t>
      </w:r>
      <w:r>
        <w:rPr>
          <w:snapToGrid w:val="0"/>
        </w:rPr>
        <w:tab/>
        <w:t>The application shall be — </w:t>
      </w:r>
    </w:p>
    <w:p>
      <w:pPr>
        <w:pStyle w:val="Indenta"/>
        <w:spacing w:before="60"/>
        <w:rPr>
          <w:snapToGrid w:val="0"/>
        </w:rPr>
      </w:pPr>
      <w:r>
        <w:rPr>
          <w:snapToGrid w:val="0"/>
        </w:rPr>
        <w:tab/>
        <w:t>(a)</w:t>
      </w:r>
      <w:r>
        <w:rPr>
          <w:snapToGrid w:val="0"/>
        </w:rPr>
        <w:tab/>
        <w:t>in a form approved by the Commissioner; and</w:t>
      </w:r>
    </w:p>
    <w:p>
      <w:pPr>
        <w:pStyle w:val="Indenta"/>
        <w:spacing w:before="60"/>
        <w:rPr>
          <w:snapToGrid w:val="0"/>
        </w:rPr>
      </w:pPr>
      <w:r>
        <w:rPr>
          <w:snapToGrid w:val="0"/>
        </w:rPr>
        <w:tab/>
        <w:t>(b)</w:t>
      </w:r>
      <w:r>
        <w:rPr>
          <w:snapToGrid w:val="0"/>
        </w:rPr>
        <w:tab/>
        <w:t>submitted to the Manager,</w:t>
      </w:r>
    </w:p>
    <w:p>
      <w:pPr>
        <w:pStyle w:val="Subsection"/>
        <w:spacing w:before="60"/>
        <w:rPr>
          <w:snapToGrid w:val="0"/>
        </w:rPr>
      </w:pPr>
      <w:r>
        <w:rPr>
          <w:snapToGrid w:val="0"/>
        </w:rPr>
        <w:tab/>
      </w:r>
      <w:r>
        <w:rPr>
          <w:snapToGrid w:val="0"/>
        </w:rPr>
        <w:tab/>
        <w:t>and the certificate in its support shall be — </w:t>
      </w:r>
    </w:p>
    <w:p>
      <w:pPr>
        <w:pStyle w:val="Indenta"/>
        <w:spacing w:before="60"/>
        <w:rPr>
          <w:snapToGrid w:val="0"/>
        </w:rPr>
      </w:pPr>
      <w:r>
        <w:rPr>
          <w:snapToGrid w:val="0"/>
        </w:rPr>
        <w:tab/>
        <w:t>(c)</w:t>
      </w:r>
      <w:r>
        <w:rPr>
          <w:snapToGrid w:val="0"/>
        </w:rPr>
        <w:tab/>
        <w:t>submitted to the Manager.</w:t>
      </w:r>
    </w:p>
    <w:p>
      <w:pPr>
        <w:pStyle w:val="Footnotesection"/>
        <w:spacing w:before="100"/>
        <w:ind w:left="890" w:hanging="890"/>
      </w:pPr>
      <w:r>
        <w:tab/>
        <w:t xml:space="preserve">[Regulation 1303 inserted in Gazette 17 Nov 1989 p. 4111.] </w:t>
      </w:r>
    </w:p>
    <w:p>
      <w:pPr>
        <w:pStyle w:val="Heading5"/>
        <w:rPr>
          <w:snapToGrid w:val="0"/>
        </w:rPr>
      </w:pPr>
      <w:bookmarkStart w:id="542" w:name="_Toc500034795"/>
      <w:bookmarkStart w:id="543" w:name="_Toc515769593"/>
      <w:bookmarkStart w:id="544" w:name="_Toc522083274"/>
      <w:bookmarkStart w:id="545" w:name="_Toc123623033"/>
      <w:bookmarkStart w:id="546" w:name="_Toc158523612"/>
      <w:r>
        <w:rPr>
          <w:rStyle w:val="CharSectno"/>
        </w:rPr>
        <w:t>1304</w:t>
      </w:r>
      <w:r>
        <w:rPr>
          <w:snapToGrid w:val="0"/>
        </w:rPr>
        <w:t>.</w:t>
      </w:r>
      <w:r>
        <w:rPr>
          <w:snapToGrid w:val="0"/>
        </w:rPr>
        <w:tab/>
        <w:t>Entitlement to leave and allowances</w:t>
      </w:r>
      <w:bookmarkEnd w:id="542"/>
      <w:bookmarkEnd w:id="543"/>
      <w:bookmarkEnd w:id="544"/>
      <w:bookmarkEnd w:id="545"/>
      <w:bookmarkEnd w:id="546"/>
      <w:r>
        <w:rPr>
          <w:snapToGrid w:val="0"/>
        </w:rPr>
        <w:t xml:space="preserve"> </w:t>
      </w:r>
    </w:p>
    <w:p>
      <w:pPr>
        <w:pStyle w:val="Subsection"/>
        <w:spacing w:before="120"/>
        <w:rPr>
          <w:snapToGrid w:val="0"/>
        </w:rPr>
      </w:pPr>
      <w:r>
        <w:rPr>
          <w:snapToGrid w:val="0"/>
        </w:rPr>
        <w:tab/>
        <w:t>(1)</w:t>
      </w:r>
      <w:r>
        <w:rPr>
          <w:snapToGrid w:val="0"/>
        </w:rPr>
        <w:tab/>
        <w:t>Subject to regulations 1308(1) and 1309 and to compliance by the member with regulation 1303, the Commissioner may grant to a member in respect of his incapacity leave of absence with pay — </w:t>
      </w:r>
    </w:p>
    <w:p>
      <w:pPr>
        <w:pStyle w:val="Indenta"/>
        <w:spacing w:before="60"/>
        <w:rPr>
          <w:snapToGrid w:val="0"/>
        </w:rPr>
      </w:pPr>
      <w:r>
        <w:rPr>
          <w:snapToGrid w:val="0"/>
        </w:rPr>
        <w:tab/>
        <w:t>(a)</w:t>
      </w:r>
      <w:r>
        <w:rPr>
          <w:snapToGrid w:val="0"/>
        </w:rPr>
        <w:tab/>
        <w:t>for up to 168 days in a calendar year; and</w:t>
      </w:r>
    </w:p>
    <w:p>
      <w:pPr>
        <w:pStyle w:val="Indenta"/>
        <w:spacing w:before="60"/>
        <w:rPr>
          <w:snapToGrid w:val="0"/>
        </w:rPr>
      </w:pPr>
      <w:r>
        <w:rPr>
          <w:snapToGrid w:val="0"/>
        </w:rPr>
        <w:tab/>
        <w:t>(b)</w:t>
      </w:r>
      <w:r>
        <w:rPr>
          <w:snapToGrid w:val="0"/>
        </w:rPr>
        <w:tab/>
        <w:t>if so recommended by the Manager and subject to any terms or conditions recommended by the Manager, for a further period.</w:t>
      </w:r>
    </w:p>
    <w:p>
      <w:pPr>
        <w:pStyle w:val="Subsection"/>
        <w:spacing w:before="120"/>
        <w:rPr>
          <w:snapToGrid w:val="0"/>
        </w:rPr>
      </w:pPr>
      <w:r>
        <w:rPr>
          <w:snapToGrid w:val="0"/>
        </w:rPr>
        <w:tab/>
        <w:t>(2)</w:t>
      </w:r>
      <w:r>
        <w:rPr>
          <w:snapToGrid w:val="0"/>
        </w:rPr>
        <w:tab/>
        <w:t>Except where he is incapacitated through his fault or misconduct, a member is entitled to receive in respect of a period of leave of absence approved under subregulation (1), and subject to any terms or conditions imposed under subregulation (1)(b), any special allowances which he would have received under the Award if he had not been incapacitated.</w:t>
      </w:r>
    </w:p>
    <w:p>
      <w:pPr>
        <w:pStyle w:val="Subsection"/>
        <w:spacing w:before="120"/>
        <w:rPr>
          <w:snapToGrid w:val="0"/>
        </w:rPr>
      </w:pPr>
      <w:r>
        <w:rPr>
          <w:snapToGrid w:val="0"/>
        </w:rPr>
        <w:tab/>
        <w:t>(3)</w:t>
      </w:r>
      <w:r>
        <w:rPr>
          <w:snapToGrid w:val="0"/>
        </w:rPr>
        <w:tab/>
        <w:t>The district allowance prescribed by the Award ceases to be payable — </w:t>
      </w:r>
    </w:p>
    <w:p>
      <w:pPr>
        <w:pStyle w:val="Indenta"/>
        <w:spacing w:before="60"/>
        <w:rPr>
          <w:snapToGrid w:val="0"/>
        </w:rPr>
      </w:pPr>
      <w:r>
        <w:rPr>
          <w:snapToGrid w:val="0"/>
        </w:rPr>
        <w:tab/>
        <w:t>(a)</w:t>
      </w:r>
      <w:r>
        <w:rPr>
          <w:snapToGrid w:val="0"/>
        </w:rPr>
        <w:tab/>
        <w:t>after an incapacitated member or cadet and the family of that member or cadet have been absent from his region for a continuous period exceeding 6 weeks; and</w:t>
      </w:r>
    </w:p>
    <w:p>
      <w:pPr>
        <w:pStyle w:val="Indenta"/>
        <w:rPr>
          <w:snapToGrid w:val="0"/>
        </w:rPr>
      </w:pPr>
      <w:r>
        <w:rPr>
          <w:snapToGrid w:val="0"/>
        </w:rPr>
        <w:tab/>
        <w:t>(b)</w:t>
      </w:r>
      <w:r>
        <w:rPr>
          <w:snapToGrid w:val="0"/>
        </w:rPr>
        <w:tab/>
        <w:t>for so long thereafter as that absence continues.</w:t>
      </w:r>
    </w:p>
    <w:p>
      <w:pPr>
        <w:pStyle w:val="Subsection"/>
        <w:rPr>
          <w:snapToGrid w:val="0"/>
        </w:rPr>
      </w:pPr>
      <w:r>
        <w:rPr>
          <w:snapToGrid w:val="0"/>
        </w:rPr>
        <w:tab/>
        <w:t>(4)</w:t>
      </w:r>
      <w:r>
        <w:rPr>
          <w:snapToGrid w:val="0"/>
        </w:rPr>
        <w:tab/>
        <w:t xml:space="preserve">In subregulation (3), </w:t>
      </w:r>
      <w:r>
        <w:rPr>
          <w:b/>
          <w:snapToGrid w:val="0"/>
        </w:rPr>
        <w:t>“</w:t>
      </w:r>
      <w:r>
        <w:rPr>
          <w:rStyle w:val="CharDefText"/>
        </w:rPr>
        <w:t>family</w:t>
      </w:r>
      <w:r>
        <w:rPr>
          <w:b/>
          <w:snapToGrid w:val="0"/>
        </w:rPr>
        <w:t>”</w:t>
      </w:r>
      <w:r>
        <w:rPr>
          <w:snapToGrid w:val="0"/>
        </w:rPr>
        <w:t xml:space="preserve"> means the spouse </w:t>
      </w:r>
      <w:r>
        <w:t>or de facto partner</w:t>
      </w:r>
      <w:r>
        <w:rPr>
          <w:snapToGrid w:val="0"/>
        </w:rPr>
        <w:t xml:space="preserve"> and any children of the member or cadet residing with him.</w:t>
      </w:r>
    </w:p>
    <w:p>
      <w:pPr>
        <w:pStyle w:val="Footnotesection"/>
      </w:pPr>
      <w:r>
        <w:tab/>
        <w:t xml:space="preserve">[Regulation 1304 inserted in Gazette 17 Nov 1989 p. 4111; amended in Gazette 30 Jun 2003 p. 2623.] </w:t>
      </w:r>
    </w:p>
    <w:p>
      <w:pPr>
        <w:pStyle w:val="Heading5"/>
        <w:rPr>
          <w:snapToGrid w:val="0"/>
        </w:rPr>
      </w:pPr>
      <w:bookmarkStart w:id="547" w:name="_Toc500034796"/>
      <w:bookmarkStart w:id="548" w:name="_Toc515769594"/>
      <w:bookmarkStart w:id="549" w:name="_Toc522083275"/>
      <w:bookmarkStart w:id="550" w:name="_Toc123623034"/>
      <w:bookmarkStart w:id="551" w:name="_Toc158523613"/>
      <w:r>
        <w:rPr>
          <w:rStyle w:val="CharSectno"/>
        </w:rPr>
        <w:t>1305</w:t>
      </w:r>
      <w:r>
        <w:rPr>
          <w:snapToGrid w:val="0"/>
        </w:rPr>
        <w:t>.</w:t>
      </w:r>
      <w:r>
        <w:rPr>
          <w:snapToGrid w:val="0"/>
        </w:rPr>
        <w:tab/>
        <w:t>Other work prohibited</w:t>
      </w:r>
      <w:bookmarkEnd w:id="547"/>
      <w:bookmarkEnd w:id="548"/>
      <w:bookmarkEnd w:id="549"/>
      <w:bookmarkEnd w:id="550"/>
      <w:bookmarkEnd w:id="551"/>
      <w:r>
        <w:rPr>
          <w:snapToGrid w:val="0"/>
        </w:rPr>
        <w:t xml:space="preserve"> </w:t>
      </w:r>
    </w:p>
    <w:p>
      <w:pPr>
        <w:pStyle w:val="Subsection"/>
        <w:rPr>
          <w:snapToGrid w:val="0"/>
        </w:rPr>
      </w:pPr>
      <w:r>
        <w:rPr>
          <w:snapToGrid w:val="0"/>
        </w:rPr>
        <w:tab/>
      </w:r>
      <w:r>
        <w:rPr>
          <w:snapToGrid w:val="0"/>
        </w:rPr>
        <w:tab/>
        <w:t>An incapacitated member or cadet shall not during his absence from duty engage for reward in any other occupation or activity.</w:t>
      </w:r>
    </w:p>
    <w:p>
      <w:pPr>
        <w:pStyle w:val="Footnotesection"/>
      </w:pPr>
      <w:r>
        <w:tab/>
        <w:t xml:space="preserve">[Regulation 1305 inserted in Gazette 17 Nov 1989 p. 4111.] </w:t>
      </w:r>
    </w:p>
    <w:p>
      <w:pPr>
        <w:pStyle w:val="Heading5"/>
        <w:rPr>
          <w:snapToGrid w:val="0"/>
        </w:rPr>
      </w:pPr>
      <w:bookmarkStart w:id="552" w:name="_Toc500034797"/>
      <w:bookmarkStart w:id="553" w:name="_Toc515769595"/>
      <w:bookmarkStart w:id="554" w:name="_Toc522083276"/>
      <w:bookmarkStart w:id="555" w:name="_Toc123623035"/>
      <w:bookmarkStart w:id="556" w:name="_Toc158523614"/>
      <w:r>
        <w:rPr>
          <w:rStyle w:val="CharSectno"/>
        </w:rPr>
        <w:t>1306</w:t>
      </w:r>
      <w:r>
        <w:rPr>
          <w:snapToGrid w:val="0"/>
        </w:rPr>
        <w:t>.</w:t>
      </w:r>
      <w:r>
        <w:rPr>
          <w:snapToGrid w:val="0"/>
        </w:rPr>
        <w:tab/>
        <w:t>Medical and hospital expenses where member’s illness results from duties</w:t>
      </w:r>
      <w:bookmarkEnd w:id="552"/>
      <w:bookmarkEnd w:id="553"/>
      <w:bookmarkEnd w:id="554"/>
      <w:bookmarkEnd w:id="555"/>
      <w:bookmarkEnd w:id="556"/>
      <w:r>
        <w:rPr>
          <w:snapToGrid w:val="0"/>
        </w:rPr>
        <w:t xml:space="preserve"> </w:t>
      </w:r>
    </w:p>
    <w:p>
      <w:pPr>
        <w:pStyle w:val="Subsection"/>
        <w:rPr>
          <w:snapToGrid w:val="0"/>
        </w:rPr>
      </w:pPr>
      <w:r>
        <w:rPr>
          <w:snapToGrid w:val="0"/>
        </w:rPr>
        <w:tab/>
      </w:r>
      <w:r>
        <w:rPr>
          <w:snapToGrid w:val="0"/>
        </w:rPr>
        <w:tab/>
        <w:t>Subject to regulation 1308(2), the Commissioner shall pay the reasonable medical and hospital expenses incurred by a member as a result of illness or injury arising out of or in the course of his duties or suffered by him in the course of travel to or from a place of duty.</w:t>
      </w:r>
    </w:p>
    <w:p>
      <w:pPr>
        <w:pStyle w:val="Footnotesection"/>
      </w:pPr>
      <w:r>
        <w:tab/>
        <w:t xml:space="preserve">[Regulation 1306 inserted in Gazette 17 Nov 1989 p. 4111.] </w:t>
      </w:r>
    </w:p>
    <w:p>
      <w:pPr>
        <w:pStyle w:val="Ednotesection"/>
      </w:pPr>
      <w:r>
        <w:t>[</w:t>
      </w:r>
      <w:r>
        <w:rPr>
          <w:b/>
        </w:rPr>
        <w:t>1307.</w:t>
      </w:r>
      <w:r>
        <w:tab/>
        <w:t xml:space="preserve">Repealed in Gazette 18 Nov 1994 p. 5867.] </w:t>
      </w:r>
    </w:p>
    <w:p>
      <w:pPr>
        <w:pStyle w:val="Heading5"/>
        <w:rPr>
          <w:snapToGrid w:val="0"/>
        </w:rPr>
      </w:pPr>
      <w:bookmarkStart w:id="557" w:name="_Toc500034798"/>
      <w:bookmarkStart w:id="558" w:name="_Toc515769596"/>
      <w:bookmarkStart w:id="559" w:name="_Toc522083277"/>
      <w:bookmarkStart w:id="560" w:name="_Toc123623036"/>
      <w:bookmarkStart w:id="561" w:name="_Toc158523615"/>
      <w:r>
        <w:rPr>
          <w:rStyle w:val="CharSectno"/>
        </w:rPr>
        <w:t>1308</w:t>
      </w:r>
      <w:r>
        <w:rPr>
          <w:snapToGrid w:val="0"/>
        </w:rPr>
        <w:t>.</w:t>
      </w:r>
      <w:r>
        <w:rPr>
          <w:snapToGrid w:val="0"/>
        </w:rPr>
        <w:tab/>
        <w:t>Ineligibility for benefits where incapacity own fault</w:t>
      </w:r>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A member who suffers illness or injury through his fault or misconduct is not entitled to paid leave in respect of absence from duty resulting from that illness or injury.</w:t>
      </w:r>
    </w:p>
    <w:p>
      <w:pPr>
        <w:pStyle w:val="Subsection"/>
        <w:rPr>
          <w:snapToGrid w:val="0"/>
        </w:rPr>
      </w:pPr>
      <w:r>
        <w:rPr>
          <w:snapToGrid w:val="0"/>
        </w:rPr>
        <w:tab/>
        <w:t>(2)</w:t>
      </w:r>
      <w:r>
        <w:rPr>
          <w:snapToGrid w:val="0"/>
        </w:rPr>
        <w:tab/>
        <w:t>A member who suffers illness or injury through his fault or misconduct is not entitled in respect of that illness or injury to receive the benefits provided for by regulation 1306.</w:t>
      </w:r>
    </w:p>
    <w:p>
      <w:pPr>
        <w:pStyle w:val="Footnotesection"/>
      </w:pPr>
      <w:r>
        <w:tab/>
        <w:t>[Regulation 1308 inserted in Gazette 17 Nov 1989 p. 4111</w:t>
      </w:r>
      <w:r>
        <w:noBreakHyphen/>
        <w:t xml:space="preserve">2; amended in Gazette 18 Nov 1994 p. 5867.] </w:t>
      </w:r>
    </w:p>
    <w:p>
      <w:pPr>
        <w:pStyle w:val="Heading5"/>
        <w:rPr>
          <w:snapToGrid w:val="0"/>
        </w:rPr>
      </w:pPr>
      <w:bookmarkStart w:id="562" w:name="_Toc500034799"/>
      <w:bookmarkStart w:id="563" w:name="_Toc515769597"/>
      <w:bookmarkStart w:id="564" w:name="_Toc522083278"/>
      <w:bookmarkStart w:id="565" w:name="_Toc123623037"/>
      <w:bookmarkStart w:id="566" w:name="_Toc158523616"/>
      <w:r>
        <w:rPr>
          <w:rStyle w:val="CharSectno"/>
        </w:rPr>
        <w:t>1309</w:t>
      </w:r>
      <w:r>
        <w:rPr>
          <w:snapToGrid w:val="0"/>
        </w:rPr>
        <w:t>.</w:t>
      </w:r>
      <w:r>
        <w:rPr>
          <w:snapToGrid w:val="0"/>
        </w:rPr>
        <w:tab/>
        <w:t>Incapacity resulting from another occupation</w:t>
      </w:r>
      <w:bookmarkEnd w:id="562"/>
      <w:bookmarkEnd w:id="563"/>
      <w:bookmarkEnd w:id="564"/>
      <w:bookmarkEnd w:id="565"/>
      <w:bookmarkEnd w:id="566"/>
      <w:r>
        <w:rPr>
          <w:snapToGrid w:val="0"/>
        </w:rPr>
        <w:t xml:space="preserve"> </w:t>
      </w:r>
    </w:p>
    <w:p>
      <w:pPr>
        <w:pStyle w:val="Subsection"/>
        <w:rPr>
          <w:snapToGrid w:val="0"/>
        </w:rPr>
      </w:pPr>
      <w:r>
        <w:rPr>
          <w:snapToGrid w:val="0"/>
        </w:rPr>
        <w:tab/>
      </w:r>
      <w:r>
        <w:rPr>
          <w:snapToGrid w:val="0"/>
        </w:rPr>
        <w:tab/>
        <w:t>Subject to regulation 1308(1), where the incapacity of a member or cadet results from the carrying on by him of an occupation for which he received or expected to receive remuneration, outside of his duties as a member or cadet, the Commissioner may grant or refuse to grant paid leave to the member or cadet in respect of the incapacity or may grant him leave at a reduced rate of pay.</w:t>
      </w:r>
    </w:p>
    <w:p>
      <w:pPr>
        <w:pStyle w:val="Footnotesection"/>
      </w:pPr>
      <w:r>
        <w:tab/>
        <w:t xml:space="preserve">[Regulation 1309 inserted in Gazette 17 Nov 1989 p. 4112.] </w:t>
      </w:r>
    </w:p>
    <w:p>
      <w:pPr>
        <w:pStyle w:val="Heading5"/>
        <w:rPr>
          <w:snapToGrid w:val="0"/>
        </w:rPr>
      </w:pPr>
      <w:bookmarkStart w:id="567" w:name="_Toc500034800"/>
      <w:bookmarkStart w:id="568" w:name="_Toc515769598"/>
      <w:bookmarkStart w:id="569" w:name="_Toc522083279"/>
      <w:bookmarkStart w:id="570" w:name="_Toc123623038"/>
      <w:bookmarkStart w:id="571" w:name="_Toc158523617"/>
      <w:r>
        <w:rPr>
          <w:rStyle w:val="CharSectno"/>
        </w:rPr>
        <w:t>1310</w:t>
      </w:r>
      <w:r>
        <w:rPr>
          <w:snapToGrid w:val="0"/>
        </w:rPr>
        <w:t>.</w:t>
      </w:r>
      <w:r>
        <w:rPr>
          <w:snapToGrid w:val="0"/>
        </w:rPr>
        <w:tab/>
        <w:t>Entitlements of cadets</w:t>
      </w:r>
      <w:bookmarkEnd w:id="567"/>
      <w:bookmarkEnd w:id="568"/>
      <w:bookmarkEnd w:id="569"/>
      <w:bookmarkEnd w:id="570"/>
      <w:bookmarkEnd w:id="571"/>
      <w:r>
        <w:rPr>
          <w:snapToGrid w:val="0"/>
        </w:rPr>
        <w:t xml:space="preserve"> </w:t>
      </w:r>
    </w:p>
    <w:p>
      <w:pPr>
        <w:pStyle w:val="Subsection"/>
        <w:rPr>
          <w:snapToGrid w:val="0"/>
        </w:rPr>
      </w:pPr>
      <w:r>
        <w:rPr>
          <w:snapToGrid w:val="0"/>
        </w:rPr>
        <w:tab/>
      </w:r>
      <w:r>
        <w:rPr>
          <w:snapToGrid w:val="0"/>
        </w:rPr>
        <w:tab/>
        <w:t>The provisions of this Part, other than regulation 1309, are supplemental to and not in derogation of the provisions of the Award as to entitlements of cadets in respect of illness or injury.</w:t>
      </w:r>
    </w:p>
    <w:p>
      <w:pPr>
        <w:pStyle w:val="Footnotesection"/>
      </w:pPr>
      <w:r>
        <w:tab/>
        <w:t xml:space="preserve">[Regulation 1310 inserted in Gazette 17 Nov 1989 p. 4112.] </w:t>
      </w:r>
    </w:p>
    <w:p>
      <w:pPr>
        <w:pStyle w:val="Heading5"/>
        <w:rPr>
          <w:snapToGrid w:val="0"/>
        </w:rPr>
      </w:pPr>
      <w:bookmarkStart w:id="572" w:name="_Toc500034801"/>
      <w:bookmarkStart w:id="573" w:name="_Toc515769599"/>
      <w:bookmarkStart w:id="574" w:name="_Toc522083280"/>
      <w:bookmarkStart w:id="575" w:name="_Toc123623039"/>
      <w:bookmarkStart w:id="576" w:name="_Toc158523618"/>
      <w:r>
        <w:rPr>
          <w:rStyle w:val="CharSectno"/>
        </w:rPr>
        <w:t>1311</w:t>
      </w:r>
      <w:r>
        <w:rPr>
          <w:snapToGrid w:val="0"/>
        </w:rPr>
        <w:t>.</w:t>
      </w:r>
      <w:r>
        <w:rPr>
          <w:snapToGrid w:val="0"/>
        </w:rPr>
        <w:tab/>
        <w:t>Evidence of fitness after long incapacity</w:t>
      </w:r>
      <w:bookmarkEnd w:id="572"/>
      <w:bookmarkEnd w:id="573"/>
      <w:bookmarkEnd w:id="574"/>
      <w:bookmarkEnd w:id="575"/>
      <w:bookmarkEnd w:id="576"/>
      <w:r>
        <w:rPr>
          <w:snapToGrid w:val="0"/>
        </w:rPr>
        <w:t xml:space="preserve"> </w:t>
      </w:r>
    </w:p>
    <w:p>
      <w:pPr>
        <w:pStyle w:val="Subsection"/>
        <w:rPr>
          <w:snapToGrid w:val="0"/>
        </w:rPr>
      </w:pPr>
      <w:r>
        <w:rPr>
          <w:snapToGrid w:val="0"/>
        </w:rPr>
        <w:tab/>
      </w:r>
      <w:r>
        <w:rPr>
          <w:snapToGrid w:val="0"/>
        </w:rPr>
        <w:tab/>
        <w:t>A member or cadet who has been absent from duty because of incapacity for longer than 4 weeks shall, before returning to duty, submit to the Manager evidence of his medical fitness to return to duty.</w:t>
      </w:r>
    </w:p>
    <w:p>
      <w:pPr>
        <w:pStyle w:val="Footnotesection"/>
      </w:pPr>
      <w:r>
        <w:tab/>
        <w:t xml:space="preserve">[Regulation 1311 inserted in Gazette 17 Nov 1989 p. 4112.] </w:t>
      </w:r>
    </w:p>
    <w:p>
      <w:pPr>
        <w:pStyle w:val="Heading5"/>
        <w:rPr>
          <w:snapToGrid w:val="0"/>
        </w:rPr>
      </w:pPr>
      <w:bookmarkStart w:id="577" w:name="_Toc500034802"/>
      <w:bookmarkStart w:id="578" w:name="_Toc515769600"/>
      <w:bookmarkStart w:id="579" w:name="_Toc522083281"/>
      <w:bookmarkStart w:id="580" w:name="_Toc123623040"/>
      <w:bookmarkStart w:id="581" w:name="_Toc158523619"/>
      <w:r>
        <w:rPr>
          <w:rStyle w:val="CharSectno"/>
        </w:rPr>
        <w:t>1312</w:t>
      </w:r>
      <w:r>
        <w:rPr>
          <w:snapToGrid w:val="0"/>
        </w:rPr>
        <w:t>.</w:t>
      </w:r>
      <w:r>
        <w:rPr>
          <w:snapToGrid w:val="0"/>
        </w:rPr>
        <w:tab/>
        <w:t>Examination arranged by Commissioner</w:t>
      </w:r>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The Commissioner may direct a member or cadet to submit to examination, at the expense of the Commissioner, by one or more medical practitioners nominated in each instance by the Commissioner and the member or cadet shall obey such a direction.</w:t>
      </w:r>
    </w:p>
    <w:p>
      <w:pPr>
        <w:pStyle w:val="Subsection"/>
        <w:rPr>
          <w:snapToGrid w:val="0"/>
        </w:rPr>
      </w:pPr>
      <w:r>
        <w:rPr>
          <w:snapToGrid w:val="0"/>
        </w:rPr>
        <w:tab/>
        <w:t>(2)</w:t>
      </w:r>
      <w:r>
        <w:rPr>
          <w:snapToGrid w:val="0"/>
        </w:rPr>
        <w:tab/>
        <w:t>Where a member or cadet has been examined under subregulation (1) and the examining medical practitioner expresses the opinion in writing to the Commissioner that the member or cadet is unfit for duty because of illness or injury, the Commissioner may direct the member or cadet to apply for leave on that ground and the member or cadet shall obey such a direction.</w:t>
      </w:r>
    </w:p>
    <w:p>
      <w:pPr>
        <w:pStyle w:val="Footnotesection"/>
      </w:pPr>
      <w:r>
        <w:tab/>
        <w:t xml:space="preserve">[Regulation 1312 inserted in Gazette 17 Nov 1989 p. 4112.] </w:t>
      </w:r>
    </w:p>
    <w:p>
      <w:pPr>
        <w:pStyle w:val="Heading2"/>
      </w:pPr>
      <w:bookmarkStart w:id="582" w:name="_Toc90976577"/>
      <w:bookmarkStart w:id="583" w:name="_Toc91044809"/>
      <w:bookmarkStart w:id="584" w:name="_Toc91044989"/>
      <w:bookmarkStart w:id="585" w:name="_Toc123621498"/>
      <w:bookmarkStart w:id="586" w:name="_Toc123623041"/>
      <w:bookmarkStart w:id="587" w:name="_Toc153957415"/>
      <w:bookmarkStart w:id="588" w:name="_Toc153958748"/>
      <w:bookmarkStart w:id="589" w:name="_Toc154478818"/>
      <w:bookmarkStart w:id="590" w:name="_Toc158523620"/>
      <w:r>
        <w:rPr>
          <w:rStyle w:val="CharPartNo"/>
        </w:rPr>
        <w:t>Part XIV</w:t>
      </w:r>
      <w:r>
        <w:rPr>
          <w:rStyle w:val="CharDivNo"/>
        </w:rPr>
        <w:t> </w:t>
      </w:r>
      <w:r>
        <w:t>—</w:t>
      </w:r>
      <w:r>
        <w:rPr>
          <w:rStyle w:val="CharDivText"/>
        </w:rPr>
        <w:t> </w:t>
      </w:r>
      <w:r>
        <w:rPr>
          <w:rStyle w:val="CharPartText"/>
        </w:rPr>
        <w:t>Retirement, resignation, removal or death of a member</w:t>
      </w:r>
      <w:bookmarkEnd w:id="582"/>
      <w:bookmarkEnd w:id="583"/>
      <w:bookmarkEnd w:id="584"/>
      <w:bookmarkEnd w:id="585"/>
      <w:bookmarkEnd w:id="586"/>
      <w:bookmarkEnd w:id="587"/>
      <w:bookmarkEnd w:id="588"/>
      <w:bookmarkEnd w:id="589"/>
      <w:bookmarkEnd w:id="590"/>
      <w:r>
        <w:rPr>
          <w:rStyle w:val="CharPartText"/>
        </w:rPr>
        <w:t xml:space="preserve"> </w:t>
      </w:r>
    </w:p>
    <w:p>
      <w:pPr>
        <w:pStyle w:val="Heading5"/>
        <w:rPr>
          <w:snapToGrid w:val="0"/>
        </w:rPr>
      </w:pPr>
      <w:bookmarkStart w:id="591" w:name="_Toc500034803"/>
      <w:bookmarkStart w:id="592" w:name="_Toc515769601"/>
      <w:bookmarkStart w:id="593" w:name="_Toc522083282"/>
      <w:bookmarkStart w:id="594" w:name="_Toc123623042"/>
      <w:bookmarkStart w:id="595" w:name="_Toc158523621"/>
      <w:r>
        <w:rPr>
          <w:rStyle w:val="CharSectno"/>
        </w:rPr>
        <w:t>1401</w:t>
      </w:r>
      <w:r>
        <w:rPr>
          <w:snapToGrid w:val="0"/>
        </w:rPr>
        <w:t>.</w:t>
      </w:r>
      <w:r>
        <w:rPr>
          <w:snapToGrid w:val="0"/>
        </w:rPr>
        <w:tab/>
        <w:t>Retirement</w:t>
      </w:r>
      <w:bookmarkEnd w:id="591"/>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years.</w:t>
      </w:r>
    </w:p>
    <w:p>
      <w:pPr>
        <w:pStyle w:val="Ednotesubsection"/>
        <w:tabs>
          <w:tab w:val="clear" w:pos="595"/>
          <w:tab w:val="clear" w:pos="879"/>
          <w:tab w:val="left" w:pos="284"/>
          <w:tab w:val="left" w:pos="1134"/>
        </w:tabs>
        <w:ind w:left="1134" w:hanging="1134"/>
      </w:pPr>
      <w:r>
        <w:tab/>
        <w:t>[(2), (3)</w:t>
      </w:r>
      <w:r>
        <w:tab/>
        <w:t>repealed]</w:t>
      </w:r>
    </w:p>
    <w:p>
      <w:pPr>
        <w:pStyle w:val="Footnotesection"/>
      </w:pPr>
      <w:r>
        <w:tab/>
        <w:t xml:space="preserve">[Regulation 1401 inserted in Gazette 29 Jul 1988 p. 2540; amended in Gazette </w:t>
      </w:r>
      <w:r>
        <w:rPr>
          <w:rStyle w:val="CharSectno"/>
        </w:rPr>
        <w:t>13 Nov 1998 p. </w:t>
      </w:r>
      <w:r>
        <w:t xml:space="preserve">6232.] </w:t>
      </w:r>
    </w:p>
    <w:p>
      <w:pPr>
        <w:pStyle w:val="Heading5"/>
        <w:rPr>
          <w:snapToGrid w:val="0"/>
        </w:rPr>
      </w:pPr>
      <w:bookmarkStart w:id="596" w:name="_Toc500034804"/>
      <w:bookmarkStart w:id="597" w:name="_Toc515769602"/>
      <w:bookmarkStart w:id="598" w:name="_Toc522083283"/>
      <w:bookmarkStart w:id="599" w:name="_Toc123623043"/>
      <w:bookmarkStart w:id="600" w:name="_Toc158523622"/>
      <w:r>
        <w:rPr>
          <w:rStyle w:val="CharSectno"/>
        </w:rPr>
        <w:t>1402</w:t>
      </w:r>
      <w:r>
        <w:rPr>
          <w:snapToGrid w:val="0"/>
        </w:rPr>
        <w:t>.</w:t>
      </w:r>
      <w:r>
        <w:rPr>
          <w:snapToGrid w:val="0"/>
        </w:rPr>
        <w:tab/>
        <w:t>Examination by medical board</w:t>
      </w:r>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Where the Commissioner is of the opinion that a member is not fit for further service, he may direct the member to submit himself to be examined by a medical board.</w:t>
      </w:r>
    </w:p>
    <w:p>
      <w:pPr>
        <w:pStyle w:val="Subsection"/>
        <w:rPr>
          <w:snapToGrid w:val="0"/>
        </w:rPr>
      </w:pPr>
      <w:r>
        <w:rPr>
          <w:snapToGrid w:val="0"/>
        </w:rPr>
        <w:tab/>
        <w:t>(2)</w:t>
      </w:r>
      <w:r>
        <w:rPr>
          <w:snapToGrid w:val="0"/>
        </w:rPr>
        <w:tab/>
        <w:t>The medical board referred to in subregulation (1) shall consist of 3 legally qualified medical practitioners nominated by the person who holds or acts in the office of Commissioner of Health</w:t>
      </w:r>
      <w:r>
        <w:rPr>
          <w:snapToGrid w:val="0"/>
          <w:sz w:val="28"/>
          <w:vertAlign w:val="superscript"/>
        </w:rPr>
        <w:t xml:space="preserve"> 4</w:t>
      </w:r>
      <w:r>
        <w:rPr>
          <w:snapToGrid w:val="0"/>
        </w:rPr>
        <w:t xml:space="preserve"> under the </w:t>
      </w:r>
      <w:r>
        <w:rPr>
          <w:i/>
          <w:snapToGrid w:val="0"/>
        </w:rPr>
        <w:t>Health Act 1911</w:t>
      </w:r>
      <w:r>
        <w:rPr>
          <w:snapToGrid w:val="0"/>
        </w:rPr>
        <w:t>.</w:t>
      </w:r>
    </w:p>
    <w:p>
      <w:pPr>
        <w:pStyle w:val="Subsection"/>
        <w:rPr>
          <w:snapToGrid w:val="0"/>
        </w:rPr>
      </w:pPr>
      <w:r>
        <w:rPr>
          <w:snapToGrid w:val="0"/>
        </w:rPr>
        <w:tab/>
        <w:t>(3)</w:t>
      </w:r>
      <w:r>
        <w:rPr>
          <w:snapToGrid w:val="0"/>
        </w:rPr>
        <w:tab/>
        <w:t>A member shall not fail to carry out a direction given pursuant to subregulation (1).</w:t>
      </w:r>
    </w:p>
    <w:p>
      <w:pPr>
        <w:pStyle w:val="Subsection"/>
        <w:rPr>
          <w:snapToGrid w:val="0"/>
        </w:rPr>
      </w:pPr>
      <w:r>
        <w:rPr>
          <w:snapToGrid w:val="0"/>
        </w:rPr>
        <w:tab/>
        <w:t>(4)</w:t>
      </w:r>
      <w:r>
        <w:rPr>
          <w:snapToGrid w:val="0"/>
        </w:rPr>
        <w:tab/>
        <w:t>Subject to the Act, where the medical board referred to in this regulation reports to the Commissioner that the member in question is unfit for further active service the Commissioner shall advise the member of the date he will cease duty.</w:t>
      </w:r>
    </w:p>
    <w:p>
      <w:pPr>
        <w:pStyle w:val="Heading5"/>
        <w:rPr>
          <w:snapToGrid w:val="0"/>
        </w:rPr>
      </w:pPr>
      <w:bookmarkStart w:id="601" w:name="_Toc500034805"/>
      <w:bookmarkStart w:id="602" w:name="_Toc515769603"/>
      <w:bookmarkStart w:id="603" w:name="_Toc522083284"/>
      <w:bookmarkStart w:id="604" w:name="_Toc123623044"/>
      <w:bookmarkStart w:id="605" w:name="_Toc158523623"/>
      <w:r>
        <w:rPr>
          <w:rStyle w:val="CharSectno"/>
        </w:rPr>
        <w:t>1403</w:t>
      </w:r>
      <w:r>
        <w:rPr>
          <w:snapToGrid w:val="0"/>
        </w:rPr>
        <w:t>.</w:t>
      </w:r>
      <w:r>
        <w:rPr>
          <w:snapToGrid w:val="0"/>
        </w:rPr>
        <w:tab/>
        <w:t>Allowances paid on death of member</w:t>
      </w:r>
      <w:bookmarkEnd w:id="601"/>
      <w:bookmarkEnd w:id="602"/>
      <w:bookmarkEnd w:id="603"/>
      <w:bookmarkEnd w:id="604"/>
      <w:bookmarkEnd w:id="605"/>
      <w:r>
        <w:rPr>
          <w:snapToGrid w:val="0"/>
        </w:rPr>
        <w:t xml:space="preserve"> </w:t>
      </w:r>
    </w:p>
    <w:p>
      <w:pPr>
        <w:pStyle w:val="Subsection"/>
        <w:rPr>
          <w:snapToGrid w:val="0"/>
        </w:rPr>
      </w:pPr>
      <w:r>
        <w:rPr>
          <w:snapToGrid w:val="0"/>
        </w:rPr>
        <w:tab/>
      </w:r>
      <w:r>
        <w:rPr>
          <w:snapToGrid w:val="0"/>
        </w:rPr>
        <w:tab/>
        <w:t xml:space="preserve">Where a member or cadet dies the widow of the member or </w:t>
      </w:r>
      <w:r>
        <w:t>cadet, or a person who was the de facto partner of the member or cadet immediately before the death of the member or cadet and</w:t>
      </w:r>
      <w:r>
        <w:rPr>
          <w:snapToGrid w:val="0"/>
        </w:rPr>
        <w:t xml:space="preserve"> such of the children of the member or cadet as are under the age of 18 years are entitled to the allowances prescribed by regulation 1204 for the conveyance of themselves and their furniture and effects to the Metropolitan Area or to any part of the State approved of by the Commissioner.</w:t>
      </w:r>
    </w:p>
    <w:p>
      <w:pPr>
        <w:pStyle w:val="Footnotesection"/>
      </w:pPr>
      <w:r>
        <w:tab/>
        <w:t>[Regulation 1403 amended in Gazette 30 Jun 2003 p. 2623.]</w:t>
      </w:r>
    </w:p>
    <w:p>
      <w:pPr>
        <w:pStyle w:val="Heading5"/>
        <w:rPr>
          <w:snapToGrid w:val="0"/>
        </w:rPr>
      </w:pPr>
      <w:bookmarkStart w:id="606" w:name="_Toc500034806"/>
      <w:bookmarkStart w:id="607" w:name="_Toc515769604"/>
      <w:bookmarkStart w:id="608" w:name="_Toc522083285"/>
      <w:bookmarkStart w:id="609" w:name="_Toc123623045"/>
      <w:bookmarkStart w:id="610" w:name="_Toc158523624"/>
      <w:r>
        <w:rPr>
          <w:rStyle w:val="CharSectno"/>
        </w:rPr>
        <w:t>1404</w:t>
      </w:r>
      <w:r>
        <w:rPr>
          <w:snapToGrid w:val="0"/>
        </w:rPr>
        <w:t>.</w:t>
      </w:r>
      <w:r>
        <w:rPr>
          <w:snapToGrid w:val="0"/>
        </w:rPr>
        <w:tab/>
        <w:t>Leave entitlement to be paid out</w:t>
      </w:r>
      <w:bookmarkEnd w:id="606"/>
      <w:bookmarkEnd w:id="607"/>
      <w:bookmarkEnd w:id="608"/>
      <w:bookmarkEnd w:id="609"/>
      <w:bookmarkEnd w:id="610"/>
      <w:r>
        <w:rPr>
          <w:snapToGrid w:val="0"/>
        </w:rPr>
        <w:t xml:space="preserve"> </w:t>
      </w:r>
    </w:p>
    <w:p>
      <w:pPr>
        <w:pStyle w:val="Subsection"/>
        <w:rPr>
          <w:snapToGrid w:val="0"/>
        </w:rPr>
      </w:pPr>
      <w:r>
        <w:rPr>
          <w:snapToGrid w:val="0"/>
        </w:rPr>
        <w:tab/>
      </w:r>
      <w:r>
        <w:rPr>
          <w:snapToGrid w:val="0"/>
        </w:rPr>
        <w:tab/>
        <w:t xml:space="preserve">On the death of a member or cadet, the Minister may, on the recommendation of the Commissioner grant to </w:t>
      </w:r>
      <w:r>
        <w:t>the spouse or de facto partner and other relatives</w:t>
      </w:r>
      <w:r>
        <w:rPr>
          <w:snapToGrid w:val="0"/>
        </w:rPr>
        <w:t xml:space="preserve"> of the member or cadet who were dependent on him at the date of his death the monetary equivalent, computed to the date of death, of — </w:t>
      </w:r>
    </w:p>
    <w:p>
      <w:pPr>
        <w:pStyle w:val="Indenta"/>
        <w:rPr>
          <w:snapToGrid w:val="0"/>
        </w:rPr>
      </w:pPr>
      <w:r>
        <w:rPr>
          <w:snapToGrid w:val="0"/>
        </w:rPr>
        <w:tab/>
        <w:t>(a)</w:t>
      </w:r>
      <w:r>
        <w:rPr>
          <w:snapToGrid w:val="0"/>
        </w:rPr>
        <w:tab/>
        <w:t>annual leave accrued and owing to the member or cadet;</w:t>
      </w:r>
    </w:p>
    <w:p>
      <w:pPr>
        <w:pStyle w:val="Indenta"/>
        <w:rPr>
          <w:snapToGrid w:val="0"/>
        </w:rPr>
      </w:pPr>
      <w:r>
        <w:rPr>
          <w:snapToGrid w:val="0"/>
        </w:rPr>
        <w:tab/>
        <w:t>(b)</w:t>
      </w:r>
      <w:r>
        <w:rPr>
          <w:snapToGrid w:val="0"/>
        </w:rPr>
        <w:tab/>
        <w:t>long service leave accrued and owing to the member or cadet;</w:t>
      </w:r>
    </w:p>
    <w:p>
      <w:pPr>
        <w:pStyle w:val="Indenta"/>
        <w:rPr>
          <w:snapToGrid w:val="0"/>
        </w:rPr>
      </w:pPr>
      <w:r>
        <w:rPr>
          <w:snapToGrid w:val="0"/>
        </w:rPr>
        <w:tab/>
        <w:t>(c)</w:t>
      </w:r>
      <w:r>
        <w:rPr>
          <w:snapToGrid w:val="0"/>
        </w:rPr>
        <w:tab/>
        <w:t>pro rata leave for each completed month of service of the member or cadet in the current year.</w:t>
      </w:r>
    </w:p>
    <w:p>
      <w:pPr>
        <w:pStyle w:val="Footnotesection"/>
      </w:pPr>
      <w:r>
        <w:tab/>
        <w:t>[Regulation 1404 amended in Gazette 30 Jun 2003 p. 2624.]</w:t>
      </w:r>
    </w:p>
    <w:p>
      <w:pPr>
        <w:pStyle w:val="Heading2"/>
      </w:pPr>
      <w:bookmarkStart w:id="611" w:name="_Toc90976582"/>
      <w:bookmarkStart w:id="612" w:name="_Toc91044814"/>
      <w:bookmarkStart w:id="613" w:name="_Toc91044994"/>
      <w:bookmarkStart w:id="614" w:name="_Toc123621503"/>
      <w:bookmarkStart w:id="615" w:name="_Toc123623046"/>
      <w:bookmarkStart w:id="616" w:name="_Toc153957420"/>
      <w:bookmarkStart w:id="617" w:name="_Toc153958753"/>
      <w:bookmarkStart w:id="618" w:name="_Toc154478823"/>
      <w:bookmarkStart w:id="619" w:name="_Toc158523625"/>
      <w:r>
        <w:rPr>
          <w:rStyle w:val="CharPartNo"/>
        </w:rPr>
        <w:t>Part XV</w:t>
      </w:r>
      <w:r>
        <w:rPr>
          <w:rStyle w:val="CharDivNo"/>
        </w:rPr>
        <w:t> </w:t>
      </w:r>
      <w:r>
        <w:t>—</w:t>
      </w:r>
      <w:r>
        <w:rPr>
          <w:rStyle w:val="CharDivText"/>
        </w:rPr>
        <w:t> </w:t>
      </w:r>
      <w:r>
        <w:rPr>
          <w:rStyle w:val="CharPartText"/>
        </w:rPr>
        <w:t>Quarters</w:t>
      </w:r>
      <w:bookmarkEnd w:id="611"/>
      <w:bookmarkEnd w:id="612"/>
      <w:bookmarkEnd w:id="613"/>
      <w:bookmarkEnd w:id="614"/>
      <w:bookmarkEnd w:id="615"/>
      <w:bookmarkEnd w:id="616"/>
      <w:bookmarkEnd w:id="617"/>
      <w:bookmarkEnd w:id="618"/>
      <w:bookmarkEnd w:id="619"/>
      <w:r>
        <w:rPr>
          <w:rStyle w:val="CharPartText"/>
        </w:rPr>
        <w:t xml:space="preserve"> </w:t>
      </w:r>
    </w:p>
    <w:p>
      <w:pPr>
        <w:pStyle w:val="Heading5"/>
        <w:rPr>
          <w:snapToGrid w:val="0"/>
        </w:rPr>
      </w:pPr>
      <w:bookmarkStart w:id="620" w:name="_Toc500034807"/>
      <w:bookmarkStart w:id="621" w:name="_Toc515769605"/>
      <w:bookmarkStart w:id="622" w:name="_Toc522083286"/>
      <w:bookmarkStart w:id="623" w:name="_Toc123623047"/>
      <w:bookmarkStart w:id="624" w:name="_Toc158523626"/>
      <w:r>
        <w:rPr>
          <w:rStyle w:val="CharSectno"/>
        </w:rPr>
        <w:t>1501</w:t>
      </w:r>
      <w:r>
        <w:rPr>
          <w:snapToGrid w:val="0"/>
        </w:rPr>
        <w:t>.</w:t>
      </w:r>
      <w:r>
        <w:rPr>
          <w:snapToGrid w:val="0"/>
        </w:rPr>
        <w:tab/>
        <w:t>This Part not in derogation of Award</w:t>
      </w:r>
      <w:bookmarkEnd w:id="620"/>
      <w:bookmarkEnd w:id="621"/>
      <w:bookmarkEnd w:id="622"/>
      <w:bookmarkEnd w:id="623"/>
      <w:bookmarkEnd w:id="624"/>
      <w:r>
        <w:rPr>
          <w:snapToGrid w:val="0"/>
        </w:rPr>
        <w:t xml:space="preserve"> </w:t>
      </w:r>
    </w:p>
    <w:p>
      <w:pPr>
        <w:pStyle w:val="Subsection"/>
        <w:rPr>
          <w:snapToGrid w:val="0"/>
        </w:rPr>
      </w:pPr>
      <w:r>
        <w:rPr>
          <w:snapToGrid w:val="0"/>
        </w:rPr>
        <w:tab/>
      </w:r>
      <w:r>
        <w:rPr>
          <w:snapToGrid w:val="0"/>
        </w:rPr>
        <w:tab/>
        <w:t>The provisions of this Part are in addition to and not in derogation of any provisions of the Award.</w:t>
      </w:r>
    </w:p>
    <w:p>
      <w:pPr>
        <w:pStyle w:val="Heading5"/>
        <w:rPr>
          <w:snapToGrid w:val="0"/>
        </w:rPr>
      </w:pPr>
      <w:bookmarkStart w:id="625" w:name="_Toc500034808"/>
      <w:bookmarkStart w:id="626" w:name="_Toc515769606"/>
      <w:bookmarkStart w:id="627" w:name="_Toc522083287"/>
      <w:bookmarkStart w:id="628" w:name="_Toc123623048"/>
      <w:bookmarkStart w:id="629" w:name="_Toc158523627"/>
      <w:r>
        <w:rPr>
          <w:rStyle w:val="CharSectno"/>
        </w:rPr>
        <w:t>1502</w:t>
      </w:r>
      <w:r>
        <w:rPr>
          <w:snapToGrid w:val="0"/>
        </w:rPr>
        <w:t>.</w:t>
      </w:r>
      <w:r>
        <w:rPr>
          <w:snapToGrid w:val="0"/>
        </w:rPr>
        <w:tab/>
        <w:t>Maintenance of quarters</w:t>
      </w:r>
      <w:bookmarkEnd w:id="625"/>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A member or cadet who occupies quarters provided by the State shall — </w:t>
      </w:r>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rPr>
          <w:snapToGrid w:val="0"/>
        </w:rPr>
      </w:pPr>
      <w:r>
        <w:rPr>
          <w:snapToGrid w:val="0"/>
        </w:rPr>
        <w:tab/>
        <w:t>(c)</w:t>
      </w:r>
      <w:r>
        <w:rPr>
          <w:snapToGrid w:val="0"/>
        </w:rPr>
        <w:tab/>
        <w:t>observe Local Authority By</w:t>
      </w:r>
      <w:r>
        <w:rPr>
          <w:snapToGrid w:val="0"/>
        </w:rPr>
        <w:noBreakHyphen/>
        <w:t>laws in regard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pPr>
        <w:pStyle w:val="Subsection"/>
        <w:rPr>
          <w:snapToGrid w:val="0"/>
        </w:rPr>
      </w:pPr>
      <w:r>
        <w:rPr>
          <w:snapToGrid w:val="0"/>
        </w:rPr>
        <w:tab/>
        <w:t>(2)</w:t>
      </w:r>
      <w:r>
        <w:rPr>
          <w:snapToGrid w:val="0"/>
        </w:rPr>
        <w:tab/>
        <w:t>A member or cadet occupying quarters is responsible for the cost of maintaining any chimneys in those quarters in a clean condition.</w:t>
      </w:r>
    </w:p>
    <w:p>
      <w:pPr>
        <w:pStyle w:val="Heading5"/>
        <w:rPr>
          <w:snapToGrid w:val="0"/>
        </w:rPr>
      </w:pPr>
      <w:bookmarkStart w:id="630" w:name="_Toc500034809"/>
      <w:bookmarkStart w:id="631" w:name="_Toc515769607"/>
      <w:bookmarkStart w:id="632" w:name="_Toc522083288"/>
      <w:bookmarkStart w:id="633" w:name="_Toc123623049"/>
      <w:bookmarkStart w:id="634" w:name="_Toc158523628"/>
      <w:r>
        <w:rPr>
          <w:rStyle w:val="CharSectno"/>
        </w:rPr>
        <w:t>1503</w:t>
      </w:r>
      <w:r>
        <w:rPr>
          <w:snapToGrid w:val="0"/>
        </w:rPr>
        <w:t>.</w:t>
      </w:r>
      <w:r>
        <w:rPr>
          <w:snapToGrid w:val="0"/>
        </w:rPr>
        <w:tab/>
        <w:t>Expenditure not to be incurred without authority of Commissioner</w:t>
      </w:r>
      <w:bookmarkEnd w:id="630"/>
      <w:bookmarkEnd w:id="631"/>
      <w:bookmarkEnd w:id="632"/>
      <w:bookmarkEnd w:id="633"/>
      <w:bookmarkEnd w:id="634"/>
      <w:r>
        <w:rPr>
          <w:snapToGrid w:val="0"/>
        </w:rPr>
        <w:t xml:space="preserve"> </w:t>
      </w:r>
    </w:p>
    <w:p>
      <w:pPr>
        <w:pStyle w:val="Subsection"/>
        <w:rPr>
          <w:snapToGrid w:val="0"/>
        </w:rPr>
      </w:pPr>
      <w:r>
        <w:rPr>
          <w:snapToGrid w:val="0"/>
        </w:rPr>
        <w:tab/>
        <w:t>(1)</w:t>
      </w:r>
      <w:r>
        <w:rPr>
          <w:snapToGrid w:val="0"/>
        </w:rPr>
        <w:tab/>
        <w:t>A member or cadet who occupies quarters shall not incur any expenditure on those quarters whether on his own behalf or on behalf of the Commissioner without the authority of the Commissioner.</w:t>
      </w:r>
    </w:p>
    <w:p>
      <w:pPr>
        <w:pStyle w:val="Subsection"/>
        <w:rPr>
          <w:snapToGrid w:val="0"/>
        </w:rPr>
      </w:pPr>
      <w:r>
        <w:rPr>
          <w:snapToGrid w:val="0"/>
        </w:rPr>
        <w:tab/>
        <w:t>(2)</w:t>
      </w:r>
      <w:r>
        <w:rPr>
          <w:snapToGrid w:val="0"/>
        </w:rPr>
        <w:tab/>
        <w:t>A member or cadet shall not construct or alter any building or structure on quarters occupied by him except with the authority of the Commissioner.</w:t>
      </w:r>
    </w:p>
    <w:p>
      <w:pPr>
        <w:pStyle w:val="Subsection"/>
        <w:rPr>
          <w:snapToGrid w:val="0"/>
        </w:rPr>
      </w:pPr>
      <w:r>
        <w:rPr>
          <w:snapToGrid w:val="0"/>
        </w:rPr>
        <w:tab/>
        <w:t>(3)</w:t>
      </w:r>
      <w:r>
        <w:rPr>
          <w:snapToGrid w:val="0"/>
        </w:rPr>
        <w:tab/>
        <w:t>Where the Commissioner approves of any construction or alteration of any building or structure on quarters by a member or cadet the cost thereof shall be borne by the member or cadet concerned but the property in the construction or alteration as the case may be, belongs to the State.</w:t>
      </w:r>
    </w:p>
    <w:p>
      <w:pPr>
        <w:pStyle w:val="Heading5"/>
        <w:rPr>
          <w:snapToGrid w:val="0"/>
        </w:rPr>
      </w:pPr>
      <w:bookmarkStart w:id="635" w:name="_Toc500034810"/>
      <w:bookmarkStart w:id="636" w:name="_Toc515769608"/>
      <w:bookmarkStart w:id="637" w:name="_Toc522083289"/>
      <w:bookmarkStart w:id="638" w:name="_Toc123623050"/>
      <w:bookmarkStart w:id="639" w:name="_Toc158523629"/>
      <w:r>
        <w:rPr>
          <w:rStyle w:val="CharSectno"/>
        </w:rPr>
        <w:t>1504</w:t>
      </w:r>
      <w:r>
        <w:rPr>
          <w:snapToGrid w:val="0"/>
        </w:rPr>
        <w:t>.</w:t>
      </w:r>
      <w:r>
        <w:rPr>
          <w:snapToGrid w:val="0"/>
        </w:rPr>
        <w:tab/>
        <w:t>Inspection of quarters</w:t>
      </w:r>
      <w:bookmarkEnd w:id="635"/>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t>Any member authorised by the Commissioner in that behalf may after giving a member or cadet who occupies quarters reasonable notice enter the quarters occupied by the member or cadet at a reasonable hour for the purpose of inspecting the condition of those quarters, appurtenances and grounds.</w:t>
      </w:r>
    </w:p>
    <w:p>
      <w:pPr>
        <w:pStyle w:val="Subsection"/>
        <w:rPr>
          <w:snapToGrid w:val="0"/>
        </w:rPr>
      </w:pPr>
      <w:r>
        <w:rPr>
          <w:snapToGrid w:val="0"/>
        </w:rPr>
        <w:tab/>
        <w:t>(2)</w:t>
      </w:r>
      <w:r>
        <w:rPr>
          <w:snapToGrid w:val="0"/>
        </w:rPr>
        <w:tab/>
        <w:t>The Commissioner may by written notice require a member or cadet 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 or cadet who has been served with a notice pursuant to subregulation (2) refuses to comply with the direction the Commissioner may direct — </w:t>
      </w:r>
    </w:p>
    <w:p>
      <w:pPr>
        <w:pStyle w:val="Indenta"/>
        <w:rPr>
          <w:snapToGrid w:val="0"/>
        </w:rPr>
      </w:pPr>
      <w:r>
        <w:rPr>
          <w:snapToGrid w:val="0"/>
        </w:rPr>
        <w:tab/>
        <w:t>(a)</w:t>
      </w:r>
      <w:r>
        <w:rPr>
          <w:snapToGrid w:val="0"/>
        </w:rPr>
        <w:tab/>
        <w:t>that the necessary action be taken to put the quarters, appurtenances and grounds in a fit and proper condition and may recover the costs thereof in any Court of competent jurisdiction; and</w:t>
      </w:r>
    </w:p>
    <w:p>
      <w:pPr>
        <w:pStyle w:val="Indenta"/>
        <w:rPr>
          <w:snapToGrid w:val="0"/>
        </w:rPr>
      </w:pPr>
      <w:r>
        <w:rPr>
          <w:snapToGrid w:val="0"/>
        </w:rPr>
        <w:tab/>
        <w:t>(b)</w:t>
      </w:r>
      <w:r>
        <w:rPr>
          <w:snapToGrid w:val="0"/>
        </w:rPr>
        <w:tab/>
        <w:t xml:space="preserve">that the member or cadet, </w:t>
      </w:r>
      <w:r>
        <w:t>the member’s or cadet’s spouse or de facto partner</w:t>
      </w:r>
      <w:r>
        <w:rPr>
          <w:snapToGrid w:val="0"/>
        </w:rPr>
        <w:t>, children and other dependants vacate those quarters.</w:t>
      </w:r>
    </w:p>
    <w:p>
      <w:pPr>
        <w:pStyle w:val="Footnotesection"/>
      </w:pPr>
      <w:r>
        <w:tab/>
        <w:t>[Regulation 1504 amended in Gazette 30 Jun 2003 p. 2624.]</w:t>
      </w:r>
    </w:p>
    <w:p>
      <w:pPr>
        <w:pStyle w:val="Heading5"/>
        <w:rPr>
          <w:snapToGrid w:val="0"/>
        </w:rPr>
      </w:pPr>
      <w:bookmarkStart w:id="640" w:name="_Toc500034811"/>
      <w:bookmarkStart w:id="641" w:name="_Toc515769609"/>
      <w:bookmarkStart w:id="642" w:name="_Toc522083290"/>
      <w:bookmarkStart w:id="643" w:name="_Toc123623051"/>
      <w:bookmarkStart w:id="644" w:name="_Toc158523630"/>
      <w:r>
        <w:rPr>
          <w:rStyle w:val="CharSectno"/>
        </w:rPr>
        <w:t>1505</w:t>
      </w:r>
      <w:r>
        <w:rPr>
          <w:snapToGrid w:val="0"/>
        </w:rPr>
        <w:t>.</w:t>
      </w:r>
      <w:r>
        <w:rPr>
          <w:snapToGrid w:val="0"/>
        </w:rPr>
        <w:tab/>
        <w:t>Occupation and vacation of premises</w:t>
      </w:r>
      <w:bookmarkEnd w:id="640"/>
      <w:bookmarkEnd w:id="641"/>
      <w:bookmarkEnd w:id="642"/>
      <w:bookmarkEnd w:id="643"/>
      <w:bookmarkEnd w:id="644"/>
      <w:r>
        <w:rPr>
          <w:snapToGrid w:val="0"/>
        </w:rPr>
        <w:t xml:space="preserve"> </w:t>
      </w:r>
    </w:p>
    <w:p>
      <w:pPr>
        <w:pStyle w:val="Subsection"/>
        <w:rPr>
          <w:snapToGrid w:val="0"/>
        </w:rPr>
      </w:pPr>
      <w:r>
        <w:rPr>
          <w:snapToGrid w:val="0"/>
        </w:rPr>
        <w:tab/>
        <w:t>(1)</w:t>
      </w:r>
      <w:r>
        <w:rPr>
          <w:snapToGrid w:val="0"/>
        </w:rPr>
        <w:tab/>
        <w:t>Except with the prior written permission of the Commissioner a member or cadet who occupies quarters provided by the State shall not allow any person other than the member’s, or cadet’s</w:t>
      </w:r>
      <w:r>
        <w:t xml:space="preserve">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or cadet occupying quarters provided by the State ceases to hold office, the quarters shall be vacated by the member, or cadet, </w:t>
      </w:r>
      <w:r>
        <w:t>the member’s or cadet’s spouse or de facto partner</w:t>
      </w:r>
      <w:r>
        <w:rPr>
          <w:snapToGrid w:val="0"/>
        </w:rPr>
        <w:t>, children and other dependants, upon ceasing to hold such office.</w:t>
      </w:r>
    </w:p>
    <w:p>
      <w:pPr>
        <w:pStyle w:val="Footnotesection"/>
      </w:pPr>
      <w:r>
        <w:tab/>
        <w:t>[Regulation 1505 amended in Gazette 30 Jun 2003 p. 2624.]</w:t>
      </w:r>
    </w:p>
    <w:p>
      <w:pPr>
        <w:pStyle w:val="Heading5"/>
        <w:rPr>
          <w:snapToGrid w:val="0"/>
        </w:rPr>
      </w:pPr>
      <w:bookmarkStart w:id="645" w:name="_Toc500034812"/>
      <w:bookmarkStart w:id="646" w:name="_Toc515769610"/>
      <w:bookmarkStart w:id="647" w:name="_Toc522083291"/>
      <w:bookmarkStart w:id="648" w:name="_Toc123623052"/>
      <w:bookmarkStart w:id="649" w:name="_Toc158523631"/>
      <w:r>
        <w:rPr>
          <w:rStyle w:val="CharSectno"/>
        </w:rPr>
        <w:t>1506</w:t>
      </w:r>
      <w:r>
        <w:rPr>
          <w:snapToGrid w:val="0"/>
        </w:rPr>
        <w:t>.</w:t>
      </w:r>
      <w:r>
        <w:rPr>
          <w:snapToGrid w:val="0"/>
        </w:rPr>
        <w:tab/>
        <w:t>Notice of occupation and vacating to be given</w:t>
      </w:r>
      <w:bookmarkEnd w:id="645"/>
      <w:bookmarkEnd w:id="646"/>
      <w:bookmarkEnd w:id="647"/>
      <w:bookmarkEnd w:id="648"/>
      <w:bookmarkEnd w:id="649"/>
      <w:r>
        <w:rPr>
          <w:snapToGrid w:val="0"/>
        </w:rPr>
        <w:t xml:space="preserve"> </w:t>
      </w:r>
    </w:p>
    <w:p>
      <w:pPr>
        <w:pStyle w:val="Subsection"/>
        <w:rPr>
          <w:snapToGrid w:val="0"/>
        </w:rPr>
      </w:pPr>
      <w:r>
        <w:rPr>
          <w:snapToGrid w:val="0"/>
        </w:rPr>
        <w:tab/>
      </w:r>
      <w:r>
        <w:rPr>
          <w:snapToGrid w:val="0"/>
        </w:rPr>
        <w:tab/>
        <w:t xml:space="preserve">A member or cadet who is allocated quarters provided under the </w:t>
      </w:r>
      <w:r>
        <w:rPr>
          <w:i/>
          <w:snapToGrid w:val="0"/>
        </w:rPr>
        <w:t>Government Employees’ Housing Act 1964</w:t>
      </w:r>
      <w:r>
        <w:rPr>
          <w:snapToGrid w:val="0"/>
        </w:rPr>
        <w:t>, shall notify the Commissioner as soon as practicable of the date that he first occupies those quarters and when he vacates the quarters of the date that he vacates them.</w:t>
      </w:r>
    </w:p>
    <w:p>
      <w:pPr>
        <w:pStyle w:val="Heading2"/>
      </w:pPr>
      <w:bookmarkStart w:id="650" w:name="_Toc90976589"/>
      <w:bookmarkStart w:id="651" w:name="_Toc91044821"/>
      <w:bookmarkStart w:id="652" w:name="_Toc91045001"/>
      <w:bookmarkStart w:id="653" w:name="_Toc123621510"/>
      <w:bookmarkStart w:id="654" w:name="_Toc123623053"/>
      <w:bookmarkStart w:id="655" w:name="_Toc153957427"/>
      <w:bookmarkStart w:id="656" w:name="_Toc153958760"/>
      <w:bookmarkStart w:id="657" w:name="_Toc154478830"/>
      <w:bookmarkStart w:id="658" w:name="_Toc158523632"/>
      <w:r>
        <w:rPr>
          <w:rStyle w:val="CharPartNo"/>
        </w:rPr>
        <w:t>Part XVI</w:t>
      </w:r>
      <w:r>
        <w:rPr>
          <w:rStyle w:val="CharDivNo"/>
        </w:rPr>
        <w:t> </w:t>
      </w:r>
      <w:r>
        <w:t>—</w:t>
      </w:r>
      <w:r>
        <w:rPr>
          <w:rStyle w:val="CharDivText"/>
        </w:rPr>
        <w:t> </w:t>
      </w:r>
      <w:r>
        <w:rPr>
          <w:rStyle w:val="CharPartText"/>
        </w:rPr>
        <w:t>General</w:t>
      </w:r>
      <w:bookmarkEnd w:id="650"/>
      <w:bookmarkEnd w:id="651"/>
      <w:bookmarkEnd w:id="652"/>
      <w:bookmarkEnd w:id="653"/>
      <w:bookmarkEnd w:id="654"/>
      <w:bookmarkEnd w:id="655"/>
      <w:bookmarkEnd w:id="656"/>
      <w:bookmarkEnd w:id="657"/>
      <w:bookmarkEnd w:id="658"/>
      <w:r>
        <w:rPr>
          <w:rStyle w:val="CharPartText"/>
        </w:rPr>
        <w:t xml:space="preserve"> </w:t>
      </w:r>
    </w:p>
    <w:p>
      <w:pPr>
        <w:pStyle w:val="Heading5"/>
        <w:rPr>
          <w:snapToGrid w:val="0"/>
        </w:rPr>
      </w:pPr>
      <w:bookmarkStart w:id="659" w:name="_Toc500034813"/>
      <w:bookmarkStart w:id="660" w:name="_Toc515769611"/>
      <w:bookmarkStart w:id="661" w:name="_Toc522083292"/>
      <w:bookmarkStart w:id="662" w:name="_Toc123623054"/>
      <w:bookmarkStart w:id="663" w:name="_Toc158523633"/>
      <w:r>
        <w:rPr>
          <w:rStyle w:val="CharSectno"/>
        </w:rPr>
        <w:t>1601</w:t>
      </w:r>
      <w:r>
        <w:rPr>
          <w:snapToGrid w:val="0"/>
        </w:rPr>
        <w:t>.</w:t>
      </w:r>
      <w:r>
        <w:rPr>
          <w:snapToGrid w:val="0"/>
        </w:rPr>
        <w:tab/>
        <w:t>Offences generally</w:t>
      </w:r>
      <w:bookmarkEnd w:id="659"/>
      <w:bookmarkEnd w:id="660"/>
      <w:bookmarkEnd w:id="661"/>
      <w:bookmarkEnd w:id="662"/>
      <w:bookmarkEnd w:id="663"/>
      <w:r>
        <w:rPr>
          <w:snapToGrid w:val="0"/>
        </w:rPr>
        <w:t xml:space="preserve"> </w:t>
      </w:r>
    </w:p>
    <w:p>
      <w:pPr>
        <w:pStyle w:val="Subsection"/>
        <w:rPr>
          <w:snapToGrid w:val="0"/>
        </w:rPr>
      </w:pPr>
      <w:r>
        <w:rPr>
          <w:snapToGrid w:val="0"/>
        </w:rPr>
        <w:tab/>
      </w:r>
      <w:r>
        <w:rPr>
          <w:snapToGrid w:val="0"/>
        </w:rPr>
        <w:tab/>
        <w:t>A member or cadet who fails to comply with or who contravenes any of the provisions of these regulations commits an offence against the discipline of the Force.</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outlineLvl w:val="0"/>
        <w:rPr>
          <w:rFonts w:eastAsia="MS Mincho"/>
        </w:rPr>
      </w:pPr>
      <w:bookmarkStart w:id="664" w:name="_Toc153957430"/>
      <w:bookmarkStart w:id="665" w:name="_Toc153958762"/>
      <w:bookmarkStart w:id="666" w:name="_Toc154478832"/>
      <w:bookmarkStart w:id="667" w:name="_Toc158523634"/>
      <w:bookmarkStart w:id="668" w:name="_Toc522083294"/>
      <w:bookmarkStart w:id="669" w:name="_Toc123621513"/>
      <w:bookmarkStart w:id="670" w:name="_Toc123623056"/>
      <w:r>
        <w:rPr>
          <w:rStyle w:val="CharSchNo"/>
          <w:rFonts w:eastAsia="MS Mincho"/>
        </w:rPr>
        <w:t>First Schedule</w:t>
      </w:r>
      <w:r>
        <w:rPr>
          <w:rFonts w:eastAsia="MS Mincho"/>
        </w:rPr>
        <w:t> — </w:t>
      </w:r>
      <w:r>
        <w:rPr>
          <w:rStyle w:val="CharSchText"/>
          <w:rFonts w:eastAsia="MS Mincho"/>
        </w:rPr>
        <w:t>Disciplinary charge sheet</w:t>
      </w:r>
      <w:bookmarkEnd w:id="664"/>
      <w:bookmarkEnd w:id="665"/>
      <w:bookmarkEnd w:id="666"/>
      <w:bookmarkEnd w:id="667"/>
    </w:p>
    <w:p>
      <w:pPr>
        <w:pStyle w:val="yShoulderClause"/>
        <w:rPr>
          <w:rFonts w:eastAsia="MS Mincho"/>
        </w:rPr>
      </w:pPr>
      <w:r>
        <w:rPr>
          <w:rFonts w:eastAsia="MS Mincho"/>
        </w:rPr>
        <w:t>[r. 625]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76"/>
        <w:gridCol w:w="2642"/>
        <w:gridCol w:w="851"/>
        <w:gridCol w:w="2035"/>
      </w:tblGrid>
      <w:tr>
        <w:trPr>
          <w:cantSplit/>
        </w:trPr>
        <w:tc>
          <w:tcPr>
            <w:tcW w:w="6804" w:type="dxa"/>
            <w:gridSpan w:val="4"/>
            <w:tcBorders>
              <w:top w:val="single" w:sz="4" w:space="0" w:color="auto"/>
              <w:left w:val="single" w:sz="4" w:space="0" w:color="auto"/>
              <w:bottom w:val="nil"/>
              <w:right w:val="single" w:sz="4" w:space="0" w:color="auto"/>
            </w:tcBorders>
          </w:tcPr>
          <w:p>
            <w:pPr>
              <w:pStyle w:val="yTable"/>
            </w:pPr>
            <w:r>
              <w:rPr>
                <w:rFonts w:ascii="Arial" w:hAnsi="Arial"/>
                <w:sz w:val="20"/>
              </w:rPr>
              <w:t>Police Force of Western Australia</w:t>
            </w:r>
          </w:p>
          <w:p>
            <w:pPr>
              <w:pStyle w:val="yTable"/>
              <w:rPr>
                <w:rFonts w:eastAsia="MS Mincho"/>
                <w:b/>
                <w:sz w:val="32"/>
              </w:rPr>
            </w:pPr>
            <w:r>
              <w:rPr>
                <w:b/>
                <w:sz w:val="32"/>
              </w:rPr>
              <w:t>Disciplinary charge sheet</w:t>
            </w:r>
          </w:p>
        </w:tc>
      </w:tr>
      <w:tr>
        <w:trPr>
          <w:cantSplit/>
        </w:trPr>
        <w:tc>
          <w:tcPr>
            <w:tcW w:w="3918" w:type="dxa"/>
            <w:gridSpan w:val="2"/>
            <w:tcBorders>
              <w:top w:val="nil"/>
              <w:left w:val="single" w:sz="4" w:space="0" w:color="auto"/>
              <w:bottom w:val="single" w:sz="4" w:space="0" w:color="auto"/>
              <w:right w:val="nil"/>
            </w:tcBorders>
          </w:tcPr>
          <w:p>
            <w:pPr>
              <w:pStyle w:val="yTable"/>
              <w:rPr>
                <w:rFonts w:eastAsia="MS Mincho"/>
              </w:rPr>
            </w:pPr>
            <w:r>
              <w:rPr>
                <w:rFonts w:ascii="Arial" w:eastAsia="MS Mincho" w:hAnsi="Arial"/>
                <w:i/>
                <w:sz w:val="20"/>
              </w:rPr>
              <w:t>Police Force Regulations 1979</w:t>
            </w:r>
            <w:r>
              <w:rPr>
                <w:rFonts w:ascii="Arial" w:eastAsia="MS Mincho" w:hAnsi="Arial"/>
                <w:sz w:val="20"/>
              </w:rPr>
              <w:t xml:space="preserve"> r. 625</w:t>
            </w:r>
          </w:p>
        </w:tc>
        <w:tc>
          <w:tcPr>
            <w:tcW w:w="2886" w:type="dxa"/>
            <w:gridSpan w:val="2"/>
            <w:tcBorders>
              <w:top w:val="nil"/>
              <w:left w:val="nil"/>
              <w:bottom w:val="single" w:sz="4" w:space="0" w:color="auto"/>
              <w:right w:val="single" w:sz="4" w:space="0" w:color="auto"/>
            </w:tcBorders>
          </w:tcPr>
          <w:p>
            <w:pPr>
              <w:pStyle w:val="yTable"/>
              <w:tabs>
                <w:tab w:val="left" w:pos="1502"/>
              </w:tabs>
            </w:pPr>
            <w:r>
              <w:rPr>
                <w:rFonts w:ascii="Arial" w:hAnsi="Arial"/>
                <w:sz w:val="20"/>
              </w:rPr>
              <w:t>PCAC file no.</w:t>
            </w:r>
            <w:r>
              <w:rPr>
                <w:rFonts w:ascii="Arial" w:hAnsi="Arial"/>
                <w:sz w:val="20"/>
              </w:rPr>
              <w:tab/>
              <w:t>_________</w:t>
            </w:r>
          </w:p>
          <w:p>
            <w:pPr>
              <w:pStyle w:val="yTable"/>
              <w:tabs>
                <w:tab w:val="left" w:pos="1502"/>
              </w:tabs>
              <w:rPr>
                <w:rFonts w:eastAsia="MS Mincho"/>
              </w:rPr>
            </w:pPr>
            <w:r>
              <w:t>Charge no.</w:t>
            </w:r>
            <w:r>
              <w:tab/>
              <w:t>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
              <w:rPr>
                <w:rFonts w:eastAsia="MS Mincho"/>
              </w:rPr>
            </w:pPr>
            <w:r>
              <w:rPr>
                <w:rFonts w:ascii="Arial" w:eastAsia="MS Mincho" w:hAnsi="Arial"/>
                <w:b/>
                <w:sz w:val="28"/>
              </w:rPr>
              <w:t>Charge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top w:val="single" w:sz="4" w:space="0" w:color="auto"/>
              <w:left w:val="single" w:sz="4" w:space="0" w:color="auto"/>
            </w:tcBorders>
          </w:tcPr>
          <w:p>
            <w:pPr>
              <w:pStyle w:val="yTable"/>
              <w:rPr>
                <w:rFonts w:eastAsia="MS Mincho"/>
              </w:rPr>
            </w:pPr>
            <w:r>
              <w:rPr>
                <w:rFonts w:ascii="Arial" w:eastAsia="MS Mincho" w:hAnsi="Arial"/>
                <w:b/>
                <w:sz w:val="20"/>
              </w:rPr>
              <w:t>Person charged</w:t>
            </w:r>
          </w:p>
        </w:tc>
        <w:tc>
          <w:tcPr>
            <w:tcW w:w="5528" w:type="dxa"/>
            <w:gridSpan w:val="3"/>
            <w:tcBorders>
              <w:top w:val="single" w:sz="4" w:space="0" w:color="auto"/>
              <w:right w:val="single" w:sz="4" w:space="0" w:color="auto"/>
            </w:tcBorders>
          </w:tcPr>
          <w:p>
            <w:pPr>
              <w:pStyle w:val="yTable"/>
              <w:tabs>
                <w:tab w:val="left" w:pos="1026"/>
              </w:tabs>
              <w:rPr>
                <w:rFonts w:eastAsia="MS Mincho"/>
              </w:rPr>
            </w:pPr>
            <w:r>
              <w:rPr>
                <w:rFonts w:ascii="Arial" w:eastAsia="MS Mincho" w:hAnsi="Arial"/>
                <w:sz w:val="20"/>
              </w:rPr>
              <w:t>Name</w:t>
            </w:r>
            <w:r>
              <w:rPr>
                <w:rFonts w:ascii="Arial" w:eastAsia="MS Mincho" w:hAnsi="Arial"/>
                <w:sz w:val="20"/>
              </w:rPr>
              <w:tab/>
              <w:t>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b/>
                <w:sz w:val="20"/>
              </w:rPr>
            </w:pPr>
          </w:p>
        </w:tc>
        <w:tc>
          <w:tcPr>
            <w:tcW w:w="3493" w:type="dxa"/>
            <w:gridSpan w:val="2"/>
          </w:tcPr>
          <w:p>
            <w:pPr>
              <w:pStyle w:val="yTable"/>
              <w:tabs>
                <w:tab w:val="left" w:pos="1026"/>
              </w:tabs>
              <w:rPr>
                <w:rFonts w:eastAsia="MS Mincho"/>
              </w:rPr>
            </w:pPr>
            <w:r>
              <w:rPr>
                <w:rFonts w:ascii="Arial" w:eastAsia="MS Mincho" w:hAnsi="Arial"/>
                <w:sz w:val="20"/>
              </w:rPr>
              <w:t>Rank</w:t>
            </w:r>
            <w:r>
              <w:rPr>
                <w:rFonts w:ascii="Arial" w:eastAsia="MS Mincho" w:hAnsi="Arial"/>
                <w:sz w:val="20"/>
              </w:rPr>
              <w:tab/>
              <w:t>____________________</w:t>
            </w:r>
          </w:p>
        </w:tc>
        <w:tc>
          <w:tcPr>
            <w:tcW w:w="2035" w:type="dxa"/>
            <w:tcBorders>
              <w:right w:val="single" w:sz="4" w:space="0" w:color="auto"/>
            </w:tcBorders>
          </w:tcPr>
          <w:p>
            <w:pPr>
              <w:pStyle w:val="yTable"/>
              <w:rPr>
                <w:rFonts w:eastAsia="MS Mincho"/>
              </w:rPr>
            </w:pPr>
            <w:r>
              <w:rPr>
                <w:rFonts w:ascii="Arial" w:eastAsia="MS Mincho" w:hAnsi="Arial"/>
                <w:sz w:val="20"/>
              </w:rPr>
              <w:t>No. 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b/>
                <w:sz w:val="20"/>
              </w:rPr>
            </w:pPr>
          </w:p>
        </w:tc>
        <w:tc>
          <w:tcPr>
            <w:tcW w:w="5528" w:type="dxa"/>
            <w:gridSpan w:val="3"/>
            <w:tcBorders>
              <w:right w:val="single" w:sz="4" w:space="0" w:color="auto"/>
            </w:tcBorders>
          </w:tcPr>
          <w:p>
            <w:pPr>
              <w:pStyle w:val="yTable"/>
              <w:tabs>
                <w:tab w:val="left" w:pos="1026"/>
              </w:tabs>
              <w:rPr>
                <w:rFonts w:eastAsia="MS Mincho"/>
              </w:rPr>
            </w:pPr>
            <w:r>
              <w:rPr>
                <w:rFonts w:ascii="Arial" w:eastAsia="MS Mincho" w:hAnsi="Arial"/>
                <w:sz w:val="20"/>
              </w:rPr>
              <w:t>Location</w:t>
            </w:r>
            <w:r>
              <w:rPr>
                <w:rFonts w:ascii="Arial" w:eastAsia="MS Mincho" w:hAnsi="Arial"/>
                <w:sz w:val="20"/>
              </w:rPr>
              <w:tab/>
              <w:t>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left w:val="single" w:sz="4" w:space="0" w:color="auto"/>
            </w:tcBorders>
          </w:tcPr>
          <w:p>
            <w:pPr>
              <w:pStyle w:val="yTable"/>
              <w:rPr>
                <w:rFonts w:eastAsia="MS Mincho"/>
              </w:rPr>
            </w:pPr>
            <w:r>
              <w:rPr>
                <w:rFonts w:ascii="Arial" w:eastAsia="MS Mincho" w:hAnsi="Arial"/>
                <w:b/>
                <w:sz w:val="20"/>
              </w:rPr>
              <w:t>Charge</w:t>
            </w:r>
          </w:p>
        </w:tc>
        <w:tc>
          <w:tcPr>
            <w:tcW w:w="5528" w:type="dxa"/>
            <w:gridSpan w:val="3"/>
            <w:tcBorders>
              <w:right w:val="single" w:sz="4" w:space="0" w:color="auto"/>
            </w:tcBorders>
          </w:tcPr>
          <w:p>
            <w:pPr>
              <w:pStyle w:val="yTable"/>
              <w:rPr>
                <w:rFonts w:eastAsia="MS Mincho"/>
              </w:rPr>
            </w:pPr>
            <w:r>
              <w:rPr>
                <w:rFonts w:ascii="Arial" w:eastAsia="MS Mincho" w:hAnsi="Arial"/>
                <w:i/>
                <w:sz w:val="20"/>
              </w:rPr>
              <w:t xml:space="preserve">Police Force Regulations 1979 </w:t>
            </w:r>
            <w:r>
              <w:rPr>
                <w:rFonts w:ascii="Arial" w:eastAsia="MS Mincho" w:hAnsi="Arial"/>
                <w:sz w:val="20"/>
              </w:rPr>
              <w:t xml:space="preserve">reg. 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b/>
                <w:sz w:val="20"/>
              </w:rPr>
            </w:pPr>
          </w:p>
        </w:tc>
        <w:tc>
          <w:tcPr>
            <w:tcW w:w="5528" w:type="dxa"/>
            <w:gridSpan w:val="3"/>
            <w:tcBorders>
              <w:bottom w:val="single" w:sz="4" w:space="0" w:color="auto"/>
              <w:right w:val="single" w:sz="4" w:space="0" w:color="auto"/>
            </w:tcBorders>
          </w:tcPr>
          <w:p>
            <w:pPr>
              <w:pStyle w:val="yTable"/>
              <w:tabs>
                <w:tab w:val="left" w:pos="1026"/>
              </w:tabs>
              <w:rPr>
                <w:rFonts w:eastAsia="MS Mincho"/>
              </w:rPr>
            </w:pPr>
            <w:r>
              <w:rPr>
                <w:rFonts w:ascii="Arial" w:eastAsia="MS Mincho" w:hAnsi="Arial"/>
                <w:sz w:val="20"/>
              </w:rPr>
              <w:t xml:space="preserve">Details </w:t>
            </w:r>
            <w:r>
              <w:rPr>
                <w:rFonts w:ascii="Arial" w:eastAsia="MS Mincho" w:hAnsi="Arial"/>
                <w:sz w:val="20"/>
              </w:rPr>
              <w:tab/>
              <w:t>_____________________________________</w:t>
            </w:r>
          </w:p>
          <w:p>
            <w:pPr>
              <w:pStyle w:val="yTable"/>
              <w:tabs>
                <w:tab w:val="left" w:pos="1026"/>
              </w:tabs>
              <w:rPr>
                <w:rFonts w:eastAsia="MS Mincho"/>
              </w:rPr>
            </w:pPr>
            <w:r>
              <w:rPr>
                <w:rFonts w:eastAsia="MS Mincho"/>
              </w:rPr>
              <w:tab/>
              <w:t>______________________________________</w:t>
            </w:r>
          </w:p>
          <w:p>
            <w:pPr>
              <w:pStyle w:val="yTable"/>
              <w:tabs>
                <w:tab w:val="left" w:pos="1026"/>
              </w:tabs>
              <w:rPr>
                <w:rFonts w:eastAsia="MS Mincho"/>
              </w:rPr>
            </w:pPr>
            <w:r>
              <w:rPr>
                <w:rFonts w:eastAsia="MS Mincho"/>
              </w:rPr>
              <w:tab/>
              <w:t>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top w:val="single" w:sz="4" w:space="0" w:color="auto"/>
              <w:left w:val="single" w:sz="4" w:space="0" w:color="auto"/>
            </w:tcBorders>
          </w:tcPr>
          <w:p>
            <w:pPr>
              <w:pStyle w:val="yTable"/>
              <w:rPr>
                <w:rFonts w:eastAsia="MS Mincho"/>
              </w:rPr>
            </w:pPr>
            <w:r>
              <w:rPr>
                <w:rFonts w:ascii="Arial" w:eastAsia="MS Mincho" w:hAnsi="Arial"/>
                <w:b/>
                <w:sz w:val="20"/>
              </w:rPr>
              <w:t>Officer preferring charge</w:t>
            </w:r>
          </w:p>
        </w:tc>
        <w:tc>
          <w:tcPr>
            <w:tcW w:w="5528" w:type="dxa"/>
            <w:gridSpan w:val="3"/>
            <w:tcBorders>
              <w:top w:val="single" w:sz="4" w:space="0" w:color="auto"/>
              <w:right w:val="single" w:sz="4" w:space="0" w:color="auto"/>
            </w:tcBorders>
          </w:tcPr>
          <w:p>
            <w:pPr>
              <w:pStyle w:val="yTable"/>
              <w:tabs>
                <w:tab w:val="left" w:pos="1026"/>
              </w:tabs>
              <w:rPr>
                <w:rFonts w:eastAsia="MS Mincho"/>
              </w:rPr>
            </w:pPr>
            <w:r>
              <w:rPr>
                <w:rFonts w:ascii="Arial" w:eastAsia="MS Mincho" w:hAnsi="Arial"/>
                <w:sz w:val="20"/>
              </w:rPr>
              <w:t>Name</w:t>
            </w:r>
            <w:r>
              <w:rPr>
                <w:rFonts w:ascii="Arial" w:eastAsia="MS Mincho" w:hAnsi="Arial"/>
                <w:sz w:val="20"/>
              </w:rPr>
              <w:tab/>
              <w:t>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sz w:val="20"/>
              </w:rPr>
            </w:pPr>
          </w:p>
        </w:tc>
        <w:tc>
          <w:tcPr>
            <w:tcW w:w="5528" w:type="dxa"/>
            <w:gridSpan w:val="3"/>
            <w:tcBorders>
              <w:right w:val="single" w:sz="4" w:space="0" w:color="auto"/>
            </w:tcBorders>
          </w:tcPr>
          <w:p>
            <w:pPr>
              <w:pStyle w:val="yTable"/>
              <w:rPr>
                <w:rFonts w:eastAsia="MS Mincho"/>
              </w:rPr>
            </w:pPr>
            <w:r>
              <w:rPr>
                <w:rFonts w:ascii="Arial" w:eastAsia="MS Mincho" w:hAnsi="Arial"/>
                <w:sz w:val="20"/>
              </w:rPr>
              <w:t>Assistant Commissioner [ __________________________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sz w:val="20"/>
              </w:rPr>
            </w:pPr>
          </w:p>
        </w:tc>
        <w:tc>
          <w:tcPr>
            <w:tcW w:w="5528" w:type="dxa"/>
            <w:gridSpan w:val="3"/>
            <w:tcBorders>
              <w:right w:val="single" w:sz="4" w:space="0" w:color="auto"/>
            </w:tcBorders>
          </w:tcPr>
          <w:p>
            <w:pPr>
              <w:pStyle w:val="yTable"/>
              <w:tabs>
                <w:tab w:val="left" w:pos="1026"/>
              </w:tabs>
              <w:rPr>
                <w:rFonts w:eastAsia="MS Mincho"/>
              </w:rPr>
            </w:pPr>
            <w:r>
              <w:rPr>
                <w:rFonts w:ascii="Arial" w:eastAsia="MS Mincho" w:hAnsi="Arial"/>
                <w:sz w:val="20"/>
              </w:rPr>
              <w:t>Signature</w:t>
            </w:r>
            <w:r>
              <w:rPr>
                <w:rFonts w:ascii="Arial" w:eastAsia="MS Mincho" w:hAnsi="Arial"/>
                <w:sz w:val="20"/>
              </w:rPr>
              <w:tab/>
              <w:t>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sz w:val="20"/>
              </w:rPr>
            </w:pPr>
          </w:p>
        </w:tc>
        <w:tc>
          <w:tcPr>
            <w:tcW w:w="5528" w:type="dxa"/>
            <w:gridSpan w:val="3"/>
            <w:tcBorders>
              <w:bottom w:val="single" w:sz="4" w:space="0" w:color="auto"/>
              <w:right w:val="single" w:sz="4" w:space="0" w:color="auto"/>
            </w:tcBorders>
          </w:tcPr>
          <w:p>
            <w:pPr>
              <w:pStyle w:val="yTable"/>
              <w:rPr>
                <w:rFonts w:eastAsia="MS Mincho"/>
              </w:rPr>
            </w:pPr>
            <w:r>
              <w:rPr>
                <w:rFonts w:ascii="Arial" w:eastAsia="MS Mincho" w:hAnsi="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
              <w:rPr>
                <w:rFonts w:eastAsia="MS Mincho"/>
              </w:rPr>
            </w:pPr>
            <w:r>
              <w:rPr>
                <w:rFonts w:ascii="Arial" w:eastAsia="MS Mincho" w:hAnsi="Arial"/>
                <w:b/>
                <w:sz w:val="28"/>
              </w:rPr>
              <w:t>Record of proceedings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right w:val="single" w:sz="4" w:space="0" w:color="auto"/>
            </w:tcBorders>
          </w:tcPr>
          <w:p>
            <w:pPr>
              <w:pStyle w:val="yTable"/>
              <w:rPr>
                <w:rFonts w:eastAsia="MS Mincho"/>
              </w:rPr>
            </w:pPr>
            <w:r>
              <w:rPr>
                <w:rFonts w:ascii="Arial" w:eastAsia="MS Mincho" w:hAnsi="Arial"/>
                <w:sz w:val="20"/>
              </w:rPr>
              <w:t>Presiding officer 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769" w:type="dxa"/>
            <w:gridSpan w:val="3"/>
            <w:tcBorders>
              <w:left w:val="single" w:sz="4" w:space="0" w:color="auto"/>
            </w:tcBorders>
          </w:tcPr>
          <w:p>
            <w:pPr>
              <w:pStyle w:val="yTable"/>
              <w:tabs>
                <w:tab w:val="left" w:pos="743"/>
              </w:tabs>
              <w:rPr>
                <w:rFonts w:eastAsia="MS Mincho"/>
              </w:rPr>
            </w:pPr>
            <w:r>
              <w:rPr>
                <w:rFonts w:ascii="Arial" w:eastAsia="MS Mincho" w:hAnsi="Arial"/>
                <w:sz w:val="20"/>
              </w:rPr>
              <w:t>Place</w:t>
            </w:r>
            <w:r>
              <w:rPr>
                <w:rFonts w:ascii="Arial" w:eastAsia="MS Mincho" w:hAnsi="Arial"/>
                <w:sz w:val="20"/>
              </w:rPr>
              <w:tab/>
              <w:t>_________________________________</w:t>
            </w:r>
          </w:p>
        </w:tc>
        <w:tc>
          <w:tcPr>
            <w:tcW w:w="2035" w:type="dxa"/>
            <w:tcBorders>
              <w:right w:val="single" w:sz="4" w:space="0" w:color="auto"/>
            </w:tcBorders>
          </w:tcPr>
          <w:p>
            <w:pPr>
              <w:pStyle w:val="yTable"/>
              <w:rPr>
                <w:rFonts w:eastAsia="MS Mincho"/>
              </w:rPr>
            </w:pPr>
            <w:r>
              <w:rPr>
                <w:rFonts w:ascii="Arial" w:eastAsia="MS Mincho" w:hAnsi="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right w:val="single" w:sz="4" w:space="0" w:color="auto"/>
            </w:tcBorders>
          </w:tcPr>
          <w:p>
            <w:pPr>
              <w:pStyle w:val="yTable"/>
              <w:tabs>
                <w:tab w:val="left" w:pos="1026"/>
              </w:tabs>
              <w:rPr>
                <w:rFonts w:eastAsia="MS Mincho"/>
              </w:rPr>
            </w:pPr>
            <w:r>
              <w:rPr>
                <w:rFonts w:ascii="Arial" w:eastAsia="MS Mincho" w:hAnsi="Arial"/>
                <w:sz w:val="20"/>
              </w:rPr>
              <w:t>Decision</w:t>
            </w:r>
            <w:r>
              <w:rPr>
                <w:rFonts w:ascii="Arial" w:eastAsia="MS Mincho" w:hAnsi="Arial"/>
                <w:sz w:val="20"/>
              </w:rPr>
              <w:tab/>
              <w:t>__________________________________________________</w:t>
            </w:r>
          </w:p>
          <w:p>
            <w:pPr>
              <w:pStyle w:val="yTable"/>
              <w:tabs>
                <w:tab w:val="left" w:pos="1026"/>
              </w:tabs>
              <w:rPr>
                <w:rFonts w:eastAsia="MS Mincho"/>
              </w:rPr>
            </w:pPr>
            <w:r>
              <w:rPr>
                <w:rFonts w:eastAsia="MS Mincho"/>
              </w:rPr>
              <w:tab/>
              <w:t>__________________________________________________</w:t>
            </w:r>
          </w:p>
          <w:p>
            <w:pPr>
              <w:pStyle w:val="yTable"/>
              <w:tabs>
                <w:tab w:val="left" w:pos="1026"/>
              </w:tabs>
              <w:rPr>
                <w:rFonts w:eastAsia="MS Mincho"/>
              </w:rPr>
            </w:pPr>
            <w:r>
              <w:rPr>
                <w:rFonts w:eastAsia="MS Mincho"/>
              </w:rPr>
              <w:tab/>
              <w:t>__________________________________________________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bottom w:val="single" w:sz="4" w:space="0" w:color="auto"/>
              <w:right w:val="single" w:sz="4" w:space="0" w:color="auto"/>
            </w:tcBorders>
          </w:tcPr>
          <w:p>
            <w:pPr>
              <w:pStyle w:val="yTable"/>
              <w:tabs>
                <w:tab w:val="left" w:pos="1026"/>
              </w:tabs>
              <w:rPr>
                <w:rFonts w:eastAsia="MS Mincho"/>
              </w:rPr>
            </w:pPr>
            <w:r>
              <w:rPr>
                <w:rFonts w:ascii="Arial" w:eastAsia="MS Mincho" w:hAnsi="Arial"/>
                <w:sz w:val="20"/>
              </w:rPr>
              <w:t>Remarks</w:t>
            </w:r>
            <w:r>
              <w:rPr>
                <w:rFonts w:ascii="Arial" w:eastAsia="MS Mincho" w:hAnsi="Arial"/>
                <w:sz w:val="20"/>
              </w:rPr>
              <w:tab/>
              <w:t>__________________________________________________</w:t>
            </w:r>
          </w:p>
          <w:p>
            <w:pPr>
              <w:pStyle w:val="yTable"/>
              <w:tabs>
                <w:tab w:val="left" w:pos="1026"/>
              </w:tabs>
              <w:rPr>
                <w:rFonts w:eastAsia="MS Mincho"/>
              </w:rPr>
            </w:pPr>
            <w:r>
              <w:rPr>
                <w:rFonts w:eastAsia="MS Mincho"/>
              </w:rPr>
              <w:tab/>
              <w:t>__________________________________________________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right w:val="single" w:sz="4" w:space="0" w:color="auto"/>
            </w:tcBorders>
          </w:tcPr>
          <w:p>
            <w:pPr>
              <w:pStyle w:val="yTable"/>
              <w:tabs>
                <w:tab w:val="left" w:pos="1026"/>
              </w:tabs>
              <w:rPr>
                <w:rFonts w:eastAsia="MS Mincho"/>
              </w:rPr>
            </w:pPr>
            <w:r>
              <w:rPr>
                <w:rFonts w:ascii="Arial" w:eastAsia="MS Mincho" w:hAnsi="Arial"/>
                <w:sz w:val="20"/>
              </w:rPr>
              <w:t>Signature</w:t>
            </w:r>
            <w:r>
              <w:rPr>
                <w:rFonts w:ascii="Arial" w:eastAsia="MS Mincho" w:hAnsi="Arial"/>
                <w:sz w:val="20"/>
              </w:rPr>
              <w:tab/>
              <w:t>_________________________________________________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bottom w:val="single" w:sz="4" w:space="0" w:color="auto"/>
              <w:right w:val="single" w:sz="4" w:space="0" w:color="auto"/>
            </w:tcBorders>
          </w:tcPr>
          <w:p>
            <w:pPr>
              <w:pStyle w:val="yTable"/>
              <w:tabs>
                <w:tab w:val="left" w:pos="1026"/>
              </w:tabs>
              <w:rPr>
                <w:rFonts w:eastAsia="MS Mincho"/>
              </w:rPr>
            </w:pPr>
            <w:r>
              <w:rPr>
                <w:rFonts w:ascii="Arial" w:eastAsia="MS Mincho" w:hAnsi="Arial"/>
                <w:sz w:val="20"/>
              </w:rPr>
              <w:t>Date</w:t>
            </w:r>
            <w:r>
              <w:rPr>
                <w:rFonts w:ascii="Arial" w:eastAsia="MS Mincho" w:hAnsi="Arial"/>
                <w:sz w:val="20"/>
              </w:rPr>
              <w:tab/>
              <w:t>___/___/20___</w:t>
            </w:r>
          </w:p>
        </w:tc>
      </w:tr>
    </w:tbl>
    <w:p>
      <w:pPr>
        <w:pStyle w:val="yFootnotesection"/>
      </w:pPr>
      <w:r>
        <w:tab/>
        <w:t xml:space="preserve">[First Schedule inserted in Gazette 15 Dec 2006 p. 5635.] </w:t>
      </w:r>
    </w:p>
    <w:p>
      <w:pPr>
        <w:pStyle w:val="yEdnoteschedule"/>
      </w:pPr>
      <w:bookmarkStart w:id="671" w:name="_Toc522083295"/>
      <w:bookmarkStart w:id="672" w:name="_Toc123621514"/>
      <w:bookmarkStart w:id="673" w:name="_Toc123623057"/>
      <w:bookmarkStart w:id="674" w:name="_Toc153957432"/>
      <w:bookmarkStart w:id="675" w:name="_Toc153958764"/>
      <w:bookmarkStart w:id="676" w:name="_Toc154478834"/>
      <w:bookmarkEnd w:id="668"/>
      <w:bookmarkEnd w:id="669"/>
      <w:bookmarkEnd w:id="670"/>
      <w:r>
        <w:t>[Second Schedule repealed in Gazette 2 Feb 2007 p. 251.]</w:t>
      </w:r>
    </w:p>
    <w:p>
      <w:pPr>
        <w:pStyle w:val="yScheduleHeading"/>
        <w:outlineLvl w:val="0"/>
      </w:pPr>
      <w:bookmarkStart w:id="677" w:name="_Toc158523635"/>
      <w:r>
        <w:rPr>
          <w:rStyle w:val="CharSchNo"/>
        </w:rPr>
        <w:t>Third Schedule</w:t>
      </w:r>
      <w:bookmarkEnd w:id="671"/>
      <w:bookmarkEnd w:id="672"/>
      <w:bookmarkEnd w:id="673"/>
      <w:bookmarkEnd w:id="674"/>
      <w:bookmarkEnd w:id="675"/>
      <w:bookmarkEnd w:id="676"/>
      <w:bookmarkEnd w:id="677"/>
    </w:p>
    <w:p>
      <w:pPr>
        <w:pStyle w:val="yTable"/>
        <w:jc w:val="center"/>
        <w:rPr>
          <w:b/>
          <w:snapToGrid w:val="0"/>
        </w:rPr>
      </w:pPr>
      <w:r>
        <w:rPr>
          <w:b/>
          <w:snapToGrid w:val="0"/>
        </w:rPr>
        <w:t>FORM 1</w:t>
      </w:r>
    </w:p>
    <w:p>
      <w:pPr>
        <w:pStyle w:val="yTable"/>
        <w:jc w:val="right"/>
        <w:rPr>
          <w:snapToGrid w:val="0"/>
        </w:rPr>
      </w:pPr>
      <w:r>
        <w:rPr>
          <w:snapToGrid w:val="0"/>
        </w:rPr>
        <w:t>[reg. 501]</w:t>
      </w:r>
    </w:p>
    <w:p>
      <w:pPr>
        <w:pStyle w:val="yTable"/>
        <w:outlineLvl w:val="0"/>
        <w:rPr>
          <w:snapToGrid w:val="0"/>
        </w:rPr>
      </w:pPr>
      <w:r>
        <w:rPr>
          <w:snapToGrid w:val="0"/>
        </w:rPr>
        <w:t>TO the Commissioner of Police</w:t>
      </w:r>
    </w:p>
    <w:p>
      <w:pPr>
        <w:pStyle w:val="yTable"/>
        <w:rPr>
          <w:snapToGrid w:val="0"/>
        </w:rPr>
      </w:pPr>
      <w:r>
        <w:rPr>
          <w:snapToGrid w:val="0"/>
        </w:rPr>
        <w:t xml:space="preserve">I am of the opinion that . . . . . . . . . . . . . . . . . . . . . . . . . . . . . . . . . . . . . . . . . . . . . </w:t>
      </w:r>
    </w:p>
    <w:p>
      <w:pPr>
        <w:pStyle w:val="yTable"/>
        <w:spacing w:before="0"/>
        <w:jc w:val="right"/>
        <w:outlineLvl w:val="0"/>
        <w:rPr>
          <w:snapToGrid w:val="0"/>
        </w:rPr>
      </w:pPr>
      <w:r>
        <w:rPr>
          <w:snapToGrid w:val="0"/>
        </w:rPr>
        <w:t xml:space="preserve">Name and address </w:t>
      </w:r>
      <w:r>
        <w:rPr>
          <w:snapToGrid w:val="0"/>
        </w:rPr>
        <w:t> </w:t>
      </w:r>
      <w:r>
        <w:rPr>
          <w:snapToGrid w:val="0"/>
        </w:rPr>
        <w:t> </w:t>
      </w:r>
      <w:r>
        <w:rPr>
          <w:snapToGrid w:val="0"/>
        </w:rPr>
        <w:t> </w:t>
      </w:r>
      <w:r>
        <w:rPr>
          <w:snapToGrid w:val="0"/>
        </w:rPr>
        <w:t> </w:t>
      </w:r>
      <w:r>
        <w:rPr>
          <w:snapToGrid w:val="0"/>
        </w:rPr>
        <w:t> </w:t>
      </w:r>
      <w:r>
        <w:rPr>
          <w:snapToGrid w:val="0"/>
        </w:rPr>
        <w:t> </w:t>
      </w:r>
    </w:p>
    <w:p>
      <w:pPr>
        <w:pStyle w:val="yTable"/>
        <w:rPr>
          <w:snapToGrid w:val="0"/>
        </w:rPr>
      </w:pPr>
      <w:r>
        <w:rPr>
          <w:snapToGrid w:val="0"/>
        </w:rPr>
        <w:t>is physically capable, (given sufficient time for recovery and an intelligent application of the test) of undertaking a physical performance evaluation that simulates job related activities involving running, climbing, jumping, operating a mechanical “strength test simulator”, dragging a 75 kilogram dummy over a reasonable distance and swimming and treading water.</w:t>
      </w:r>
    </w:p>
    <w:p>
      <w:pPr>
        <w:pStyle w:val="yTable"/>
        <w:rPr>
          <w:snapToGrid w:val="0"/>
        </w:rPr>
      </w:pPr>
      <w:r>
        <w:rPr>
          <w:snapToGrid w:val="0"/>
        </w:rPr>
        <w:t>________________________________</w:t>
      </w:r>
    </w:p>
    <w:p>
      <w:pPr>
        <w:pStyle w:val="yTable"/>
        <w:outlineLvl w:val="0"/>
        <w:rPr>
          <w:snapToGrid w:val="0"/>
        </w:rPr>
      </w:pPr>
      <w:r>
        <w:rPr>
          <w:snapToGrid w:val="0"/>
        </w:rPr>
        <w:t>Name</w:t>
      </w:r>
    </w:p>
    <w:p>
      <w:pPr>
        <w:pStyle w:val="yTable"/>
        <w:rPr>
          <w:snapToGrid w:val="0"/>
        </w:rPr>
      </w:pPr>
      <w:r>
        <w:rPr>
          <w:snapToGrid w:val="0"/>
        </w:rPr>
        <w:t>Medical Practitioner</w:t>
      </w:r>
    </w:p>
    <w:p>
      <w:pPr>
        <w:pStyle w:val="Footnotesection"/>
      </w:pPr>
      <w:r>
        <w:tab/>
        <w:t xml:space="preserve">[Third Schedule inserted in Gazette 22 Jan 1988 p. 128.] </w:t>
      </w:r>
    </w:p>
    <w:p>
      <w:pPr>
        <w:pStyle w:val="yEdnoteschedule"/>
      </w:pPr>
      <w:r>
        <w:t xml:space="preserve">[Fourth Schedule repealed in Gazette 15 Dec 2006 p. 5636.] </w:t>
      </w:r>
    </w:p>
    <w:p>
      <w:pPr>
        <w:pStyle w:val="yEdnoteschedule"/>
      </w:pPr>
      <w:r>
        <w:t>[Fifth Schedule repealed in Gazette 17 Mar 1995 p. 1055.]</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outlineLvl w:val="0"/>
      </w:pPr>
      <w:bookmarkStart w:id="678" w:name="_Toc90976595"/>
      <w:bookmarkStart w:id="679" w:name="_Toc91044827"/>
      <w:bookmarkStart w:id="680" w:name="_Toc91045007"/>
      <w:bookmarkStart w:id="681" w:name="_Toc123621516"/>
      <w:bookmarkStart w:id="682" w:name="_Toc123623059"/>
      <w:bookmarkStart w:id="683" w:name="_Toc153957434"/>
      <w:bookmarkStart w:id="684" w:name="_Toc153958765"/>
      <w:bookmarkStart w:id="685" w:name="_Toc154478835"/>
      <w:bookmarkStart w:id="686" w:name="_Toc158523636"/>
      <w:r>
        <w:t>Notes</w:t>
      </w:r>
      <w:bookmarkEnd w:id="678"/>
      <w:bookmarkEnd w:id="679"/>
      <w:bookmarkEnd w:id="680"/>
      <w:bookmarkEnd w:id="681"/>
      <w:bookmarkEnd w:id="682"/>
      <w:bookmarkEnd w:id="683"/>
      <w:bookmarkEnd w:id="684"/>
      <w:bookmarkEnd w:id="685"/>
      <w:bookmarkEnd w:id="686"/>
    </w:p>
    <w:p>
      <w:pPr>
        <w:pStyle w:val="nSubsection"/>
        <w:tabs>
          <w:tab w:val="left" w:pos="709"/>
        </w:tabs>
        <w:spacing w:before="0"/>
      </w:pPr>
      <w:r>
        <w:rPr>
          <w:sz w:val="28"/>
          <w:vertAlign w:val="superscript"/>
        </w:rPr>
        <w:t>1</w:t>
      </w:r>
      <w:r>
        <w:tab/>
        <w:t xml:space="preserve">This is a compilation of the </w:t>
      </w:r>
      <w:r>
        <w:rPr>
          <w:i/>
        </w:rPr>
        <w:t>Police Force Regulations 1979</w:t>
      </w:r>
      <w:r>
        <w:t xml:space="preserve"> and includes the amendments made by the other written laws referred to in the following table. The table also includes information about any reprint.</w:t>
      </w:r>
    </w:p>
    <w:p>
      <w:pPr>
        <w:pStyle w:val="nHeading3"/>
        <w:outlineLvl w:val="0"/>
        <w:rPr>
          <w:snapToGrid w:val="0"/>
        </w:rPr>
      </w:pPr>
      <w:bookmarkStart w:id="687" w:name="_Toc158523637"/>
      <w:r>
        <w:rPr>
          <w:snapToGrid w:val="0"/>
        </w:rPr>
        <w:t>Compilation table</w:t>
      </w:r>
      <w:bookmarkEnd w:id="68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vertAlign w:val="superscript"/>
              </w:rPr>
            </w:pPr>
            <w:r>
              <w:rPr>
                <w:i/>
                <w:sz w:val="19"/>
              </w:rPr>
              <w:t xml:space="preserve">Police Regulations 1979 </w:t>
            </w:r>
            <w:r>
              <w:rPr>
                <w:sz w:val="19"/>
                <w:vertAlign w:val="superscript"/>
              </w:rPr>
              <w:t>5</w:t>
            </w:r>
          </w:p>
        </w:tc>
        <w:tc>
          <w:tcPr>
            <w:tcW w:w="1276" w:type="dxa"/>
          </w:tcPr>
          <w:p>
            <w:pPr>
              <w:pStyle w:val="nTable"/>
              <w:spacing w:after="40"/>
              <w:rPr>
                <w:sz w:val="19"/>
              </w:rPr>
            </w:pPr>
            <w:r>
              <w:rPr>
                <w:sz w:val="19"/>
              </w:rPr>
              <w:t>20 Dec 1978 p. 4731</w:t>
            </w:r>
            <w:r>
              <w:rPr>
                <w:sz w:val="19"/>
              </w:rPr>
              <w:noBreakHyphen/>
              <w:t>62</w:t>
            </w:r>
          </w:p>
        </w:tc>
        <w:tc>
          <w:tcPr>
            <w:tcW w:w="2693" w:type="dxa"/>
          </w:tcPr>
          <w:p>
            <w:pPr>
              <w:pStyle w:val="nTable"/>
              <w:tabs>
                <w:tab w:val="left" w:pos="-28"/>
                <w:tab w:val="left" w:pos="0"/>
              </w:tabs>
              <w:spacing w:after="40"/>
              <w:rPr>
                <w:sz w:val="19"/>
              </w:rPr>
            </w:pPr>
            <w:r>
              <w:rPr>
                <w:sz w:val="19"/>
              </w:rPr>
              <w:t>1 Jan 1979</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 xml:space="preserve">16 Feb 1979 </w:t>
            </w:r>
            <w:r>
              <w:rPr>
                <w:sz w:val="19"/>
              </w:rPr>
              <w:br/>
              <w:t>p. 425</w:t>
            </w:r>
          </w:p>
        </w:tc>
        <w:tc>
          <w:tcPr>
            <w:tcW w:w="2693" w:type="dxa"/>
          </w:tcPr>
          <w:p>
            <w:pPr>
              <w:pStyle w:val="nTable"/>
              <w:spacing w:after="40"/>
              <w:rPr>
                <w:sz w:val="19"/>
              </w:rPr>
            </w:pPr>
            <w:r>
              <w:rPr>
                <w:sz w:val="19"/>
              </w:rPr>
              <w:t>16 Feb 1979</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 xml:space="preserve">7 Sep 1979 </w:t>
            </w:r>
            <w:r>
              <w:rPr>
                <w:sz w:val="19"/>
              </w:rPr>
              <w:br/>
              <w:t>p. 2716-19</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 xml:space="preserve">29 Aug 1980 </w:t>
            </w:r>
            <w:r>
              <w:rPr>
                <w:sz w:val="19"/>
              </w:rPr>
              <w:br/>
              <w:t>p. 3033</w:t>
            </w:r>
          </w:p>
        </w:tc>
        <w:tc>
          <w:tcPr>
            <w:tcW w:w="2693" w:type="dxa"/>
          </w:tcPr>
          <w:p>
            <w:pPr>
              <w:pStyle w:val="nTable"/>
              <w:spacing w:after="40"/>
              <w:rPr>
                <w:sz w:val="19"/>
              </w:rPr>
            </w:pPr>
            <w:r>
              <w:rPr>
                <w:sz w:val="19"/>
              </w:rPr>
              <w:t>29 Aug 1980</w:t>
            </w:r>
          </w:p>
        </w:tc>
      </w:tr>
      <w:tr>
        <w:trPr>
          <w:cantSplit/>
        </w:trPr>
        <w:tc>
          <w:tcPr>
            <w:tcW w:w="3118" w:type="dxa"/>
          </w:tcPr>
          <w:p>
            <w:pPr>
              <w:pStyle w:val="nTable"/>
              <w:spacing w:after="40"/>
              <w:ind w:right="113"/>
              <w:rPr>
                <w:i/>
                <w:sz w:val="19"/>
              </w:rPr>
            </w:pPr>
            <w:r>
              <w:rPr>
                <w:i/>
                <w:sz w:val="19"/>
              </w:rPr>
              <w:t>Police Amendment Regulations 1981</w:t>
            </w:r>
          </w:p>
        </w:tc>
        <w:tc>
          <w:tcPr>
            <w:tcW w:w="1276" w:type="dxa"/>
          </w:tcPr>
          <w:p>
            <w:pPr>
              <w:pStyle w:val="nTable"/>
              <w:spacing w:after="40"/>
              <w:rPr>
                <w:sz w:val="19"/>
              </w:rPr>
            </w:pPr>
            <w:r>
              <w:rPr>
                <w:sz w:val="19"/>
              </w:rPr>
              <w:t xml:space="preserve">31 Jul 1981 </w:t>
            </w:r>
            <w:r>
              <w:rPr>
                <w:sz w:val="19"/>
              </w:rPr>
              <w:br/>
              <w:t>p. 3158</w:t>
            </w:r>
          </w:p>
        </w:tc>
        <w:tc>
          <w:tcPr>
            <w:tcW w:w="2693" w:type="dxa"/>
          </w:tcPr>
          <w:p>
            <w:pPr>
              <w:pStyle w:val="nTable"/>
              <w:spacing w:after="40"/>
              <w:rPr>
                <w:sz w:val="19"/>
              </w:rPr>
            </w:pPr>
            <w:r>
              <w:rPr>
                <w:sz w:val="19"/>
              </w:rPr>
              <w:t>31 Jul 1981</w:t>
            </w:r>
          </w:p>
        </w:tc>
      </w:tr>
      <w:tr>
        <w:trPr>
          <w:cantSplit/>
        </w:trPr>
        <w:tc>
          <w:tcPr>
            <w:tcW w:w="3118" w:type="dxa"/>
          </w:tcPr>
          <w:p>
            <w:pPr>
              <w:pStyle w:val="nTable"/>
              <w:spacing w:after="40"/>
              <w:ind w:right="113"/>
              <w:rPr>
                <w:sz w:val="19"/>
              </w:rPr>
            </w:pPr>
            <w:r>
              <w:rPr>
                <w:i/>
                <w:sz w:val="19"/>
              </w:rPr>
              <w:t xml:space="preserve">Police Amendment Regulations </w:t>
            </w:r>
            <w:r>
              <w:rPr>
                <w:i/>
                <w:sz w:val="19"/>
              </w:rPr>
              <w:br/>
              <w:t>(No. 2) 1981</w:t>
            </w:r>
          </w:p>
        </w:tc>
        <w:tc>
          <w:tcPr>
            <w:tcW w:w="1276" w:type="dxa"/>
          </w:tcPr>
          <w:p>
            <w:pPr>
              <w:pStyle w:val="nTable"/>
              <w:spacing w:after="40"/>
              <w:rPr>
                <w:sz w:val="19"/>
              </w:rPr>
            </w:pPr>
            <w:r>
              <w:rPr>
                <w:sz w:val="19"/>
              </w:rPr>
              <w:t xml:space="preserve">15 Jan 1982 </w:t>
            </w:r>
            <w:r>
              <w:rPr>
                <w:sz w:val="19"/>
              </w:rPr>
              <w:br/>
              <w:t>p. 55-6</w:t>
            </w:r>
          </w:p>
        </w:tc>
        <w:tc>
          <w:tcPr>
            <w:tcW w:w="2693" w:type="dxa"/>
          </w:tcPr>
          <w:p>
            <w:pPr>
              <w:pStyle w:val="nTable"/>
              <w:spacing w:after="40"/>
              <w:rPr>
                <w:sz w:val="19"/>
              </w:rPr>
            </w:pPr>
            <w:r>
              <w:rPr>
                <w:sz w:val="19"/>
              </w:rPr>
              <w:t>15 Jan 1982</w:t>
            </w:r>
          </w:p>
        </w:tc>
      </w:tr>
      <w:tr>
        <w:trPr>
          <w:cantSplit/>
        </w:trPr>
        <w:tc>
          <w:tcPr>
            <w:tcW w:w="3118" w:type="dxa"/>
          </w:tcPr>
          <w:p>
            <w:pPr>
              <w:pStyle w:val="nTable"/>
              <w:spacing w:after="40"/>
              <w:ind w:right="113"/>
              <w:rPr>
                <w:sz w:val="19"/>
              </w:rPr>
            </w:pPr>
            <w:r>
              <w:rPr>
                <w:i/>
                <w:sz w:val="19"/>
              </w:rPr>
              <w:t>Police Amendment Regulations 1983</w:t>
            </w:r>
          </w:p>
        </w:tc>
        <w:tc>
          <w:tcPr>
            <w:tcW w:w="1276" w:type="dxa"/>
          </w:tcPr>
          <w:p>
            <w:pPr>
              <w:pStyle w:val="nTable"/>
              <w:spacing w:after="40"/>
              <w:rPr>
                <w:sz w:val="19"/>
              </w:rPr>
            </w:pPr>
            <w:r>
              <w:rPr>
                <w:sz w:val="19"/>
              </w:rPr>
              <w:t xml:space="preserve">29 Apr 1983 </w:t>
            </w:r>
            <w:r>
              <w:rPr>
                <w:sz w:val="19"/>
              </w:rPr>
              <w:br/>
              <w:t>p. 1299</w:t>
            </w:r>
          </w:p>
        </w:tc>
        <w:tc>
          <w:tcPr>
            <w:tcW w:w="2693" w:type="dxa"/>
          </w:tcPr>
          <w:p>
            <w:pPr>
              <w:pStyle w:val="nTable"/>
              <w:spacing w:after="40"/>
              <w:rPr>
                <w:sz w:val="19"/>
              </w:rPr>
            </w:pPr>
            <w:r>
              <w:rPr>
                <w:sz w:val="19"/>
              </w:rPr>
              <w:t>29 Apr 1983</w:t>
            </w:r>
          </w:p>
        </w:tc>
      </w:tr>
      <w:tr>
        <w:trPr>
          <w:cantSplit/>
        </w:trPr>
        <w:tc>
          <w:tcPr>
            <w:tcW w:w="3118" w:type="dxa"/>
          </w:tcPr>
          <w:p>
            <w:pPr>
              <w:pStyle w:val="nTable"/>
              <w:spacing w:after="40"/>
              <w:ind w:right="113"/>
              <w:rPr>
                <w:sz w:val="19"/>
              </w:rPr>
            </w:pPr>
            <w:r>
              <w:rPr>
                <w:i/>
                <w:sz w:val="19"/>
              </w:rPr>
              <w:t>Police Amendment Regulations 1984</w:t>
            </w:r>
          </w:p>
        </w:tc>
        <w:tc>
          <w:tcPr>
            <w:tcW w:w="1276" w:type="dxa"/>
          </w:tcPr>
          <w:p>
            <w:pPr>
              <w:pStyle w:val="nTable"/>
              <w:spacing w:after="40"/>
              <w:rPr>
                <w:sz w:val="19"/>
              </w:rPr>
            </w:pPr>
            <w:r>
              <w:rPr>
                <w:sz w:val="19"/>
              </w:rPr>
              <w:t xml:space="preserve">23 Mar 1984 </w:t>
            </w:r>
            <w:r>
              <w:rPr>
                <w:sz w:val="19"/>
              </w:rPr>
              <w:br/>
              <w:t>p. 745-6</w:t>
            </w:r>
          </w:p>
        </w:tc>
        <w:tc>
          <w:tcPr>
            <w:tcW w:w="2693" w:type="dxa"/>
          </w:tcPr>
          <w:p>
            <w:pPr>
              <w:pStyle w:val="nTable"/>
              <w:spacing w:after="40"/>
              <w:rPr>
                <w:sz w:val="19"/>
              </w:rPr>
            </w:pPr>
            <w:r>
              <w:rPr>
                <w:sz w:val="19"/>
              </w:rPr>
              <w:t>23 Mar 1984</w:t>
            </w:r>
          </w:p>
        </w:tc>
      </w:tr>
      <w:tr>
        <w:trPr>
          <w:cantSplit/>
        </w:trPr>
        <w:tc>
          <w:tcPr>
            <w:tcW w:w="3118" w:type="dxa"/>
          </w:tcPr>
          <w:p>
            <w:pPr>
              <w:pStyle w:val="nTable"/>
              <w:spacing w:after="40"/>
              <w:ind w:right="113"/>
              <w:rPr>
                <w:sz w:val="19"/>
              </w:rPr>
            </w:pPr>
            <w:r>
              <w:rPr>
                <w:i/>
                <w:sz w:val="19"/>
              </w:rPr>
              <w:t xml:space="preserve">Police Amendment Regulations </w:t>
            </w:r>
            <w:r>
              <w:rPr>
                <w:i/>
                <w:sz w:val="19"/>
              </w:rPr>
              <w:br/>
              <w:t>(No. 2) 1984</w:t>
            </w:r>
          </w:p>
        </w:tc>
        <w:tc>
          <w:tcPr>
            <w:tcW w:w="1276" w:type="dxa"/>
          </w:tcPr>
          <w:p>
            <w:pPr>
              <w:pStyle w:val="nTable"/>
              <w:spacing w:after="40"/>
              <w:rPr>
                <w:sz w:val="19"/>
              </w:rPr>
            </w:pPr>
            <w:r>
              <w:rPr>
                <w:sz w:val="19"/>
              </w:rPr>
              <w:t xml:space="preserve">29 Jun 1984 </w:t>
            </w:r>
            <w:r>
              <w:rPr>
                <w:sz w:val="19"/>
              </w:rPr>
              <w:br/>
              <w:t>p. 1795</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ind w:right="113"/>
              <w:rPr>
                <w:sz w:val="19"/>
              </w:rPr>
            </w:pPr>
            <w:r>
              <w:rPr>
                <w:i/>
                <w:sz w:val="19"/>
              </w:rPr>
              <w:t xml:space="preserve">Police Amendment Regulations </w:t>
            </w:r>
            <w:r>
              <w:rPr>
                <w:i/>
                <w:sz w:val="19"/>
              </w:rPr>
              <w:br/>
              <w:t>(No. 3) 1984</w:t>
            </w:r>
          </w:p>
        </w:tc>
        <w:tc>
          <w:tcPr>
            <w:tcW w:w="1276" w:type="dxa"/>
          </w:tcPr>
          <w:p>
            <w:pPr>
              <w:pStyle w:val="nTable"/>
              <w:spacing w:after="40"/>
              <w:rPr>
                <w:sz w:val="19"/>
              </w:rPr>
            </w:pPr>
            <w:r>
              <w:rPr>
                <w:sz w:val="19"/>
              </w:rPr>
              <w:t xml:space="preserve">7 Dec 1984 </w:t>
            </w:r>
            <w:r>
              <w:rPr>
                <w:sz w:val="19"/>
              </w:rPr>
              <w:br/>
              <w:t>p. 4024-30</w:t>
            </w:r>
          </w:p>
        </w:tc>
        <w:tc>
          <w:tcPr>
            <w:tcW w:w="2693" w:type="dxa"/>
          </w:tcPr>
          <w:p>
            <w:pPr>
              <w:pStyle w:val="nTable"/>
              <w:spacing w:after="40"/>
              <w:rPr>
                <w:sz w:val="19"/>
              </w:rPr>
            </w:pPr>
            <w:r>
              <w:rPr>
                <w:sz w:val="19"/>
              </w:rPr>
              <w:t>7 Dec 1984</w:t>
            </w:r>
          </w:p>
        </w:tc>
      </w:tr>
      <w:tr>
        <w:trPr>
          <w:cantSplit/>
        </w:trPr>
        <w:tc>
          <w:tcPr>
            <w:tcW w:w="3118" w:type="dxa"/>
          </w:tcPr>
          <w:p>
            <w:pPr>
              <w:pStyle w:val="nTable"/>
              <w:spacing w:after="40"/>
              <w:ind w:right="113"/>
              <w:rPr>
                <w:sz w:val="19"/>
              </w:rPr>
            </w:pPr>
            <w:r>
              <w:rPr>
                <w:i/>
                <w:sz w:val="19"/>
              </w:rPr>
              <w:t>Police Amendment Regulations 1985</w:t>
            </w:r>
          </w:p>
        </w:tc>
        <w:tc>
          <w:tcPr>
            <w:tcW w:w="1276" w:type="dxa"/>
          </w:tcPr>
          <w:p>
            <w:pPr>
              <w:pStyle w:val="nTable"/>
              <w:spacing w:after="40"/>
              <w:rPr>
                <w:sz w:val="19"/>
              </w:rPr>
            </w:pPr>
            <w:r>
              <w:rPr>
                <w:sz w:val="19"/>
              </w:rPr>
              <w:t xml:space="preserve">1 Mar 1985 </w:t>
            </w:r>
            <w:r>
              <w:rPr>
                <w:sz w:val="19"/>
              </w:rPr>
              <w:br/>
              <w:t>p. 790</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sz w:val="19"/>
              </w:rPr>
            </w:pPr>
            <w:r>
              <w:rPr>
                <w:i/>
                <w:sz w:val="19"/>
              </w:rPr>
              <w:t xml:space="preserve">Police Amendment Regulations </w:t>
            </w:r>
            <w:r>
              <w:rPr>
                <w:i/>
                <w:sz w:val="19"/>
              </w:rPr>
              <w:br/>
              <w:t>(No. 2) 1985</w:t>
            </w:r>
          </w:p>
        </w:tc>
        <w:tc>
          <w:tcPr>
            <w:tcW w:w="1276" w:type="dxa"/>
          </w:tcPr>
          <w:p>
            <w:pPr>
              <w:pStyle w:val="nTable"/>
              <w:spacing w:after="40"/>
              <w:rPr>
                <w:sz w:val="19"/>
              </w:rPr>
            </w:pPr>
            <w:r>
              <w:rPr>
                <w:sz w:val="19"/>
              </w:rPr>
              <w:t xml:space="preserve">16 Aug 1985 </w:t>
            </w:r>
            <w:r>
              <w:rPr>
                <w:sz w:val="19"/>
              </w:rPr>
              <w:br/>
              <w:t>p. 2926-8</w:t>
            </w:r>
          </w:p>
        </w:tc>
        <w:tc>
          <w:tcPr>
            <w:tcW w:w="2693" w:type="dxa"/>
          </w:tcPr>
          <w:p>
            <w:pPr>
              <w:pStyle w:val="nTable"/>
              <w:spacing w:after="40"/>
              <w:rPr>
                <w:sz w:val="19"/>
              </w:rPr>
            </w:pPr>
            <w:r>
              <w:rPr>
                <w:sz w:val="19"/>
              </w:rPr>
              <w:t>16 Aug 1985</w:t>
            </w:r>
          </w:p>
        </w:tc>
      </w:tr>
      <w:tr>
        <w:trPr>
          <w:cantSplit/>
        </w:trPr>
        <w:tc>
          <w:tcPr>
            <w:tcW w:w="3118" w:type="dxa"/>
          </w:tcPr>
          <w:p>
            <w:pPr>
              <w:pStyle w:val="nTable"/>
              <w:spacing w:after="40"/>
              <w:ind w:right="113"/>
              <w:rPr>
                <w:sz w:val="19"/>
              </w:rPr>
            </w:pPr>
            <w:r>
              <w:rPr>
                <w:i/>
                <w:sz w:val="19"/>
              </w:rPr>
              <w:t>Police Amendment Regulations 1986</w:t>
            </w:r>
          </w:p>
        </w:tc>
        <w:tc>
          <w:tcPr>
            <w:tcW w:w="1276" w:type="dxa"/>
          </w:tcPr>
          <w:p>
            <w:pPr>
              <w:pStyle w:val="nTable"/>
              <w:spacing w:after="40"/>
              <w:rPr>
                <w:sz w:val="19"/>
              </w:rPr>
            </w:pPr>
            <w:r>
              <w:rPr>
                <w:sz w:val="19"/>
              </w:rPr>
              <w:t xml:space="preserve">24 Apr 1986 </w:t>
            </w:r>
            <w:r>
              <w:rPr>
                <w:sz w:val="19"/>
              </w:rPr>
              <w:br/>
              <w:t>p. 1476-80</w:t>
            </w:r>
          </w:p>
        </w:tc>
        <w:tc>
          <w:tcPr>
            <w:tcW w:w="2693" w:type="dxa"/>
          </w:tcPr>
          <w:p>
            <w:pPr>
              <w:pStyle w:val="nTable"/>
              <w:spacing w:after="40"/>
              <w:rPr>
                <w:sz w:val="19"/>
              </w:rPr>
            </w:pPr>
            <w:r>
              <w:rPr>
                <w:sz w:val="19"/>
              </w:rPr>
              <w:t>24 Apr 1986</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28 Aug 1986 published in </w:t>
            </w:r>
            <w:r>
              <w:rPr>
                <w:b/>
                <w:i/>
                <w:sz w:val="19"/>
              </w:rPr>
              <w:t>Gazette</w:t>
            </w:r>
            <w:r>
              <w:rPr>
                <w:b/>
                <w:sz w:val="19"/>
              </w:rPr>
              <w:t xml:space="preserve"> 24 Sep 1986 p. 3463-517</w:t>
            </w:r>
            <w:r>
              <w:rPr>
                <w:sz w:val="19"/>
              </w:rPr>
              <w:t xml:space="preserve"> (includes all amendments listed above)</w:t>
            </w:r>
          </w:p>
        </w:tc>
      </w:tr>
      <w:tr>
        <w:trPr>
          <w:cantSplit/>
        </w:trPr>
        <w:tc>
          <w:tcPr>
            <w:tcW w:w="3118" w:type="dxa"/>
          </w:tcPr>
          <w:p>
            <w:pPr>
              <w:pStyle w:val="nTable"/>
              <w:spacing w:after="40"/>
              <w:ind w:right="113"/>
              <w:rPr>
                <w:sz w:val="19"/>
              </w:rPr>
            </w:pPr>
            <w:r>
              <w:rPr>
                <w:i/>
                <w:sz w:val="19"/>
              </w:rPr>
              <w:t>Police Amendment Regulations (No. 2) 1986</w:t>
            </w:r>
          </w:p>
        </w:tc>
        <w:tc>
          <w:tcPr>
            <w:tcW w:w="1276" w:type="dxa"/>
          </w:tcPr>
          <w:p>
            <w:pPr>
              <w:pStyle w:val="nTable"/>
              <w:spacing w:after="40"/>
              <w:rPr>
                <w:sz w:val="19"/>
              </w:rPr>
            </w:pPr>
            <w:r>
              <w:rPr>
                <w:sz w:val="19"/>
              </w:rPr>
              <w:t>31 Oct 1986 p. 4050</w:t>
            </w:r>
            <w:r>
              <w:rPr>
                <w:sz w:val="19"/>
              </w:rPr>
              <w:noBreakHyphen/>
              <w:t>1</w:t>
            </w:r>
          </w:p>
        </w:tc>
        <w:tc>
          <w:tcPr>
            <w:tcW w:w="2693" w:type="dxa"/>
          </w:tcPr>
          <w:p>
            <w:pPr>
              <w:pStyle w:val="nTable"/>
              <w:spacing w:after="40"/>
              <w:rPr>
                <w:sz w:val="19"/>
              </w:rPr>
            </w:pPr>
            <w:r>
              <w:rPr>
                <w:sz w:val="19"/>
              </w:rPr>
              <w:t>31 Oct 1986</w:t>
            </w:r>
          </w:p>
        </w:tc>
      </w:tr>
      <w:tr>
        <w:trPr>
          <w:cantSplit/>
        </w:trPr>
        <w:tc>
          <w:tcPr>
            <w:tcW w:w="3118" w:type="dxa"/>
          </w:tcPr>
          <w:p>
            <w:pPr>
              <w:pStyle w:val="nTable"/>
              <w:spacing w:after="40"/>
              <w:ind w:right="113"/>
              <w:rPr>
                <w:sz w:val="19"/>
              </w:rPr>
            </w:pPr>
            <w:r>
              <w:rPr>
                <w:i/>
                <w:sz w:val="19"/>
              </w:rPr>
              <w:t>Police Amendment Regulations (No. 2) 1987</w:t>
            </w:r>
          </w:p>
        </w:tc>
        <w:tc>
          <w:tcPr>
            <w:tcW w:w="1276" w:type="dxa"/>
          </w:tcPr>
          <w:p>
            <w:pPr>
              <w:pStyle w:val="nTable"/>
              <w:spacing w:after="40"/>
              <w:rPr>
                <w:sz w:val="19"/>
              </w:rPr>
            </w:pPr>
            <w:r>
              <w:rPr>
                <w:sz w:val="19"/>
              </w:rPr>
              <w:t xml:space="preserve">14 Aug 1987 </w:t>
            </w:r>
            <w:r>
              <w:rPr>
                <w:sz w:val="19"/>
              </w:rPr>
              <w:br/>
              <w:t>p. 3167</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ind w:right="113"/>
              <w:rPr>
                <w:sz w:val="19"/>
              </w:rPr>
            </w:pPr>
            <w:r>
              <w:rPr>
                <w:i/>
                <w:sz w:val="19"/>
              </w:rPr>
              <w:t>Police Amendment Regulations 1988</w:t>
            </w:r>
          </w:p>
        </w:tc>
        <w:tc>
          <w:tcPr>
            <w:tcW w:w="1276" w:type="dxa"/>
          </w:tcPr>
          <w:p>
            <w:pPr>
              <w:pStyle w:val="nTable"/>
              <w:spacing w:after="40"/>
              <w:rPr>
                <w:sz w:val="19"/>
              </w:rPr>
            </w:pPr>
            <w:r>
              <w:rPr>
                <w:sz w:val="19"/>
              </w:rPr>
              <w:t xml:space="preserve">22 Jan 1988 </w:t>
            </w:r>
            <w:r>
              <w:rPr>
                <w:sz w:val="19"/>
              </w:rPr>
              <w:br/>
              <w:t>p. 128</w:t>
            </w:r>
          </w:p>
        </w:tc>
        <w:tc>
          <w:tcPr>
            <w:tcW w:w="2693" w:type="dxa"/>
          </w:tcPr>
          <w:p>
            <w:pPr>
              <w:pStyle w:val="nTable"/>
              <w:spacing w:after="40"/>
              <w:rPr>
                <w:sz w:val="19"/>
              </w:rPr>
            </w:pPr>
            <w:r>
              <w:rPr>
                <w:sz w:val="19"/>
              </w:rPr>
              <w:t>22 Jan 1988</w:t>
            </w:r>
          </w:p>
        </w:tc>
      </w:tr>
      <w:tr>
        <w:trPr>
          <w:cantSplit/>
        </w:trPr>
        <w:tc>
          <w:tcPr>
            <w:tcW w:w="3118" w:type="dxa"/>
          </w:tcPr>
          <w:p>
            <w:pPr>
              <w:pStyle w:val="nTable"/>
              <w:spacing w:after="40"/>
              <w:ind w:right="113"/>
              <w:rPr>
                <w:sz w:val="19"/>
              </w:rPr>
            </w:pPr>
            <w:r>
              <w:rPr>
                <w:i/>
                <w:sz w:val="19"/>
              </w:rPr>
              <w:t>Police Amendment Regulations (No. 2) 1988</w:t>
            </w:r>
          </w:p>
        </w:tc>
        <w:tc>
          <w:tcPr>
            <w:tcW w:w="1276" w:type="dxa"/>
          </w:tcPr>
          <w:p>
            <w:pPr>
              <w:pStyle w:val="nTable"/>
              <w:spacing w:after="40"/>
              <w:rPr>
                <w:sz w:val="19"/>
              </w:rPr>
            </w:pPr>
            <w:r>
              <w:rPr>
                <w:sz w:val="19"/>
              </w:rPr>
              <w:t xml:space="preserve">6 May 1988 </w:t>
            </w:r>
            <w:r>
              <w:rPr>
                <w:sz w:val="19"/>
              </w:rPr>
              <w:br/>
              <w:t>p. 1541</w:t>
            </w:r>
          </w:p>
        </w:tc>
        <w:tc>
          <w:tcPr>
            <w:tcW w:w="2693" w:type="dxa"/>
          </w:tcPr>
          <w:p>
            <w:pPr>
              <w:pStyle w:val="nTable"/>
              <w:spacing w:after="40"/>
              <w:rPr>
                <w:sz w:val="19"/>
              </w:rPr>
            </w:pPr>
            <w:r>
              <w:rPr>
                <w:sz w:val="19"/>
              </w:rPr>
              <w:t>6 May 1988</w:t>
            </w:r>
          </w:p>
        </w:tc>
      </w:tr>
      <w:tr>
        <w:trPr>
          <w:cantSplit/>
        </w:trPr>
        <w:tc>
          <w:tcPr>
            <w:tcW w:w="3118" w:type="dxa"/>
          </w:tcPr>
          <w:p>
            <w:pPr>
              <w:pStyle w:val="nTable"/>
              <w:spacing w:after="40"/>
              <w:ind w:right="113"/>
              <w:rPr>
                <w:sz w:val="19"/>
              </w:rPr>
            </w:pPr>
            <w:r>
              <w:rPr>
                <w:i/>
                <w:sz w:val="19"/>
              </w:rPr>
              <w:t>Police Amendment Regulations (No. 3) 1988</w:t>
            </w:r>
          </w:p>
        </w:tc>
        <w:tc>
          <w:tcPr>
            <w:tcW w:w="1276" w:type="dxa"/>
          </w:tcPr>
          <w:p>
            <w:pPr>
              <w:pStyle w:val="nTable"/>
              <w:spacing w:after="40"/>
              <w:rPr>
                <w:sz w:val="19"/>
              </w:rPr>
            </w:pPr>
            <w:r>
              <w:rPr>
                <w:sz w:val="19"/>
              </w:rPr>
              <w:t xml:space="preserve">1 Jul 1988 </w:t>
            </w:r>
            <w:r>
              <w:rPr>
                <w:sz w:val="19"/>
              </w:rPr>
              <w:br/>
              <w:t>p. 2144</w:t>
            </w:r>
          </w:p>
        </w:tc>
        <w:tc>
          <w:tcPr>
            <w:tcW w:w="2693" w:type="dxa"/>
          </w:tcPr>
          <w:p>
            <w:pPr>
              <w:pStyle w:val="nTable"/>
              <w:spacing w:after="40"/>
              <w:rPr>
                <w:sz w:val="19"/>
              </w:rPr>
            </w:pPr>
            <w:r>
              <w:rPr>
                <w:sz w:val="19"/>
              </w:rPr>
              <w:t>1 Jul 1988</w:t>
            </w:r>
          </w:p>
        </w:tc>
      </w:tr>
      <w:tr>
        <w:trPr>
          <w:cantSplit/>
        </w:trPr>
        <w:tc>
          <w:tcPr>
            <w:tcW w:w="3118" w:type="dxa"/>
          </w:tcPr>
          <w:p>
            <w:pPr>
              <w:pStyle w:val="nTable"/>
              <w:spacing w:after="40"/>
              <w:ind w:right="113"/>
              <w:rPr>
                <w:sz w:val="19"/>
              </w:rPr>
            </w:pPr>
            <w:r>
              <w:rPr>
                <w:i/>
                <w:sz w:val="19"/>
              </w:rPr>
              <w:t>Police Amendment Regulations (No. 5)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ind w:right="113"/>
              <w:rPr>
                <w:sz w:val="19"/>
              </w:rPr>
            </w:pPr>
            <w:r>
              <w:rPr>
                <w:i/>
                <w:sz w:val="19"/>
              </w:rPr>
              <w:t>Police Amendment Regulations (No. 4) 1988</w:t>
            </w:r>
          </w:p>
        </w:tc>
        <w:tc>
          <w:tcPr>
            <w:tcW w:w="1276" w:type="dxa"/>
          </w:tcPr>
          <w:p>
            <w:pPr>
              <w:pStyle w:val="nTable"/>
              <w:spacing w:after="40"/>
              <w:rPr>
                <w:sz w:val="19"/>
              </w:rPr>
            </w:pPr>
            <w:r>
              <w:rPr>
                <w:sz w:val="19"/>
              </w:rPr>
              <w:t>18 Nov 1988 p. 4532</w:t>
            </w:r>
          </w:p>
        </w:tc>
        <w:tc>
          <w:tcPr>
            <w:tcW w:w="2693" w:type="dxa"/>
          </w:tcPr>
          <w:p>
            <w:pPr>
              <w:pStyle w:val="nTable"/>
              <w:spacing w:after="40"/>
              <w:rPr>
                <w:sz w:val="19"/>
              </w:rPr>
            </w:pPr>
            <w:r>
              <w:rPr>
                <w:sz w:val="19"/>
              </w:rPr>
              <w:t>18 Nov 1988</w:t>
            </w:r>
          </w:p>
        </w:tc>
      </w:tr>
      <w:tr>
        <w:trPr>
          <w:cantSplit/>
        </w:trPr>
        <w:tc>
          <w:tcPr>
            <w:tcW w:w="3118" w:type="dxa"/>
          </w:tcPr>
          <w:p>
            <w:pPr>
              <w:pStyle w:val="nTable"/>
              <w:spacing w:after="40"/>
              <w:ind w:right="113"/>
              <w:rPr>
                <w:sz w:val="19"/>
              </w:rPr>
            </w:pPr>
            <w:r>
              <w:rPr>
                <w:i/>
                <w:sz w:val="19"/>
              </w:rPr>
              <w:t>Police Amendment Regulations 1989</w:t>
            </w:r>
          </w:p>
        </w:tc>
        <w:tc>
          <w:tcPr>
            <w:tcW w:w="1276" w:type="dxa"/>
          </w:tcPr>
          <w:p>
            <w:pPr>
              <w:pStyle w:val="nTable"/>
              <w:spacing w:after="40"/>
              <w:rPr>
                <w:sz w:val="19"/>
              </w:rPr>
            </w:pPr>
            <w:r>
              <w:rPr>
                <w:sz w:val="19"/>
              </w:rPr>
              <w:t>17 Mar 1989 p. 752</w:t>
            </w:r>
            <w:r>
              <w:rPr>
                <w:sz w:val="19"/>
              </w:rPr>
              <w:noBreakHyphen/>
              <w:t>3</w:t>
            </w:r>
          </w:p>
        </w:tc>
        <w:tc>
          <w:tcPr>
            <w:tcW w:w="2693" w:type="dxa"/>
          </w:tcPr>
          <w:p>
            <w:pPr>
              <w:pStyle w:val="nTable"/>
              <w:spacing w:after="40"/>
              <w:rPr>
                <w:sz w:val="19"/>
              </w:rPr>
            </w:pPr>
            <w:r>
              <w:rPr>
                <w:sz w:val="19"/>
              </w:rPr>
              <w:t>17 Mar 1989</w:t>
            </w:r>
          </w:p>
        </w:tc>
      </w:tr>
      <w:tr>
        <w:trPr>
          <w:cantSplit/>
        </w:trPr>
        <w:tc>
          <w:tcPr>
            <w:tcW w:w="3118" w:type="dxa"/>
          </w:tcPr>
          <w:p>
            <w:pPr>
              <w:pStyle w:val="nTable"/>
              <w:spacing w:after="40"/>
              <w:ind w:right="113"/>
              <w:rPr>
                <w:sz w:val="19"/>
              </w:rPr>
            </w:pPr>
            <w:r>
              <w:rPr>
                <w:i/>
                <w:sz w:val="19"/>
              </w:rPr>
              <w:t>Police Amendment Regulations (No. 2) 1989</w:t>
            </w:r>
          </w:p>
        </w:tc>
        <w:tc>
          <w:tcPr>
            <w:tcW w:w="1276" w:type="dxa"/>
          </w:tcPr>
          <w:p>
            <w:pPr>
              <w:pStyle w:val="nTable"/>
              <w:spacing w:after="40"/>
              <w:rPr>
                <w:sz w:val="19"/>
              </w:rPr>
            </w:pPr>
            <w:r>
              <w:rPr>
                <w:sz w:val="19"/>
              </w:rPr>
              <w:t>9 Jun 1989 p. 1666</w:t>
            </w:r>
          </w:p>
        </w:tc>
        <w:tc>
          <w:tcPr>
            <w:tcW w:w="2693" w:type="dxa"/>
          </w:tcPr>
          <w:p>
            <w:pPr>
              <w:pStyle w:val="nTable"/>
              <w:spacing w:after="40"/>
              <w:rPr>
                <w:sz w:val="19"/>
              </w:rPr>
            </w:pPr>
            <w:r>
              <w:rPr>
                <w:sz w:val="19"/>
              </w:rPr>
              <w:t>9 Jun 1989</w:t>
            </w:r>
          </w:p>
        </w:tc>
      </w:tr>
      <w:tr>
        <w:trPr>
          <w:cantSplit/>
        </w:trPr>
        <w:tc>
          <w:tcPr>
            <w:tcW w:w="3118" w:type="dxa"/>
          </w:tcPr>
          <w:p>
            <w:pPr>
              <w:pStyle w:val="nTable"/>
              <w:spacing w:after="40"/>
              <w:ind w:right="113"/>
              <w:rPr>
                <w:sz w:val="19"/>
              </w:rPr>
            </w:pPr>
            <w:r>
              <w:rPr>
                <w:i/>
                <w:sz w:val="19"/>
              </w:rPr>
              <w:t>Police Amendment Regulations (No. 3) 1989</w:t>
            </w:r>
          </w:p>
        </w:tc>
        <w:tc>
          <w:tcPr>
            <w:tcW w:w="1276" w:type="dxa"/>
          </w:tcPr>
          <w:p>
            <w:pPr>
              <w:pStyle w:val="nTable"/>
              <w:spacing w:after="40"/>
              <w:rPr>
                <w:sz w:val="19"/>
              </w:rPr>
            </w:pPr>
            <w:r>
              <w:rPr>
                <w:sz w:val="19"/>
              </w:rPr>
              <w:t>6 Oct 1989 p. 3739</w:t>
            </w:r>
            <w:r>
              <w:rPr>
                <w:sz w:val="19"/>
              </w:rPr>
              <w:noBreakHyphen/>
              <w:t>41</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Police Amendment Regulations (No. 4) 1989</w:t>
            </w:r>
          </w:p>
        </w:tc>
        <w:tc>
          <w:tcPr>
            <w:tcW w:w="1276" w:type="dxa"/>
          </w:tcPr>
          <w:p>
            <w:pPr>
              <w:pStyle w:val="nTable"/>
              <w:spacing w:after="40"/>
              <w:rPr>
                <w:sz w:val="19"/>
              </w:rPr>
            </w:pPr>
            <w:r>
              <w:rPr>
                <w:sz w:val="19"/>
              </w:rPr>
              <w:t>27 Oct 1989 p. 3888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Police Amendment Regulations (No. 6) 1989</w:t>
            </w:r>
          </w:p>
        </w:tc>
        <w:tc>
          <w:tcPr>
            <w:tcW w:w="1276" w:type="dxa"/>
          </w:tcPr>
          <w:p>
            <w:pPr>
              <w:pStyle w:val="nTable"/>
              <w:spacing w:after="40"/>
              <w:rPr>
                <w:sz w:val="19"/>
              </w:rPr>
            </w:pPr>
            <w:r>
              <w:rPr>
                <w:sz w:val="19"/>
              </w:rPr>
              <w:t>17 Nov 1989 p. 4110</w:t>
            </w:r>
            <w:r>
              <w:rPr>
                <w:sz w:val="19"/>
              </w:rPr>
              <w:noBreakHyphen/>
              <w:t>12</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rPr>
            </w:pPr>
            <w:r>
              <w:rPr>
                <w:i/>
                <w:sz w:val="19"/>
              </w:rPr>
              <w:t>Police Amendment Regulations (No. 5) 1989</w:t>
            </w:r>
          </w:p>
        </w:tc>
        <w:tc>
          <w:tcPr>
            <w:tcW w:w="1276" w:type="dxa"/>
          </w:tcPr>
          <w:p>
            <w:pPr>
              <w:pStyle w:val="nTable"/>
              <w:spacing w:after="40"/>
              <w:rPr>
                <w:sz w:val="19"/>
              </w:rPr>
            </w:pPr>
            <w:r>
              <w:rPr>
                <w:sz w:val="19"/>
              </w:rPr>
              <w:t>1 Dec 1989 p. 4395</w:t>
            </w:r>
            <w:r>
              <w:rPr>
                <w:sz w:val="19"/>
              </w:rPr>
              <w:noBreakHyphen/>
              <w:t>6</w:t>
            </w:r>
          </w:p>
        </w:tc>
        <w:tc>
          <w:tcPr>
            <w:tcW w:w="2693" w:type="dxa"/>
          </w:tcPr>
          <w:p>
            <w:pPr>
              <w:pStyle w:val="nTable"/>
              <w:spacing w:after="40"/>
              <w:rPr>
                <w:sz w:val="19"/>
              </w:rPr>
            </w:pPr>
            <w:r>
              <w:rPr>
                <w:sz w:val="19"/>
              </w:rPr>
              <w:t>1 Dec 1989</w:t>
            </w:r>
          </w:p>
        </w:tc>
      </w:tr>
      <w:tr>
        <w:trPr>
          <w:cantSplit/>
        </w:trPr>
        <w:tc>
          <w:tcPr>
            <w:tcW w:w="3118" w:type="dxa"/>
          </w:tcPr>
          <w:p>
            <w:pPr>
              <w:pStyle w:val="nTable"/>
              <w:spacing w:after="40"/>
              <w:ind w:right="113"/>
              <w:rPr>
                <w:sz w:val="19"/>
              </w:rPr>
            </w:pPr>
            <w:r>
              <w:rPr>
                <w:i/>
                <w:sz w:val="19"/>
              </w:rPr>
              <w:t>Police Force Amendment Regulations (No. 8) 1989</w:t>
            </w:r>
          </w:p>
        </w:tc>
        <w:tc>
          <w:tcPr>
            <w:tcW w:w="1276" w:type="dxa"/>
          </w:tcPr>
          <w:p>
            <w:pPr>
              <w:pStyle w:val="nTable"/>
              <w:spacing w:after="40"/>
              <w:rPr>
                <w:sz w:val="19"/>
              </w:rPr>
            </w:pPr>
            <w:r>
              <w:rPr>
                <w:sz w:val="19"/>
              </w:rPr>
              <w:t>8 Dec 1989 p. 4462</w:t>
            </w:r>
          </w:p>
        </w:tc>
        <w:tc>
          <w:tcPr>
            <w:tcW w:w="2693" w:type="dxa"/>
          </w:tcPr>
          <w:p>
            <w:pPr>
              <w:pStyle w:val="nTable"/>
              <w:spacing w:after="40"/>
              <w:rPr>
                <w:sz w:val="19"/>
              </w:rPr>
            </w:pPr>
            <w:r>
              <w:rPr>
                <w:sz w:val="19"/>
              </w:rPr>
              <w:t>8 Dec 1989</w:t>
            </w:r>
          </w:p>
        </w:tc>
      </w:tr>
      <w:tr>
        <w:trPr>
          <w:cantSplit/>
        </w:trPr>
        <w:tc>
          <w:tcPr>
            <w:tcW w:w="3118" w:type="dxa"/>
          </w:tcPr>
          <w:p>
            <w:pPr>
              <w:pStyle w:val="nTable"/>
              <w:spacing w:after="40"/>
              <w:ind w:right="113"/>
              <w:rPr>
                <w:sz w:val="19"/>
              </w:rPr>
            </w:pPr>
            <w:r>
              <w:rPr>
                <w:i/>
                <w:sz w:val="19"/>
              </w:rPr>
              <w:t>Police Force Amendment Regulations 1990</w:t>
            </w:r>
          </w:p>
        </w:tc>
        <w:tc>
          <w:tcPr>
            <w:tcW w:w="1276" w:type="dxa"/>
          </w:tcPr>
          <w:p>
            <w:pPr>
              <w:pStyle w:val="nTable"/>
              <w:spacing w:after="40"/>
              <w:rPr>
                <w:sz w:val="19"/>
              </w:rPr>
            </w:pPr>
            <w:r>
              <w:rPr>
                <w:sz w:val="19"/>
              </w:rPr>
              <w:t>2 Feb 1990 p. 788</w:t>
            </w:r>
            <w:r>
              <w:rPr>
                <w:sz w:val="19"/>
              </w:rPr>
              <w:noBreakHyphen/>
              <w:t>90</w:t>
            </w:r>
          </w:p>
        </w:tc>
        <w:tc>
          <w:tcPr>
            <w:tcW w:w="2693" w:type="dxa"/>
          </w:tcPr>
          <w:p>
            <w:pPr>
              <w:pStyle w:val="nTable"/>
              <w:spacing w:after="40"/>
              <w:rPr>
                <w:sz w:val="19"/>
              </w:rPr>
            </w:pPr>
            <w:r>
              <w:rPr>
                <w:sz w:val="19"/>
              </w:rPr>
              <w:t>2 Feb 1990</w:t>
            </w:r>
          </w:p>
        </w:tc>
      </w:tr>
      <w:tr>
        <w:trPr>
          <w:cantSplit/>
        </w:trPr>
        <w:tc>
          <w:tcPr>
            <w:tcW w:w="3118" w:type="dxa"/>
          </w:tcPr>
          <w:p>
            <w:pPr>
              <w:pStyle w:val="nTable"/>
              <w:spacing w:after="40"/>
              <w:ind w:right="113"/>
              <w:rPr>
                <w:sz w:val="19"/>
              </w:rPr>
            </w:pPr>
            <w:r>
              <w:rPr>
                <w:i/>
                <w:sz w:val="19"/>
              </w:rPr>
              <w:t>Police Force Amendment Regulations (No. 2) 1990</w:t>
            </w:r>
          </w:p>
        </w:tc>
        <w:tc>
          <w:tcPr>
            <w:tcW w:w="1276" w:type="dxa"/>
          </w:tcPr>
          <w:p>
            <w:pPr>
              <w:pStyle w:val="nTable"/>
              <w:spacing w:after="40"/>
              <w:rPr>
                <w:sz w:val="19"/>
              </w:rPr>
            </w:pPr>
            <w:r>
              <w:rPr>
                <w:sz w:val="19"/>
              </w:rPr>
              <w:t>30 Mar 1990 p. 1646</w:t>
            </w:r>
            <w:r>
              <w:rPr>
                <w:sz w:val="19"/>
              </w:rPr>
              <w:noBreakHyphen/>
              <w:t>60 (erratum 6 Apr 1990 p. 1766)</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ind w:right="113"/>
              <w:rPr>
                <w:sz w:val="19"/>
              </w:rPr>
            </w:pPr>
            <w:r>
              <w:rPr>
                <w:i/>
                <w:sz w:val="19"/>
              </w:rPr>
              <w:t>Police Force Amendment Regulations 1992</w:t>
            </w:r>
          </w:p>
        </w:tc>
        <w:tc>
          <w:tcPr>
            <w:tcW w:w="1276" w:type="dxa"/>
          </w:tcPr>
          <w:p>
            <w:pPr>
              <w:pStyle w:val="nTable"/>
              <w:spacing w:after="40"/>
              <w:rPr>
                <w:sz w:val="19"/>
              </w:rPr>
            </w:pPr>
            <w:r>
              <w:rPr>
                <w:sz w:val="19"/>
              </w:rPr>
              <w:t>14 Jul 1992 p. 3364</w:t>
            </w:r>
            <w:r>
              <w:rPr>
                <w:sz w:val="19"/>
              </w:rPr>
              <w:noBreakHyphen/>
              <w:t>70</w:t>
            </w:r>
          </w:p>
        </w:tc>
        <w:tc>
          <w:tcPr>
            <w:tcW w:w="2693" w:type="dxa"/>
          </w:tcPr>
          <w:p>
            <w:pPr>
              <w:pStyle w:val="nTable"/>
              <w:spacing w:after="40"/>
              <w:rPr>
                <w:sz w:val="19"/>
              </w:rPr>
            </w:pPr>
            <w:r>
              <w:rPr>
                <w:sz w:val="19"/>
              </w:rPr>
              <w:t>14 Jul 1992</w:t>
            </w:r>
          </w:p>
        </w:tc>
      </w:tr>
      <w:tr>
        <w:trPr>
          <w:cantSplit/>
        </w:trPr>
        <w:tc>
          <w:tcPr>
            <w:tcW w:w="3118" w:type="dxa"/>
          </w:tcPr>
          <w:p>
            <w:pPr>
              <w:pStyle w:val="nTable"/>
              <w:spacing w:after="40"/>
              <w:ind w:right="113"/>
              <w:rPr>
                <w:sz w:val="19"/>
              </w:rPr>
            </w:pPr>
            <w:r>
              <w:rPr>
                <w:i/>
                <w:sz w:val="19"/>
              </w:rPr>
              <w:t>Police Force Amendment Regulations 1994</w:t>
            </w:r>
          </w:p>
        </w:tc>
        <w:tc>
          <w:tcPr>
            <w:tcW w:w="1276" w:type="dxa"/>
          </w:tcPr>
          <w:p>
            <w:pPr>
              <w:pStyle w:val="nTable"/>
              <w:spacing w:after="40"/>
              <w:rPr>
                <w:sz w:val="19"/>
              </w:rPr>
            </w:pPr>
            <w:r>
              <w:rPr>
                <w:sz w:val="19"/>
              </w:rPr>
              <w:t>18 Nov 1994 p. 5866</w:t>
            </w:r>
            <w:r>
              <w:rPr>
                <w:sz w:val="19"/>
              </w:rPr>
              <w:noBreakHyphen/>
              <w:t>7</w:t>
            </w:r>
          </w:p>
        </w:tc>
        <w:tc>
          <w:tcPr>
            <w:tcW w:w="2693" w:type="dxa"/>
          </w:tcPr>
          <w:p>
            <w:pPr>
              <w:pStyle w:val="nTable"/>
              <w:spacing w:after="40"/>
              <w:rPr>
                <w:sz w:val="19"/>
              </w:rPr>
            </w:pPr>
            <w:r>
              <w:rPr>
                <w:sz w:val="19"/>
              </w:rPr>
              <w:t>18 Nov 1994</w:t>
            </w:r>
          </w:p>
        </w:tc>
      </w:tr>
      <w:tr>
        <w:trPr>
          <w:cantSplit/>
        </w:trPr>
        <w:tc>
          <w:tcPr>
            <w:tcW w:w="3118" w:type="dxa"/>
          </w:tcPr>
          <w:p>
            <w:pPr>
              <w:pStyle w:val="nTable"/>
              <w:spacing w:after="40"/>
              <w:ind w:right="113"/>
              <w:rPr>
                <w:sz w:val="19"/>
              </w:rPr>
            </w:pPr>
            <w:r>
              <w:rPr>
                <w:i/>
                <w:sz w:val="19"/>
              </w:rPr>
              <w:t>Police Force Amendment Regulations (No. 2) 1994</w:t>
            </w:r>
          </w:p>
        </w:tc>
        <w:tc>
          <w:tcPr>
            <w:tcW w:w="1276" w:type="dxa"/>
          </w:tcPr>
          <w:p>
            <w:pPr>
              <w:pStyle w:val="nTable"/>
              <w:spacing w:after="40"/>
              <w:rPr>
                <w:sz w:val="19"/>
              </w:rPr>
            </w:pPr>
            <w:r>
              <w:rPr>
                <w:sz w:val="19"/>
              </w:rPr>
              <w:t>7 Feb 1995 p. 422</w:t>
            </w:r>
          </w:p>
        </w:tc>
        <w:tc>
          <w:tcPr>
            <w:tcW w:w="2693" w:type="dxa"/>
          </w:tcPr>
          <w:p>
            <w:pPr>
              <w:pStyle w:val="nTable"/>
              <w:spacing w:after="40"/>
              <w:rPr>
                <w:sz w:val="19"/>
              </w:rPr>
            </w:pPr>
            <w:r>
              <w:rPr>
                <w:sz w:val="19"/>
              </w:rPr>
              <w:t>7 Feb 1995</w:t>
            </w:r>
          </w:p>
        </w:tc>
      </w:tr>
      <w:tr>
        <w:trPr>
          <w:cantSplit/>
        </w:trPr>
        <w:tc>
          <w:tcPr>
            <w:tcW w:w="3118" w:type="dxa"/>
          </w:tcPr>
          <w:p>
            <w:pPr>
              <w:pStyle w:val="nTable"/>
              <w:spacing w:after="40"/>
              <w:ind w:right="113"/>
              <w:rPr>
                <w:sz w:val="19"/>
                <w:vertAlign w:val="superscript"/>
              </w:rPr>
            </w:pPr>
            <w:r>
              <w:rPr>
                <w:i/>
                <w:sz w:val="19"/>
              </w:rPr>
              <w:t xml:space="preserve">Police Force Amendment Regulations (No. 2) 1995 </w:t>
            </w:r>
            <w:r>
              <w:rPr>
                <w:sz w:val="19"/>
                <w:vertAlign w:val="superscript"/>
              </w:rPr>
              <w:t>6</w:t>
            </w:r>
          </w:p>
        </w:tc>
        <w:tc>
          <w:tcPr>
            <w:tcW w:w="1276" w:type="dxa"/>
          </w:tcPr>
          <w:p>
            <w:pPr>
              <w:pStyle w:val="nTable"/>
              <w:spacing w:after="40"/>
              <w:rPr>
                <w:sz w:val="19"/>
              </w:rPr>
            </w:pPr>
            <w:r>
              <w:rPr>
                <w:sz w:val="19"/>
              </w:rPr>
              <w:t>17 Mar 1995 p. 1055</w:t>
            </w:r>
          </w:p>
        </w:tc>
        <w:tc>
          <w:tcPr>
            <w:tcW w:w="2693" w:type="dxa"/>
          </w:tcPr>
          <w:p>
            <w:pPr>
              <w:pStyle w:val="nTable"/>
              <w:spacing w:after="40"/>
              <w:rPr>
                <w:sz w:val="19"/>
              </w:rPr>
            </w:pPr>
            <w:r>
              <w:rPr>
                <w:sz w:val="19"/>
              </w:rPr>
              <w:t>17 Mar 1995</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30 Jan 1996 </w:t>
            </w:r>
            <w:r>
              <w:rPr>
                <w:sz w:val="19"/>
              </w:rPr>
              <w:t>(includes amendments listed above)</w:t>
            </w:r>
          </w:p>
        </w:tc>
      </w:tr>
      <w:tr>
        <w:trPr>
          <w:cantSplit/>
        </w:trPr>
        <w:tc>
          <w:tcPr>
            <w:tcW w:w="3118" w:type="dxa"/>
          </w:tcPr>
          <w:p>
            <w:pPr>
              <w:pStyle w:val="nTable"/>
              <w:spacing w:after="40"/>
              <w:ind w:right="113"/>
              <w:rPr>
                <w:sz w:val="19"/>
              </w:rPr>
            </w:pPr>
            <w:r>
              <w:rPr>
                <w:i/>
                <w:sz w:val="19"/>
              </w:rPr>
              <w:t>Police Force Amendment Regulations (No. 2) 1996</w:t>
            </w:r>
          </w:p>
        </w:tc>
        <w:tc>
          <w:tcPr>
            <w:tcW w:w="1276" w:type="dxa"/>
          </w:tcPr>
          <w:p>
            <w:pPr>
              <w:pStyle w:val="nTable"/>
              <w:spacing w:after="40"/>
              <w:rPr>
                <w:sz w:val="19"/>
              </w:rPr>
            </w:pPr>
            <w:r>
              <w:rPr>
                <w:sz w:val="19"/>
              </w:rPr>
              <w:t>20 Sep 1996 p. 4750</w:t>
            </w:r>
          </w:p>
        </w:tc>
        <w:tc>
          <w:tcPr>
            <w:tcW w:w="2693" w:type="dxa"/>
          </w:tcPr>
          <w:p>
            <w:pPr>
              <w:pStyle w:val="nTable"/>
              <w:spacing w:after="40"/>
              <w:rPr>
                <w:sz w:val="19"/>
              </w:rPr>
            </w:pPr>
            <w:r>
              <w:rPr>
                <w:sz w:val="19"/>
              </w:rPr>
              <w:t>20 Sep 1996</w:t>
            </w:r>
          </w:p>
        </w:tc>
      </w:tr>
      <w:tr>
        <w:trPr>
          <w:cantSplit/>
        </w:trPr>
        <w:tc>
          <w:tcPr>
            <w:tcW w:w="3118" w:type="dxa"/>
          </w:tcPr>
          <w:p>
            <w:pPr>
              <w:pStyle w:val="nTable"/>
              <w:spacing w:after="40"/>
              <w:ind w:right="113"/>
              <w:rPr>
                <w:sz w:val="19"/>
              </w:rPr>
            </w:pPr>
            <w:r>
              <w:rPr>
                <w:i/>
                <w:sz w:val="19"/>
              </w:rPr>
              <w:t>Police Force Amendment Regulations 1997</w:t>
            </w:r>
          </w:p>
        </w:tc>
        <w:tc>
          <w:tcPr>
            <w:tcW w:w="1276" w:type="dxa"/>
          </w:tcPr>
          <w:p>
            <w:pPr>
              <w:pStyle w:val="nTable"/>
              <w:spacing w:after="40"/>
              <w:rPr>
                <w:sz w:val="19"/>
              </w:rPr>
            </w:pPr>
            <w:r>
              <w:rPr>
                <w:sz w:val="19"/>
              </w:rPr>
              <w:t>22 Aug 1997 p. 4815</w:t>
            </w:r>
          </w:p>
        </w:tc>
        <w:tc>
          <w:tcPr>
            <w:tcW w:w="2693" w:type="dxa"/>
          </w:tcPr>
          <w:p>
            <w:pPr>
              <w:pStyle w:val="nTable"/>
              <w:spacing w:after="40"/>
              <w:rPr>
                <w:sz w:val="19"/>
              </w:rPr>
            </w:pPr>
            <w:r>
              <w:rPr>
                <w:sz w:val="19"/>
              </w:rPr>
              <w:t>22 Aug 1997</w:t>
            </w:r>
          </w:p>
        </w:tc>
      </w:tr>
      <w:tr>
        <w:trPr>
          <w:cantSplit/>
        </w:trPr>
        <w:tc>
          <w:tcPr>
            <w:tcW w:w="3118" w:type="dxa"/>
          </w:tcPr>
          <w:p>
            <w:pPr>
              <w:pStyle w:val="nTable"/>
              <w:spacing w:after="40"/>
              <w:ind w:right="113"/>
              <w:rPr>
                <w:sz w:val="19"/>
              </w:rPr>
            </w:pPr>
            <w:r>
              <w:rPr>
                <w:i/>
                <w:spacing w:val="-2"/>
                <w:sz w:val="19"/>
              </w:rPr>
              <w:t>Police Force Amendment Regulations (No. 4) 1997</w:t>
            </w:r>
          </w:p>
        </w:tc>
        <w:tc>
          <w:tcPr>
            <w:tcW w:w="1276" w:type="dxa"/>
          </w:tcPr>
          <w:p>
            <w:pPr>
              <w:pStyle w:val="nTable"/>
              <w:spacing w:after="40"/>
              <w:rPr>
                <w:sz w:val="19"/>
              </w:rPr>
            </w:pPr>
            <w:r>
              <w:rPr>
                <w:spacing w:val="-2"/>
                <w:sz w:val="19"/>
              </w:rPr>
              <w:t>14 Nov 1997 p. 6457</w:t>
            </w:r>
          </w:p>
        </w:tc>
        <w:tc>
          <w:tcPr>
            <w:tcW w:w="2693" w:type="dxa"/>
          </w:tcPr>
          <w:p>
            <w:pPr>
              <w:pStyle w:val="nTable"/>
              <w:spacing w:after="40"/>
              <w:rPr>
                <w:sz w:val="19"/>
              </w:rPr>
            </w:pPr>
            <w:r>
              <w:rPr>
                <w:spacing w:val="-2"/>
                <w:sz w:val="19"/>
              </w:rPr>
              <w:t>14 Nov 1997</w:t>
            </w:r>
          </w:p>
        </w:tc>
      </w:tr>
      <w:tr>
        <w:trPr>
          <w:cantSplit/>
        </w:trPr>
        <w:tc>
          <w:tcPr>
            <w:tcW w:w="3118" w:type="dxa"/>
          </w:tcPr>
          <w:p>
            <w:pPr>
              <w:pStyle w:val="nTable"/>
              <w:spacing w:after="40"/>
              <w:ind w:right="113"/>
              <w:rPr>
                <w:sz w:val="19"/>
              </w:rPr>
            </w:pPr>
            <w:r>
              <w:rPr>
                <w:i/>
                <w:sz w:val="19"/>
              </w:rPr>
              <w:t>Police Force Amendment Regulations (No. 2) 1997</w:t>
            </w:r>
          </w:p>
        </w:tc>
        <w:tc>
          <w:tcPr>
            <w:tcW w:w="1276" w:type="dxa"/>
          </w:tcPr>
          <w:p>
            <w:pPr>
              <w:pStyle w:val="nTable"/>
              <w:spacing w:after="40"/>
              <w:rPr>
                <w:sz w:val="19"/>
              </w:rPr>
            </w:pPr>
            <w:r>
              <w:rPr>
                <w:sz w:val="19"/>
              </w:rPr>
              <w:t>6 Jan 1998 p. 36</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pacing w:val="-2"/>
                <w:sz w:val="19"/>
                <w:vertAlign w:val="superscript"/>
              </w:rPr>
            </w:pPr>
            <w:r>
              <w:rPr>
                <w:i/>
                <w:spacing w:val="-2"/>
                <w:sz w:val="19"/>
              </w:rPr>
              <w:t xml:space="preserve">Police Force Amendment Regulations (No. 2) 1998 </w:t>
            </w:r>
            <w:r>
              <w:rPr>
                <w:spacing w:val="-2"/>
                <w:sz w:val="19"/>
                <w:vertAlign w:val="superscript"/>
              </w:rPr>
              <w:t>7</w:t>
            </w:r>
          </w:p>
        </w:tc>
        <w:tc>
          <w:tcPr>
            <w:tcW w:w="1276" w:type="dxa"/>
          </w:tcPr>
          <w:p>
            <w:pPr>
              <w:pStyle w:val="nTable"/>
              <w:spacing w:after="40"/>
              <w:rPr>
                <w:spacing w:val="-2"/>
                <w:sz w:val="19"/>
              </w:rPr>
            </w:pPr>
            <w:r>
              <w:rPr>
                <w:spacing w:val="-2"/>
                <w:sz w:val="19"/>
              </w:rPr>
              <w:t>21 Aug 1998 p. 4678</w:t>
            </w:r>
            <w:r>
              <w:rPr>
                <w:spacing w:val="-2"/>
                <w:sz w:val="19"/>
              </w:rPr>
              <w:noBreakHyphen/>
              <w:t>9</w:t>
            </w:r>
          </w:p>
        </w:tc>
        <w:tc>
          <w:tcPr>
            <w:tcW w:w="2693" w:type="dxa"/>
          </w:tcPr>
          <w:p>
            <w:pPr>
              <w:pStyle w:val="nTable"/>
              <w:spacing w:after="40"/>
              <w:rPr>
                <w:spacing w:val="-2"/>
                <w:sz w:val="19"/>
              </w:rPr>
            </w:pPr>
            <w:r>
              <w:rPr>
                <w:spacing w:val="-2"/>
                <w:sz w:val="19"/>
              </w:rPr>
              <w:t>21 Aug 1998</w:t>
            </w:r>
          </w:p>
        </w:tc>
      </w:tr>
      <w:tr>
        <w:trPr>
          <w:cantSplit/>
        </w:trPr>
        <w:tc>
          <w:tcPr>
            <w:tcW w:w="3118" w:type="dxa"/>
          </w:tcPr>
          <w:p>
            <w:pPr>
              <w:pStyle w:val="nTable"/>
              <w:spacing w:after="40"/>
              <w:ind w:right="113"/>
              <w:rPr>
                <w:i/>
                <w:spacing w:val="-2"/>
                <w:sz w:val="19"/>
              </w:rPr>
            </w:pPr>
            <w:r>
              <w:rPr>
                <w:i/>
                <w:spacing w:val="-2"/>
                <w:sz w:val="19"/>
              </w:rPr>
              <w:t>Police Force Amendment Regulations (No. 4) 1998</w:t>
            </w:r>
          </w:p>
        </w:tc>
        <w:tc>
          <w:tcPr>
            <w:tcW w:w="1276" w:type="dxa"/>
          </w:tcPr>
          <w:p>
            <w:pPr>
              <w:pStyle w:val="nTable"/>
              <w:spacing w:after="40"/>
              <w:rPr>
                <w:spacing w:val="-2"/>
                <w:sz w:val="19"/>
              </w:rPr>
            </w:pPr>
            <w:r>
              <w:rPr>
                <w:spacing w:val="-2"/>
                <w:sz w:val="19"/>
              </w:rPr>
              <w:t>13 Nov 1998 p. 6232</w:t>
            </w:r>
          </w:p>
        </w:tc>
        <w:tc>
          <w:tcPr>
            <w:tcW w:w="2693" w:type="dxa"/>
          </w:tcPr>
          <w:p>
            <w:pPr>
              <w:pStyle w:val="nTable"/>
              <w:spacing w:after="40"/>
              <w:rPr>
                <w:spacing w:val="-2"/>
                <w:sz w:val="19"/>
              </w:rPr>
            </w:pPr>
            <w:r>
              <w:rPr>
                <w:spacing w:val="-2"/>
                <w:sz w:val="19"/>
              </w:rPr>
              <w:t>13 Nov 1998</w:t>
            </w:r>
          </w:p>
        </w:tc>
      </w:tr>
      <w:tr>
        <w:trPr>
          <w:cantSplit/>
        </w:trPr>
        <w:tc>
          <w:tcPr>
            <w:tcW w:w="3118" w:type="dxa"/>
          </w:tcPr>
          <w:p>
            <w:pPr>
              <w:pStyle w:val="nTable"/>
              <w:spacing w:after="40"/>
              <w:ind w:right="113"/>
              <w:rPr>
                <w:i/>
                <w:spacing w:val="-2"/>
                <w:sz w:val="19"/>
              </w:rPr>
            </w:pPr>
            <w:r>
              <w:rPr>
                <w:i/>
                <w:spacing w:val="-2"/>
                <w:sz w:val="19"/>
              </w:rPr>
              <w:t>Police Force Amendment Regulations (No. 2) 2000</w:t>
            </w:r>
          </w:p>
        </w:tc>
        <w:tc>
          <w:tcPr>
            <w:tcW w:w="1276" w:type="dxa"/>
          </w:tcPr>
          <w:p>
            <w:pPr>
              <w:pStyle w:val="nTable"/>
              <w:spacing w:after="40"/>
              <w:rPr>
                <w:spacing w:val="-2"/>
                <w:sz w:val="19"/>
              </w:rPr>
            </w:pPr>
            <w:r>
              <w:rPr>
                <w:spacing w:val="-2"/>
                <w:sz w:val="19"/>
              </w:rPr>
              <w:t>28 Nov 2000 p. 6628</w:t>
            </w:r>
          </w:p>
        </w:tc>
        <w:tc>
          <w:tcPr>
            <w:tcW w:w="2693" w:type="dxa"/>
          </w:tcPr>
          <w:p>
            <w:pPr>
              <w:pStyle w:val="nTable"/>
              <w:spacing w:after="40"/>
              <w:rPr>
                <w:spacing w:val="-2"/>
                <w:sz w:val="19"/>
              </w:rPr>
            </w:pPr>
            <w:r>
              <w:rPr>
                <w:spacing w:val="-2"/>
                <w:sz w:val="19"/>
              </w:rPr>
              <w:t>28 Nov 2000</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15 Jun 2001 </w:t>
            </w:r>
            <w:r>
              <w:rPr>
                <w:sz w:val="19"/>
              </w:rPr>
              <w:t>(includes amendments listed above)</w:t>
            </w:r>
          </w:p>
        </w:tc>
      </w:tr>
      <w:tr>
        <w:trPr>
          <w:cantSplit/>
        </w:trPr>
        <w:tc>
          <w:tcPr>
            <w:tcW w:w="3118" w:type="dxa"/>
          </w:tcPr>
          <w:p>
            <w:pPr>
              <w:pStyle w:val="nTable"/>
              <w:spacing w:after="40"/>
              <w:ind w:right="113"/>
              <w:rPr>
                <w:i/>
                <w:spacing w:val="-2"/>
                <w:sz w:val="19"/>
              </w:rPr>
            </w:pPr>
            <w:r>
              <w:rPr>
                <w:i/>
                <w:spacing w:val="-2"/>
                <w:sz w:val="19"/>
              </w:rPr>
              <w:t>Police Force Amendment Regulations 2001</w:t>
            </w:r>
          </w:p>
        </w:tc>
        <w:tc>
          <w:tcPr>
            <w:tcW w:w="1276" w:type="dxa"/>
          </w:tcPr>
          <w:p>
            <w:pPr>
              <w:pStyle w:val="nTable"/>
              <w:spacing w:after="40"/>
              <w:rPr>
                <w:spacing w:val="-2"/>
                <w:sz w:val="19"/>
              </w:rPr>
            </w:pPr>
            <w:r>
              <w:rPr>
                <w:spacing w:val="-2"/>
                <w:sz w:val="19"/>
              </w:rPr>
              <w:t>10 Aug 2001 p. 4213</w:t>
            </w:r>
            <w:r>
              <w:rPr>
                <w:spacing w:val="-2"/>
                <w:sz w:val="19"/>
              </w:rPr>
              <w:noBreakHyphen/>
              <w:t>14</w:t>
            </w:r>
          </w:p>
        </w:tc>
        <w:tc>
          <w:tcPr>
            <w:tcW w:w="2693" w:type="dxa"/>
          </w:tcPr>
          <w:p>
            <w:pPr>
              <w:pStyle w:val="nTable"/>
              <w:spacing w:after="40"/>
              <w:rPr>
                <w:spacing w:val="-2"/>
                <w:sz w:val="19"/>
              </w:rPr>
            </w:pPr>
            <w:r>
              <w:rPr>
                <w:spacing w:val="-2"/>
                <w:sz w:val="19"/>
              </w:rPr>
              <w:t>10 Aug 2001</w:t>
            </w:r>
          </w:p>
        </w:tc>
      </w:tr>
      <w:tr>
        <w:trPr>
          <w:cantSplit/>
        </w:trPr>
        <w:tc>
          <w:tcPr>
            <w:tcW w:w="3118" w:type="dxa"/>
          </w:tcPr>
          <w:p>
            <w:pPr>
              <w:pStyle w:val="nTable"/>
              <w:spacing w:after="40"/>
              <w:ind w:right="113"/>
              <w:rPr>
                <w:i/>
                <w:spacing w:val="-2"/>
                <w:sz w:val="19"/>
              </w:rPr>
            </w:pPr>
            <w:r>
              <w:rPr>
                <w:i/>
                <w:sz w:val="19"/>
              </w:rPr>
              <w:t>Equality of Status Subsidiary Legislation Amendment Regulations 2003</w:t>
            </w:r>
            <w:r>
              <w:rPr>
                <w:sz w:val="19"/>
              </w:rPr>
              <w:t xml:space="preserve"> Pt. 31</w:t>
            </w:r>
          </w:p>
        </w:tc>
        <w:tc>
          <w:tcPr>
            <w:tcW w:w="1276" w:type="dxa"/>
          </w:tcPr>
          <w:p>
            <w:pPr>
              <w:pStyle w:val="nTable"/>
              <w:spacing w:after="40"/>
              <w:rPr>
                <w:spacing w:val="-2"/>
                <w:sz w:val="19"/>
              </w:rPr>
            </w:pPr>
            <w:r>
              <w:rPr>
                <w:sz w:val="19"/>
              </w:rPr>
              <w:t>30 Jun 2003 p. 2581</w:t>
            </w:r>
            <w:r>
              <w:rPr>
                <w:sz w:val="19"/>
              </w:rPr>
              <w:noBreakHyphen/>
              <w:t>638</w:t>
            </w:r>
          </w:p>
        </w:tc>
        <w:tc>
          <w:tcPr>
            <w:tcW w:w="2693" w:type="dxa"/>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8" w:type="dxa"/>
          </w:tcPr>
          <w:p>
            <w:pPr>
              <w:pStyle w:val="nTable"/>
              <w:spacing w:after="40"/>
              <w:ind w:right="113"/>
              <w:rPr>
                <w:i/>
                <w:sz w:val="19"/>
              </w:rPr>
            </w:pPr>
            <w:r>
              <w:rPr>
                <w:i/>
                <w:sz w:val="19"/>
              </w:rPr>
              <w:t>Police Force Amendment Regulations 2003</w:t>
            </w:r>
          </w:p>
        </w:tc>
        <w:tc>
          <w:tcPr>
            <w:tcW w:w="1276" w:type="dxa"/>
          </w:tcPr>
          <w:p>
            <w:pPr>
              <w:pStyle w:val="nTable"/>
              <w:spacing w:after="40"/>
              <w:rPr>
                <w:sz w:val="19"/>
              </w:rPr>
            </w:pPr>
            <w:r>
              <w:rPr>
                <w:sz w:val="19"/>
              </w:rPr>
              <w:t>26 Aug 2003 p. 3758-64</w:t>
            </w:r>
          </w:p>
        </w:tc>
        <w:tc>
          <w:tcPr>
            <w:tcW w:w="2693" w:type="dxa"/>
          </w:tcPr>
          <w:p>
            <w:pPr>
              <w:pStyle w:val="nTable"/>
              <w:spacing w:after="40"/>
              <w:rPr>
                <w:sz w:val="19"/>
              </w:rPr>
            </w:pPr>
            <w:r>
              <w:rPr>
                <w:sz w:val="19"/>
              </w:rPr>
              <w:t xml:space="preserve">27 Aug 2003 (see r. 2 and </w:t>
            </w:r>
            <w:r>
              <w:rPr>
                <w:i/>
                <w:sz w:val="19"/>
              </w:rPr>
              <w:t>Gazette</w:t>
            </w:r>
            <w:r>
              <w:rPr>
                <w:sz w:val="19"/>
              </w:rPr>
              <w:t xml:space="preserve"> 26 Aug 2003 p. 3753)</w:t>
            </w:r>
          </w:p>
        </w:tc>
      </w:tr>
      <w:tr>
        <w:trPr>
          <w:cantSplit/>
        </w:trPr>
        <w:tc>
          <w:tcPr>
            <w:tcW w:w="3118" w:type="dxa"/>
          </w:tcPr>
          <w:p>
            <w:pPr>
              <w:pStyle w:val="nTable"/>
              <w:spacing w:after="40"/>
              <w:ind w:right="113"/>
              <w:rPr>
                <w:i/>
                <w:sz w:val="19"/>
              </w:rPr>
            </w:pPr>
            <w:r>
              <w:rPr>
                <w:i/>
                <w:sz w:val="19"/>
              </w:rPr>
              <w:t>Police Force Amendment Regulations (No. 2) 2004</w:t>
            </w:r>
          </w:p>
        </w:tc>
        <w:tc>
          <w:tcPr>
            <w:tcW w:w="1276" w:type="dxa"/>
          </w:tcPr>
          <w:p>
            <w:pPr>
              <w:pStyle w:val="nTable"/>
              <w:spacing w:after="40"/>
              <w:rPr>
                <w:sz w:val="19"/>
              </w:rPr>
            </w:pPr>
            <w:r>
              <w:rPr>
                <w:sz w:val="19"/>
              </w:rPr>
              <w:t>17 Dec 2004 p. 6087</w:t>
            </w:r>
          </w:p>
        </w:tc>
        <w:tc>
          <w:tcPr>
            <w:tcW w:w="2693" w:type="dxa"/>
          </w:tcPr>
          <w:p>
            <w:pPr>
              <w:pStyle w:val="nTable"/>
              <w:spacing w:after="40"/>
              <w:rPr>
                <w:sz w:val="19"/>
              </w:rPr>
            </w:pPr>
            <w:r>
              <w:rPr>
                <w:sz w:val="19"/>
              </w:rPr>
              <w:t>17 Dec 2004</w:t>
            </w:r>
          </w:p>
        </w:tc>
      </w:tr>
      <w:tr>
        <w:trPr>
          <w:cantSplit/>
        </w:trPr>
        <w:tc>
          <w:tcPr>
            <w:tcW w:w="3118" w:type="dxa"/>
          </w:tcPr>
          <w:p>
            <w:pPr>
              <w:pStyle w:val="nTable"/>
              <w:spacing w:after="40"/>
              <w:ind w:right="113"/>
              <w:rPr>
                <w:i/>
                <w:sz w:val="19"/>
              </w:rPr>
            </w:pPr>
            <w:r>
              <w:rPr>
                <w:i/>
                <w:sz w:val="19"/>
              </w:rPr>
              <w:t>Police Force Amendment Regulations (No. 3) 2005</w:t>
            </w:r>
          </w:p>
        </w:tc>
        <w:tc>
          <w:tcPr>
            <w:tcW w:w="1276" w:type="dxa"/>
          </w:tcPr>
          <w:p>
            <w:pPr>
              <w:pStyle w:val="nTable"/>
              <w:spacing w:after="40"/>
              <w:rPr>
                <w:sz w:val="19"/>
              </w:rPr>
            </w:pPr>
            <w:r>
              <w:rPr>
                <w:sz w:val="19"/>
              </w:rPr>
              <w:t>30 Dec 2005 p. 6879</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13"/>
              <w:rPr>
                <w:i/>
                <w:sz w:val="19"/>
              </w:rPr>
            </w:pPr>
            <w:r>
              <w:rPr>
                <w:i/>
                <w:sz w:val="19"/>
              </w:rPr>
              <w:t>Police Force Amendment Regulations 2006</w:t>
            </w:r>
          </w:p>
        </w:tc>
        <w:tc>
          <w:tcPr>
            <w:tcW w:w="1276" w:type="dxa"/>
          </w:tcPr>
          <w:p>
            <w:pPr>
              <w:pStyle w:val="nTable"/>
              <w:spacing w:after="40"/>
              <w:rPr>
                <w:sz w:val="19"/>
              </w:rPr>
            </w:pPr>
            <w:r>
              <w:rPr>
                <w:sz w:val="19"/>
              </w:rPr>
              <w:t>15 Dec 2006 p. 5631-6</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Police Force Amendment Regulations (No. 4) 2006</w:t>
            </w:r>
          </w:p>
        </w:tc>
        <w:tc>
          <w:tcPr>
            <w:tcW w:w="1276" w:type="dxa"/>
          </w:tcPr>
          <w:p>
            <w:pPr>
              <w:pStyle w:val="nTable"/>
              <w:spacing w:after="40"/>
              <w:rPr>
                <w:sz w:val="19"/>
              </w:rPr>
            </w:pPr>
            <w:r>
              <w:rPr>
                <w:sz w:val="19"/>
              </w:rPr>
              <w:t>22 Dec 2006 p. 5823</w:t>
            </w:r>
          </w:p>
        </w:tc>
        <w:tc>
          <w:tcPr>
            <w:tcW w:w="2693" w:type="dxa"/>
          </w:tcPr>
          <w:p>
            <w:pPr>
              <w:pStyle w:val="nTable"/>
              <w:spacing w:after="40"/>
              <w:rPr>
                <w:sz w:val="19"/>
              </w:rPr>
            </w:pPr>
            <w:r>
              <w:rPr>
                <w:sz w:val="19"/>
              </w:rPr>
              <w:t>22 Dec 2006</w:t>
            </w:r>
          </w:p>
        </w:tc>
      </w:tr>
      <w:tr>
        <w:trPr>
          <w:cantSplit/>
        </w:trPr>
        <w:tc>
          <w:tcPr>
            <w:tcW w:w="3118" w:type="dxa"/>
            <w:tcBorders>
              <w:bottom w:val="single" w:sz="8" w:space="0" w:color="auto"/>
            </w:tcBorders>
          </w:tcPr>
          <w:p>
            <w:pPr>
              <w:pStyle w:val="nTable"/>
              <w:spacing w:after="40"/>
              <w:ind w:right="113"/>
              <w:rPr>
                <w:i/>
                <w:sz w:val="19"/>
              </w:rPr>
            </w:pPr>
            <w:r>
              <w:rPr>
                <w:i/>
                <w:sz w:val="19"/>
              </w:rPr>
              <w:t>Police Force Amendment Regulations 2007</w:t>
            </w:r>
          </w:p>
        </w:tc>
        <w:tc>
          <w:tcPr>
            <w:tcW w:w="1276" w:type="dxa"/>
            <w:tcBorders>
              <w:bottom w:val="single" w:sz="8" w:space="0" w:color="auto"/>
            </w:tcBorders>
          </w:tcPr>
          <w:p>
            <w:pPr>
              <w:pStyle w:val="nTable"/>
              <w:spacing w:after="40"/>
              <w:rPr>
                <w:sz w:val="19"/>
              </w:rPr>
            </w:pPr>
            <w:r>
              <w:rPr>
                <w:sz w:val="19"/>
              </w:rPr>
              <w:t>2 Feb 2007 p. 246-51</w:t>
            </w:r>
          </w:p>
        </w:tc>
        <w:tc>
          <w:tcPr>
            <w:tcW w:w="2693" w:type="dxa"/>
            <w:tcBorders>
              <w:bottom w:val="single" w:sz="8" w:space="0" w:color="auto"/>
            </w:tcBorders>
          </w:tcPr>
          <w:p>
            <w:pPr>
              <w:pStyle w:val="nTable"/>
              <w:spacing w:after="40"/>
              <w:rPr>
                <w:sz w:val="19"/>
              </w:rPr>
            </w:pPr>
            <w:r>
              <w:rPr>
                <w:sz w:val="19"/>
              </w:rPr>
              <w:t>7 Feb 2007 (see r. 2)</w:t>
            </w:r>
          </w:p>
        </w:tc>
      </w:tr>
    </w:tbl>
    <w:p>
      <w:pPr>
        <w:pStyle w:val="nSubsection"/>
      </w:pPr>
      <w:r>
        <w:rPr>
          <w:sz w:val="28"/>
          <w:vertAlign w:val="superscript"/>
        </w:rPr>
        <w:t>2</w:t>
      </w:r>
      <w:r>
        <w:tab/>
        <w:t xml:space="preserve">Under the </w:t>
      </w:r>
      <w:r>
        <w:rPr>
          <w:i/>
        </w:rPr>
        <w:t>Acts Amendment and Repeal (Industrial Relations) Act (No. 2) 1984</w:t>
      </w:r>
      <w:r>
        <w:t xml:space="preserve">, a reference to the </w:t>
      </w:r>
      <w:r>
        <w:rPr>
          <w:i/>
        </w:rPr>
        <w:t>Industrial Arbitration Act 1912</w:t>
      </w:r>
      <w:r>
        <w:t xml:space="preserve"> is to be read as a reference to the </w:t>
      </w:r>
      <w:r>
        <w:rPr>
          <w:i/>
        </w:rPr>
        <w:t>Industrial Relations Act 1979</w:t>
      </w:r>
      <w:r>
        <w:t xml:space="preserve">. The reference was substituted under the </w:t>
      </w:r>
      <w:r>
        <w:rPr>
          <w:i/>
        </w:rPr>
        <w:t>Reprints Act 1984</w:t>
      </w:r>
      <w:r>
        <w:t xml:space="preserve"> s. 7(3)(g).</w:t>
      </w:r>
    </w:p>
    <w:p>
      <w:pPr>
        <w:pStyle w:val="nSubsection"/>
      </w:pPr>
      <w:r>
        <w:rPr>
          <w:sz w:val="28"/>
          <w:vertAlign w:val="superscript"/>
        </w:rPr>
        <w:t>3</w:t>
      </w:r>
      <w:r>
        <w:tab/>
        <w:t xml:space="preserve">The </w:t>
      </w:r>
      <w:r>
        <w:rPr>
          <w:i/>
        </w:rPr>
        <w:t>Liquor Act 1970</w:t>
      </w:r>
      <w:r>
        <w:t xml:space="preserve"> was repealed by the </w:t>
      </w:r>
      <w:r>
        <w:rPr>
          <w:i/>
        </w:rPr>
        <w:t>Liquor Licensing Act 1988</w:t>
      </w:r>
      <w:r>
        <w:t>.</w:t>
      </w:r>
    </w:p>
    <w:p>
      <w:pPr>
        <w:pStyle w:val="nSubsection"/>
      </w:pPr>
      <w:r>
        <w:rPr>
          <w:sz w:val="28"/>
          <w:vertAlign w:val="superscript"/>
        </w:rPr>
        <w:t>4</w:t>
      </w:r>
      <w:r>
        <w:tab/>
        <w:t xml:space="preserve">Formerly referred to the Commissioner of Public Health, the name of which was changed to the Commissioner of Health by the </w:t>
      </w:r>
      <w:r>
        <w:rPr>
          <w:i/>
        </w:rPr>
        <w:t>Health Legislation Amendment Act 1984</w:t>
      </w:r>
      <w:r>
        <w:t xml:space="preserve">. The reference was changed under the </w:t>
      </w:r>
      <w:r>
        <w:rPr>
          <w:i/>
        </w:rPr>
        <w:t>Reprints Act 1984</w:t>
      </w:r>
      <w:r>
        <w:t xml:space="preserve"> s. 7(3)(h).</w:t>
      </w:r>
    </w:p>
    <w:p>
      <w:pPr>
        <w:pStyle w:val="nSubsection"/>
      </w:pPr>
      <w:r>
        <w:rPr>
          <w:sz w:val="28"/>
          <w:vertAlign w:val="superscript"/>
        </w:rPr>
        <w:t>5</w:t>
      </w:r>
      <w:r>
        <w:tab/>
        <w:t xml:space="preserve">Now known as the </w:t>
      </w:r>
      <w:r>
        <w:rPr>
          <w:i/>
        </w:rPr>
        <w:t>Police Force Regulations 1979,</w:t>
      </w:r>
      <w:r>
        <w:t xml:space="preserve"> citation changed (see note under r. 101).</w:t>
      </w:r>
    </w:p>
    <w:p>
      <w:pPr>
        <w:pStyle w:val="nSubsection"/>
        <w:keepNext/>
      </w:pPr>
      <w:r>
        <w:rPr>
          <w:sz w:val="28"/>
          <w:vertAlign w:val="superscript"/>
        </w:rPr>
        <w:t>6</w:t>
      </w:r>
      <w:r>
        <w:tab/>
        <w:t xml:space="preserve">The </w:t>
      </w:r>
      <w:r>
        <w:rPr>
          <w:i/>
        </w:rPr>
        <w:t>Police Force Amendment Regulations (No. 2) 1995</w:t>
      </w:r>
      <w:r>
        <w:t xml:space="preserve"> r. 3(2) reads as follows:</w:t>
      </w:r>
    </w:p>
    <w:p>
      <w:pPr>
        <w:pStyle w:val="MiscOpen"/>
      </w:pPr>
      <w:r>
        <w:t>“</w:t>
      </w:r>
    </w:p>
    <w:p>
      <w:pPr>
        <w:pStyle w:val="nzSubsection"/>
        <w:rPr>
          <w:snapToGrid w:val="0"/>
        </w:rPr>
      </w:pPr>
      <w:r>
        <w:rPr>
          <w:snapToGrid w:val="0"/>
        </w:rPr>
        <w:tab/>
        <w:t>(2)</w:t>
      </w:r>
      <w:r>
        <w:rPr>
          <w:snapToGrid w:val="0"/>
        </w:rPr>
        <w:tab/>
        <w:t>Notwithstanding subregulation (1) — </w:t>
      </w:r>
    </w:p>
    <w:p>
      <w:pPr>
        <w:pStyle w:val="nzIndenta"/>
        <w:rPr>
          <w:snapToGrid w:val="0"/>
        </w:rPr>
      </w:pPr>
      <w:r>
        <w:rPr>
          <w:snapToGrid w:val="0"/>
        </w:rPr>
        <w:tab/>
        <w:t>(a)</w:t>
      </w:r>
      <w:r>
        <w:rPr>
          <w:snapToGrid w:val="0"/>
        </w:rPr>
        <w:tab/>
        <w:t xml:space="preserve">the repealed Part VIIA continues to apply to any vacancy advertized in the </w:t>
      </w:r>
      <w:r>
        <w:rPr>
          <w:i/>
          <w:snapToGrid w:val="0"/>
        </w:rPr>
        <w:t>Police Gazette</w:t>
      </w:r>
      <w:r>
        <w:rPr>
          <w:snapToGrid w:val="0"/>
        </w:rPr>
        <w:t xml:space="preserve"> under repealed regulation 7A13 or 7A27 before the commencement of subregulation (1); and</w:t>
      </w:r>
    </w:p>
    <w:p>
      <w:pPr>
        <w:pStyle w:val="nzIndenta"/>
        <w:rPr>
          <w:snapToGrid w:val="0"/>
        </w:rPr>
      </w:pPr>
      <w:r>
        <w:rPr>
          <w:snapToGrid w:val="0"/>
        </w:rPr>
        <w:tab/>
        <w:t>(b)</w:t>
      </w:r>
      <w:r>
        <w:rPr>
          <w:snapToGrid w:val="0"/>
        </w:rPr>
        <w:tab/>
        <w:t>for the purposes of paragraph (a) — </w:t>
      </w:r>
    </w:p>
    <w:p>
      <w:pPr>
        <w:pStyle w:val="nzIndenti"/>
        <w:rPr>
          <w:snapToGrid w:val="0"/>
        </w:rPr>
      </w:pPr>
      <w:r>
        <w:rPr>
          <w:snapToGrid w:val="0"/>
        </w:rPr>
        <w:tab/>
        <w:t>(i)</w:t>
      </w:r>
      <w:r>
        <w:rPr>
          <w:snapToGrid w:val="0"/>
        </w:rPr>
        <w:tab/>
        <w:t>the bodies created by the repealed Part VIIA continue in existence; and</w:t>
      </w:r>
    </w:p>
    <w:p>
      <w:pPr>
        <w:pStyle w:val="nzIndenti"/>
        <w:rPr>
          <w:snapToGrid w:val="0"/>
        </w:rPr>
      </w:pPr>
      <w:r>
        <w:rPr>
          <w:snapToGrid w:val="0"/>
        </w:rPr>
        <w:tab/>
        <w:t>(ii)</w:t>
      </w:r>
      <w:r>
        <w:rPr>
          <w:snapToGrid w:val="0"/>
        </w:rPr>
        <w:tab/>
        <w:t>the provisions deleted or repealed by regulations 4 and 5 continue to have effect,</w:t>
      </w:r>
    </w:p>
    <w:p>
      <w:pPr>
        <w:pStyle w:val="nzIndenta"/>
        <w:rPr>
          <w:snapToGrid w:val="0"/>
        </w:rPr>
      </w:pPr>
      <w:r>
        <w:rPr>
          <w:snapToGrid w:val="0"/>
        </w:rPr>
        <w:tab/>
      </w:r>
      <w:r>
        <w:rPr>
          <w:snapToGrid w:val="0"/>
        </w:rPr>
        <w:tab/>
        <w:t>so far as may be necessary.</w:t>
      </w:r>
    </w:p>
    <w:p>
      <w:pPr>
        <w:pStyle w:val="MiscClose"/>
        <w:rPr>
          <w:snapToGrid w:val="0"/>
        </w:rPr>
      </w:pPr>
      <w:r>
        <w:rPr>
          <w:snapToGrid w:val="0"/>
        </w:rPr>
        <w:t>”.</w:t>
      </w:r>
    </w:p>
    <w:p>
      <w:pPr>
        <w:pStyle w:val="nSubsection"/>
      </w:pPr>
      <w:r>
        <w:rPr>
          <w:sz w:val="28"/>
          <w:vertAlign w:val="superscript"/>
        </w:rPr>
        <w:t>7</w:t>
      </w:r>
      <w:r>
        <w:tab/>
        <w:t xml:space="preserve">The </w:t>
      </w:r>
      <w:r>
        <w:rPr>
          <w:i/>
        </w:rPr>
        <w:t>Police Force Amendment Regulations (No. 2) 1998</w:t>
      </w:r>
      <w:r>
        <w:t xml:space="preserve"> r. 13 reads as follows:</w:t>
      </w:r>
    </w:p>
    <w:p>
      <w:pPr>
        <w:pStyle w:val="MiscOpen"/>
      </w:pPr>
      <w:r>
        <w:t>“</w:t>
      </w:r>
    </w:p>
    <w:p>
      <w:pPr>
        <w:pStyle w:val="nzHeading5"/>
        <w:rPr>
          <w:snapToGrid w:val="0"/>
        </w:rPr>
      </w:pPr>
      <w:r>
        <w:rPr>
          <w:snapToGrid w:val="0"/>
        </w:rPr>
        <w:t>13.</w:t>
      </w:r>
      <w:r>
        <w:rPr>
          <w:snapToGrid w:val="0"/>
        </w:rPr>
        <w:tab/>
        <w:t>Transitional</w:t>
      </w:r>
    </w:p>
    <w:p>
      <w:pPr>
        <w:pStyle w:val="nzSubsection"/>
        <w:rPr>
          <w:snapToGrid w:val="0"/>
        </w:rPr>
      </w:pPr>
      <w:r>
        <w:rPr>
          <w:snapToGrid w:val="0"/>
        </w:rPr>
        <w:tab/>
        <w:t>(1)</w:t>
      </w:r>
      <w:r>
        <w:rPr>
          <w:snapToGrid w:val="0"/>
        </w:rPr>
        <w:tab/>
        <w:t>In this regulation —</w:t>
      </w:r>
    </w:p>
    <w:p>
      <w:pPr>
        <w:pStyle w:val="nzDefstart"/>
      </w:pPr>
      <w:r>
        <w:tab/>
      </w:r>
      <w:r>
        <w:rPr>
          <w:b/>
        </w:rPr>
        <w:t>“commencement day”</w:t>
      </w:r>
      <w:r>
        <w:t xml:space="preserve"> means the day on which these regulations are published in the </w:t>
      </w:r>
      <w:r>
        <w:rPr>
          <w:i/>
        </w:rPr>
        <w:t>Gazette</w:t>
      </w:r>
      <w:r>
        <w:t>.</w:t>
      </w:r>
    </w:p>
    <w:p>
      <w:pPr>
        <w:pStyle w:val="nzSubsection"/>
        <w:rPr>
          <w:snapToGrid w:val="0"/>
        </w:rPr>
      </w:pPr>
      <w:r>
        <w:rPr>
          <w:snapToGrid w:val="0"/>
        </w:rPr>
        <w:tab/>
        <w:t>(2)</w:t>
      </w:r>
      <w:r>
        <w:rPr>
          <w:snapToGrid w:val="0"/>
        </w:rPr>
        <w:tab/>
        <w:t xml:space="preserve">Despite regulation 5, the Board of Examiners as constituted immediately before the commencement day shall continue in existence for the purpose of considering, determining or dealing with, as soon as practicable after the commencement day — </w:t>
      </w:r>
    </w:p>
    <w:p>
      <w:pPr>
        <w:pStyle w:val="nzIndenta"/>
        <w:rPr>
          <w:snapToGrid w:val="0"/>
        </w:rPr>
      </w:pPr>
      <w:r>
        <w:rPr>
          <w:snapToGrid w:val="0"/>
        </w:rPr>
        <w:tab/>
        <w:t>(a)</w:t>
      </w:r>
      <w:r>
        <w:rPr>
          <w:snapToGrid w:val="0"/>
        </w:rPr>
        <w:tab/>
        <w:t>any application under regulation 807(6) made before the commencement day; or</w:t>
      </w:r>
    </w:p>
    <w:p>
      <w:pPr>
        <w:pStyle w:val="nzIndenta"/>
        <w:rPr>
          <w:snapToGrid w:val="0"/>
        </w:rPr>
      </w:pPr>
      <w:r>
        <w:rPr>
          <w:snapToGrid w:val="0"/>
        </w:rPr>
        <w:tab/>
        <w:t>(b)</w:t>
      </w:r>
      <w:r>
        <w:rPr>
          <w:snapToGrid w:val="0"/>
        </w:rPr>
        <w:tab/>
        <w:t>any application for a review of a decision under regulation 811(3) made before the commencement day,</w:t>
      </w:r>
    </w:p>
    <w:p>
      <w:pPr>
        <w:pStyle w:val="nzSubsection"/>
        <w:rPr>
          <w:snapToGrid w:val="0"/>
        </w:rPr>
      </w:pPr>
      <w:r>
        <w:rPr>
          <w:snapToGrid w:val="0"/>
        </w:rPr>
        <w:tab/>
      </w:r>
      <w:r>
        <w:rPr>
          <w:snapToGrid w:val="0"/>
        </w:rPr>
        <w:tab/>
        <w:t>as if the provisions repealed by these regulations continue to have effect so far as may be necessary.</w:t>
      </w:r>
    </w:p>
    <w:p>
      <w:pPr>
        <w:pStyle w:val="MiscClose"/>
        <w:rPr>
          <w:snapToGrid w:val="0"/>
        </w:rPr>
      </w:pPr>
      <w:r>
        <w:rPr>
          <w:snapToGrid w:val="0"/>
        </w:rPr>
        <w:t>”.</w:t>
      </w:r>
    </w:p>
    <w:p>
      <w:pPr>
        <w:rPr>
          <w:snapToGrid w:val="0"/>
        </w:rPr>
      </w:pPr>
    </w:p>
    <w:p>
      <w:pPr>
        <w:rPr>
          <w:snapToGrid w:val="0"/>
        </w:r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rPr>
          <w:snapToGrid w:val="0"/>
        </w:rPr>
      </w:pPr>
    </w:p>
    <w:sectPr>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101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101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Police Force Regulations 1979</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tcPr>
        <w:p>
          <w:pPr>
            <w:pStyle w:val="HeaderTextLeft"/>
          </w:pPr>
        </w:p>
      </w:tc>
    </w:tr>
    <w:tr>
      <w:tc>
        <w:tcPr>
          <w:tcW w:w="1632" w:type="dxa"/>
        </w:tcPr>
        <w:p>
          <w:pPr>
            <w:pStyle w:val="HeaderNumberLeft"/>
            <w:rPr>
              <w:b w:val="0"/>
            </w:rPr>
          </w:pPr>
        </w:p>
      </w:tc>
      <w:tc>
        <w:tcPr>
          <w:tcW w:w="5631" w:type="dxa"/>
        </w:tcPr>
        <w:p>
          <w:pPr>
            <w:pStyle w:val="HeaderTextLeft"/>
          </w:pP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FA7CB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0F21C6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CEECD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AAA5F62"/>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D8B9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63E91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FD67D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E1625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C0285A2"/>
    <w:lvl w:ilvl="0">
      <w:start w:val="1"/>
      <w:numFmt w:val="decimal"/>
      <w:pStyle w:val="ListNumber"/>
      <w:lvlText w:val="%1."/>
      <w:lvlJc w:val="left"/>
      <w:pPr>
        <w:tabs>
          <w:tab w:val="num" w:pos="360"/>
        </w:tabs>
        <w:ind w:left="360" w:hanging="360"/>
      </w:pPr>
    </w:lvl>
  </w:abstractNum>
  <w:abstractNum w:abstractNumId="9">
    <w:nsid w:val="FFFFFF89"/>
    <w:multiLevelType w:val="singleLevel"/>
    <w:tmpl w:val="0BDC45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29C9942"/>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C62C1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657"/>
    <w:docVar w:name="WAFER_20151209085657" w:val="RemoveTrackChanges"/>
    <w:docVar w:name="WAFER_20151209085657_GUID" w:val="76c36983-a071-4aa6-b8c1-399472f7a3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17313</Words>
  <Characters>85185</Characters>
  <Application>Microsoft Office Word</Application>
  <DocSecurity>0</DocSecurity>
  <Lines>2433</Lines>
  <Paragraphs>1464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101034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1979 - 03-h0-05</dc:title>
  <dc:subject/>
  <dc:creator/>
  <cp:keywords/>
  <dc:description/>
  <cp:lastModifiedBy>svcMRProcess</cp:lastModifiedBy>
  <cp:revision>4</cp:revision>
  <cp:lastPrinted>2003-07-16T08:15:00Z</cp:lastPrinted>
  <dcterms:created xsi:type="dcterms:W3CDTF">2020-02-27T15:24:00Z</dcterms:created>
  <dcterms:modified xsi:type="dcterms:W3CDTF">2020-02-27T15:24:00Z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CommencementDate">
    <vt:lpwstr>20070207</vt:lpwstr>
  </property>
  <property fmtid="{D5CDD505-2E9C-101B-9397-08002B2CF9AE}" pid="4" name="DocumentType">
    <vt:lpwstr>Reg</vt:lpwstr>
  </property>
  <property fmtid="{D5CDD505-2E9C-101B-9397-08002B2CF9AE}" pid="5" name="OwlsUID">
    <vt:i4>4707</vt:i4>
  </property>
  <property fmtid="{D5CDD505-2E9C-101B-9397-08002B2CF9AE}" pid="6" name="AsAtDate">
    <vt:lpwstr>07 Feb 2007</vt:lpwstr>
  </property>
  <property fmtid="{D5CDD505-2E9C-101B-9397-08002B2CF9AE}" pid="7" name="Suffix">
    <vt:lpwstr>03-h0-05</vt:lpwstr>
  </property>
</Properties>
</file>