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_Toc510709288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_Toc510709289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_Toc510709290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Smooth and partially smooth waters</w:t>
      </w:r>
      <w:r>
        <w:tab/>
      </w:r>
      <w:r>
        <w:fldChar w:fldCharType="begin"/>
      </w:r>
      <w:r>
        <w:instrText xml:space="preserve"> PAGEREF _Toc510709291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Classification of vessels</w:t>
      </w:r>
      <w:r>
        <w:tab/>
      </w:r>
      <w:r>
        <w:fldChar w:fldCharType="begin"/>
      </w:r>
      <w:r>
        <w:instrText xml:space="preserve"> PAGEREF _Toc510709292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Certificates of competency</w:t>
      </w:r>
    </w:p>
    <w:p>
      <w:pPr>
        <w:pStyle w:val="TOC8"/>
        <w:rPr>
          <w:rFonts w:asciiTheme="minorHAnsi" w:eastAsiaTheme="minorEastAsia" w:hAnsiTheme="minorHAnsi" w:cstheme="minorBidi"/>
          <w:szCs w:val="22"/>
        </w:rPr>
      </w:pPr>
      <w:r>
        <w:t>6</w:t>
      </w:r>
      <w:r>
        <w:rPr>
          <w:snapToGrid w:val="0"/>
        </w:rPr>
        <w:t>.</w:t>
      </w:r>
      <w:r>
        <w:rPr>
          <w:snapToGrid w:val="0"/>
        </w:rPr>
        <w:tab/>
        <w:t>Classification of certificates of competency</w:t>
      </w:r>
      <w:r>
        <w:tab/>
      </w:r>
      <w:r>
        <w:fldChar w:fldCharType="begin"/>
      </w:r>
      <w:r>
        <w:instrText xml:space="preserve"> PAGEREF _Toc510709294 \h </w:instrText>
      </w:r>
      <w:r>
        <w:fldChar w:fldCharType="separate"/>
      </w:r>
      <w:r>
        <w:t>5</w:t>
      </w:r>
      <w:r>
        <w:fldChar w:fldCharType="end"/>
      </w:r>
    </w:p>
    <w:p>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_Toc510709295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Grant of certificate of competency</w:t>
      </w:r>
      <w:r>
        <w:tab/>
      </w:r>
      <w:r>
        <w:fldChar w:fldCharType="begin"/>
      </w:r>
      <w:r>
        <w:instrText xml:space="preserve"> PAGEREF _Toc510709296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or endorsement of certificate of competency</w:t>
      </w:r>
      <w:r>
        <w:tab/>
      </w:r>
      <w:r>
        <w:fldChar w:fldCharType="begin"/>
      </w:r>
      <w:r>
        <w:instrText xml:space="preserve"> PAGEREF _Toc510709297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Revalidation of certificates of competency</w:t>
      </w:r>
      <w:r>
        <w:tab/>
      </w:r>
      <w:r>
        <w:fldChar w:fldCharType="begin"/>
      </w:r>
      <w:r>
        <w:instrText xml:space="preserve"> PAGEREF _Toc510709298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Refusal to grant, endorse or revalidate certificates of competency</w:t>
      </w:r>
      <w:r>
        <w:tab/>
      </w:r>
      <w:r>
        <w:fldChar w:fldCharType="begin"/>
      </w:r>
      <w:r>
        <w:instrText xml:space="preserve"> PAGEREF _Toc510709299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certificates of satisfactory service</w:t>
      </w:r>
      <w:r>
        <w:tab/>
      </w:r>
      <w:r>
        <w:fldChar w:fldCharType="begin"/>
      </w:r>
      <w:r>
        <w:instrText xml:space="preserve"> PAGEREF _Toc510709300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Recognition of other certificates of competency</w:t>
      </w:r>
      <w:r>
        <w:tab/>
      </w:r>
      <w:r>
        <w:fldChar w:fldCharType="begin"/>
      </w:r>
      <w:r>
        <w:instrText xml:space="preserve"> PAGEREF _Toc510709301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Replacement of lost certificates</w:t>
      </w:r>
      <w:r>
        <w:tab/>
      </w:r>
      <w:r>
        <w:fldChar w:fldCharType="begin"/>
      </w:r>
      <w:r>
        <w:instrText xml:space="preserve"> PAGEREF _Toc510709302 \h </w:instrText>
      </w:r>
      <w:r>
        <w:fldChar w:fldCharType="separate"/>
      </w:r>
      <w:r>
        <w:t>12</w:t>
      </w:r>
      <w:r>
        <w:fldChar w:fldCharType="end"/>
      </w:r>
    </w:p>
    <w:p>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_Toc510709303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Cancellation and suspension of certificates</w:t>
      </w:r>
      <w:r>
        <w:tab/>
      </w:r>
      <w:r>
        <w:fldChar w:fldCharType="begin"/>
      </w:r>
      <w:r>
        <w:instrText xml:space="preserve"> PAGEREF _Toc510709304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Examinations</w:t>
      </w:r>
    </w:p>
    <w:p>
      <w:pPr>
        <w:pStyle w:val="TOC8"/>
        <w:rPr>
          <w:rFonts w:asciiTheme="minorHAnsi" w:eastAsiaTheme="minorEastAsia" w:hAnsiTheme="minorHAnsi" w:cstheme="minorBidi"/>
          <w:szCs w:val="22"/>
        </w:rPr>
      </w:pPr>
      <w:r>
        <w:t>17</w:t>
      </w:r>
      <w:r>
        <w:rPr>
          <w:snapToGrid w:val="0"/>
        </w:rPr>
        <w:t>.</w:t>
      </w:r>
      <w:r>
        <w:rPr>
          <w:snapToGrid w:val="0"/>
        </w:rPr>
        <w:tab/>
        <w:t>Application for examination</w:t>
      </w:r>
      <w:r>
        <w:tab/>
      </w:r>
      <w:r>
        <w:fldChar w:fldCharType="begin"/>
      </w:r>
      <w:r>
        <w:instrText xml:space="preserve"> PAGEREF _Toc510709306 \h </w:instrText>
      </w:r>
      <w:r>
        <w:fldChar w:fldCharType="separate"/>
      </w:r>
      <w:r>
        <w:t>15</w:t>
      </w:r>
      <w:r>
        <w:fldChar w:fldCharType="end"/>
      </w:r>
    </w:p>
    <w:p>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_Toc510709307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Proof of qualifying service etc.</w:t>
      </w:r>
      <w:r>
        <w:tab/>
      </w:r>
      <w:r>
        <w:fldChar w:fldCharType="begin"/>
      </w:r>
      <w:r>
        <w:instrText xml:space="preserve"> PAGEREF _Toc510709308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Equivalent service and qualifications</w:t>
      </w:r>
      <w:r>
        <w:tab/>
      </w:r>
      <w:r>
        <w:fldChar w:fldCharType="begin"/>
      </w:r>
      <w:r>
        <w:instrText xml:space="preserve"> PAGEREF _Toc510709309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Inadequate proof of satisfactory service</w:t>
      </w:r>
      <w:r>
        <w:tab/>
      </w:r>
      <w:r>
        <w:fldChar w:fldCharType="begin"/>
      </w:r>
      <w:r>
        <w:instrText xml:space="preserve"> PAGEREF _Toc510709310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Discovery after examination of insufficient service</w:t>
      </w:r>
      <w:r>
        <w:tab/>
      </w:r>
      <w:r>
        <w:fldChar w:fldCharType="begin"/>
      </w:r>
      <w:r>
        <w:instrText xml:space="preserve"> PAGEREF _Toc510709311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Conduct of examinations</w:t>
      </w:r>
      <w:r>
        <w:tab/>
      </w:r>
      <w:r>
        <w:fldChar w:fldCharType="begin"/>
      </w:r>
      <w:r>
        <w:instrText xml:space="preserve"> PAGEREF _Toc510709312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Times and places of examinations</w:t>
      </w:r>
      <w:r>
        <w:tab/>
      </w:r>
      <w:r>
        <w:fldChar w:fldCharType="begin"/>
      </w:r>
      <w:r>
        <w:instrText xml:space="preserve"> PAGEREF _Toc510709313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Examination results</w:t>
      </w:r>
      <w:r>
        <w:tab/>
      </w:r>
      <w:r>
        <w:fldChar w:fldCharType="begin"/>
      </w:r>
      <w:r>
        <w:instrText xml:space="preserve"> PAGEREF _Toc510709314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Partial passes granted elsewhere</w:t>
      </w:r>
      <w:r>
        <w:tab/>
      </w:r>
      <w:r>
        <w:fldChar w:fldCharType="begin"/>
      </w:r>
      <w:r>
        <w:instrText xml:space="preserve"> PAGEREF _Toc510709315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of appeal</w:t>
      </w:r>
      <w:r>
        <w:tab/>
      </w:r>
      <w:r>
        <w:fldChar w:fldCharType="begin"/>
      </w:r>
      <w:r>
        <w:instrText xml:space="preserve"> PAGEREF _Toc510709316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Exemptions from examinations</w:t>
      </w:r>
      <w:r>
        <w:tab/>
      </w:r>
      <w:r>
        <w:fldChar w:fldCharType="begin"/>
      </w:r>
      <w:r>
        <w:instrText xml:space="preserve"> PAGEREF _Toc510709317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IIIA — Certificate of proficiency</w:t>
      </w:r>
    </w:p>
    <w:p>
      <w:pPr>
        <w:pStyle w:val="TOC8"/>
        <w:rPr>
          <w:rFonts w:asciiTheme="minorHAnsi" w:eastAsiaTheme="minorEastAsia" w:hAnsiTheme="minorHAnsi" w:cstheme="minorBidi"/>
          <w:szCs w:val="22"/>
        </w:rPr>
      </w:pPr>
      <w:r>
        <w:t>27A</w:t>
      </w:r>
      <w:r>
        <w:rPr>
          <w:snapToGrid w:val="0"/>
        </w:rPr>
        <w:t>.</w:t>
      </w:r>
      <w:r>
        <w:rPr>
          <w:snapToGrid w:val="0"/>
        </w:rPr>
        <w:tab/>
        <w:t>Certificate of proficiency — pleasure vessels</w:t>
      </w:r>
      <w:r>
        <w:tab/>
      </w:r>
      <w:r>
        <w:fldChar w:fldCharType="begin"/>
      </w:r>
      <w:r>
        <w:instrText xml:space="preserve"> PAGEREF _Toc510709319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Safety manning</w:t>
      </w:r>
    </w:p>
    <w:p>
      <w:pPr>
        <w:pStyle w:val="TOC8"/>
        <w:rPr>
          <w:rFonts w:asciiTheme="minorHAnsi" w:eastAsiaTheme="minorEastAsia" w:hAnsiTheme="minorHAnsi" w:cstheme="minorBidi"/>
          <w:szCs w:val="22"/>
        </w:rPr>
      </w:pPr>
      <w:r>
        <w:t>28</w:t>
      </w:r>
      <w:r>
        <w:rPr>
          <w:snapToGrid w:val="0"/>
        </w:rPr>
        <w:t>.</w:t>
      </w:r>
      <w:r>
        <w:rPr>
          <w:snapToGrid w:val="0"/>
        </w:rPr>
        <w:tab/>
        <w:t>Manning of vessels</w:t>
      </w:r>
      <w:r>
        <w:tab/>
      </w:r>
      <w:r>
        <w:fldChar w:fldCharType="begin"/>
      </w:r>
      <w:r>
        <w:instrText xml:space="preserve"> PAGEREF _Toc510709321 \h </w:instrText>
      </w:r>
      <w:r>
        <w:fldChar w:fldCharType="separate"/>
      </w:r>
      <w:r>
        <w:t>22</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Exemption from manning requirements</w:t>
      </w:r>
      <w:r>
        <w:tab/>
      </w:r>
      <w:r>
        <w:fldChar w:fldCharType="begin"/>
      </w:r>
      <w:r>
        <w:instrText xml:space="preserve"> PAGEREF _Toc510709322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Temporary dispensations</w:t>
      </w:r>
      <w:r>
        <w:tab/>
      </w:r>
      <w:r>
        <w:fldChar w:fldCharType="begin"/>
      </w:r>
      <w:r>
        <w:instrText xml:space="preserve"> PAGEREF _Toc510709323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31A</w:t>
      </w:r>
      <w:r>
        <w:rPr>
          <w:snapToGrid w:val="0"/>
        </w:rPr>
        <w:t>.</w:t>
      </w:r>
      <w:r>
        <w:rPr>
          <w:snapToGrid w:val="0"/>
        </w:rPr>
        <w:tab/>
        <w:t>Fees</w:t>
      </w:r>
      <w:r>
        <w:tab/>
      </w:r>
      <w:r>
        <w:fldChar w:fldCharType="begin"/>
      </w:r>
      <w:r>
        <w:instrText xml:space="preserve"> PAGEREF _Toc510709325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Geographical limits of smooth waters and partially smooth waters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Functions of certificates of competency</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Prerequisites for applicants for certificates of competency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Safety manning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_Toc510709336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3" w:name="_Toc510709287"/>
      <w:r>
        <w:rPr>
          <w:rStyle w:val="CharPartNo"/>
        </w:rPr>
        <w:t>Part I</w:t>
      </w:r>
      <w:r>
        <w:rPr>
          <w:rStyle w:val="CharDivNo"/>
        </w:rPr>
        <w:t> </w:t>
      </w:r>
      <w:r>
        <w:t>—</w:t>
      </w:r>
      <w:r>
        <w:rPr>
          <w:rStyle w:val="CharDivText"/>
        </w:rPr>
        <w:t> </w:t>
      </w:r>
      <w:r>
        <w:rPr>
          <w:rStyle w:val="CharPartText"/>
        </w:rPr>
        <w:t>Preliminary</w:t>
      </w:r>
      <w:bookmarkEnd w:id="3"/>
    </w:p>
    <w:p>
      <w:pPr>
        <w:pStyle w:val="Heading5"/>
        <w:rPr>
          <w:snapToGrid w:val="0"/>
        </w:rPr>
      </w:pPr>
      <w:bookmarkStart w:id="4" w:name="_Toc510709288"/>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5" w:name="_Toc510709289"/>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6" w:name="_Toc510709290"/>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7" w:name="_Toc510709291"/>
      <w:r>
        <w:rPr>
          <w:rStyle w:val="CharSectno"/>
        </w:rPr>
        <w:t>4</w:t>
      </w:r>
      <w:r>
        <w:rPr>
          <w:snapToGrid w:val="0"/>
        </w:rPr>
        <w:t>.</w:t>
      </w:r>
      <w:r>
        <w:rPr>
          <w:snapToGrid w:val="0"/>
        </w:rPr>
        <w:tab/>
        <w:t>Smooth and partially smooth waters</w:t>
      </w:r>
      <w:bookmarkEnd w:id="7"/>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8" w:name="_Toc510709292"/>
      <w:r>
        <w:rPr>
          <w:rStyle w:val="CharSectno"/>
        </w:rPr>
        <w:t>5</w:t>
      </w:r>
      <w:r>
        <w:rPr>
          <w:snapToGrid w:val="0"/>
        </w:rPr>
        <w:t>.</w:t>
      </w:r>
      <w:r>
        <w:rPr>
          <w:snapToGrid w:val="0"/>
        </w:rPr>
        <w:tab/>
        <w:t>Classification of vessels</w:t>
      </w:r>
      <w:bookmarkEnd w:id="8"/>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9" w:name="_Toc510709293"/>
      <w:r>
        <w:rPr>
          <w:rStyle w:val="CharPartNo"/>
        </w:rPr>
        <w:t>Part II</w:t>
      </w:r>
      <w:r>
        <w:rPr>
          <w:rStyle w:val="CharDivNo"/>
        </w:rPr>
        <w:t> </w:t>
      </w:r>
      <w:r>
        <w:t>—</w:t>
      </w:r>
      <w:r>
        <w:rPr>
          <w:rStyle w:val="CharDivText"/>
        </w:rPr>
        <w:t> </w:t>
      </w:r>
      <w:r>
        <w:rPr>
          <w:rStyle w:val="CharPartText"/>
        </w:rPr>
        <w:t>Certificates of competency</w:t>
      </w:r>
      <w:bookmarkEnd w:id="9"/>
    </w:p>
    <w:p>
      <w:pPr>
        <w:pStyle w:val="Heading5"/>
        <w:rPr>
          <w:snapToGrid w:val="0"/>
        </w:rPr>
      </w:pPr>
      <w:bookmarkStart w:id="10" w:name="_Toc510709294"/>
      <w:r>
        <w:rPr>
          <w:rStyle w:val="CharSectno"/>
        </w:rPr>
        <w:t>6</w:t>
      </w:r>
      <w:r>
        <w:rPr>
          <w:snapToGrid w:val="0"/>
        </w:rPr>
        <w:t>.</w:t>
      </w:r>
      <w:r>
        <w:rPr>
          <w:snapToGrid w:val="0"/>
        </w:rPr>
        <w:tab/>
        <w:t>Classification of certificates of competency</w:t>
      </w:r>
      <w:bookmarkEnd w:id="10"/>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in Gazette 11 Aug 1992 p. 3977; </w:t>
      </w:r>
      <w:r>
        <w:rPr>
          <w:szCs w:val="24"/>
        </w:rPr>
        <w:t>11 Feb 2011 p. 484</w:t>
      </w:r>
      <w:r>
        <w:t>.]</w:t>
      </w:r>
    </w:p>
    <w:p>
      <w:pPr>
        <w:pStyle w:val="Heading5"/>
      </w:pPr>
      <w:bookmarkStart w:id="11" w:name="_Toc510709295"/>
      <w:r>
        <w:t>7.</w:t>
      </w:r>
      <w:r>
        <w:tab/>
        <w:t>Functions of certificates of competency</w:t>
      </w:r>
      <w:bookmarkEnd w:id="11"/>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12" w:name="_Toc510709296"/>
      <w:r>
        <w:rPr>
          <w:rStyle w:val="CharSectno"/>
        </w:rPr>
        <w:t>8</w:t>
      </w:r>
      <w:r>
        <w:rPr>
          <w:snapToGrid w:val="0"/>
        </w:rPr>
        <w:t>.</w:t>
      </w:r>
      <w:r>
        <w:rPr>
          <w:snapToGrid w:val="0"/>
        </w:rPr>
        <w:tab/>
        <w:t>Grant of certificate of competency</w:t>
      </w:r>
      <w:bookmarkEnd w:id="12"/>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13" w:name="_Toc510709297"/>
      <w:r>
        <w:rPr>
          <w:rStyle w:val="CharSectno"/>
        </w:rPr>
        <w:t>9</w:t>
      </w:r>
      <w:r>
        <w:rPr>
          <w:snapToGrid w:val="0"/>
        </w:rPr>
        <w:t>.</w:t>
      </w:r>
      <w:r>
        <w:rPr>
          <w:snapToGrid w:val="0"/>
        </w:rPr>
        <w:tab/>
        <w:t>Restriction or endorsement of certificate of competency</w:t>
      </w:r>
      <w:bookmarkEnd w:id="13"/>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14" w:name="_Toc510709298"/>
      <w:r>
        <w:rPr>
          <w:rStyle w:val="CharSectno"/>
        </w:rPr>
        <w:t>10</w:t>
      </w:r>
      <w:r>
        <w:rPr>
          <w:snapToGrid w:val="0"/>
        </w:rPr>
        <w:t>.</w:t>
      </w:r>
      <w:r>
        <w:rPr>
          <w:snapToGrid w:val="0"/>
        </w:rPr>
        <w:tab/>
        <w:t>Revalidation of certificates of competency</w:t>
      </w:r>
      <w:bookmarkEnd w:id="14"/>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r>
        <w:rPr>
          <w:vertAlign w:val="superscript"/>
        </w:rPr>
        <w:t> 1</w:t>
      </w:r>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5" w:name="_Toc510709299"/>
      <w:r>
        <w:rPr>
          <w:rStyle w:val="CharSectno"/>
        </w:rPr>
        <w:t>11</w:t>
      </w:r>
      <w:r>
        <w:rPr>
          <w:snapToGrid w:val="0"/>
        </w:rPr>
        <w:t>.</w:t>
      </w:r>
      <w:r>
        <w:rPr>
          <w:snapToGrid w:val="0"/>
        </w:rPr>
        <w:tab/>
        <w:t>Refusal to grant, endorse or revalidate certificates of competency</w:t>
      </w:r>
      <w:bookmarkEnd w:id="15"/>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16" w:name="_Toc510709300"/>
      <w:r>
        <w:rPr>
          <w:rStyle w:val="CharSectno"/>
        </w:rPr>
        <w:t>12</w:t>
      </w:r>
      <w:r>
        <w:rPr>
          <w:snapToGrid w:val="0"/>
        </w:rPr>
        <w:t>.</w:t>
      </w:r>
      <w:r>
        <w:rPr>
          <w:snapToGrid w:val="0"/>
        </w:rPr>
        <w:tab/>
        <w:t>Grant of certificates of satisfactory service</w:t>
      </w:r>
      <w:bookmarkEnd w:id="16"/>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17" w:name="_Toc510709301"/>
      <w:r>
        <w:rPr>
          <w:rStyle w:val="CharSectno"/>
        </w:rPr>
        <w:t>13</w:t>
      </w:r>
      <w:r>
        <w:rPr>
          <w:snapToGrid w:val="0"/>
        </w:rPr>
        <w:t>.</w:t>
      </w:r>
      <w:r>
        <w:rPr>
          <w:snapToGrid w:val="0"/>
        </w:rPr>
        <w:tab/>
        <w:t>Recognition of other certificates of competency</w:t>
      </w:r>
      <w:bookmarkEnd w:id="17"/>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in Gazette 11 Aug 1992 p. 3977.]</w:t>
      </w:r>
    </w:p>
    <w:p>
      <w:pPr>
        <w:pStyle w:val="Heading5"/>
        <w:rPr>
          <w:snapToGrid w:val="0"/>
        </w:rPr>
      </w:pPr>
      <w:bookmarkStart w:id="18" w:name="_Toc510709302"/>
      <w:r>
        <w:rPr>
          <w:rStyle w:val="CharSectno"/>
        </w:rPr>
        <w:t>14</w:t>
      </w:r>
      <w:r>
        <w:rPr>
          <w:snapToGrid w:val="0"/>
        </w:rPr>
        <w:t>.</w:t>
      </w:r>
      <w:r>
        <w:rPr>
          <w:snapToGrid w:val="0"/>
        </w:rPr>
        <w:tab/>
        <w:t>Replacement of lost certificates</w:t>
      </w:r>
      <w:bookmarkEnd w:id="18"/>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in Gazette 25 Jun 1996 p. 2998; 30 Jun 2010 p. 3160.]</w:t>
      </w:r>
    </w:p>
    <w:p>
      <w:pPr>
        <w:pStyle w:val="Heading5"/>
      </w:pPr>
      <w:bookmarkStart w:id="19" w:name="_Toc510709303"/>
      <w:r>
        <w:rPr>
          <w:rStyle w:val="CharSectno"/>
        </w:rPr>
        <w:t>15A</w:t>
      </w:r>
      <w:r>
        <w:t>.</w:t>
      </w:r>
      <w:r>
        <w:tab/>
        <w:t>Requirement to maintain medical fitness</w:t>
      </w:r>
      <w:bookmarkEnd w:id="19"/>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20" w:name="_Toc510709304"/>
      <w:r>
        <w:rPr>
          <w:rStyle w:val="CharSectno"/>
        </w:rPr>
        <w:t>15</w:t>
      </w:r>
      <w:r>
        <w:rPr>
          <w:snapToGrid w:val="0"/>
        </w:rPr>
        <w:t>.</w:t>
      </w:r>
      <w:r>
        <w:rPr>
          <w:snapToGrid w:val="0"/>
        </w:rPr>
        <w:tab/>
        <w:t>Cancellation and suspension of certificates</w:t>
      </w:r>
      <w:bookmarkEnd w:id="20"/>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r>
        <w:t>[</w:t>
      </w:r>
      <w:r>
        <w:rPr>
          <w:b/>
        </w:rPr>
        <w:t>16.</w:t>
      </w:r>
      <w:r>
        <w:tab/>
        <w:t>Deleted in Gazette 30 Dec 2004 p. 6972.]</w:t>
      </w:r>
    </w:p>
    <w:p>
      <w:pPr>
        <w:pStyle w:val="Heading2"/>
      </w:pPr>
      <w:bookmarkStart w:id="21" w:name="_Toc510709305"/>
      <w:r>
        <w:rPr>
          <w:rStyle w:val="CharPartNo"/>
        </w:rPr>
        <w:t>Part III</w:t>
      </w:r>
      <w:r>
        <w:rPr>
          <w:rStyle w:val="CharDivNo"/>
        </w:rPr>
        <w:t> </w:t>
      </w:r>
      <w:r>
        <w:t>—</w:t>
      </w:r>
      <w:r>
        <w:rPr>
          <w:rStyle w:val="CharDivText"/>
        </w:rPr>
        <w:t> </w:t>
      </w:r>
      <w:r>
        <w:rPr>
          <w:rStyle w:val="CharPartText"/>
        </w:rPr>
        <w:t>Examinations</w:t>
      </w:r>
      <w:bookmarkEnd w:id="21"/>
    </w:p>
    <w:p>
      <w:pPr>
        <w:pStyle w:val="Heading5"/>
        <w:rPr>
          <w:snapToGrid w:val="0"/>
        </w:rPr>
      </w:pPr>
      <w:bookmarkStart w:id="22" w:name="_Toc510709306"/>
      <w:r>
        <w:rPr>
          <w:rStyle w:val="CharSectno"/>
        </w:rPr>
        <w:t>17</w:t>
      </w:r>
      <w:r>
        <w:rPr>
          <w:snapToGrid w:val="0"/>
        </w:rPr>
        <w:t>.</w:t>
      </w:r>
      <w:r>
        <w:rPr>
          <w:snapToGrid w:val="0"/>
        </w:rPr>
        <w:tab/>
        <w:t>Application for examination</w:t>
      </w:r>
      <w:bookmarkEnd w:id="22"/>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in Gazette 11 Aug 1992 p. 3977; 25 Jun 1996 p. 2999; 8 Dec 2006 p. 5390; 30 Jun 2010 p. 3161; </w:t>
      </w:r>
      <w:r>
        <w:rPr>
          <w:szCs w:val="24"/>
        </w:rPr>
        <w:t>11 Feb 2011 p. 488; 14 Feb 2012 p. 672</w:t>
      </w:r>
      <w:r>
        <w:t>.]</w:t>
      </w:r>
    </w:p>
    <w:p>
      <w:pPr>
        <w:pStyle w:val="Heading5"/>
      </w:pPr>
      <w:bookmarkStart w:id="23" w:name="_Toc510709307"/>
      <w:r>
        <w:rPr>
          <w:rStyle w:val="CharSectno"/>
        </w:rPr>
        <w:t>18A</w:t>
      </w:r>
      <w:r>
        <w:t>.</w:t>
      </w:r>
      <w:r>
        <w:tab/>
        <w:t>Evidence of medical fitness</w:t>
      </w:r>
      <w:bookmarkEnd w:id="23"/>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24" w:name="_Toc510709308"/>
      <w:r>
        <w:rPr>
          <w:rStyle w:val="CharSectno"/>
        </w:rPr>
        <w:t>18</w:t>
      </w:r>
      <w:r>
        <w:rPr>
          <w:snapToGrid w:val="0"/>
        </w:rPr>
        <w:t>.</w:t>
      </w:r>
      <w:r>
        <w:rPr>
          <w:snapToGrid w:val="0"/>
        </w:rPr>
        <w:tab/>
        <w:t>Proof of qualifying service etc.</w:t>
      </w:r>
      <w:bookmarkEnd w:id="24"/>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25" w:name="_Toc510709309"/>
      <w:r>
        <w:rPr>
          <w:rStyle w:val="CharSectno"/>
        </w:rPr>
        <w:t>19</w:t>
      </w:r>
      <w:r>
        <w:rPr>
          <w:snapToGrid w:val="0"/>
        </w:rPr>
        <w:t>.</w:t>
      </w:r>
      <w:r>
        <w:rPr>
          <w:snapToGrid w:val="0"/>
        </w:rPr>
        <w:tab/>
        <w:t>Equivalent service and qualifications</w:t>
      </w:r>
      <w:bookmarkEnd w:id="25"/>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26" w:name="_Toc510709310"/>
      <w:r>
        <w:rPr>
          <w:rStyle w:val="CharSectno"/>
        </w:rPr>
        <w:t>20</w:t>
      </w:r>
      <w:r>
        <w:rPr>
          <w:snapToGrid w:val="0"/>
        </w:rPr>
        <w:t>.</w:t>
      </w:r>
      <w:r>
        <w:rPr>
          <w:snapToGrid w:val="0"/>
        </w:rPr>
        <w:tab/>
        <w:t>Inadequate proof of satisfactory service</w:t>
      </w:r>
      <w:bookmarkEnd w:id="26"/>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27" w:name="_Toc510709311"/>
      <w:r>
        <w:rPr>
          <w:rStyle w:val="CharSectno"/>
        </w:rPr>
        <w:t>21</w:t>
      </w:r>
      <w:r>
        <w:rPr>
          <w:snapToGrid w:val="0"/>
        </w:rPr>
        <w:t>.</w:t>
      </w:r>
      <w:r>
        <w:rPr>
          <w:snapToGrid w:val="0"/>
        </w:rPr>
        <w:tab/>
        <w:t>Discovery after examination of insufficient service</w:t>
      </w:r>
      <w:bookmarkEnd w:id="27"/>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in Gazette 11 Aug 1992 p. 3977.]</w:t>
      </w:r>
    </w:p>
    <w:p>
      <w:pPr>
        <w:pStyle w:val="Heading5"/>
        <w:spacing w:before="200"/>
        <w:rPr>
          <w:snapToGrid w:val="0"/>
        </w:rPr>
      </w:pPr>
      <w:bookmarkStart w:id="28" w:name="_Toc510709312"/>
      <w:r>
        <w:rPr>
          <w:rStyle w:val="CharSectno"/>
        </w:rPr>
        <w:t>22</w:t>
      </w:r>
      <w:r>
        <w:rPr>
          <w:snapToGrid w:val="0"/>
        </w:rPr>
        <w:t>.</w:t>
      </w:r>
      <w:r>
        <w:rPr>
          <w:snapToGrid w:val="0"/>
        </w:rPr>
        <w:tab/>
        <w:t>Conduct of examinations</w:t>
      </w:r>
      <w:bookmarkEnd w:id="28"/>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in Gazette 11 Aug 1992 p. 3977; 11 Dec 2009 p. 5091.]</w:t>
      </w:r>
    </w:p>
    <w:p>
      <w:pPr>
        <w:pStyle w:val="Heading5"/>
        <w:spacing w:before="200"/>
        <w:rPr>
          <w:snapToGrid w:val="0"/>
        </w:rPr>
      </w:pPr>
      <w:bookmarkStart w:id="29" w:name="_Toc510709313"/>
      <w:r>
        <w:rPr>
          <w:rStyle w:val="CharSectno"/>
        </w:rPr>
        <w:t>23</w:t>
      </w:r>
      <w:r>
        <w:rPr>
          <w:snapToGrid w:val="0"/>
        </w:rPr>
        <w:t>.</w:t>
      </w:r>
      <w:r>
        <w:rPr>
          <w:snapToGrid w:val="0"/>
        </w:rPr>
        <w:tab/>
        <w:t>Times and places of examinations</w:t>
      </w:r>
      <w:bookmarkEnd w:id="29"/>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in Gazette 11 Aug 1992 p. 3977.]</w:t>
      </w:r>
    </w:p>
    <w:p>
      <w:pPr>
        <w:pStyle w:val="Heading5"/>
        <w:rPr>
          <w:snapToGrid w:val="0"/>
        </w:rPr>
      </w:pPr>
      <w:bookmarkStart w:id="30" w:name="_Toc510709314"/>
      <w:r>
        <w:rPr>
          <w:rStyle w:val="CharSectno"/>
        </w:rPr>
        <w:t>24</w:t>
      </w:r>
      <w:r>
        <w:rPr>
          <w:snapToGrid w:val="0"/>
        </w:rPr>
        <w:t>.</w:t>
      </w:r>
      <w:r>
        <w:rPr>
          <w:snapToGrid w:val="0"/>
        </w:rPr>
        <w:tab/>
        <w:t>Examination results</w:t>
      </w:r>
      <w:bookmarkEnd w:id="30"/>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31" w:name="_Toc510709315"/>
      <w:r>
        <w:rPr>
          <w:rStyle w:val="CharSectno"/>
        </w:rPr>
        <w:t>25</w:t>
      </w:r>
      <w:r>
        <w:rPr>
          <w:snapToGrid w:val="0"/>
        </w:rPr>
        <w:t>.</w:t>
      </w:r>
      <w:r>
        <w:rPr>
          <w:snapToGrid w:val="0"/>
        </w:rPr>
        <w:tab/>
        <w:t>Partial passes granted elsewhere</w:t>
      </w:r>
      <w:bookmarkEnd w:id="31"/>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32" w:name="_Toc510709316"/>
      <w:r>
        <w:rPr>
          <w:rStyle w:val="CharSectno"/>
        </w:rPr>
        <w:t>26</w:t>
      </w:r>
      <w:r>
        <w:rPr>
          <w:snapToGrid w:val="0"/>
        </w:rPr>
        <w:t>.</w:t>
      </w:r>
      <w:r>
        <w:rPr>
          <w:snapToGrid w:val="0"/>
        </w:rPr>
        <w:tab/>
        <w:t>Right of appeal</w:t>
      </w:r>
      <w:bookmarkEnd w:id="32"/>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33" w:name="_Toc510709317"/>
      <w:r>
        <w:rPr>
          <w:rStyle w:val="CharSectno"/>
        </w:rPr>
        <w:t>27</w:t>
      </w:r>
      <w:r>
        <w:rPr>
          <w:snapToGrid w:val="0"/>
        </w:rPr>
        <w:t>.</w:t>
      </w:r>
      <w:r>
        <w:rPr>
          <w:snapToGrid w:val="0"/>
        </w:rPr>
        <w:tab/>
        <w:t>Exemptions from examinations</w:t>
      </w:r>
      <w:bookmarkEnd w:id="33"/>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34" w:name="_Toc510709318"/>
      <w:r>
        <w:rPr>
          <w:rStyle w:val="CharPartNo"/>
        </w:rPr>
        <w:t>Part IIIA</w:t>
      </w:r>
      <w:r>
        <w:rPr>
          <w:rStyle w:val="CharDivNo"/>
        </w:rPr>
        <w:t> </w:t>
      </w:r>
      <w:r>
        <w:t>—</w:t>
      </w:r>
      <w:r>
        <w:rPr>
          <w:rStyle w:val="CharDivText"/>
        </w:rPr>
        <w:t> </w:t>
      </w:r>
      <w:r>
        <w:rPr>
          <w:rStyle w:val="CharPartText"/>
        </w:rPr>
        <w:t>Certificate of proficiency</w:t>
      </w:r>
      <w:bookmarkEnd w:id="34"/>
    </w:p>
    <w:p>
      <w:pPr>
        <w:pStyle w:val="Footnoteheading"/>
        <w:ind w:left="890"/>
        <w:rPr>
          <w:snapToGrid w:val="0"/>
        </w:rPr>
      </w:pPr>
      <w:r>
        <w:rPr>
          <w:snapToGrid w:val="0"/>
        </w:rPr>
        <w:tab/>
        <w:t>[Heading inserted in Gazette 12 Jun 1987 p. 2323.]</w:t>
      </w:r>
    </w:p>
    <w:p>
      <w:pPr>
        <w:pStyle w:val="Heading5"/>
        <w:rPr>
          <w:snapToGrid w:val="0"/>
        </w:rPr>
      </w:pPr>
      <w:bookmarkStart w:id="35" w:name="_Toc510709319"/>
      <w:r>
        <w:rPr>
          <w:rStyle w:val="CharSectno"/>
        </w:rPr>
        <w:t>27A</w:t>
      </w:r>
      <w:r>
        <w:rPr>
          <w:snapToGrid w:val="0"/>
        </w:rPr>
        <w:t>.</w:t>
      </w:r>
      <w:r>
        <w:rPr>
          <w:snapToGrid w:val="0"/>
        </w:rPr>
        <w:tab/>
        <w:t>Certificate of proficiency — pleasure vessels</w:t>
      </w:r>
      <w:bookmarkEnd w:id="35"/>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36" w:name="_Toc510709320"/>
      <w:r>
        <w:rPr>
          <w:rStyle w:val="CharPartNo"/>
        </w:rPr>
        <w:t>Part IV</w:t>
      </w:r>
      <w:r>
        <w:rPr>
          <w:rStyle w:val="CharDivNo"/>
        </w:rPr>
        <w:t> </w:t>
      </w:r>
      <w:r>
        <w:t>—</w:t>
      </w:r>
      <w:r>
        <w:rPr>
          <w:rStyle w:val="CharDivText"/>
        </w:rPr>
        <w:t> </w:t>
      </w:r>
      <w:r>
        <w:rPr>
          <w:rStyle w:val="CharPartText"/>
        </w:rPr>
        <w:t>Safety manning</w:t>
      </w:r>
      <w:bookmarkEnd w:id="36"/>
    </w:p>
    <w:p>
      <w:pPr>
        <w:pStyle w:val="Heading5"/>
        <w:rPr>
          <w:snapToGrid w:val="0"/>
        </w:rPr>
      </w:pPr>
      <w:bookmarkStart w:id="37" w:name="_Toc510709321"/>
      <w:r>
        <w:rPr>
          <w:rStyle w:val="CharSectno"/>
        </w:rPr>
        <w:t>28</w:t>
      </w:r>
      <w:r>
        <w:rPr>
          <w:snapToGrid w:val="0"/>
        </w:rPr>
        <w:t>.</w:t>
      </w:r>
      <w:r>
        <w:rPr>
          <w:snapToGrid w:val="0"/>
        </w:rPr>
        <w:tab/>
        <w:t>Manning of vessels</w:t>
      </w:r>
      <w:bookmarkEnd w:id="37"/>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38" w:name="_Toc510709322"/>
      <w:r>
        <w:rPr>
          <w:rStyle w:val="CharSectno"/>
        </w:rPr>
        <w:t>28A</w:t>
      </w:r>
      <w:r>
        <w:rPr>
          <w:snapToGrid w:val="0"/>
        </w:rPr>
        <w:t>.</w:t>
      </w:r>
      <w:r>
        <w:rPr>
          <w:snapToGrid w:val="0"/>
        </w:rPr>
        <w:tab/>
        <w:t>Exemption from manning requirements</w:t>
      </w:r>
      <w:bookmarkEnd w:id="38"/>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39" w:name="_Toc510709323"/>
      <w:r>
        <w:rPr>
          <w:rStyle w:val="CharSectno"/>
        </w:rPr>
        <w:t>29</w:t>
      </w:r>
      <w:r>
        <w:rPr>
          <w:snapToGrid w:val="0"/>
        </w:rPr>
        <w:t>.</w:t>
      </w:r>
      <w:r>
        <w:rPr>
          <w:snapToGrid w:val="0"/>
        </w:rPr>
        <w:tab/>
        <w:t>Temporary dispensations</w:t>
      </w:r>
      <w:bookmarkEnd w:id="39"/>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r>
        <w:t>[Part V (r. 30, 31) deleted in Gazette 11 Dec 2009 p. 5091.]</w:t>
      </w:r>
    </w:p>
    <w:p>
      <w:pPr>
        <w:pStyle w:val="Heading2"/>
      </w:pPr>
      <w:bookmarkStart w:id="40" w:name="_Toc510709324"/>
      <w:r>
        <w:rPr>
          <w:rStyle w:val="CharPartNo"/>
        </w:rPr>
        <w:t>Part VI</w:t>
      </w:r>
      <w:r>
        <w:rPr>
          <w:rStyle w:val="CharDivNo"/>
        </w:rPr>
        <w:t> </w:t>
      </w:r>
      <w:r>
        <w:t>—</w:t>
      </w:r>
      <w:r>
        <w:rPr>
          <w:rStyle w:val="CharDivText"/>
        </w:rPr>
        <w:t> </w:t>
      </w:r>
      <w:r>
        <w:rPr>
          <w:rStyle w:val="CharPartText"/>
        </w:rPr>
        <w:t>Miscellaneous</w:t>
      </w:r>
      <w:bookmarkEnd w:id="40"/>
    </w:p>
    <w:p>
      <w:pPr>
        <w:pStyle w:val="Heading5"/>
        <w:rPr>
          <w:snapToGrid w:val="0"/>
        </w:rPr>
      </w:pPr>
      <w:bookmarkStart w:id="41" w:name="_Toc510709325"/>
      <w:r>
        <w:rPr>
          <w:rStyle w:val="CharSectno"/>
        </w:rPr>
        <w:t>31A</w:t>
      </w:r>
      <w:r>
        <w:rPr>
          <w:snapToGrid w:val="0"/>
        </w:rPr>
        <w:t>.</w:t>
      </w:r>
      <w:r>
        <w:rPr>
          <w:snapToGrid w:val="0"/>
        </w:rPr>
        <w:tab/>
        <w:t>Fees</w:t>
      </w:r>
      <w:bookmarkEnd w:id="41"/>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2" w:name="_Toc389143186"/>
      <w:bookmarkStart w:id="43" w:name="_Toc391885827"/>
      <w:bookmarkStart w:id="44" w:name="_Toc391885878"/>
      <w:bookmarkStart w:id="45" w:name="_Toc425257088"/>
      <w:bookmarkStart w:id="46" w:name="_Toc506300288"/>
      <w:bookmarkStart w:id="47" w:name="_Toc506300361"/>
      <w:bookmarkStart w:id="48" w:name="_Toc506362835"/>
      <w:bookmarkStart w:id="49" w:name="_Toc506371050"/>
      <w:bookmarkStart w:id="50" w:name="_Toc506793273"/>
      <w:bookmarkStart w:id="51" w:name="_Toc506794569"/>
      <w:bookmarkStart w:id="52" w:name="_Toc506795806"/>
      <w:bookmarkStart w:id="53" w:name="_Toc506799978"/>
      <w:bookmarkStart w:id="54" w:name="_Toc506800059"/>
      <w:bookmarkStart w:id="55" w:name="_Toc506800175"/>
      <w:bookmarkStart w:id="56" w:name="_Toc506800422"/>
      <w:bookmarkStart w:id="57" w:name="_Toc506884929"/>
      <w:bookmarkStart w:id="58" w:name="_Toc506993650"/>
      <w:bookmarkStart w:id="59" w:name="_Toc507051335"/>
      <w:bookmarkStart w:id="60" w:name="_Toc510709326"/>
      <w:r>
        <w:rPr>
          <w:rStyle w:val="CharSchNo"/>
        </w:rPr>
        <w:t>Schedule 1</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zyShoulderClause"/>
        <w:keepNext/>
        <w:rPr>
          <w:snapToGrid w:val="0"/>
        </w:rPr>
      </w:pPr>
      <w:r>
        <w:rPr>
          <w:snapToGrid w:val="0"/>
        </w:rPr>
        <w:t>[r. 4]</w:t>
      </w:r>
    </w:p>
    <w:p>
      <w:pPr>
        <w:pStyle w:val="yScheduleHeading"/>
        <w:pageBreakBefore w:val="0"/>
      </w:pPr>
      <w:bookmarkStart w:id="61" w:name="_Toc389143187"/>
      <w:bookmarkStart w:id="62" w:name="_Toc391885828"/>
      <w:bookmarkStart w:id="63" w:name="_Toc391885879"/>
      <w:bookmarkStart w:id="64" w:name="_Toc425257089"/>
      <w:bookmarkStart w:id="65" w:name="_Toc506300289"/>
      <w:bookmarkStart w:id="66" w:name="_Toc506300362"/>
      <w:bookmarkStart w:id="67" w:name="_Toc506362836"/>
      <w:bookmarkStart w:id="68" w:name="_Toc506371051"/>
      <w:bookmarkStart w:id="69" w:name="_Toc506793274"/>
      <w:bookmarkStart w:id="70" w:name="_Toc506794570"/>
      <w:bookmarkStart w:id="71" w:name="_Toc506795807"/>
      <w:bookmarkStart w:id="72" w:name="_Toc506799979"/>
      <w:bookmarkStart w:id="73" w:name="_Toc506800060"/>
      <w:bookmarkStart w:id="74" w:name="_Toc506800176"/>
      <w:bookmarkStart w:id="75" w:name="_Toc506800423"/>
      <w:bookmarkStart w:id="76" w:name="_Toc506884930"/>
      <w:bookmarkStart w:id="77" w:name="_Toc506993651"/>
      <w:bookmarkStart w:id="78" w:name="_Toc507051336"/>
      <w:bookmarkStart w:id="79" w:name="_Toc510709327"/>
      <w:r>
        <w:rPr>
          <w:rStyle w:val="CharSchText"/>
        </w:rPr>
        <w:t>Geographical limits of smooth waters and partially smooth waters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yFootnoteheading"/>
        <w:rPr>
          <w:rStyle w:val="CharSchText"/>
          <w:sz w:val="24"/>
        </w:rPr>
      </w:pPr>
      <w:r>
        <w:rPr>
          <w:snapToGrid w:val="0"/>
        </w:rPr>
        <w:tab/>
        <w:t>[Heading inserted in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r>
              <w:rPr>
                <w:b/>
              </w:rPr>
              <w:t>Area</w:t>
            </w:r>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through Possession Point (35°2.523′S, 117°55.319′E) and King Point (35°2.093′S, 117°55.174′E). Oyster Harbour north of the latitude of Emu Point (34°59.886′S).</w:t>
            </w:r>
          </w:p>
        </w:tc>
      </w:tr>
      <w:tr>
        <w:tc>
          <w:tcPr>
            <w:tcW w:w="2040" w:type="dxa"/>
          </w:tcPr>
          <w:p>
            <w:pPr>
              <w:pStyle w:val="yTableNAm"/>
            </w:pPr>
            <w:r>
              <w:t>Bunbury</w:t>
            </w:r>
          </w:p>
        </w:tc>
        <w:tc>
          <w:tcPr>
            <w:tcW w:w="5045" w:type="dxa"/>
          </w:tcPr>
          <w:p>
            <w:pPr>
              <w:pStyle w:val="yTableNAm"/>
            </w:pPr>
            <w:r>
              <w:t>Bunbury Inner Harbour, Leschenault Inlet, Casuarina Boat Harbour and waters of Koombana Bay enclosed by a line joining the end of the Bunbury breakwater (33°18.028′S, 115°38.753′E) and No. 1 Groyne (33°18.804′S, 115°39.559′E).</w:t>
            </w:r>
          </w:p>
        </w:tc>
      </w:tr>
      <w:tr>
        <w:tc>
          <w:tcPr>
            <w:tcW w:w="2040" w:type="dxa"/>
          </w:tcPr>
          <w:p>
            <w:pPr>
              <w:pStyle w:val="yTableNAm"/>
            </w:pPr>
            <w:r>
              <w:t>Carnarvon</w:t>
            </w:r>
          </w:p>
        </w:tc>
        <w:tc>
          <w:tcPr>
            <w:tcW w:w="5045" w:type="dxa"/>
          </w:tcPr>
          <w:p>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tc>
          <w:tcPr>
            <w:tcW w:w="2040" w:type="dxa"/>
          </w:tcPr>
          <w:p>
            <w:pPr>
              <w:pStyle w:val="yTableNAm"/>
            </w:pPr>
            <w:r>
              <w:t>Esperance</w:t>
            </w:r>
          </w:p>
        </w:tc>
        <w:tc>
          <w:tcPr>
            <w:tcW w:w="5045" w:type="dxa"/>
          </w:tcPr>
          <w:p>
            <w:pPr>
              <w:pStyle w:val="yTableNAm"/>
            </w:pPr>
            <w:r>
              <w:t>The waters south</w:t>
            </w:r>
            <w:r>
              <w:noBreakHyphen/>
              <w:t>west of a line joining the end of the port breakwater (33°52.040′S, 121°54.465′E) and the James Street groyne (33°51.658′S, 121°53.804′E).</w:t>
            </w:r>
          </w:p>
        </w:tc>
      </w:tr>
      <w:tr>
        <w:tc>
          <w:tcPr>
            <w:tcW w:w="2040" w:type="dxa"/>
          </w:tcPr>
          <w:p>
            <w:pPr>
              <w:pStyle w:val="yTableNAm"/>
            </w:pPr>
            <w:r>
              <w:t>Fremantle</w:t>
            </w:r>
          </w:p>
        </w:tc>
        <w:tc>
          <w:tcPr>
            <w:tcW w:w="5045" w:type="dxa"/>
          </w:tcPr>
          <w:p>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32°8.743′S, 115°45.541′E and 32°8.706′S, 115°45.647′E. </w:t>
            </w:r>
          </w:p>
        </w:tc>
      </w:tr>
      <w:tr>
        <w:tc>
          <w:tcPr>
            <w:tcW w:w="2040" w:type="dxa"/>
          </w:tcPr>
          <w:p>
            <w:pPr>
              <w:pStyle w:val="yTableNAm"/>
              <w:keepNext/>
              <w:keepLines/>
              <w:widowControl w:val="0"/>
            </w:pPr>
            <w:r>
              <w:t>Perth</w:t>
            </w:r>
            <w:r>
              <w:noBreakHyphen/>
              <w:t>Northern</w:t>
            </w:r>
          </w:p>
        </w:tc>
        <w:tc>
          <w:tcPr>
            <w:tcW w:w="5045" w:type="dxa"/>
          </w:tcPr>
          <w:p>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tc>
          <w:tcPr>
            <w:tcW w:w="2040" w:type="dxa"/>
          </w:tcPr>
          <w:p>
            <w:pPr>
              <w:pStyle w:val="yTableNAm"/>
            </w:pPr>
            <w:r>
              <w:t>Geraldton</w:t>
            </w:r>
          </w:p>
        </w:tc>
        <w:tc>
          <w:tcPr>
            <w:tcW w:w="5045" w:type="dxa"/>
          </w:tcPr>
          <w:p>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tc>
          <w:tcPr>
            <w:tcW w:w="2040" w:type="dxa"/>
          </w:tcPr>
          <w:p>
            <w:pPr>
              <w:pStyle w:val="yTableNAm"/>
            </w:pPr>
            <w:r>
              <w:t>Port Hedland</w:t>
            </w:r>
          </w:p>
        </w:tc>
        <w:tc>
          <w:tcPr>
            <w:tcW w:w="5045" w:type="dxa"/>
          </w:tcPr>
          <w:p>
            <w:pPr>
              <w:pStyle w:val="yTableNAm"/>
            </w:pPr>
            <w:r>
              <w:t>Port Hedland Harbour and entrance south of a line along latitude 20°17.750′S between North Point and the spoil bank.</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r>
              <w:rPr>
                <w:b/>
              </w:rPr>
              <w:t>Area</w:t>
            </w:r>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(35°5.327′S, 117°59.790′E) and Herald Point (35°1.144′S, 118°2.208′E).</w:t>
            </w:r>
          </w:p>
        </w:tc>
      </w:tr>
      <w:tr>
        <w:tc>
          <w:tcPr>
            <w:tcW w:w="2040" w:type="dxa"/>
          </w:tcPr>
          <w:p>
            <w:pPr>
              <w:pStyle w:val="yTableNAm"/>
            </w:pPr>
            <w:r>
              <w:t>Broome</w:t>
            </w:r>
            <w:r>
              <w:noBreakHyphen/>
              <w:t>Roebuck Bay</w:t>
            </w:r>
          </w:p>
        </w:tc>
        <w:tc>
          <w:tcPr>
            <w:tcW w:w="5045" w:type="dxa"/>
          </w:tcPr>
          <w:p>
            <w:pPr>
              <w:pStyle w:val="yTableNAm"/>
            </w:pPr>
            <w:r>
              <w:t>Roebuck Bay north of the latitude of Entrance Point (18°0.540′S).</w:t>
            </w:r>
          </w:p>
        </w:tc>
      </w:tr>
      <w:tr>
        <w:tc>
          <w:tcPr>
            <w:tcW w:w="2040" w:type="dxa"/>
          </w:tcPr>
          <w:p>
            <w:pPr>
              <w:pStyle w:val="yTableNAm"/>
            </w:pPr>
            <w:r>
              <w:t>Dampier</w:t>
            </w:r>
          </w:p>
        </w:tc>
        <w:tc>
          <w:tcPr>
            <w:tcW w:w="5045" w:type="dxa"/>
          </w:tcPr>
          <w:p>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tc>
          <w:tcPr>
            <w:tcW w:w="2040" w:type="dxa"/>
          </w:tcPr>
          <w:p>
            <w:pPr>
              <w:pStyle w:val="yTableNAm"/>
            </w:pPr>
            <w:r>
              <w:t>Derby</w:t>
            </w:r>
          </w:p>
        </w:tc>
        <w:tc>
          <w:tcPr>
            <w:tcW w:w="5045" w:type="dxa"/>
          </w:tcPr>
          <w:p>
            <w:pPr>
              <w:pStyle w:val="yTableNAm"/>
            </w:pPr>
            <w:r>
              <w:t>King Sound south of the latitude of Point Torment (17°1.883′S).</w:t>
            </w:r>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tc>
          <w:tcPr>
            <w:tcW w:w="2040" w:type="dxa"/>
          </w:tcPr>
          <w:p>
            <w:pPr>
              <w:pStyle w:val="yTableNAm"/>
            </w:pPr>
            <w:r>
              <w:t>Fremantle Area</w:t>
            </w:r>
            <w:r>
              <w:noBreakHyphen/>
              <w:t>Northern</w:t>
            </w:r>
          </w:p>
        </w:tc>
        <w:tc>
          <w:tcPr>
            <w:tcW w:w="5045" w:type="dxa"/>
          </w:tcPr>
          <w:p>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tc>
          <w:tcPr>
            <w:tcW w:w="2040" w:type="dxa"/>
          </w:tcPr>
          <w:p>
            <w:pPr>
              <w:pStyle w:val="yTableNAm"/>
              <w:keepNext/>
            </w:pPr>
            <w:r>
              <w:t>Fremantle Area</w:t>
            </w:r>
            <w:r>
              <w:noBreakHyphen/>
              <w:t>Southern</w:t>
            </w:r>
          </w:p>
        </w:tc>
        <w:tc>
          <w:tcPr>
            <w:tcW w:w="5045" w:type="dxa"/>
          </w:tcPr>
          <w:p>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tc>
          <w:tcPr>
            <w:tcW w:w="2040" w:type="dxa"/>
          </w:tcPr>
          <w:p>
            <w:pPr>
              <w:pStyle w:val="yTableNAm"/>
            </w:pPr>
            <w:r>
              <w:t>Koolan Island</w:t>
            </w:r>
            <w:r>
              <w:noBreakHyphen/>
            </w:r>
            <w:r>
              <w:br/>
              <w:t>Yampi Sound</w:t>
            </w:r>
          </w:p>
        </w:tc>
        <w:tc>
          <w:tcPr>
            <w:tcW w:w="5045" w:type="dxa"/>
          </w:tcPr>
          <w:p>
            <w:pPr>
              <w:pStyle w:val="yTableNAm"/>
            </w:pPr>
            <w:r>
              <w:t>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(16°5.122′S, 123°35.051′E); thence due south to the mainland at 16°9.893′S, 123°35.051′E.</w:t>
            </w:r>
          </w:p>
        </w:tc>
      </w:tr>
      <w:tr>
        <w:tc>
          <w:tcPr>
            <w:tcW w:w="2040" w:type="dxa"/>
          </w:tcPr>
          <w:p>
            <w:pPr>
              <w:pStyle w:val="yTableNAm"/>
            </w:pPr>
            <w:r>
              <w:t>Kuri Bay</w:t>
            </w:r>
          </w:p>
        </w:tc>
        <w:tc>
          <w:tcPr>
            <w:tcW w:w="5045" w:type="dxa"/>
          </w:tcPr>
          <w:p>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tc>
          <w:tcPr>
            <w:tcW w:w="2040" w:type="dxa"/>
          </w:tcPr>
          <w:p>
            <w:pPr>
              <w:pStyle w:val="yTableNAm"/>
            </w:pPr>
            <w:r>
              <w:t>Lake Argyle</w:t>
            </w:r>
          </w:p>
        </w:tc>
        <w:tc>
          <w:tcPr>
            <w:tcW w:w="5045" w:type="dxa"/>
          </w:tcPr>
          <w:p>
            <w:pPr>
              <w:pStyle w:val="yTableNAm"/>
            </w:pPr>
            <w:r>
              <w:t>All the waters of Lake Argyle that are in Western Australia.</w:t>
            </w:r>
          </w:p>
        </w:tc>
      </w:tr>
      <w:tr>
        <w:tc>
          <w:tcPr>
            <w:tcW w:w="2040" w:type="dxa"/>
          </w:tcPr>
          <w:p>
            <w:pPr>
              <w:pStyle w:val="yTableNAm"/>
              <w:keepNext/>
            </w:pPr>
            <w:r>
              <w:t>Port Walcott</w:t>
            </w:r>
          </w:p>
        </w:tc>
        <w:tc>
          <w:tcPr>
            <w:tcW w:w="5045" w:type="dxa"/>
          </w:tcPr>
          <w:p>
            <w:pPr>
              <w:pStyle w:val="yTableNAm"/>
              <w:keepNext/>
            </w:pPr>
            <w:r>
              <w:t>The waters of Port Walcott west of 117°13.198′E (the eastern end of Jarman Island), south of 20°32.811′S (the northern end of Bezout Island) and east of 117°10.078′E.</w:t>
            </w:r>
          </w:p>
        </w:tc>
      </w:tr>
      <w:tr>
        <w:tc>
          <w:tcPr>
            <w:tcW w:w="2040" w:type="dxa"/>
          </w:tcPr>
          <w:p>
            <w:pPr>
              <w:pStyle w:val="yTableNAm"/>
            </w:pPr>
            <w:r>
              <w:t>Wyndham</w:t>
            </w:r>
            <w:r>
              <w:noBreakHyphen/>
            </w:r>
            <w:r>
              <w:br/>
              <w:t>Cambridge Gulf</w:t>
            </w:r>
          </w:p>
        </w:tc>
        <w:tc>
          <w:tcPr>
            <w:tcW w:w="5045" w:type="dxa"/>
          </w:tcPr>
          <w:p>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pPr>
        <w:pStyle w:val="yFootnotesection"/>
        <w:rPr>
          <w:rStyle w:val="CharSchText"/>
          <w:snapToGrid/>
        </w:rPr>
      </w:pPr>
      <w:r>
        <w:tab/>
        <w:t>[Schedule 1 inserted in Gazette 6 Apr 2018 p. 1213</w:t>
      </w:r>
      <w:r>
        <w:noBreakHyphen/>
        <w:t>15.]</w:t>
      </w:r>
    </w:p>
    <w:p>
      <w:pPr>
        <w:pStyle w:val="yScheduleHeading"/>
      </w:pPr>
      <w:bookmarkStart w:id="80" w:name="_Toc510709328"/>
      <w:r>
        <w:rPr>
          <w:rStyle w:val="CharSchNo"/>
        </w:rPr>
        <w:t>Schedule 2</w:t>
      </w:r>
      <w:bookmarkEnd w:id="80"/>
    </w:p>
    <w:p>
      <w:pPr>
        <w:pStyle w:val="yShoulderClause"/>
        <w:rPr>
          <w:snapToGrid w:val="0"/>
        </w:rPr>
      </w:pPr>
      <w:r>
        <w:rPr>
          <w:snapToGrid w:val="0"/>
        </w:rPr>
        <w:t>[r. 7]</w:t>
      </w:r>
    </w:p>
    <w:p>
      <w:pPr>
        <w:pStyle w:val="yHeading2"/>
      </w:pPr>
      <w:bookmarkStart w:id="81" w:name="_Toc510709329"/>
      <w:r>
        <w:rPr>
          <w:rStyle w:val="CharSchText"/>
        </w:rPr>
        <w:t>Functions of certificates of competency</w:t>
      </w:r>
      <w:bookmarkEnd w:id="81"/>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82" w:name="_Toc510709330"/>
      <w:r>
        <w:rPr>
          <w:rStyle w:val="CharSchNo"/>
        </w:rPr>
        <w:t>Schedule 3</w:t>
      </w:r>
      <w:r>
        <w:t> — </w:t>
      </w:r>
      <w:r>
        <w:rPr>
          <w:rStyle w:val="CharSchText"/>
        </w:rPr>
        <w:t>Fees</w:t>
      </w:r>
      <w:bookmarkEnd w:id="82"/>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$257.00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rPr>
                <w:szCs w:val="22"/>
              </w:rPr>
              <w:t>$175.00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in Gazette 30 Jun 2010 p. 3163-5; amended in Gazette </w:t>
      </w:r>
      <w:r>
        <w:rPr>
          <w:szCs w:val="22"/>
        </w:rPr>
        <w:t>11 Feb 2011 p. 490; 21 Jun 2011 p. 2228; 15 Jun 2012 p. 2528-9; 28 Jun 2013 p. 2770-1; 30 May 2014 p. 1689</w:t>
      </w:r>
      <w:r>
        <w:t>.]</w:t>
      </w:r>
    </w:p>
    <w:p>
      <w:pPr>
        <w:pStyle w:val="yScheduleHeading"/>
      </w:pPr>
      <w:bookmarkStart w:id="83" w:name="_Toc510709331"/>
      <w:r>
        <w:rPr>
          <w:rStyle w:val="CharSchNo"/>
        </w:rPr>
        <w:t>Schedule 4</w:t>
      </w:r>
      <w:bookmarkEnd w:id="83"/>
    </w:p>
    <w:p>
      <w:pPr>
        <w:pStyle w:val="yShoulderClause"/>
        <w:rPr>
          <w:snapToGrid w:val="0"/>
        </w:rPr>
      </w:pPr>
      <w:r>
        <w:rPr>
          <w:snapToGrid w:val="0"/>
        </w:rPr>
        <w:t>[r. 18]</w:t>
      </w:r>
    </w:p>
    <w:p>
      <w:pPr>
        <w:pStyle w:val="yHeading2"/>
      </w:pPr>
      <w:bookmarkStart w:id="84" w:name="_Toc510709332"/>
      <w:r>
        <w:rPr>
          <w:rStyle w:val="CharSchText"/>
        </w:rPr>
        <w:t>Prerequisites for applicants for certificates of competency</w:t>
      </w:r>
      <w:bookmarkEnd w:id="84"/>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85" w:name="_Toc510709333"/>
            <w:r>
              <w:rPr>
                <w:rStyle w:val="CharSchNo"/>
              </w:rPr>
              <w:t>Schedule 5</w:t>
            </w:r>
            <w:bookmarkEnd w:id="85"/>
          </w:p>
          <w:p>
            <w:pPr>
              <w:pStyle w:val="yShoulderClause"/>
              <w:spacing w:before="0"/>
            </w:pPr>
            <w:r>
              <w:t>[r. 28]</w:t>
            </w:r>
          </w:p>
          <w:p>
            <w:pPr>
              <w:pStyle w:val="yHeading2"/>
              <w:spacing w:before="0" w:after="120"/>
            </w:pPr>
            <w:bookmarkStart w:id="86" w:name="_Toc510709334"/>
            <w:r>
              <w:rPr>
                <w:rStyle w:val="CharSchText"/>
              </w:rPr>
              <w:t>Safety manning</w:t>
            </w:r>
            <w:bookmarkEnd w:id="86"/>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4" w:bottom="3544" w:left="2404" w:header="709" w:footer="3380" w:gutter="0"/>
          <w:cols w:space="720"/>
          <w:noEndnote/>
          <w:docGrid w:linePitch="326"/>
        </w:sectPr>
      </w:pPr>
    </w:p>
    <w:p>
      <w:pPr>
        <w:pStyle w:val="nHeading2"/>
      </w:pPr>
      <w:bookmarkStart w:id="88" w:name="_Toc510709335"/>
      <w:r>
        <w:t>Notes</w:t>
      </w:r>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9" w:name="_Toc510709336"/>
      <w:r>
        <w:rPr>
          <w:snapToGrid w:val="0"/>
        </w:rPr>
        <w:t>Compilation table</w:t>
      </w:r>
      <w:bookmarkEnd w:id="89"/>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gridSpan w:val="2"/>
            <w:tcBorders>
              <w:top w:val="single" w:sz="8" w:space="0" w:color="auto"/>
            </w:tcBorders>
          </w:tcPr>
          <w:p>
            <w:pPr>
              <w:pStyle w:val="nTable"/>
              <w:spacing w:after="40"/>
            </w:pPr>
            <w:r>
              <w:t>1 Jul 1983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gridSpan w:val="2"/>
          </w:tcPr>
          <w:p>
            <w:pPr>
              <w:pStyle w:val="nTable"/>
              <w:spacing w:after="40"/>
            </w:pPr>
            <w:r>
              <w:t>17 Aug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gridSpan w:val="2"/>
          </w:tcPr>
          <w:p>
            <w:pPr>
              <w:pStyle w:val="nTable"/>
              <w:spacing w:after="40"/>
            </w:pPr>
            <w:r>
              <w:t>2 Aug 1985</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gridSpan w:val="2"/>
          </w:tcPr>
          <w:p>
            <w:pPr>
              <w:pStyle w:val="nTable"/>
              <w:spacing w:after="40"/>
            </w:pPr>
            <w:r>
              <w:t>2 Sep 1985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gridSpan w:val="2"/>
          </w:tcPr>
          <w:p>
            <w:pPr>
              <w:pStyle w:val="nTable"/>
              <w:spacing w:after="40"/>
            </w:pPr>
            <w:r>
              <w:t>8 Aug 1986</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gridSpan w:val="2"/>
          </w:tcPr>
          <w:p>
            <w:pPr>
              <w:pStyle w:val="nTable"/>
              <w:spacing w:after="40"/>
            </w:pPr>
            <w:r>
              <w:t>12 Jun 1987</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gridSpan w:val="2"/>
          </w:tcPr>
          <w:p>
            <w:pPr>
              <w:pStyle w:val="nTable"/>
              <w:keepNext/>
              <w:spacing w:after="40"/>
            </w:pPr>
            <w:r>
              <w:t>12 Aug 1988</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gridSpan w:val="2"/>
          </w:tcPr>
          <w:p>
            <w:pPr>
              <w:pStyle w:val="nTable"/>
              <w:spacing w:after="40"/>
            </w:pPr>
            <w:r>
              <w:t>23 Jun 1989</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gridSpan w:val="2"/>
          </w:tcPr>
          <w:p>
            <w:pPr>
              <w:pStyle w:val="nTable"/>
              <w:spacing w:after="40"/>
            </w:pPr>
            <w:r>
              <w:t>1 Jul 1989 (see r. 2)</w:t>
            </w:r>
          </w:p>
        </w:tc>
      </w:tr>
      <w:tr>
        <w:trPr>
          <w:gridBefore w:val="1"/>
          <w:wBefore w:w="1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gridSpan w:val="2"/>
          </w:tcPr>
          <w:p>
            <w:pPr>
              <w:pStyle w:val="nTable"/>
              <w:keepLines/>
              <w:spacing w:after="40"/>
            </w:pPr>
            <w:r>
              <w:t>1 Aug 1990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gridSpan w:val="2"/>
          </w:tcPr>
          <w:p>
            <w:pPr>
              <w:pStyle w:val="nTable"/>
              <w:spacing w:after="40"/>
            </w:pPr>
            <w:r>
              <w:t>1 Aug 1991 (see r. 2)</w:t>
            </w:r>
          </w:p>
        </w:tc>
      </w:tr>
      <w:tr>
        <w:trPr>
          <w:gridBefore w:val="1"/>
          <w:wBefore w:w="1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gridSpan w:val="2"/>
          </w:tcPr>
          <w:p>
            <w:pPr>
              <w:pStyle w:val="nTable"/>
              <w:spacing w:after="40"/>
            </w:pPr>
            <w:r>
              <w:t>1 Jul 1992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gridSpan w:val="2"/>
          </w:tcPr>
          <w:p>
            <w:pPr>
              <w:pStyle w:val="nTable"/>
              <w:spacing w:after="40"/>
            </w:pPr>
            <w:r>
              <w:t>11 Aug 1992</w:t>
            </w:r>
          </w:p>
        </w:tc>
      </w:tr>
      <w:tr>
        <w:trPr>
          <w:gridBefore w:val="1"/>
          <w:wBefore w:w="1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gridSpan w:val="2"/>
          </w:tcPr>
          <w:p>
            <w:pPr>
              <w:pStyle w:val="nTable"/>
              <w:spacing w:after="40"/>
            </w:pPr>
            <w:r>
              <w:t>1 Jul 1993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gridSpan w:val="2"/>
          </w:tcPr>
          <w:p>
            <w:pPr>
              <w:pStyle w:val="nTable"/>
              <w:spacing w:after="40"/>
            </w:pPr>
            <w:r>
              <w:t>1 Jul 1994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gridSpan w:val="2"/>
          </w:tcPr>
          <w:p>
            <w:pPr>
              <w:pStyle w:val="nTable"/>
              <w:spacing w:after="40"/>
            </w:pPr>
            <w:r>
              <w:t>11 Jul 1995</w:t>
            </w:r>
          </w:p>
        </w:tc>
      </w:tr>
      <w:tr>
        <w:trPr>
          <w:gridBefore w:val="1"/>
          <w:wBefore w:w="1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gridSpan w:val="2"/>
          </w:tcPr>
          <w:p>
            <w:pPr>
              <w:pStyle w:val="nTable"/>
              <w:spacing w:after="40"/>
            </w:pPr>
            <w:r>
              <w:t>25 Jun 1996</w:t>
            </w:r>
          </w:p>
        </w:tc>
      </w:tr>
      <w:tr>
        <w:trPr>
          <w:gridBefore w:val="1"/>
          <w:wBefore w:w="1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gridSpan w:val="2"/>
          </w:tcPr>
          <w:p>
            <w:pPr>
              <w:pStyle w:val="nTable"/>
              <w:spacing w:after="40"/>
            </w:pPr>
            <w:r>
              <w:t>1 Jul 1997 (see r. 2)</w:t>
            </w:r>
          </w:p>
        </w:tc>
      </w:tr>
      <w:tr>
        <w:trPr>
          <w:gridBefore w:val="1"/>
          <w:wBefore w:w="14" w:type="dxa"/>
          <w:cantSplit/>
        </w:trPr>
        <w:tc>
          <w:tcPr>
            <w:tcW w:w="7092" w:type="dxa"/>
            <w:gridSpan w:val="6"/>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gridSpan w:val="2"/>
          </w:tcPr>
          <w:p>
            <w:pPr>
              <w:pStyle w:val="nTable"/>
              <w:keepNext/>
              <w:spacing w:after="40"/>
            </w:pPr>
            <w:r>
              <w:t>3 Apr 1998</w:t>
            </w:r>
          </w:p>
        </w:tc>
      </w:tr>
      <w:tr>
        <w:trPr>
          <w:gridBefore w:val="1"/>
          <w:wBefore w:w="1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gridSpan w:val="2"/>
          </w:tcPr>
          <w:p>
            <w:pPr>
              <w:pStyle w:val="nTable"/>
              <w:spacing w:after="40"/>
            </w:pPr>
            <w:r>
              <w:t>1 Jul 1998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gridSpan w:val="2"/>
          </w:tcPr>
          <w:p>
            <w:pPr>
              <w:pStyle w:val="nTable"/>
              <w:spacing w:after="40"/>
            </w:pPr>
            <w:r>
              <w:t>28 Aug 1998</w:t>
            </w:r>
          </w:p>
        </w:tc>
      </w:tr>
      <w:tr>
        <w:trPr>
          <w:gridBefore w:val="1"/>
          <w:wBefore w:w="1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gridSpan w:val="2"/>
          </w:tcPr>
          <w:p>
            <w:pPr>
              <w:pStyle w:val="nTable"/>
              <w:spacing w:after="40"/>
            </w:pPr>
            <w:r>
              <w:t>1 Jul 2000 (see r. 2)</w:t>
            </w:r>
          </w:p>
        </w:tc>
      </w:tr>
      <w:tr>
        <w:trPr>
          <w:gridBefore w:val="1"/>
          <w:wBefore w:w="1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gridSpan w:val="2"/>
          </w:tcPr>
          <w:p>
            <w:pPr>
              <w:pStyle w:val="nTable"/>
              <w:spacing w:after="40"/>
            </w:pPr>
            <w:r>
              <w:t>1 Aug 2001 (see r. 2)</w:t>
            </w:r>
          </w:p>
        </w:tc>
      </w:tr>
      <w:tr>
        <w:trPr>
          <w:gridBefore w:val="1"/>
          <w:wBefore w:w="1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gridSpan w:val="2"/>
          </w:tcPr>
          <w:p>
            <w:pPr>
              <w:pStyle w:val="nTable"/>
              <w:spacing w:after="40"/>
            </w:pPr>
            <w:r>
              <w:t>1 Jul 2002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gridSpan w:val="2"/>
          </w:tcPr>
          <w:p>
            <w:pPr>
              <w:pStyle w:val="nTable"/>
              <w:spacing w:after="40"/>
            </w:pPr>
            <w:r>
              <w:t>1 Jul 2003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gridSpan w:val="2"/>
          </w:tcPr>
          <w:p>
            <w:pPr>
              <w:pStyle w:val="nTable"/>
              <w:spacing w:after="40"/>
            </w:pPr>
            <w:r>
              <w:t>1 Jul 2004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gridSpan w:val="2"/>
          </w:tcPr>
          <w:p>
            <w:pPr>
              <w:pStyle w:val="nTable"/>
              <w:spacing w:after="40"/>
            </w:pPr>
            <w:r>
              <w:t>24 Aug 2004</w:t>
            </w:r>
          </w:p>
        </w:tc>
      </w:tr>
      <w:tr>
        <w:trPr>
          <w:gridBefore w:val="1"/>
          <w:wBefore w:w="14" w:type="dxa"/>
          <w:cantSplit/>
        </w:trPr>
        <w:tc>
          <w:tcPr>
            <w:tcW w:w="7092" w:type="dxa"/>
            <w:gridSpan w:val="6"/>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gridSpan w:val="2"/>
          </w:tcPr>
          <w:p>
            <w:pPr>
              <w:pStyle w:val="nTable"/>
              <w:spacing w:after="40"/>
            </w:pPr>
            <w:r>
              <w:t xml:space="preserve">1 Jan 2005 (see r. 2 and </w:t>
            </w:r>
            <w:r>
              <w:rPr>
                <w:i/>
              </w:rPr>
              <w:t>Gazette</w:t>
            </w:r>
            <w:r>
              <w:t xml:space="preserve"> 31 Dec 2004 p. 7130)</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gridSpan w:val="2"/>
          </w:tcPr>
          <w:p>
            <w:pPr>
              <w:pStyle w:val="nTable"/>
              <w:spacing w:after="40"/>
            </w:pPr>
            <w:r>
              <w:t>1 Jul 2005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gridSpan w:val="2"/>
          </w:tcPr>
          <w:p>
            <w:pPr>
              <w:pStyle w:val="nTable"/>
              <w:spacing w:after="40"/>
            </w:pPr>
            <w:r>
              <w:t>16 Jun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gridSpan w:val="2"/>
          </w:tcPr>
          <w:p>
            <w:pPr>
              <w:pStyle w:val="nTable"/>
              <w:spacing w:after="40"/>
            </w:pPr>
            <w:r>
              <w:t>1 Jul 2006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gridSpan w:val="2"/>
          </w:tcPr>
          <w:p>
            <w:pPr>
              <w:pStyle w:val="nTable"/>
              <w:spacing w:after="40"/>
            </w:pPr>
            <w:r>
              <w:rPr>
                <w:color w:val="000000"/>
              </w:rPr>
              <w:t>8 Dec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gridSpan w:val="2"/>
          </w:tcPr>
          <w:p>
            <w:pPr>
              <w:pStyle w:val="nTable"/>
              <w:spacing w:after="40"/>
              <w:rPr>
                <w:color w:val="000000"/>
              </w:rPr>
            </w:pPr>
            <w:r>
              <w:t>1 Jul 2007 (see r. 2)</w:t>
            </w:r>
          </w:p>
        </w:tc>
      </w:tr>
      <w:tr>
        <w:trPr>
          <w:gridBefore w:val="1"/>
          <w:wBefore w:w="14" w:type="dxa"/>
          <w:cantSplit/>
        </w:trPr>
        <w:tc>
          <w:tcPr>
            <w:tcW w:w="7092" w:type="dxa"/>
            <w:gridSpan w:val="6"/>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gridSpan w:val="2"/>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gridSpan w:val="2"/>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rPr>
          <w:gridAfter w:val="1"/>
          <w:wAfter w:w="19" w:type="dxa"/>
          <w:cantSplit/>
        </w:trPr>
        <w:tc>
          <w:tcPr>
            <w:tcW w:w="3118"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693" w:type="dxa"/>
            <w:gridSpan w:val="2"/>
          </w:tcPr>
          <w:p>
            <w:pPr>
              <w:pStyle w:val="nTable"/>
              <w:spacing w:after="40"/>
            </w:pPr>
            <w:r>
              <w:rPr>
                <w:snapToGrid w:val="0"/>
                <w:color w:val="000000"/>
              </w:rPr>
              <w:t>r. 1 and 2: 30 Jun 2010 (see r. 2(a));</w:t>
            </w:r>
            <w:r>
              <w:rPr>
                <w:snapToGrid w:val="0"/>
                <w:color w:val="000000"/>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693" w:type="dxa"/>
            <w:gridSpan w:val="2"/>
          </w:tcPr>
          <w:p>
            <w:pPr>
              <w:pStyle w:val="nTable"/>
              <w:spacing w:after="40"/>
              <w:rPr>
                <w:rFonts w:ascii="Times" w:hAnsi="Times"/>
              </w:rPr>
            </w:pPr>
            <w:r>
              <w:rPr>
                <w:rFonts w:ascii="Times" w:hAnsi="Times"/>
                <w:snapToGrid w:val="0"/>
                <w:color w:val="000000"/>
              </w:rPr>
              <w:t>r. 1 and 2: 11 Feb 2011 (see r. 2(a));</w:t>
            </w:r>
            <w:r>
              <w:rPr>
                <w:rFonts w:ascii="Times" w:hAnsi="Times"/>
                <w:snapToGrid w:val="0"/>
                <w:color w:val="000000"/>
              </w:rPr>
              <w:br/>
              <w:t>Regulations other than r. 1 and 2: 12 Feb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693" w:type="dxa"/>
            <w:gridSpan w:val="2"/>
          </w:tcPr>
          <w:p>
            <w:pPr>
              <w:pStyle w:val="nTable"/>
              <w:spacing w:after="40"/>
              <w:rPr>
                <w:rFonts w:ascii="Times" w:hAnsi="Times"/>
                <w:snapToGrid w:val="0"/>
                <w:color w:val="000000"/>
              </w:rPr>
            </w:pPr>
            <w:r>
              <w:rPr>
                <w:rFonts w:ascii="Times" w:hAnsi="Times"/>
                <w:snapToGrid w:val="0"/>
                <w:color w:val="000000"/>
              </w:rPr>
              <w:t>r. 1 and 2: 21 Jun 2011 (see r. 2(a));</w:t>
            </w:r>
            <w:r>
              <w:rPr>
                <w:rFonts w:ascii="Times" w:hAnsi="Times"/>
                <w:snapToGrid w:val="0"/>
                <w:color w:val="000000"/>
              </w:rPr>
              <w:br/>
              <w:t>Regulations other than r. 1 and 2: 1 Jul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693" w:type="dxa"/>
            <w:gridSpan w:val="2"/>
          </w:tcPr>
          <w:p>
            <w:pPr>
              <w:pStyle w:val="nTable"/>
              <w:spacing w:after="40"/>
              <w:rPr>
                <w:rFonts w:ascii="Times" w:hAnsi="Times"/>
                <w:snapToGrid w:val="0"/>
                <w:color w:val="000000"/>
              </w:rPr>
            </w:pPr>
            <w:r>
              <w:rPr>
                <w:rFonts w:ascii="Times" w:hAnsi="Times"/>
                <w:snapToGrid w:val="0"/>
                <w:color w:val="000000"/>
              </w:rPr>
              <w:t>r. 1 and 2: 14 Feb 2012 (see r. 2(a));</w:t>
            </w:r>
            <w:r>
              <w:rPr>
                <w:rFonts w:ascii="Times" w:hAnsi="Times"/>
                <w:snapToGrid w:val="0"/>
                <w:color w:val="000000"/>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693" w:type="dxa"/>
            <w:gridSpan w:val="2"/>
            <w:shd w:val="clear" w:color="auto" w:fill="auto"/>
          </w:tcPr>
          <w:p>
            <w:pPr>
              <w:pStyle w:val="nTable"/>
              <w:spacing w:after="40"/>
              <w:rPr>
                <w:rFonts w:ascii="Times" w:hAnsi="Times"/>
                <w:snapToGrid w:val="0"/>
                <w:color w:val="000000"/>
              </w:rPr>
            </w:pPr>
            <w:r>
              <w:rPr>
                <w:rFonts w:ascii="Times" w:hAnsi="Times"/>
                <w:snapToGrid w:val="0"/>
                <w:color w:val="000000"/>
              </w:rPr>
              <w:t>r. 1 and 2: 15 Jun 2012 (see r. 2(a));</w:t>
            </w:r>
            <w:r>
              <w:rPr>
                <w:rFonts w:ascii="Times" w:hAnsi="Times"/>
                <w:snapToGrid w:val="0"/>
                <w:color w:val="000000"/>
              </w:rPr>
              <w:br/>
              <w:t>Regulations other than r. 1 and 2: 1 Jul 2012 (see r. 2(b))</w:t>
            </w:r>
          </w:p>
        </w:tc>
      </w:tr>
      <w:tr>
        <w:trPr>
          <w:gridAfter w:val="1"/>
          <w:wAfter w:w="19" w:type="dxa"/>
          <w:cantSplit/>
        </w:trPr>
        <w:tc>
          <w:tcPr>
            <w:tcW w:w="7087" w:type="dxa"/>
            <w:gridSpan w:val="6"/>
            <w:shd w:val="clear" w:color="auto" w:fill="auto"/>
          </w:tcPr>
          <w:p>
            <w:pPr>
              <w:pStyle w:val="nTable"/>
              <w:spacing w:after="40"/>
              <w:rPr>
                <w:rFonts w:ascii="Times" w:hAnsi="Times"/>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693" w:type="dxa"/>
            <w:gridSpan w:val="2"/>
            <w:shd w:val="clear" w:color="auto" w:fill="auto"/>
          </w:tcPr>
          <w:p>
            <w:pPr>
              <w:pStyle w:val="nTable"/>
              <w:spacing w:after="40"/>
              <w:rPr>
                <w:rFonts w:ascii="Times" w:hAnsi="Times"/>
                <w:i/>
                <w:snapToGrid w:val="0"/>
                <w:color w:val="000000"/>
              </w:rPr>
            </w:pPr>
            <w:r>
              <w:rPr>
                <w:rFonts w:ascii="Times" w:hAnsi="Times"/>
                <w:snapToGrid w:val="0"/>
                <w:color w:val="000000"/>
              </w:rPr>
              <w:t>r. 1 and 2: 28 Jun 2013 (see r. 2(a));</w:t>
            </w:r>
            <w:r>
              <w:rPr>
                <w:rFonts w:ascii="Times" w:hAnsi="Times"/>
                <w:snapToGrid w:val="0"/>
                <w:color w:val="000000"/>
              </w:rPr>
              <w:br/>
              <w:t>Regulations other than r. 1 and 2: 1 Jul 2013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pPr>
              <w:pStyle w:val="nTable"/>
              <w:spacing w:after="40"/>
            </w:pPr>
            <w:r>
              <w:t>30 May 2014 p. 1688-9</w:t>
            </w:r>
          </w:p>
        </w:tc>
        <w:tc>
          <w:tcPr>
            <w:tcW w:w="2693" w:type="dxa"/>
            <w:gridSpan w:val="2"/>
            <w:shd w:val="clear" w:color="auto" w:fill="auto"/>
          </w:tcPr>
          <w:p>
            <w:pPr>
              <w:pStyle w:val="nTable"/>
              <w:spacing w:after="40"/>
              <w:rPr>
                <w:rFonts w:ascii="Times" w:hAnsi="Times"/>
                <w:snapToGrid w:val="0"/>
                <w:color w:val="000000"/>
              </w:rPr>
            </w:pPr>
            <w:r>
              <w:rPr>
                <w:rFonts w:ascii="Times" w:hAnsi="Times"/>
                <w:snapToGrid w:val="0"/>
                <w:color w:val="000000"/>
              </w:rPr>
              <w:t>r. 1 and 2: 30 May 2014 (see r. 2(a));</w:t>
            </w:r>
            <w:r>
              <w:rPr>
                <w:rFonts w:ascii="Times" w:hAnsi="Times"/>
                <w:snapToGrid w:val="0"/>
                <w:color w:val="000000"/>
              </w:rPr>
              <w:br/>
              <w:t>Regulations other than r. 1 and 2: 1 Jul 2014 (see r. 2(b))</w:t>
            </w:r>
          </w:p>
        </w:tc>
      </w:tr>
      <w:tr>
        <w:trPr>
          <w:gridAfter w:val="1"/>
          <w:wAfter w:w="19" w:type="dxa"/>
          <w:cantSplit/>
        </w:trPr>
        <w:tc>
          <w:tcPr>
            <w:tcW w:w="3118" w:type="dxa"/>
            <w:gridSpan w:val="2"/>
            <w:tcBorders>
              <w:bottom w:val="single" w:sz="4" w:space="0" w:color="auto"/>
            </w:tcBorders>
            <w:shd w:val="clear" w:color="auto" w:fill="auto"/>
          </w:tcPr>
          <w:p>
            <w:pPr>
              <w:pStyle w:val="nTable"/>
              <w:spacing w:after="40"/>
              <w:ind w:right="113"/>
              <w:rPr>
                <w:i/>
              </w:rPr>
            </w:pPr>
            <w:r>
              <w:rPr>
                <w:i/>
              </w:rPr>
              <w:t>W.A. Marine (Certificates of Competency and Safety Manning) Amendment Regulations 2018</w:t>
            </w:r>
          </w:p>
        </w:tc>
        <w:tc>
          <w:tcPr>
            <w:tcW w:w="1276" w:type="dxa"/>
            <w:gridSpan w:val="2"/>
            <w:tcBorders>
              <w:bottom w:val="single" w:sz="4" w:space="0" w:color="auto"/>
            </w:tcBorders>
            <w:shd w:val="clear" w:color="auto" w:fill="auto"/>
          </w:tcPr>
          <w:p>
            <w:pPr>
              <w:pStyle w:val="nTable"/>
              <w:spacing w:after="40"/>
            </w:pPr>
            <w:r>
              <w:t>6 Apr 2018 p. 1212</w:t>
            </w:r>
            <w:r>
              <w:noBreakHyphen/>
              <w:t>15</w:t>
            </w:r>
          </w:p>
        </w:tc>
        <w:tc>
          <w:tcPr>
            <w:tcW w:w="2693" w:type="dxa"/>
            <w:gridSpan w:val="2"/>
            <w:tcBorders>
              <w:bottom w:val="single" w:sz="4" w:space="0" w:color="auto"/>
            </w:tcBorders>
            <w:shd w:val="clear" w:color="auto" w:fill="auto"/>
          </w:tcPr>
          <w:p>
            <w:pPr>
              <w:pStyle w:val="nTable"/>
              <w:spacing w:after="40"/>
              <w:rPr>
                <w:rFonts w:ascii="Times" w:hAnsi="Times"/>
                <w:snapToGrid w:val="0"/>
                <w:color w:val="000000"/>
              </w:rPr>
            </w:pPr>
            <w:r>
              <w:rPr>
                <w:rFonts w:ascii="Times" w:hAnsi="Times"/>
                <w:bCs/>
                <w:snapToGrid w:val="0"/>
                <w:color w:val="000000"/>
                <w:spacing w:val="-2"/>
              </w:rPr>
              <w:t>r. 1 and 2: 6 Apr 2018 (see r. 2(a));</w:t>
            </w:r>
            <w:r>
              <w:rPr>
                <w:rFonts w:ascii="Times" w:hAnsi="Times"/>
                <w:bCs/>
                <w:snapToGrid w:val="0"/>
                <w:color w:val="000000"/>
                <w:spacing w:val="-2"/>
              </w:rPr>
              <w:br/>
              <w:t>Regulations other than r. 1 and 2: 7 Apr 2018 (see r. 2(b))</w:t>
            </w:r>
          </w:p>
        </w:tc>
      </w:tr>
    </w:tbl>
    <w:p>
      <w:pPr>
        <w:pStyle w:val="nSubsection"/>
      </w:pPr>
      <w:r>
        <w:rPr>
          <w:vertAlign w:val="superscript"/>
        </w:rPr>
        <w:t>2</w:t>
      </w:r>
      <w:r>
        <w:tab/>
        <w:t xml:space="preserve">Repealed by the </w:t>
      </w:r>
      <w:r>
        <w:rPr>
          <w:i/>
        </w:rPr>
        <w:t>Pearling Act 1990.</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91" w:name="_Toc510709337"/>
      <w:r>
        <w:rPr>
          <w:sz w:val="28"/>
        </w:rPr>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 C</w:t>
      </w:r>
      <w:r>
        <w:tab/>
        <w:t>3</w:t>
      </w:r>
    </w:p>
    <w:p>
      <w:pPr>
        <w:pStyle w:val="DefinedTerms"/>
      </w:pPr>
      <w:r>
        <w:t>applicant</w:t>
      </w:r>
      <w:r>
        <w:tab/>
        <w:t>3</w:t>
      </w:r>
    </w:p>
    <w:p>
      <w:pPr>
        <w:pStyle w:val="DefinedTerms"/>
      </w:pPr>
      <w:r>
        <w:t>at sea</w:t>
      </w:r>
      <w:r>
        <w:tab/>
        <w:t>3</w:t>
      </w:r>
    </w:p>
    <w:p>
      <w:pPr>
        <w:pStyle w:val="DefinedTerms"/>
      </w:pPr>
      <w:r>
        <w:t>Australian marine authority</w:t>
      </w:r>
      <w:r>
        <w:tab/>
        <w:t>3</w:t>
      </w:r>
    </w:p>
    <w:p>
      <w:pPr>
        <w:pStyle w:val="DefinedTerms"/>
      </w:pPr>
      <w:r>
        <w:t>certificate of competency</w:t>
      </w:r>
      <w:r>
        <w:tab/>
        <w:t>3</w:t>
      </w:r>
    </w:p>
    <w:p>
      <w:pPr>
        <w:pStyle w:val="DefinedTerms"/>
      </w:pPr>
      <w:r>
        <w:t>chief engineer</w:t>
      </w:r>
      <w:r>
        <w:tab/>
        <w:t>3</w:t>
      </w:r>
    </w:p>
    <w:p>
      <w:pPr>
        <w:pStyle w:val="DefinedTerms"/>
      </w:pPr>
      <w:r>
        <w:t>chief mate</w:t>
      </w:r>
      <w:r>
        <w:tab/>
        <w:t>3</w:t>
      </w:r>
    </w:p>
    <w:p>
      <w:pPr>
        <w:pStyle w:val="DefinedTerms"/>
      </w:pPr>
      <w:r>
        <w:t>Code</w:t>
      </w:r>
      <w:r>
        <w:tab/>
        <w:t>3</w:t>
      </w:r>
    </w:p>
    <w:p>
      <w:pPr>
        <w:pStyle w:val="DefinedTerms"/>
      </w:pPr>
      <w:r>
        <w:t>endorsement</w:t>
      </w:r>
      <w:r>
        <w:tab/>
        <w:t>3</w:t>
      </w:r>
    </w:p>
    <w:p>
      <w:pPr>
        <w:pStyle w:val="DefinedTerms"/>
      </w:pPr>
      <w:r>
        <w:t>length</w:t>
      </w:r>
      <w:r>
        <w:tab/>
        <w:t>3</w:t>
      </w:r>
    </w:p>
    <w:p>
      <w:pPr>
        <w:pStyle w:val="DefinedTerms"/>
      </w:pPr>
      <w:r>
        <w:t>marine authority</w:t>
      </w:r>
      <w:r>
        <w:tab/>
        <w:t>3</w:t>
      </w:r>
    </w:p>
    <w:p>
      <w:pPr>
        <w:pStyle w:val="DefinedTerms"/>
      </w:pPr>
      <w:r>
        <w:t>measured length</w:t>
      </w:r>
      <w:r>
        <w:tab/>
        <w:t>3</w:t>
      </w:r>
    </w:p>
    <w:p>
      <w:pPr>
        <w:pStyle w:val="DefinedTerms"/>
      </w:pPr>
      <w:r>
        <w:t>NSCV Part D</w:t>
      </w:r>
      <w:r>
        <w:tab/>
        <w:t>3</w:t>
      </w:r>
    </w:p>
    <w:p>
      <w:pPr>
        <w:pStyle w:val="DefinedTerms"/>
      </w:pPr>
      <w:r>
        <w:t>propulsion power</w:t>
      </w:r>
      <w:r>
        <w:tab/>
        <w:t>3</w:t>
      </w:r>
    </w:p>
    <w:p>
      <w:pPr>
        <w:pStyle w:val="DefinedTerms"/>
      </w:pPr>
      <w:r>
        <w:t>qualifying numeral</w:t>
      </w:r>
      <w:r>
        <w:tab/>
        <w:t>3</w:t>
      </w:r>
    </w:p>
    <w:p>
      <w:pPr>
        <w:pStyle w:val="DefinedTerms"/>
      </w:pPr>
      <w:r>
        <w:t>qualifying service</w:t>
      </w:r>
      <w:r>
        <w:tab/>
        <w:t>3</w:t>
      </w:r>
    </w:p>
    <w:p>
      <w:pPr>
        <w:pStyle w:val="DefinedTerms"/>
      </w:pPr>
      <w:r>
        <w:t>restriction</w:t>
      </w:r>
      <w:r>
        <w:tab/>
        <w:t>3</w:t>
      </w:r>
    </w:p>
    <w:p>
      <w:pPr>
        <w:pStyle w:val="DefinedTerms"/>
      </w:pPr>
      <w:r>
        <w:t>revalidate</w:t>
      </w:r>
      <w:r>
        <w:tab/>
        <w:t>3</w:t>
      </w:r>
    </w:p>
    <w:p>
      <w:pPr>
        <w:pStyle w:val="DefinedTerms"/>
      </w:pPr>
      <w:r>
        <w:t>sea service</w:t>
      </w:r>
      <w:r>
        <w:tab/>
        <w:t>3</w:t>
      </w:r>
    </w:p>
    <w:p>
      <w:pPr>
        <w:pStyle w:val="DefinedTerms"/>
      </w:pPr>
      <w:r>
        <w:t>seagoing vessel</w:t>
      </w:r>
      <w:r>
        <w:tab/>
        <w:t>3</w:t>
      </w:r>
    </w:p>
    <w:p>
      <w:pPr>
        <w:pStyle w:val="DefinedTerms"/>
      </w:pPr>
      <w:r>
        <w:t>seaward</w:t>
      </w:r>
      <w:r>
        <w:tab/>
        <w:t>3</w:t>
      </w:r>
    </w:p>
    <w:p>
      <w:pPr>
        <w:pStyle w:val="DefinedTerms"/>
      </w:pPr>
      <w:r>
        <w:t>second engineer</w:t>
      </w:r>
      <w:r>
        <w:tab/>
        <w:t>3</w:t>
      </w:r>
    </w:p>
    <w:p>
      <w:pPr>
        <w:pStyle w:val="DefinedTerms"/>
      </w:pPr>
      <w:r>
        <w:t>watchkeeping service</w:t>
      </w:r>
      <w:r>
        <w:tab/>
        <w:t>3</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 w:name="Coversheet"/>
    <w:bookmarkEnd w:id="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05150840"/>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9235A-7105-442C-AE83-9B26B64C1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15809</Words>
  <Characters>81261</Characters>
  <Application>Microsoft Office Word</Application>
  <DocSecurity>0</DocSecurity>
  <Lines>3385</Lines>
  <Paragraphs>1673</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95397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1983 - 05-e0-01</dc:title>
  <dc:subject/>
  <dc:creator/>
  <cp:keywords/>
  <dc:description/>
  <cp:lastModifiedBy>svcMRProcess</cp:lastModifiedBy>
  <cp:revision>4</cp:revision>
  <cp:lastPrinted>2013-03-28T00:04:00Z</cp:lastPrinted>
  <dcterms:created xsi:type="dcterms:W3CDTF">2018-06-07T04:00:00Z</dcterms:created>
  <dcterms:modified xsi:type="dcterms:W3CDTF">2018-06-07T04:00:00Z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20180407</vt:lpwstr>
  </property>
  <property fmtid="{D5CDD505-2E9C-101B-9397-08002B2CF9AE}" pid="8" name="AsAtDate">
    <vt:lpwstr>07 Apr 2018</vt:lpwstr>
  </property>
  <property fmtid="{D5CDD505-2E9C-101B-9397-08002B2CF9AE}" pid="9" name="Suffix">
    <vt:lpwstr>05-e0-01</vt:lpwstr>
  </property>
</Properties>
</file>