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_Toc511135661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_Toc511135662 \h </w:instrText>
      </w:r>
      <w:r>
        <w:fldChar w:fldCharType="separate"/>
      </w:r>
      <w:r>
        <w:t>1</w:t>
      </w:r>
      <w:r>
        <w:fldChar w:fldCharType="end"/>
      </w:r>
    </w:p>
    <w:p>
      <w:pPr>
        <w:pStyle w:val="TOC8"/>
        <w:rPr>
          <w:rFonts w:asciiTheme="minorHAnsi" w:eastAsiaTheme="minorEastAsia" w:hAnsiTheme="minorHAnsi" w:cstheme="minorBidi"/>
          <w:szCs w:val="22"/>
        </w:rPr>
      </w:pPr>
      <w:r>
        <w:t>2A.</w:t>
      </w:r>
      <w:r>
        <w:tab/>
        <w:t>Terms used</w:t>
      </w:r>
      <w:r>
        <w:tab/>
      </w:r>
      <w:r>
        <w:fldChar w:fldCharType="begin"/>
      </w:r>
      <w:r>
        <w:instrText xml:space="preserve"> PAGEREF _Toc511135663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_Toc511135664 \h </w:instrText>
      </w:r>
      <w:r>
        <w:fldChar w:fldCharType="separate"/>
      </w:r>
      <w:r>
        <w:t>2</w:t>
      </w:r>
      <w:r>
        <w:fldChar w:fldCharType="end"/>
      </w:r>
    </w:p>
    <w:p>
      <w:pPr>
        <w:pStyle w:val="TOC8"/>
        <w:rPr>
          <w:rFonts w:asciiTheme="minorHAnsi" w:eastAsiaTheme="minorEastAsia" w:hAnsiTheme="minorHAnsi" w:cstheme="minorBidi"/>
          <w:szCs w:val="22"/>
        </w:rPr>
      </w:pPr>
      <w:r>
        <w:t>3AAA.</w:t>
      </w:r>
      <w:r>
        <w:tab/>
        <w:t>Enforcement certificates and information under Act s. 16(1)</w:t>
      </w:r>
      <w:r>
        <w:tab/>
      </w:r>
      <w:r>
        <w:fldChar w:fldCharType="begin"/>
      </w:r>
      <w:r>
        <w:instrText xml:space="preserve"> PAGEREF _Toc511135665 \h </w:instrText>
      </w:r>
      <w:r>
        <w:fldChar w:fldCharType="separate"/>
      </w:r>
      <w:r>
        <w:t>2</w:t>
      </w:r>
      <w:r>
        <w:fldChar w:fldCharType="end"/>
      </w:r>
    </w:p>
    <w:p>
      <w:pPr>
        <w:pStyle w:val="TOC8"/>
        <w:rPr>
          <w:rFonts w:asciiTheme="minorHAnsi" w:eastAsiaTheme="minorEastAsia" w:hAnsiTheme="minorHAnsi" w:cstheme="minorBidi"/>
          <w:szCs w:val="22"/>
        </w:rPr>
      </w:pPr>
      <w:r>
        <w:t>3AAB.</w:t>
      </w:r>
      <w:r>
        <w:tab/>
        <w:t>Notice of withdrawal under Act s. 22(2)</w:t>
      </w:r>
      <w:r>
        <w:tab/>
      </w:r>
      <w:r>
        <w:fldChar w:fldCharType="begin"/>
      </w:r>
      <w:r>
        <w:instrText xml:space="preserve"> PAGEREF _Toc511135666 \h </w:instrText>
      </w:r>
      <w:r>
        <w:fldChar w:fldCharType="separate"/>
      </w:r>
      <w:r>
        <w:t>2</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_Toc511135667 \h </w:instrText>
      </w:r>
      <w:r>
        <w:fldChar w:fldCharType="separate"/>
      </w:r>
      <w:r>
        <w:t>2</w:t>
      </w:r>
      <w:r>
        <w:fldChar w:fldCharType="end"/>
      </w:r>
    </w:p>
    <w:p>
      <w:pPr>
        <w:pStyle w:val="TOC8"/>
        <w:rPr>
          <w:rFonts w:asciiTheme="minorHAnsi" w:eastAsiaTheme="minorEastAsia" w:hAnsiTheme="minorHAnsi" w:cstheme="minorBidi"/>
          <w:szCs w:val="22"/>
        </w:rPr>
      </w:pPr>
      <w:r>
        <w:t>3A.</w:t>
      </w:r>
      <w:r>
        <w:tab/>
        <w:t xml:space="preserve">Form of request under </w:t>
      </w:r>
      <w:r>
        <w:rPr>
          <w:snapToGrid w:val="0"/>
        </w:rPr>
        <w:t>Act </w:t>
      </w:r>
      <w:r>
        <w:t>s. 27A(1)</w:t>
      </w:r>
      <w:r>
        <w:tab/>
      </w:r>
      <w:r>
        <w:fldChar w:fldCharType="begin"/>
      </w:r>
      <w:r>
        <w:instrText xml:space="preserve"> PAGEREF _Toc511135668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_Toc511135669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_Toc511135670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time to pay orders (Act s. 33, 34 and 35)</w:t>
      </w:r>
      <w:r>
        <w:tab/>
      </w:r>
      <w:r>
        <w:fldChar w:fldCharType="begin"/>
      </w:r>
      <w:r>
        <w:instrText xml:space="preserve"> PAGEREF _Toc511135671 \h </w:instrText>
      </w:r>
      <w:r>
        <w:fldChar w:fldCharType="separate"/>
      </w:r>
      <w:r>
        <w:t>5</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Calculation of required hours for WDO (Act s. 50)</w:t>
      </w:r>
      <w:r>
        <w:tab/>
      </w:r>
      <w:r>
        <w:fldChar w:fldCharType="begin"/>
      </w:r>
      <w:r>
        <w:instrText xml:space="preserve"> PAGEREF _Toc511135672 \h </w:instrText>
      </w:r>
      <w:r>
        <w:fldChar w:fldCharType="separate"/>
      </w:r>
      <w:r>
        <w:t>6</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_Toc511135673 \h </w:instrText>
      </w:r>
      <w:r>
        <w:fldChar w:fldCharType="separate"/>
      </w:r>
      <w:r>
        <w:t>6</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_Toc511135674 \h </w:instrText>
      </w:r>
      <w:r>
        <w:fldChar w:fldCharType="separate"/>
      </w:r>
      <w:r>
        <w:t>7</w:t>
      </w:r>
      <w:r>
        <w:fldChar w:fldCharType="end"/>
      </w:r>
    </w:p>
    <w:p>
      <w:pPr>
        <w:pStyle w:val="TOC8"/>
        <w:rPr>
          <w:rFonts w:asciiTheme="minorHAnsi" w:eastAsiaTheme="minorEastAsia" w:hAnsiTheme="minorHAnsi" w:cstheme="minorBidi"/>
          <w:szCs w:val="22"/>
        </w:rPr>
      </w:pPr>
      <w:r>
        <w:t>6BA.</w:t>
      </w:r>
      <w:r>
        <w:tab/>
        <w:t xml:space="preserve">Form of request under </w:t>
      </w:r>
      <w:r>
        <w:rPr>
          <w:snapToGrid w:val="0"/>
        </w:rPr>
        <w:t>Act </w:t>
      </w:r>
      <w:r>
        <w:t>s. 55A(1)</w:t>
      </w:r>
      <w:r>
        <w:tab/>
      </w:r>
      <w:r>
        <w:fldChar w:fldCharType="begin"/>
      </w:r>
      <w:r>
        <w:instrText xml:space="preserve"> PAGEREF _Toc511135675 \h </w:instrText>
      </w:r>
      <w:r>
        <w:fldChar w:fldCharType="separate"/>
      </w:r>
      <w:r>
        <w:t>7</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_Toc511135676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_Toc511135677 \h </w:instrText>
      </w:r>
      <w:r>
        <w:fldChar w:fldCharType="separate"/>
      </w:r>
      <w:r>
        <w:t>8</w:t>
      </w:r>
      <w:r>
        <w:fldChar w:fldCharType="end"/>
      </w:r>
    </w:p>
    <w:p>
      <w:pPr>
        <w:pStyle w:val="TOC8"/>
        <w:rPr>
          <w:rFonts w:asciiTheme="minorHAnsi" w:eastAsiaTheme="minorEastAsia" w:hAnsiTheme="minorHAnsi" w:cstheme="minorBidi"/>
          <w:szCs w:val="22"/>
        </w:rPr>
      </w:pPr>
      <w:r>
        <w:lastRenderedPageBreak/>
        <w:t>8.</w:t>
      </w:r>
      <w:r>
        <w:tab/>
        <w:t>Property prescribed that cannot be seized etc. (Act s. 75)</w:t>
      </w:r>
      <w:r>
        <w:tab/>
      </w:r>
      <w:r>
        <w:fldChar w:fldCharType="begin"/>
      </w:r>
      <w:r>
        <w:instrText xml:space="preserve"> PAGEREF _Toc511135678 \h </w:instrText>
      </w:r>
      <w:r>
        <w:fldChar w:fldCharType="separate"/>
      </w:r>
      <w:r>
        <w:t>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_Toc511135679 \h </w:instrText>
      </w:r>
      <w:r>
        <w:fldChar w:fldCharType="separate"/>
      </w:r>
      <w:r>
        <w:t>9</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_Toc511135680 \h </w:instrText>
      </w:r>
      <w:r>
        <w:fldChar w:fldCharType="separate"/>
      </w:r>
      <w:r>
        <w:t>10</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_Toc511135681 \h </w:instrText>
      </w:r>
      <w:r>
        <w:fldChar w:fldCharType="separate"/>
      </w:r>
      <w:r>
        <w:t>11</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_Toc511135682 \h </w:instrText>
      </w:r>
      <w:r>
        <w:fldChar w:fldCharType="separate"/>
      </w:r>
      <w:r>
        <w:t>11</w:t>
      </w:r>
      <w:r>
        <w:fldChar w:fldCharType="end"/>
      </w:r>
    </w:p>
    <w:p>
      <w:pPr>
        <w:pStyle w:val="TOC8"/>
        <w:rPr>
          <w:rFonts w:asciiTheme="minorHAnsi" w:eastAsiaTheme="minorEastAsia" w:hAnsiTheme="minorHAnsi" w:cstheme="minorBidi"/>
          <w:szCs w:val="22"/>
        </w:rPr>
      </w:pPr>
      <w:r>
        <w:t>11A.</w:t>
      </w:r>
      <w:r>
        <w:tab/>
        <w:t>Giving documents to Registry by means of courts electronic system</w:t>
      </w:r>
      <w:r>
        <w:tab/>
      </w:r>
      <w:r>
        <w:fldChar w:fldCharType="begin"/>
      </w:r>
      <w:r>
        <w:instrText xml:space="preserve"> PAGEREF _Toc511135683 \h </w:instrText>
      </w:r>
      <w:r>
        <w:fldChar w:fldCharType="separate"/>
      </w:r>
      <w:r>
        <w:t>13</w:t>
      </w:r>
      <w:r>
        <w:fldChar w:fldCharType="end"/>
      </w:r>
    </w:p>
    <w:p>
      <w:pPr>
        <w:pStyle w:val="TOC8"/>
        <w:rPr>
          <w:rFonts w:asciiTheme="minorHAnsi" w:eastAsiaTheme="minorEastAsia" w:hAnsiTheme="minorHAnsi" w:cstheme="minorBidi"/>
          <w:szCs w:val="22"/>
        </w:rPr>
      </w:pPr>
      <w:r>
        <w:t>11B.</w:t>
      </w:r>
      <w:r>
        <w:tab/>
        <w:t>Issuing warrants</w:t>
      </w:r>
      <w:r>
        <w:tab/>
      </w:r>
      <w:r>
        <w:fldChar w:fldCharType="begin"/>
      </w:r>
      <w:r>
        <w:instrText xml:space="preserve"> PAGEREF _Toc511135684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_Toc511135685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w:t>
      </w:r>
      <w:r>
        <w:tab/>
      </w:r>
      <w:r>
        <w:fldChar w:fldCharType="begin"/>
      </w:r>
      <w:r>
        <w:instrText xml:space="preserve"> PAGEREF _Toc511135686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 — Enforcement fees for Part 3 of the Act</w:t>
      </w:r>
    </w:p>
    <w:p>
      <w:pPr>
        <w:pStyle w:val="TOC4"/>
        <w:tabs>
          <w:tab w:val="right" w:leader="dot" w:pos="7077"/>
        </w:tabs>
        <w:rPr>
          <w:rFonts w:asciiTheme="minorHAnsi" w:eastAsiaTheme="minorEastAsia" w:hAnsiTheme="minorHAnsi" w:cstheme="minorBidi"/>
          <w:b w:val="0"/>
          <w:szCs w:val="22"/>
        </w:rPr>
      </w:pPr>
      <w:r>
        <w:t>Division 2 — Enforcement fees for Part 4 of the Act</w:t>
      </w:r>
    </w:p>
    <w:p>
      <w:pPr>
        <w:pStyle w:val="TOC4"/>
        <w:tabs>
          <w:tab w:val="right" w:leader="dot" w:pos="7077"/>
        </w:tabs>
        <w:rPr>
          <w:rFonts w:asciiTheme="minorHAnsi" w:eastAsiaTheme="minorEastAsia" w:hAnsiTheme="minorHAnsi" w:cstheme="minorBidi"/>
          <w:b w:val="0"/>
          <w:szCs w:val="22"/>
        </w:rPr>
      </w:pPr>
      <w:r>
        <w:t>Division 3 — 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_Toc511135693 \h </w:instrText>
      </w:r>
      <w:r>
        <w:fldChar w:fldCharType="separate"/>
      </w:r>
      <w:r>
        <w:t>23</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_Toc511135694 \h </w:instrText>
      </w:r>
      <w:r>
        <w:fldChar w:fldCharType="separate"/>
      </w:r>
      <w:r>
        <w:t>24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tab/>
      </w:r>
      <w:r>
        <w:fldChar w:fldCharType="begin"/>
      </w:r>
      <w:r>
        <w:instrText xml:space="preserve"> PAGEREF _Toc511135695 \h </w:instrText>
      </w:r>
      <w:r>
        <w:fldChar w:fldCharType="separate"/>
      </w:r>
      <w:r>
        <w:t>26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_Toc511135696 \h </w:instrText>
      </w:r>
      <w:r>
        <w:fldChar w:fldCharType="separate"/>
      </w:r>
      <w:r>
        <w:t>28</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_Toc511135697 \h </w:instrText>
      </w:r>
      <w:r>
        <w:fldChar w:fldCharType="separate"/>
      </w:r>
      <w:r>
        <w:t>29</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_Toc511135698 \h </w:instrText>
      </w:r>
      <w:r>
        <w:fldChar w:fldCharType="separate"/>
      </w:r>
      <w:r>
        <w:t>30</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_Toc511135699 \h </w:instrText>
      </w:r>
      <w:r>
        <w:fldChar w:fldCharType="separate"/>
      </w:r>
      <w:r>
        <w:t>31</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_Toc511135700 \h </w:instrText>
      </w:r>
      <w:r>
        <w:fldChar w:fldCharType="separate"/>
      </w:r>
      <w:r>
        <w:t>33</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_Toc511135701 \h </w:instrText>
      </w:r>
      <w:r>
        <w:fldChar w:fldCharType="separate"/>
      </w:r>
      <w:r>
        <w:t>34</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_Toc511135702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_Toc511135704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29 March 2018</w:t>
            </w:r>
          </w:p>
        </w:tc>
      </w:tr>
    </w:tbl>
    <w:p>
      <w:pPr>
        <w:pStyle w:val="WA"/>
        <w:spacing w:before="12"/>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3" w:name="_Toc511135661"/>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4" w:name="_Toc511135662"/>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pPr>
      <w:bookmarkStart w:id="5" w:name="_Toc511135663"/>
      <w:r>
        <w:rPr>
          <w:rStyle w:val="CharSectno"/>
        </w:rPr>
        <w:t>2A</w:t>
      </w:r>
      <w:r>
        <w:t>.</w:t>
      </w:r>
      <w:r>
        <w:tab/>
        <w:t>Terms used</w:t>
      </w:r>
      <w:bookmarkEnd w:id="5"/>
    </w:p>
    <w:p>
      <w:pPr>
        <w:pStyle w:val="Subsection"/>
      </w:pPr>
      <w:r>
        <w:tab/>
      </w:r>
      <w:r>
        <w:tab/>
        <w:t xml:space="preserve">In these regulations — </w:t>
      </w:r>
    </w:p>
    <w:p>
      <w:pPr>
        <w:pStyle w:val="Defstart"/>
      </w:pPr>
      <w:r>
        <w:tab/>
      </w:r>
      <w:r>
        <w:rPr>
          <w:rStyle w:val="CharDefText"/>
        </w:rPr>
        <w:t>approved user</w:t>
      </w:r>
      <w:r>
        <w:t xml:space="preserve">, of the courts electronic system, has the meaning given in the </w:t>
      </w:r>
      <w:r>
        <w:rPr>
          <w:i/>
        </w:rPr>
        <w:t>Magistrates Court (General) Rules 2005</w:t>
      </w:r>
      <w:r>
        <w:t xml:space="preserve"> rule 3;</w:t>
      </w:r>
    </w:p>
    <w:p>
      <w:pPr>
        <w:pStyle w:val="Defstart"/>
      </w:pPr>
      <w:r>
        <w:tab/>
      </w:r>
      <w:r>
        <w:rPr>
          <w:rStyle w:val="CharDefText"/>
        </w:rPr>
        <w:t>courts electronic system</w:t>
      </w:r>
      <w:r>
        <w:t xml:space="preserve"> has the meaning given in the </w:t>
      </w:r>
      <w:r>
        <w:rPr>
          <w:i/>
        </w:rPr>
        <w:t>Magistrates Court (General) Rules 2005</w:t>
      </w:r>
      <w:r>
        <w:t xml:space="preserve"> rule 3.</w:t>
      </w:r>
    </w:p>
    <w:p>
      <w:pPr>
        <w:pStyle w:val="Footnotesection"/>
      </w:pPr>
      <w:r>
        <w:tab/>
        <w:t>[Regulation 2A inserted in Gazette 13 Nov 2015 p. 4656.]</w:t>
      </w:r>
    </w:p>
    <w:p>
      <w:pPr>
        <w:pStyle w:val="Heading5"/>
        <w:rPr>
          <w:snapToGrid w:val="0"/>
        </w:rPr>
      </w:pPr>
      <w:bookmarkStart w:id="6" w:name="_Toc511135664"/>
      <w:r>
        <w:rPr>
          <w:rStyle w:val="CharSectno"/>
        </w:rPr>
        <w:t>3</w:t>
      </w:r>
      <w:r>
        <w:rPr>
          <w:snapToGrid w:val="0"/>
        </w:rPr>
        <w:t>.</w:t>
      </w:r>
      <w:r>
        <w:rPr>
          <w:snapToGrid w:val="0"/>
        </w:rPr>
        <w:tab/>
        <w:t>Enactments prescribed for Act Part 3 (Act s. 12)</w:t>
      </w:r>
      <w:bookmarkEnd w:id="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7" w:name="_Toc511135665"/>
      <w:r>
        <w:rPr>
          <w:rStyle w:val="CharSectno"/>
        </w:rPr>
        <w:t>3AAA</w:t>
      </w:r>
      <w:r>
        <w:t>.</w:t>
      </w:r>
      <w:r>
        <w:tab/>
        <w:t>Enforcement certificates and information under Act s. 16(1)</w:t>
      </w:r>
      <w:bookmarkEnd w:id="7"/>
    </w:p>
    <w:p>
      <w:pPr>
        <w:pStyle w:val="Subsection"/>
        <w:spacing w:before="140"/>
      </w:pPr>
      <w:r>
        <w:tab/>
      </w:r>
      <w:r>
        <w:tab/>
        <w:t xml:space="preserve">Under section 16(1) a prosecuting authority may, with the consent of the Registrar, give the Registry — </w:t>
      </w:r>
    </w:p>
    <w:p>
      <w:pPr>
        <w:pStyle w:val="Indenta"/>
        <w:spacing w:before="60"/>
      </w:pPr>
      <w:r>
        <w:tab/>
        <w:t>(a)</w:t>
      </w:r>
      <w:r>
        <w:tab/>
        <w:t>an enforcement certificate; and</w:t>
      </w:r>
    </w:p>
    <w:p>
      <w:pPr>
        <w:pStyle w:val="Indenta"/>
        <w:spacing w:before="60"/>
      </w:pPr>
      <w:r>
        <w:tab/>
        <w:t>(b)</w:t>
      </w:r>
      <w:r>
        <w:tab/>
        <w:t>a document setting out information required under section 16(1)(b),</w:t>
      </w:r>
    </w:p>
    <w:p>
      <w:pPr>
        <w:pStyle w:val="Subsection"/>
        <w:spacing w:before="140"/>
      </w:pPr>
      <w:r>
        <w:tab/>
      </w:r>
      <w:r>
        <w:tab/>
        <w:t>by electronic means in accordance with regulation 11A.</w:t>
      </w:r>
    </w:p>
    <w:p>
      <w:pPr>
        <w:pStyle w:val="Footnotesection"/>
      </w:pPr>
      <w:r>
        <w:tab/>
        <w:t>[Regulation 3AAA inserted in Gazette 13 Nov 2015 p. 4656</w:t>
      </w:r>
      <w:r>
        <w:noBreakHyphen/>
        <w:t>7.]</w:t>
      </w:r>
    </w:p>
    <w:p>
      <w:pPr>
        <w:pStyle w:val="Heading5"/>
      </w:pPr>
      <w:bookmarkStart w:id="8" w:name="_Toc511135666"/>
      <w:r>
        <w:rPr>
          <w:rStyle w:val="CharSectno"/>
        </w:rPr>
        <w:t>3AAB</w:t>
      </w:r>
      <w:r>
        <w:t>.</w:t>
      </w:r>
      <w:r>
        <w:tab/>
        <w:t>Notice of withdrawal under Act s. 22(2)</w:t>
      </w:r>
      <w:bookmarkEnd w:id="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in Gazette 13 Nov 2015 p. 4657.]</w:t>
      </w:r>
    </w:p>
    <w:p>
      <w:pPr>
        <w:pStyle w:val="Heading5"/>
      </w:pPr>
      <w:bookmarkStart w:id="9" w:name="_Toc511135667"/>
      <w:r>
        <w:rPr>
          <w:rStyle w:val="CharSectno"/>
        </w:rPr>
        <w:t>3AA</w:t>
      </w:r>
      <w:r>
        <w:t>.</w:t>
      </w:r>
      <w:r>
        <w:tab/>
        <w:t>Amount payable under Act s. 22(5)(c)</w:t>
      </w:r>
      <w:bookmarkEnd w:id="9"/>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object w:dxaOrig="304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75pt" o:ole="">
            <v:imagedata r:id="rId23" o:title=""/>
          </v:shape>
          <o:OLEObject Type="Embed" ProgID="Equation.3" ShapeID="_x0000_i1025" DrawAspect="Content" ObjectID="_1644190948" r:id="rId24"/>
        </w:obje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ageBreakBefore/>
        <w:spacing w:before="0"/>
      </w:pPr>
      <w:bookmarkStart w:id="10" w:name="_Toc511135668"/>
      <w:r>
        <w:rPr>
          <w:rStyle w:val="CharSectno"/>
        </w:rPr>
        <w:t>3A</w:t>
      </w:r>
      <w:r>
        <w:t>.</w:t>
      </w:r>
      <w:r>
        <w:tab/>
        <w:t xml:space="preserve">Form of request under </w:t>
      </w:r>
      <w:r>
        <w:rPr>
          <w:snapToGrid w:val="0"/>
        </w:rPr>
        <w:t>Act </w:t>
      </w:r>
      <w:r>
        <w:t>s. 27A(1)</w:t>
      </w:r>
      <w:bookmarkEnd w:id="10"/>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spacing w:before="260"/>
        <w:rPr>
          <w:snapToGrid w:val="0"/>
        </w:rPr>
      </w:pPr>
      <w:bookmarkStart w:id="11" w:name="_Toc511135669"/>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1"/>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Account.</w:t>
            </w:r>
          </w:p>
        </w:tc>
      </w:tr>
    </w:tbl>
    <w:p>
      <w:pPr>
        <w:pStyle w:val="Footnotesection"/>
      </w:pPr>
      <w:r>
        <w:tab/>
        <w:t>[Regulation 4 amended in Gazette 4 Aug 2017 p. 4314.]</w:t>
      </w:r>
    </w:p>
    <w:p>
      <w:pPr>
        <w:pStyle w:val="Heading5"/>
        <w:spacing w:before="260"/>
        <w:rPr>
          <w:snapToGrid w:val="0"/>
        </w:rPr>
      </w:pPr>
      <w:bookmarkStart w:id="12" w:name="_Toc511135670"/>
      <w:r>
        <w:rPr>
          <w:rStyle w:val="CharSectno"/>
        </w:rPr>
        <w:t>5</w:t>
      </w:r>
      <w:r>
        <w:rPr>
          <w:snapToGrid w:val="0"/>
        </w:rPr>
        <w:t>.</w:t>
      </w:r>
      <w:r>
        <w:rPr>
          <w:snapToGrid w:val="0"/>
        </w:rPr>
        <w:tab/>
        <w:t>Enactment prescribed for Act s. 31(b)</w:t>
      </w:r>
      <w:bookmarkEnd w:id="1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60"/>
        <w:rPr>
          <w:snapToGrid w:val="0"/>
        </w:rPr>
      </w:pPr>
      <w:bookmarkStart w:id="13" w:name="_Toc511135671"/>
      <w:r>
        <w:rPr>
          <w:rStyle w:val="CharSectno"/>
        </w:rPr>
        <w:t>6</w:t>
      </w:r>
      <w:r>
        <w:rPr>
          <w:snapToGrid w:val="0"/>
        </w:rPr>
        <w:t>.</w:t>
      </w:r>
      <w:r>
        <w:rPr>
          <w:snapToGrid w:val="0"/>
        </w:rPr>
        <w:tab/>
        <w:t>Applications for time to pay orders (Act s. 33, 34 and 35)</w:t>
      </w:r>
      <w:bookmarkEnd w:id="13"/>
    </w:p>
    <w:p>
      <w:pPr>
        <w:pStyle w:val="Subsection"/>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keepNext/>
        <w:rPr>
          <w:snapToGrid w:val="0"/>
        </w:rPr>
      </w:pPr>
      <w:r>
        <w:rPr>
          <w:snapToGrid w:val="0"/>
        </w:rPr>
        <w:tab/>
        <w:t>(1a)</w:t>
      </w:r>
      <w:r>
        <w:rPr>
          <w:snapToGrid w:val="0"/>
        </w:rPr>
        <w:tab/>
        <w:t>On an application —</w:t>
      </w:r>
    </w:p>
    <w:p>
      <w:pPr>
        <w:pStyle w:val="Indenta"/>
        <w:keepNext/>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rPr>
          <w:snapToGrid w:val="0"/>
        </w:rPr>
      </w:pPr>
      <w:r>
        <w:rPr>
          <w:snapToGrid w:val="0"/>
        </w:rPr>
        <w:tab/>
      </w:r>
      <w:r>
        <w:rPr>
          <w:snapToGrid w:val="0"/>
        </w:rPr>
        <w:tab/>
        <w:t>the Registrar may require the applicant to produce documentary evidence to verify the applicant’s income or expenditure.</w:t>
      </w:r>
    </w:p>
    <w:p>
      <w:pPr>
        <w:pStyle w:val="Subsection"/>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4" w:name="_Toc511135672"/>
      <w:r>
        <w:rPr>
          <w:rStyle w:val="CharSectno"/>
        </w:rPr>
        <w:t>6A</w:t>
      </w:r>
      <w:r>
        <w:rPr>
          <w:snapToGrid w:val="0"/>
        </w:rPr>
        <w:t>.</w:t>
      </w:r>
      <w:r>
        <w:rPr>
          <w:snapToGrid w:val="0"/>
        </w:rPr>
        <w:tab/>
        <w:t>Calculation of required hours for WDO (Act s. 50)</w:t>
      </w:r>
      <w:bookmarkEnd w:id="14"/>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15" w:name="_Toc511135673"/>
      <w:r>
        <w:rPr>
          <w:rStyle w:val="CharSectno"/>
        </w:rPr>
        <w:t>6B</w:t>
      </w:r>
      <w:r>
        <w:rPr>
          <w:snapToGrid w:val="0"/>
        </w:rPr>
        <w:t>.</w:t>
      </w:r>
      <w:r>
        <w:rPr>
          <w:snapToGrid w:val="0"/>
        </w:rPr>
        <w:tab/>
        <w:t>Reductions under Act s. 51, how calculated</w:t>
      </w:r>
      <w:bookmarkEnd w:id="15"/>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16" w:name="_Toc511135674"/>
      <w:r>
        <w:rPr>
          <w:rStyle w:val="CharSectno"/>
        </w:rPr>
        <w:t>6BAA</w:t>
      </w:r>
      <w:r>
        <w:t>.</w:t>
      </w:r>
      <w:r>
        <w:tab/>
        <w:t>Amount p</w:t>
      </w:r>
      <w:r>
        <w:rPr>
          <w:bCs/>
        </w:rPr>
        <w:t>rescribed for warrant of commitment (</w:t>
      </w:r>
      <w:r>
        <w:rPr>
          <w:snapToGrid w:val="0"/>
        </w:rPr>
        <w:t>Act </w:t>
      </w:r>
      <w:r>
        <w:rPr>
          <w:bCs/>
        </w:rPr>
        <w:t>s. 53(3))</w:t>
      </w:r>
      <w:bookmarkEnd w:id="16"/>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pPr>
      <w:bookmarkStart w:id="17" w:name="_Toc511135675"/>
      <w:r>
        <w:rPr>
          <w:rStyle w:val="CharSectno"/>
        </w:rPr>
        <w:t>6BA</w:t>
      </w:r>
      <w:r>
        <w:t>.</w:t>
      </w:r>
      <w:r>
        <w:tab/>
        <w:t xml:space="preserve">Form of request under </w:t>
      </w:r>
      <w:r>
        <w:rPr>
          <w:snapToGrid w:val="0"/>
        </w:rPr>
        <w:t>Act </w:t>
      </w:r>
      <w:r>
        <w:t>s. 55A(1)</w:t>
      </w:r>
      <w:bookmarkEnd w:id="17"/>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pPr>
      <w:bookmarkStart w:id="18" w:name="_Toc511135676"/>
      <w:r>
        <w:rPr>
          <w:rStyle w:val="CharSectno"/>
        </w:rPr>
        <w:t>6C</w:t>
      </w:r>
      <w:r>
        <w:t>.</w:t>
      </w:r>
      <w:r>
        <w:tab/>
        <w:t>Reduction of liability to pay fine where WDO taken to be cancelled (</w:t>
      </w:r>
      <w:r>
        <w:rPr>
          <w:i/>
        </w:rPr>
        <w:t xml:space="preserve">Sentencing Act 1995 </w:t>
      </w:r>
      <w:r>
        <w:t>s. 57B(5))</w:t>
      </w:r>
      <w:bookmarkEnd w:id="18"/>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rPr>
          <w:snapToGrid w:val="0"/>
        </w:rPr>
      </w:pPr>
      <w:bookmarkStart w:id="19" w:name="_Toc511135677"/>
      <w:r>
        <w:rPr>
          <w:rStyle w:val="CharSectno"/>
        </w:rPr>
        <w:t>7</w:t>
      </w:r>
      <w:r>
        <w:rPr>
          <w:snapToGrid w:val="0"/>
        </w:rPr>
        <w:t>.</w:t>
      </w:r>
      <w:r>
        <w:rPr>
          <w:snapToGrid w:val="0"/>
        </w:rPr>
        <w:tab/>
        <w:t>States, Territories and courts prescribed (Act s. 59)</w:t>
      </w:r>
      <w:bookmarkEnd w:id="19"/>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smartTag w:uri="urn:schemas-microsoft-com:office:smarttags" w:element="State">
              <w:smartTag w:uri="urn:schemas-microsoft-com:office:smarttags" w:element="place">
                <w:r>
                  <w:t>Australian Capital Territory</w:t>
                </w:r>
              </w:smartTag>
            </w:smartTag>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New South Wales</w:t>
                </w:r>
              </w:smartTag>
            </w:smartTag>
          </w:p>
        </w:tc>
        <w:tc>
          <w:tcPr>
            <w:tcW w:w="3544" w:type="dxa"/>
          </w:tcPr>
          <w:p>
            <w:pPr>
              <w:pStyle w:val="Table"/>
              <w:spacing w:after="60"/>
            </w:pPr>
            <w:r>
              <w:t>Local Courts in that State.</w:t>
            </w:r>
          </w:p>
        </w:tc>
      </w:tr>
      <w:tr>
        <w:trPr>
          <w:cantSplit/>
        </w:trPr>
        <w:tc>
          <w:tcPr>
            <w:tcW w:w="2834" w:type="dxa"/>
          </w:tcPr>
          <w:p>
            <w:pPr>
              <w:pStyle w:val="Table"/>
              <w:spacing w:after="60"/>
            </w:pPr>
            <w:smartTag w:uri="urn:schemas-microsoft-com:office:smarttags" w:element="State">
              <w:smartTag w:uri="urn:schemas-microsoft-com:office:smarttags" w:element="place">
                <w:r>
                  <w:t>Northern Territory</w:t>
                </w:r>
              </w:smartTag>
            </w:smartTag>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smartTag w:uri="urn:schemas-microsoft-com:office:smarttags" w:element="State">
              <w:smartTag w:uri="urn:schemas-microsoft-com:office:smarttags" w:element="place">
                <w:r>
                  <w:t>Queensland</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South Australia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Tasmania</w:t>
                </w:r>
              </w:smartTag>
            </w:smartTag>
          </w:p>
        </w:tc>
        <w:tc>
          <w:tcPr>
            <w:tcW w:w="3544" w:type="dxa"/>
          </w:tcPr>
          <w:p>
            <w:pPr>
              <w:pStyle w:val="Table"/>
              <w:spacing w:after="60"/>
            </w:pPr>
            <w:r>
              <w:t>All Magistrates Courts.</w:t>
            </w:r>
          </w:p>
        </w:tc>
      </w:tr>
      <w:tr>
        <w:trPr>
          <w:cantSplit/>
        </w:trPr>
        <w:tc>
          <w:tcPr>
            <w:tcW w:w="2834" w:type="dxa"/>
          </w:tcPr>
          <w:p>
            <w:pPr>
              <w:pStyle w:val="Table"/>
              <w:spacing w:after="60"/>
            </w:pPr>
            <w:smartTag w:uri="urn:schemas-microsoft-com:office:smarttags" w:element="State">
              <w:smartTag w:uri="urn:schemas-microsoft-com:office:smarttags" w:element="place">
                <w:r>
                  <w:t>Victoria</w:t>
                </w:r>
              </w:smartTag>
            </w:smartTag>
          </w:p>
        </w:tc>
        <w:tc>
          <w:tcPr>
            <w:tcW w:w="3544" w:type="dxa"/>
          </w:tcPr>
          <w:p>
            <w:pPr>
              <w:pStyle w:val="Table"/>
              <w:spacing w:after="60"/>
            </w:pPr>
            <w:r>
              <w:t>All Magistrates Courts.</w:t>
            </w:r>
          </w:p>
        </w:tc>
      </w:tr>
    </w:tbl>
    <w:p>
      <w:pPr>
        <w:pStyle w:val="Footnotesection"/>
      </w:pPr>
      <w:r>
        <w:tab/>
        <w:t>[Regulation 7 amended in Gazette 11 Mar 2008 p. 818.]</w:t>
      </w:r>
    </w:p>
    <w:p>
      <w:pPr>
        <w:pStyle w:val="Heading5"/>
      </w:pPr>
      <w:bookmarkStart w:id="20" w:name="_Toc511135678"/>
      <w:r>
        <w:rPr>
          <w:rStyle w:val="CharSectno"/>
        </w:rPr>
        <w:t>8</w:t>
      </w:r>
      <w:r>
        <w:t>.</w:t>
      </w:r>
      <w:r>
        <w:tab/>
        <w:t>Property prescribed that cannot be seized etc. (Act s. 75)</w:t>
      </w:r>
      <w:bookmarkEnd w:id="20"/>
    </w:p>
    <w:p>
      <w:pPr>
        <w:pStyle w:val="Subsection"/>
      </w:pPr>
      <w:r>
        <w:tab/>
        <w:t>(1)</w:t>
      </w:r>
      <w:r>
        <w:tab/>
        <w:t>For the purposes of the Act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pPr>
      <w:r>
        <w:tab/>
        <w:t>[Regulation 8 inserted in Gazette 30 Dec 2005 p. 6876</w:t>
      </w:r>
      <w:r>
        <w:noBreakHyphen/>
        <w:t>7; amended in Gazette 20 Aug 2013 p. 3881.]</w:t>
      </w:r>
    </w:p>
    <w:p>
      <w:pPr>
        <w:pStyle w:val="Heading5"/>
        <w:rPr>
          <w:snapToGrid w:val="0"/>
        </w:rPr>
      </w:pPr>
      <w:bookmarkStart w:id="21" w:name="_Toc511135679"/>
      <w:r>
        <w:rPr>
          <w:rStyle w:val="CharSectno"/>
        </w:rPr>
        <w:t>8A</w:t>
      </w:r>
      <w:r>
        <w:rPr>
          <w:snapToGrid w:val="0"/>
        </w:rPr>
        <w:t>.</w:t>
      </w:r>
      <w:r>
        <w:rPr>
          <w:snapToGrid w:val="0"/>
        </w:rPr>
        <w:tab/>
        <w:t>Enforcement proceedings after successful application under Act s. 101, 101AA or 101A</w:t>
      </w:r>
      <w:bookmarkEnd w:id="2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in Gazette 5 Jul 1996 p. 3227; amended in Gazette 13 May 2005 p. 2079; 20 Aug 2013 p. 3881.]</w:t>
      </w:r>
    </w:p>
    <w:p>
      <w:pPr>
        <w:pStyle w:val="Heading5"/>
        <w:rPr>
          <w:snapToGrid w:val="0"/>
        </w:rPr>
      </w:pPr>
      <w:bookmarkStart w:id="22" w:name="_Toc511135680"/>
      <w:r>
        <w:rPr>
          <w:rStyle w:val="CharSectno"/>
        </w:rPr>
        <w:t>8B</w:t>
      </w:r>
      <w:r>
        <w:rPr>
          <w:snapToGrid w:val="0"/>
        </w:rPr>
        <w:t>.</w:t>
      </w:r>
      <w:r>
        <w:rPr>
          <w:snapToGrid w:val="0"/>
        </w:rPr>
        <w:tab/>
        <w:t>Enforcement proceedings after an appeal (Act s. 101B)</w:t>
      </w:r>
      <w:bookmarkEnd w:id="22"/>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in Gazette 5 Jul 1996 p. 3227; amended in Gazette 20 Aug 2013 p. 3882.]</w:t>
      </w:r>
    </w:p>
    <w:p>
      <w:pPr>
        <w:pStyle w:val="Heading5"/>
      </w:pPr>
      <w:bookmarkStart w:id="23" w:name="_Toc511135681"/>
      <w:r>
        <w:rPr>
          <w:rStyle w:val="CharSectno"/>
        </w:rPr>
        <w:t>9</w:t>
      </w:r>
      <w:r>
        <w:t>.</w:t>
      </w:r>
      <w:r>
        <w:tab/>
        <w:t>Enforcement fees prescribed (Act Parts 3, 4 and 7)</w:t>
      </w:r>
      <w:bookmarkEnd w:id="23"/>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24" w:name="_Toc511135682"/>
      <w:r>
        <w:rPr>
          <w:rStyle w:val="CharSectno"/>
        </w:rPr>
        <w:t>10</w:t>
      </w:r>
      <w:r>
        <w:t>.</w:t>
      </w:r>
      <w:r>
        <w:tab/>
        <w:t>Exemptions from fees (Act Part 3)</w:t>
      </w:r>
      <w:bookmarkEnd w:id="24"/>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keepNext/>
            </w:pPr>
            <w:r>
              <w:t>1.</w:t>
            </w:r>
          </w:p>
        </w:tc>
        <w:tc>
          <w:tcPr>
            <w:tcW w:w="4961" w:type="dxa"/>
          </w:tcPr>
          <w:p>
            <w:pPr>
              <w:pStyle w:val="TableNAm"/>
              <w:keepNext/>
            </w:pPr>
            <w:r>
              <w:t>Commissioner of Police</w:t>
            </w:r>
          </w:p>
        </w:tc>
      </w:tr>
      <w:tr>
        <w:tc>
          <w:tcPr>
            <w:tcW w:w="567" w:type="dxa"/>
          </w:tcPr>
          <w:p>
            <w:pPr>
              <w:pStyle w:val="TableNAm"/>
            </w:pPr>
            <w:r>
              <w:t>2.</w:t>
            </w:r>
          </w:p>
        </w:tc>
        <w:tc>
          <w:tcPr>
            <w:tcW w:w="4961" w:type="dxa"/>
          </w:tcPr>
          <w:p>
            <w:pPr>
              <w:pStyle w:val="TableNAm"/>
              <w:rPr>
                <w:vertAlign w:val="superscript"/>
              </w:rPr>
            </w:pPr>
            <w:r>
              <w:t>Department of Agriculture and Food </w:t>
            </w:r>
            <w:r>
              <w:rPr>
                <w:vertAlign w:val="superscript"/>
              </w:rPr>
              <w:t>3</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rPr>
                <w:vertAlign w:val="superscript"/>
              </w:rPr>
            </w:pPr>
            <w:r>
              <w:t>Department of Commerce </w:t>
            </w:r>
            <w:r>
              <w:rPr>
                <w:vertAlign w:val="superscript"/>
              </w:rPr>
              <w:t>4</w:t>
            </w:r>
          </w:p>
        </w:tc>
      </w:tr>
      <w:tr>
        <w:tc>
          <w:tcPr>
            <w:tcW w:w="567" w:type="dxa"/>
          </w:tcPr>
          <w:p>
            <w:pPr>
              <w:pStyle w:val="TableNAm"/>
            </w:pPr>
            <w:r>
              <w:t>5.</w:t>
            </w:r>
          </w:p>
        </w:tc>
        <w:tc>
          <w:tcPr>
            <w:tcW w:w="4961" w:type="dxa"/>
          </w:tcPr>
          <w:p>
            <w:pPr>
              <w:pStyle w:val="TableNAm"/>
              <w:rPr>
                <w:vertAlign w:val="superscript"/>
              </w:rPr>
            </w:pPr>
            <w:r>
              <w:t>Department of Environment Regulation </w:t>
            </w:r>
            <w:r>
              <w:rPr>
                <w:vertAlign w:val="superscript"/>
              </w:rPr>
              <w:t>5</w:t>
            </w:r>
          </w:p>
        </w:tc>
      </w:tr>
      <w:tr>
        <w:tc>
          <w:tcPr>
            <w:tcW w:w="567" w:type="dxa"/>
          </w:tcPr>
          <w:p>
            <w:pPr>
              <w:pStyle w:val="TableNAm"/>
            </w:pPr>
            <w:r>
              <w:t>6.</w:t>
            </w:r>
          </w:p>
        </w:tc>
        <w:tc>
          <w:tcPr>
            <w:tcW w:w="4961" w:type="dxa"/>
          </w:tcPr>
          <w:p>
            <w:pPr>
              <w:pStyle w:val="TableNAm"/>
            </w:pPr>
            <w:r>
              <w:t>Department of Fisheries </w:t>
            </w:r>
            <w:r>
              <w:rPr>
                <w:vertAlign w:val="superscript"/>
              </w:rPr>
              <w:t>6</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rPr>
                <w:vertAlign w:val="superscript"/>
              </w:rPr>
            </w:pPr>
            <w:r>
              <w:t>Department of Mines and Petroleum </w:t>
            </w:r>
            <w:r>
              <w:rPr>
                <w:vertAlign w:val="superscript"/>
              </w:rPr>
              <w:t>7</w:t>
            </w:r>
          </w:p>
        </w:tc>
      </w:tr>
      <w:tr>
        <w:tc>
          <w:tcPr>
            <w:tcW w:w="567" w:type="dxa"/>
          </w:tcPr>
          <w:p>
            <w:pPr>
              <w:pStyle w:val="TableNAm"/>
            </w:pPr>
            <w:r>
              <w:t>8.</w:t>
            </w:r>
          </w:p>
        </w:tc>
        <w:tc>
          <w:tcPr>
            <w:tcW w:w="4961" w:type="dxa"/>
          </w:tcPr>
          <w:p>
            <w:pPr>
              <w:pStyle w:val="TableNAm"/>
            </w:pPr>
            <w:r>
              <w:t>Department of Parks and Wildlife </w:t>
            </w:r>
            <w:r>
              <w:rPr>
                <w:vertAlign w:val="superscript"/>
              </w:rPr>
              <w:t>8</w:t>
            </w:r>
          </w:p>
        </w:tc>
      </w:tr>
      <w:tr>
        <w:tc>
          <w:tcPr>
            <w:tcW w:w="567" w:type="dxa"/>
          </w:tcPr>
          <w:p>
            <w:pPr>
              <w:pStyle w:val="TableNAm"/>
            </w:pPr>
            <w:r>
              <w:t>9.</w:t>
            </w:r>
          </w:p>
        </w:tc>
        <w:tc>
          <w:tcPr>
            <w:tcW w:w="4961" w:type="dxa"/>
          </w:tcPr>
          <w:p>
            <w:pPr>
              <w:pStyle w:val="TableNAm"/>
            </w:pPr>
            <w:r>
              <w:t>Department of Racing, Gaming and Liquor </w:t>
            </w:r>
            <w:r>
              <w:rPr>
                <w:vertAlign w:val="superscript"/>
              </w:rPr>
              <w:t>9</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rPr>
                <w:vertAlign w:val="superscript"/>
              </w:rPr>
            </w:pPr>
            <w:r>
              <w:t>Department of Water </w:t>
            </w:r>
            <w:r>
              <w:rPr>
                <w:vertAlign w:val="superscript"/>
              </w:rPr>
              <w:t>10</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rPr>
                <w:vertAlign w:val="superscript"/>
              </w:rPr>
            </w:pPr>
            <w:r>
              <w:t>Perth Market Authority </w:t>
            </w:r>
            <w:r>
              <w:rPr>
                <w:vertAlign w:val="superscript"/>
              </w:rPr>
              <w:t>11</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pPr>
      <w:r>
        <w:tab/>
        <w:t>[Regulation 10 inserted in Gazette 20 Aug 2013 p. 3883-4; amended in Gazette 13 Jan 2015 p. 250.]</w:t>
      </w:r>
    </w:p>
    <w:p>
      <w:pPr>
        <w:pStyle w:val="Heading5"/>
      </w:pPr>
      <w:bookmarkStart w:id="25" w:name="_Toc511135683"/>
      <w:r>
        <w:rPr>
          <w:rStyle w:val="CharSectno"/>
        </w:rPr>
        <w:t>11A</w:t>
      </w:r>
      <w:r>
        <w:t>.</w:t>
      </w:r>
      <w:r>
        <w:tab/>
        <w:t>Giving documents to Registry by means of courts electronic system</w:t>
      </w:r>
      <w:bookmarkEnd w:id="25"/>
    </w:p>
    <w:p>
      <w:pPr>
        <w:pStyle w:val="Subsection"/>
      </w:pPr>
      <w:r>
        <w:tab/>
        <w:t>(1)</w:t>
      </w:r>
      <w:r>
        <w:tab/>
        <w:t>Subject to and in accordance with regulations 3AAA and 3AAB, a prosecuting authority may give a document to the Registry or the Registrar by providing, through an officer of the authority who is an approved user, the information required for the completion of the document by means of the courts electronic system.</w:t>
      </w:r>
    </w:p>
    <w:p>
      <w:pPr>
        <w:pStyle w:val="Subsection"/>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courts electronic system is not sent in accordance with the requirements of the courts electronic system and this regulation the document is to be taken not to have been given.</w:t>
      </w:r>
    </w:p>
    <w:p>
      <w:pPr>
        <w:pStyle w:val="Footnotesection"/>
      </w:pPr>
      <w:r>
        <w:tab/>
        <w:t>[Regulation 11A inserted in Gazette 13 Nov 2015 p. 4657.]</w:t>
      </w:r>
    </w:p>
    <w:p>
      <w:pPr>
        <w:pStyle w:val="Heading5"/>
      </w:pPr>
      <w:bookmarkStart w:id="26" w:name="_Toc511135684"/>
      <w:r>
        <w:rPr>
          <w:rStyle w:val="CharSectno"/>
        </w:rPr>
        <w:t>11B</w:t>
      </w:r>
      <w:r>
        <w:t>.</w:t>
      </w:r>
      <w:r>
        <w:tab/>
        <w:t>Issuing warrants</w:t>
      </w:r>
      <w:bookmarkEnd w:id="26"/>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p>
    <w:p>
      <w:pPr>
        <w:pStyle w:val="Subsection"/>
      </w:pPr>
      <w:r>
        <w:tab/>
        <w:t>(2)</w:t>
      </w:r>
      <w:r>
        <w:tab/>
        <w:t>The Registrar may issue an enforcement warrant to the Sheriff by issuing an electronic version of the warrant to the Sheriff by means of the courts electronic system.</w:t>
      </w:r>
    </w:p>
    <w:p>
      <w:pPr>
        <w:pStyle w:val="Subsection"/>
      </w:pPr>
      <w:r>
        <w:tab/>
        <w:t>(3)</w:t>
      </w:r>
      <w:r>
        <w:tab/>
        <w:t xml:space="preserve">The Registrar may issue a warrant of commitment — </w:t>
      </w:r>
    </w:p>
    <w:p>
      <w:pPr>
        <w:pStyle w:val="Indenta"/>
      </w:pPr>
      <w:r>
        <w:tab/>
        <w:t>(a)</w:t>
      </w:r>
      <w:r>
        <w:tab/>
        <w:t>to all members of the Police Force of Western Australia by issuing an electronic version of the warrant by means of the courts electronic system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courts electronic system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is authenticated if — </w:t>
      </w:r>
    </w:p>
    <w:p>
      <w:pPr>
        <w:pStyle w:val="Indenta"/>
      </w:pPr>
      <w:r>
        <w:tab/>
        <w:t>(a)</w:t>
      </w:r>
      <w:r>
        <w:tab/>
        <w:t>the Registrar issues the warrant in an electronic form by means of the courts electronic system; and</w:t>
      </w:r>
    </w:p>
    <w:p>
      <w:pPr>
        <w:pStyle w:val="Indenta"/>
      </w:pPr>
      <w:r>
        <w:tab/>
        <w:t>(b)</w:t>
      </w:r>
      <w:r>
        <w:tab/>
        <w:t>the electronic document identifies the Registrar as the person who issued it.</w:t>
      </w:r>
    </w:p>
    <w:p>
      <w:pPr>
        <w:pStyle w:val="Subsection"/>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in Gazette 13 Nov 2015 p. 4658.]</w:t>
      </w:r>
    </w:p>
    <w:p>
      <w:pPr>
        <w:pStyle w:val="Heading5"/>
        <w:rPr>
          <w:snapToGrid w:val="0"/>
        </w:rPr>
      </w:pPr>
      <w:bookmarkStart w:id="27" w:name="_Toc511135685"/>
      <w:r>
        <w:rPr>
          <w:rStyle w:val="CharSectno"/>
        </w:rPr>
        <w:t>11</w:t>
      </w:r>
      <w:r>
        <w:rPr>
          <w:snapToGrid w:val="0"/>
        </w:rPr>
        <w:t>.</w:t>
      </w:r>
      <w:r>
        <w:rPr>
          <w:snapToGrid w:val="0"/>
        </w:rPr>
        <w:tab/>
        <w:t>Methods of payment</w:t>
      </w:r>
      <w:bookmarkEnd w:id="27"/>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in Gazette 20 Aug 2013 p. 3884.]</w:t>
      </w:r>
    </w:p>
    <w:p>
      <w:pPr>
        <w:pStyle w:val="Heading5"/>
        <w:rPr>
          <w:snapToGrid w:val="0"/>
        </w:rPr>
      </w:pPr>
      <w:bookmarkStart w:id="28" w:name="_Toc511135686"/>
      <w:r>
        <w:rPr>
          <w:rStyle w:val="CharSectno"/>
        </w:rPr>
        <w:t>12</w:t>
      </w:r>
      <w:r>
        <w:rPr>
          <w:snapToGrid w:val="0"/>
        </w:rPr>
        <w:t>.</w:t>
      </w:r>
      <w:r>
        <w:rPr>
          <w:snapToGrid w:val="0"/>
        </w:rPr>
        <w:tab/>
        <w:t>Forms</w:t>
      </w:r>
      <w:bookmarkEnd w:id="2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29" w:name="_Toc506363685"/>
      <w:bookmarkStart w:id="30" w:name="_Toc506364845"/>
      <w:bookmarkStart w:id="31" w:name="_Toc507070875"/>
      <w:bookmarkStart w:id="32" w:name="_Toc507070998"/>
      <w:bookmarkStart w:id="33" w:name="_Toc511135687"/>
      <w:r>
        <w:rPr>
          <w:rStyle w:val="CharSchNo"/>
        </w:rPr>
        <w:t>Schedule 1</w:t>
      </w:r>
      <w:r>
        <w:rPr>
          <w:rStyle w:val="CharSDivNo"/>
        </w:rPr>
        <w:t> </w:t>
      </w:r>
      <w:r>
        <w:t>—</w:t>
      </w:r>
      <w:r>
        <w:rPr>
          <w:rStyle w:val="CharSDivText"/>
        </w:rPr>
        <w:t> </w:t>
      </w:r>
      <w:r>
        <w:rPr>
          <w:rStyle w:val="CharSchText"/>
        </w:rPr>
        <w:t>Enactments to which Part 3 of the Act applies</w:t>
      </w:r>
      <w:bookmarkEnd w:id="29"/>
      <w:bookmarkEnd w:id="30"/>
      <w:bookmarkEnd w:id="31"/>
      <w:bookmarkEnd w:id="32"/>
      <w:bookmarkEnd w:id="33"/>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2015</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12</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13</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Act 1966</w:t>
            </w:r>
            <w:r>
              <w:t> </w:t>
            </w:r>
            <w:r>
              <w:rPr>
                <w:vertAlign w:val="superscript"/>
              </w:rPr>
              <w:t>14</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szCs w:val="22"/>
              </w:rPr>
              <w:t>Health (Miscellaneous Provisions) Act 1911</w:t>
            </w:r>
          </w:p>
        </w:tc>
        <w:tc>
          <w:tcPr>
            <w:tcW w:w="1418" w:type="dxa"/>
          </w:tcPr>
          <w:p>
            <w:pPr>
              <w:pStyle w:val="yTableNAm"/>
              <w:tabs>
                <w:tab w:val="clear" w:pos="567"/>
              </w:tabs>
              <w:ind w:right="510"/>
              <w:jc w:val="right"/>
            </w:pPr>
          </w:p>
        </w:tc>
      </w:tr>
      <w:tr>
        <w:tc>
          <w:tcPr>
            <w:tcW w:w="5812" w:type="dxa"/>
          </w:tcPr>
          <w:p>
            <w:pPr>
              <w:pStyle w:val="yTableNAm"/>
              <w:rPr>
                <w:i/>
              </w:rPr>
            </w:pPr>
            <w:r>
              <w:rPr>
                <w:i/>
              </w:rPr>
              <w:t>Health Services Act 2016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Subsection"/>
              <w:rPr>
                <w:i/>
                <w:szCs w:val="22"/>
              </w:rPr>
            </w:pPr>
            <w:r>
              <w:rPr>
                <w:i/>
                <w:sz w:val="22"/>
                <w:szCs w:val="22"/>
              </w:rPr>
              <w:t>Limited Partnerships Act 2016</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r>
              <w:t> </w:t>
            </w:r>
            <w:r>
              <w:rPr>
                <w:vertAlign w:val="superscript"/>
              </w:rPr>
              <w:t>15</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Public Health Act 2016</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Security and Related Activities (Control) Act 1996</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 xml:space="preserve">University of </w:t>
            </w:r>
            <w:smartTag w:uri="urn:schemas-microsoft-com:office:smarttags" w:element="PlaceName">
              <w:r>
                <w:rPr>
                  <w:i/>
                </w:rPr>
                <w:t>Western Australia</w:t>
              </w:r>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w:t>
      </w:r>
    </w:p>
    <w:p>
      <w:pPr>
        <w:pStyle w:val="yScheduleHeading"/>
      </w:pPr>
      <w:bookmarkStart w:id="34" w:name="_Toc506363686"/>
      <w:bookmarkStart w:id="35" w:name="_Toc506364846"/>
      <w:bookmarkStart w:id="36" w:name="_Toc507070876"/>
      <w:bookmarkStart w:id="37" w:name="_Toc507070999"/>
      <w:bookmarkStart w:id="38" w:name="_Toc511135688"/>
      <w:r>
        <w:rPr>
          <w:rStyle w:val="CharSchNo"/>
        </w:rPr>
        <w:t>Schedule 2</w:t>
      </w:r>
      <w:r>
        <w:t> — </w:t>
      </w:r>
      <w:r>
        <w:rPr>
          <w:rStyle w:val="CharSchText"/>
        </w:rPr>
        <w:t>Enforcement fees</w:t>
      </w:r>
      <w:bookmarkEnd w:id="34"/>
      <w:bookmarkEnd w:id="35"/>
      <w:bookmarkEnd w:id="36"/>
      <w:bookmarkEnd w:id="37"/>
      <w:bookmarkEnd w:id="38"/>
    </w:p>
    <w:p>
      <w:pPr>
        <w:pStyle w:val="yShoulderClause"/>
      </w:pPr>
      <w:r>
        <w:t>[r. 9]</w:t>
      </w:r>
    </w:p>
    <w:p>
      <w:pPr>
        <w:pStyle w:val="yFootnoteheading"/>
        <w:spacing w:before="100"/>
      </w:pPr>
      <w:r>
        <w:tab/>
        <w:t>[Heading inserted in Gazette 13 May 2005 p. 2080.]</w:t>
      </w:r>
    </w:p>
    <w:p>
      <w:pPr>
        <w:pStyle w:val="yHeading3"/>
        <w:spacing w:before="200" w:after="60"/>
      </w:pPr>
      <w:bookmarkStart w:id="39" w:name="_Toc506363687"/>
      <w:bookmarkStart w:id="40" w:name="_Toc506364847"/>
      <w:bookmarkStart w:id="41" w:name="_Toc507070877"/>
      <w:bookmarkStart w:id="42" w:name="_Toc507071000"/>
      <w:bookmarkStart w:id="43" w:name="_Toc511135689"/>
      <w:r>
        <w:rPr>
          <w:rStyle w:val="CharSDivNo"/>
        </w:rPr>
        <w:t>Division 1</w:t>
      </w:r>
      <w:r>
        <w:t> — </w:t>
      </w:r>
      <w:r>
        <w:rPr>
          <w:rStyle w:val="CharSDivText"/>
        </w:rPr>
        <w:t>Enforcement fees for Part 3 of the Act</w:t>
      </w:r>
      <w:bookmarkEnd w:id="39"/>
      <w:bookmarkEnd w:id="40"/>
      <w:bookmarkEnd w:id="41"/>
      <w:bookmarkEnd w:id="42"/>
      <w:bookmarkEnd w:id="43"/>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jc w:val="right"/>
            </w:pPr>
            <w:r>
              <w:t>$18.50</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jc w:val="right"/>
            </w:pPr>
            <w:r>
              <w:br/>
              <w:t>$15.75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jc w:val="right"/>
            </w:pPr>
            <w:r>
              <w:br/>
              <w:t>$59.00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jc w:val="right"/>
            </w:pPr>
            <w:r>
              <w:t>$39.10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jc w:val="right"/>
            </w:pPr>
            <w:r>
              <w:t>$184.00</w:t>
            </w:r>
          </w:p>
        </w:tc>
      </w:tr>
    </w:tbl>
    <w:p>
      <w:pPr>
        <w:pStyle w:val="yFootnotesection"/>
        <w:tabs>
          <w:tab w:val="right" w:leader="dot" w:pos="5814"/>
        </w:tabs>
      </w:pPr>
      <w:r>
        <w:tab/>
        <w:t>[Division 1 inserted in Gazette 13 May 2005 p. 2080; amended in Gazette 23 Jun 2006 p. 2191; 26 Jun 2007 p. 3032; 20 Aug 2013 p. 3885; 4 Jul 2014 p. 2364; 19 Jun 2015 p. 2123</w:t>
      </w:r>
      <w:r>
        <w:noBreakHyphen/>
        <w:t>4; 14 Jun 2016 p. 1907; 7 Jul 2017 p. 3752.]</w:t>
      </w:r>
    </w:p>
    <w:p>
      <w:pPr>
        <w:pStyle w:val="yHeading3"/>
        <w:tabs>
          <w:tab w:val="right" w:leader="dot" w:pos="5814"/>
        </w:tabs>
        <w:spacing w:before="200" w:after="80"/>
      </w:pPr>
      <w:bookmarkStart w:id="44" w:name="_Toc506363688"/>
      <w:bookmarkStart w:id="45" w:name="_Toc506364848"/>
      <w:bookmarkStart w:id="46" w:name="_Toc507070878"/>
      <w:bookmarkStart w:id="47" w:name="_Toc507071001"/>
      <w:bookmarkStart w:id="48" w:name="_Toc511135690"/>
      <w:r>
        <w:rPr>
          <w:rStyle w:val="CharSDivNo"/>
        </w:rPr>
        <w:t>Division 2</w:t>
      </w:r>
      <w:r>
        <w:t> — </w:t>
      </w:r>
      <w:r>
        <w:rPr>
          <w:rStyle w:val="CharSDivText"/>
        </w:rPr>
        <w:t>Enforcement fees for Part 4 of the Act</w:t>
      </w:r>
      <w:bookmarkEnd w:id="44"/>
      <w:bookmarkEnd w:id="45"/>
      <w:bookmarkEnd w:id="46"/>
      <w:bookmarkEnd w:id="47"/>
      <w:bookmarkEnd w:id="48"/>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keepNext/>
              <w:spacing w:before="100"/>
              <w:rPr>
                <w:sz w:val="22"/>
                <w:szCs w:val="22"/>
              </w:rPr>
            </w:pPr>
            <w:r>
              <w:rPr>
                <w:sz w:val="22"/>
                <w:szCs w:val="22"/>
              </w:rPr>
              <w:t>1.</w:t>
            </w:r>
          </w:p>
        </w:tc>
        <w:tc>
          <w:tcPr>
            <w:tcW w:w="5393" w:type="dxa"/>
          </w:tcPr>
          <w:p>
            <w:pPr>
              <w:keepNext/>
              <w:spacing w:before="100"/>
              <w:rPr>
                <w:sz w:val="22"/>
                <w:szCs w:val="22"/>
              </w:rPr>
            </w:pPr>
            <w:r>
              <w:rPr>
                <w:sz w:val="22"/>
                <w:szCs w:val="22"/>
              </w:rPr>
              <w:t>Fee for issuing a notice of intention to enforce .................</w:t>
            </w:r>
          </w:p>
          <w:p>
            <w:pPr>
              <w:pStyle w:val="yTableNAm"/>
              <w:keepNext/>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$39.10</w:t>
            </w:r>
          </w:p>
        </w:tc>
      </w:tr>
      <w:tr>
        <w:tc>
          <w:tcPr>
            <w:tcW w:w="703" w:type="dxa"/>
          </w:tcPr>
          <w:p>
            <w:pPr>
              <w:keepNext/>
              <w:spacing w:before="100"/>
              <w:rPr>
                <w:sz w:val="22"/>
                <w:szCs w:val="22"/>
              </w:rPr>
            </w:pPr>
            <w:r>
              <w:rPr>
                <w:sz w:val="22"/>
                <w:szCs w:val="22"/>
              </w:rPr>
              <w:t>2.</w:t>
            </w:r>
          </w:p>
        </w:tc>
        <w:tc>
          <w:tcPr>
            <w:tcW w:w="5393" w:type="dxa"/>
          </w:tcPr>
          <w:p>
            <w:pPr>
              <w:keepNext/>
              <w:spacing w:before="100"/>
              <w:rPr>
                <w:sz w:val="22"/>
                <w:szCs w:val="22"/>
              </w:rPr>
            </w:pPr>
            <w:r>
              <w:rPr>
                <w:sz w:val="22"/>
                <w:szCs w:val="22"/>
              </w:rPr>
              <w:t>Fee for issuing an enforcement warrant .............................</w:t>
            </w:r>
          </w:p>
          <w:p>
            <w:pPr>
              <w:keepNext/>
              <w:spacing w:before="100"/>
              <w:rPr>
                <w:sz w:val="22"/>
                <w:szCs w:val="22"/>
              </w:rPr>
            </w:pPr>
            <w:r>
              <w:rPr>
                <w:sz w:val="22"/>
                <w:szCs w:val="22"/>
              </w:rPr>
              <w:t>(To be imposed when the warrant is issued.)</w:t>
            </w:r>
          </w:p>
        </w:tc>
        <w:tc>
          <w:tcPr>
            <w:tcW w:w="992" w:type="dxa"/>
            <w:noWrap/>
            <w:tcMar>
              <w:left w:w="85" w:type="dxa"/>
              <w:right w:w="85" w:type="dxa"/>
            </w:tcMar>
          </w:tcPr>
          <w:p>
            <w:pPr>
              <w:pStyle w:val="yTable"/>
              <w:keepNext/>
              <w:tabs>
                <w:tab w:val="right" w:leader="dot" w:pos="5814"/>
              </w:tabs>
              <w:spacing w:before="100"/>
              <w:ind w:left="23" w:right="-21" w:hanging="23"/>
              <w:jc w:val="right"/>
              <w:rPr>
                <w:szCs w:val="22"/>
              </w:rPr>
            </w:pPr>
            <w:r>
              <w:t>$184.00</w:t>
            </w:r>
          </w:p>
        </w:tc>
      </w:tr>
    </w:tbl>
    <w:p>
      <w:pPr>
        <w:pStyle w:val="yFootnotesection"/>
      </w:pPr>
      <w:r>
        <w:tab/>
        <w:t>[Division 2 inserted in Gazette 13 May 2005 p. 2080; amended in Gazette 23 Jun 2006 p. 2191; 26 Jun 2007 p. 3032; 20 Aug 2013 p. 3885; 4 Jul 2014 p. 2364; 19 Jun 2015 p. 2124; 14 Jun 2016 p. 1907; 7 Jul 2017 p. 3752.]</w:t>
      </w:r>
    </w:p>
    <w:p>
      <w:pPr>
        <w:pStyle w:val="yHeading3"/>
        <w:spacing w:after="60"/>
      </w:pPr>
      <w:bookmarkStart w:id="49" w:name="_Toc506363689"/>
      <w:bookmarkStart w:id="50" w:name="_Toc506364849"/>
      <w:bookmarkStart w:id="51" w:name="_Toc507070879"/>
      <w:bookmarkStart w:id="52" w:name="_Toc507071002"/>
      <w:bookmarkStart w:id="53" w:name="_Toc511135691"/>
      <w:r>
        <w:rPr>
          <w:rStyle w:val="CharSDivNo"/>
        </w:rPr>
        <w:t>Division 3</w:t>
      </w:r>
      <w:r>
        <w:t> — </w:t>
      </w:r>
      <w:r>
        <w:rPr>
          <w:rStyle w:val="CharSDivText"/>
        </w:rPr>
        <w:t>Enforcement fees for Part 7 of the Act</w:t>
      </w:r>
      <w:bookmarkEnd w:id="49"/>
      <w:bookmarkEnd w:id="50"/>
      <w:bookmarkEnd w:id="51"/>
      <w:bookmarkEnd w:id="52"/>
      <w:bookmarkEnd w:id="53"/>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spacing w:before="120" w:after="40"/>
              <w:jc w:val="right"/>
            </w:pPr>
            <w:r>
              <w:br/>
            </w:r>
            <w:r>
              <w:br/>
              <w:t>$81.50</w:t>
            </w:r>
          </w:p>
        </w:tc>
      </w:tr>
      <w:tr>
        <w:trPr>
          <w:gridAfter w:val="1"/>
          <w:wAfter w:w="29" w:type="dxa"/>
        </w:trPr>
        <w:tc>
          <w:tcPr>
            <w:tcW w:w="5954" w:type="dxa"/>
          </w:tcPr>
          <w:p>
            <w:pPr>
              <w:pStyle w:val="yTableNAm"/>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jc w:val="right"/>
            </w:pPr>
          </w:p>
        </w:tc>
      </w:tr>
      <w:tr>
        <w:trPr>
          <w:gridAfter w:val="1"/>
          <w:wAfter w:w="29" w:type="dxa"/>
        </w:trPr>
        <w:tc>
          <w:tcPr>
            <w:tcW w:w="5954" w:type="dxa"/>
          </w:tcPr>
          <w:p>
            <w:pPr>
              <w:pStyle w:val="yTableNAm"/>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jc w:val="right"/>
            </w:pPr>
            <w:r>
              <w:t>$55.00</w:t>
            </w:r>
          </w:p>
        </w:tc>
      </w:tr>
      <w:tr>
        <w:trPr>
          <w:gridAfter w:val="1"/>
          <w:wAfter w:w="29" w:type="dxa"/>
        </w:trPr>
        <w:tc>
          <w:tcPr>
            <w:tcW w:w="5954" w:type="dxa"/>
          </w:tcPr>
          <w:p>
            <w:pPr>
              <w:pStyle w:val="yTableNAm"/>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jc w:val="right"/>
            </w:pPr>
            <w:r>
              <w:t>$59.00</w:t>
            </w:r>
          </w:p>
        </w:tc>
      </w:tr>
      <w:tr>
        <w:trPr>
          <w:gridAfter w:val="1"/>
          <w:wAfter w:w="29" w:type="dxa"/>
        </w:trPr>
        <w:tc>
          <w:tcPr>
            <w:tcW w:w="5954" w:type="dxa"/>
          </w:tcPr>
          <w:p>
            <w:pPr>
              <w:pStyle w:val="yTableNAm"/>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jc w:val="right"/>
            </w:pPr>
            <w:r>
              <w:br/>
              <w:t>$39.10</w:t>
            </w:r>
          </w:p>
        </w:tc>
      </w:tr>
      <w:tr>
        <w:trPr>
          <w:gridAfter w:val="1"/>
          <w:wAfter w:w="29" w:type="dxa"/>
          <w:cantSplit/>
        </w:trPr>
        <w:tc>
          <w:tcPr>
            <w:tcW w:w="5954" w:type="dxa"/>
          </w:tcPr>
          <w:p>
            <w:pPr>
              <w:pStyle w:val="yTableNAm"/>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jc w:val="right"/>
            </w:pPr>
          </w:p>
        </w:tc>
      </w:tr>
      <w:tr>
        <w:trPr>
          <w:gridAfter w:val="1"/>
          <w:wAfter w:w="29" w:type="dxa"/>
        </w:trPr>
        <w:tc>
          <w:tcPr>
            <w:tcW w:w="5954" w:type="dxa"/>
          </w:tcPr>
          <w:p>
            <w:pPr>
              <w:pStyle w:val="yTableNAm"/>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jc w:val="right"/>
            </w:pPr>
            <w:r>
              <w:br/>
            </w:r>
            <w:r>
              <w:b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jc w:val="right"/>
            </w:pPr>
          </w:p>
        </w:tc>
      </w:tr>
      <w:tr>
        <w:tblPrEx>
          <w:tblCellMar>
            <w:left w:w="113" w:type="dxa"/>
            <w:right w:w="113" w:type="dxa"/>
          </w:tblCellMar>
        </w:tblPrEx>
        <w:tc>
          <w:tcPr>
            <w:tcW w:w="5954" w:type="dxa"/>
          </w:tcPr>
          <w:p>
            <w:pPr>
              <w:pStyle w:val="yTableNAm"/>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jc w:val="right"/>
            </w:pPr>
            <w:r>
              <w:t>$87.50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jc w:val="right"/>
            </w:pPr>
            <w:r>
              <w:t>$194.00</w:t>
            </w:r>
          </w:p>
        </w:tc>
      </w:tr>
      <w:tr>
        <w:tblPrEx>
          <w:tblCellMar>
            <w:left w:w="113" w:type="dxa"/>
            <w:right w:w="113" w:type="dxa"/>
          </w:tblCellMar>
        </w:tblPrEx>
        <w:tc>
          <w:tcPr>
            <w:tcW w:w="5954" w:type="dxa"/>
          </w:tcPr>
          <w:p>
            <w:pPr>
              <w:pStyle w:val="yTableNAm"/>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jc w:val="right"/>
            </w:pPr>
            <w:r>
              <w:br/>
              <w:t>$27.80</w:t>
            </w:r>
          </w:p>
        </w:tc>
      </w:tr>
      <w:tr>
        <w:tblPrEx>
          <w:tblCellMar>
            <w:left w:w="113" w:type="dxa"/>
            <w:right w:w="113" w:type="dxa"/>
          </w:tblCellMar>
        </w:tblPrEx>
        <w:trPr>
          <w:cantSplit/>
        </w:trPr>
        <w:tc>
          <w:tcPr>
            <w:tcW w:w="5954" w:type="dxa"/>
          </w:tcPr>
          <w:p>
            <w:pPr>
              <w:pStyle w:val="yTableNAm"/>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r>
              <w:rPr>
                <w:snapToGrid w:val="0"/>
              </w:rPr>
              <w:t>.</w:t>
            </w:r>
          </w:p>
        </w:tc>
        <w:tc>
          <w:tcPr>
            <w:tcW w:w="1134" w:type="dxa"/>
            <w:gridSpan w:val="2"/>
          </w:tcPr>
          <w:p>
            <w:pPr>
              <w:pStyle w:val="yTable"/>
              <w:spacing w:after="40"/>
              <w:jc w:val="right"/>
            </w:pPr>
          </w:p>
        </w:tc>
      </w:tr>
    </w:tbl>
    <w:p>
      <w:pPr>
        <w:pStyle w:val="yFootnotesection"/>
      </w:pPr>
      <w:r>
        <w:tab/>
        <w:t>[Division 3 inserted in Gazette 13 May 2005 p. 2080</w:t>
      </w:r>
      <w:r>
        <w:noBreakHyphen/>
        <w:t>1; amended in Gazette 23 Jun 2006 p. 2192; 26 Jun 2007 p. 3032; 20 Aug 2013 p. 3885; 4 Jul 2014 p. 2364; 19 Jun 2015 p. 2124; 14 Jun 2016 p. 1907</w:t>
      </w:r>
      <w:r>
        <w:noBreakHyphen/>
        <w:t>8; 7 Jul 2017 p. 3752</w:t>
      </w:r>
      <w:r>
        <w:noBreakHyphen/>
        <w:t>3.]</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55" w:name="_Toc506363690"/>
      <w:bookmarkStart w:id="56" w:name="_Toc506364850"/>
      <w:bookmarkStart w:id="57" w:name="_Toc507070880"/>
      <w:bookmarkStart w:id="58" w:name="_Toc507071003"/>
      <w:bookmarkStart w:id="59" w:name="_Toc511135692"/>
      <w:r>
        <w:rPr>
          <w:rStyle w:val="CharSchNo"/>
        </w:rPr>
        <w:t>Schedule 3</w:t>
      </w:r>
      <w:r>
        <w:rPr>
          <w:rStyle w:val="CharSDivNo"/>
        </w:rPr>
        <w:t> </w:t>
      </w:r>
      <w:r>
        <w:t>—</w:t>
      </w:r>
      <w:r>
        <w:rPr>
          <w:rStyle w:val="CharSDivText"/>
        </w:rPr>
        <w:t> </w:t>
      </w:r>
      <w:r>
        <w:rPr>
          <w:rStyle w:val="CharSchText"/>
        </w:rPr>
        <w:t>Forms</w:t>
      </w:r>
      <w:bookmarkEnd w:id="55"/>
      <w:bookmarkEnd w:id="56"/>
      <w:bookmarkEnd w:id="57"/>
      <w:bookmarkEnd w:id="58"/>
      <w:bookmarkEnd w:id="59"/>
    </w:p>
    <w:p>
      <w:pPr>
        <w:pStyle w:val="yShoulderClause"/>
      </w:pPr>
      <w:r>
        <w:t>[r. 12]</w:t>
      </w:r>
    </w:p>
    <w:p>
      <w:pPr>
        <w:pStyle w:val="yFootnoteheading"/>
        <w:spacing w:before="40"/>
      </w:pPr>
      <w:r>
        <w:tab/>
        <w:t>[Heading inserted in Gazette 13 May 2005 p. 2081.]</w:t>
      </w:r>
    </w:p>
    <w:p>
      <w:pPr>
        <w:pStyle w:val="yHeading5"/>
        <w:spacing w:before="160"/>
      </w:pPr>
      <w:bookmarkStart w:id="60" w:name="_Toc511135693"/>
      <w:r>
        <w:rPr>
          <w:rStyle w:val="CharSClsNo"/>
        </w:rPr>
        <w:t>1</w:t>
      </w:r>
      <w:r>
        <w:t>.</w:t>
      </w:r>
      <w:r>
        <w:tab/>
        <w:t>Notice of withdrawal for the purposes of Act s. 22</w:t>
      </w:r>
      <w:bookmarkEnd w:id="60"/>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61" w:name="_Toc511135694"/>
      <w:r>
        <w:rPr>
          <w:rStyle w:val="CharSClsNo"/>
        </w:rPr>
        <w:t>2</w:t>
      </w:r>
      <w:r>
        <w:t>.</w:t>
      </w:r>
      <w:r>
        <w:tab/>
        <w:t>Enforcement warrant for the purposes of Act s. 21A and 45 and Part 5</w:t>
      </w:r>
      <w:bookmarkEnd w:id="61"/>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spacing w:before="0"/>
        <w:rPr>
          <w:snapToGrid w:val="0"/>
        </w:rPr>
      </w:pPr>
      <w:bookmarkStart w:id="62" w:name="_Toc511135695"/>
      <w:r>
        <w:rPr>
          <w:rStyle w:val="CharSClsNo"/>
        </w:rPr>
        <w:t>3</w:t>
      </w:r>
      <w:r>
        <w:rPr>
          <w:snapToGrid w:val="0"/>
        </w:rPr>
        <w:t>.</w:t>
      </w:r>
      <w:r>
        <w:rPr>
          <w:snapToGrid w:val="0"/>
        </w:rPr>
        <w:tab/>
        <w:t xml:space="preserve">Warrant of commitment for the purposes of Act s. 53 and </w:t>
      </w:r>
      <w:r>
        <w:t>Part 5</w:t>
      </w:r>
      <w:bookmarkEnd w:id="62"/>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85" w:type="dxa"/>
          <w:right w:w="85" w:type="dxa"/>
        </w:tblCellMar>
        <w:tblLook w:val="0000" w:firstRow="0" w:lastRow="0" w:firstColumn="0" w:lastColumn="0" w:noHBand="0" w:noVBand="0"/>
      </w:tblPr>
      <w:tblGrid>
        <w:gridCol w:w="1857"/>
        <w:gridCol w:w="475"/>
        <w:gridCol w:w="2283"/>
        <w:gridCol w:w="475"/>
        <w:gridCol w:w="1706"/>
      </w:tblGrid>
      <w:tr>
        <w:tc>
          <w:tcPr>
            <w:tcW w:w="1857"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r>
              <w:rPr>
                <w:sz w:val="14"/>
              </w:rPr>
              <w:br/>
            </w: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bottom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z w:val="14"/>
              </w:rPr>
            </w:pPr>
            <w:r>
              <w:rPr>
                <w:sz w:val="14"/>
              </w:rPr>
              <w:b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tcBorders>
              <w:bottom w:val="single" w:sz="4" w:space="0" w:color="auto"/>
            </w:tcBorders>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z w:val="14"/>
              </w:rPr>
            </w:pPr>
            <w:r>
              <w:rPr>
                <w:sz w:val="14"/>
              </w:rPr>
              <w:br/>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z w:val="14"/>
              </w:rPr>
            </w:pPr>
            <w:r>
              <w:rPr>
                <w:sz w:val="14"/>
              </w:rPr>
              <w:t>OFFICER’S DETAILS</w:t>
            </w:r>
          </w:p>
        </w:tc>
      </w:tr>
      <w:tr>
        <w:tc>
          <w:tcPr>
            <w:tcW w:w="1857"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63" w:name="_Toc511135696"/>
      <w:r>
        <w:rPr>
          <w:rStyle w:val="CharSClsNo"/>
        </w:rPr>
        <w:t>4</w:t>
      </w:r>
      <w:r>
        <w:rPr>
          <w:snapToGrid w:val="0"/>
        </w:rPr>
        <w:t>.</w:t>
      </w:r>
      <w:r>
        <w:rPr>
          <w:snapToGrid w:val="0"/>
        </w:rPr>
        <w:tab/>
        <w:t>Enforcement warrant for the purposes of Act s. 61</w:t>
      </w:r>
      <w:bookmarkEnd w:id="63"/>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napToGrid w:val="0"/>
          <w:sz w:val="18"/>
          <w:szCs w:val="18"/>
        </w:rPr>
        <w:t>YOU ARE AUTHORISED AND COMMANDED BY THIS WARRANT to seize and sell so much of the offender’s property and land as is necessary to recover the amount outstanding and the enforcement fees in connection with the execution of this warrant.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yEdnotesection"/>
        <w:spacing w:before="160"/>
      </w:pPr>
      <w:r>
        <w:t>[Form 5 deleted in Gazette 30 Jun 1995 p. 2638.]</w:t>
      </w:r>
    </w:p>
    <w:p>
      <w:pPr>
        <w:pStyle w:val="yEdnotesection"/>
      </w:pPr>
      <w:r>
        <w:t>[Form 6 deleted in Gazette 20 Aug 2013 p. 3888.]</w:t>
      </w:r>
    </w:p>
    <w:p>
      <w:pPr>
        <w:pStyle w:val="yHeading5"/>
      </w:pPr>
      <w:bookmarkStart w:id="64" w:name="_Toc511135697"/>
      <w:r>
        <w:rPr>
          <w:rStyle w:val="CharSClsNo"/>
        </w:rPr>
        <w:t>6A</w:t>
      </w:r>
      <w:r>
        <w:t>.</w:t>
      </w:r>
      <w:r>
        <w:tab/>
        <w:t>Memorial of land for the purposes of Act s. 89(2)</w:t>
      </w:r>
      <w:bookmarkEnd w:id="6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in Gazette 30 Jun 1995 p. 2641; amended in Gazette 13 May 2005 p. 2082.]</w:t>
      </w:r>
    </w:p>
    <w:p>
      <w:pPr>
        <w:pStyle w:val="yHeading5"/>
      </w:pPr>
      <w:bookmarkStart w:id="65" w:name="_Toc511135698"/>
      <w:r>
        <w:rPr>
          <w:rStyle w:val="CharSClsNo"/>
        </w:rPr>
        <w:t>6B</w:t>
      </w:r>
      <w:r>
        <w:t>.</w:t>
      </w:r>
      <w:r>
        <w:tab/>
        <w:t>Withdrawal of memorial of land for the purposes of Act s. 90</w:t>
      </w:r>
      <w:bookmarkEnd w:id="65"/>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in Gazette 30 Jun 1995 p. 2642; amended in Gazette 13 May 2005 p. 2082.]</w:t>
      </w:r>
    </w:p>
    <w:p>
      <w:pPr>
        <w:pStyle w:val="yEdnotesection"/>
      </w:pPr>
      <w:r>
        <w:t xml:space="preserve">[Form 7 deleted in Gazette </w:t>
      </w:r>
      <w:r>
        <w:rPr>
          <w:snapToGrid/>
        </w:rPr>
        <w:t>4 Oct 1996 p. 5233.</w:t>
      </w:r>
      <w:r>
        <w:t>]</w:t>
      </w:r>
    </w:p>
    <w:p>
      <w:pPr>
        <w:pStyle w:val="yHeading5"/>
      </w:pPr>
      <w:bookmarkStart w:id="66" w:name="_Toc511135699"/>
      <w:r>
        <w:rPr>
          <w:rStyle w:val="CharSClsNo"/>
        </w:rPr>
        <w:t>8</w:t>
      </w:r>
      <w:r>
        <w:t>.</w:t>
      </w:r>
      <w:r>
        <w:tab/>
        <w:t>Certificate under Act s. 101C(1): Part 3 proceedings</w:t>
      </w:r>
      <w:bookmarkEnd w:id="6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spacing w:before="0"/>
      </w:pPr>
      <w:bookmarkStart w:id="67" w:name="_Toc511135700"/>
      <w:r>
        <w:rPr>
          <w:rStyle w:val="CharSClsNo"/>
        </w:rPr>
        <w:t>9</w:t>
      </w:r>
      <w:r>
        <w:t>.</w:t>
      </w:r>
      <w:r>
        <w:tab/>
        <w:t>Certificate under Act s. 101C(1): Part 4 proceedings</w:t>
      </w:r>
      <w:bookmarkEnd w:id="67"/>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in Gazette 20 Aug 2013 p. 3890-1.]</w:t>
      </w:r>
    </w:p>
    <w:p>
      <w:pPr>
        <w:pStyle w:val="yHeading5"/>
        <w:pageBreakBefore/>
        <w:spacing w:before="0"/>
      </w:pPr>
      <w:bookmarkStart w:id="68" w:name="_Toc511135701"/>
      <w:r>
        <w:rPr>
          <w:rStyle w:val="CharSClsNo"/>
        </w:rPr>
        <w:t>10</w:t>
      </w:r>
      <w:r>
        <w:t>.</w:t>
      </w:r>
      <w:r>
        <w:tab/>
        <w:t>Certificate under Act s. 101C(2A): Part 3 proceedings</w:t>
      </w:r>
      <w:bookmarkEnd w:id="68"/>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10 inserted in Gazette 20 Aug 2013 p. 3891-2.]</w:t>
      </w:r>
    </w:p>
    <w:p>
      <w:pPr>
        <w:pStyle w:val="yHeading5"/>
        <w:pageBreakBefore/>
        <w:spacing w:before="0"/>
      </w:pPr>
      <w:bookmarkStart w:id="69" w:name="_Toc511135702"/>
      <w:r>
        <w:rPr>
          <w:rStyle w:val="CharSClsNo"/>
        </w:rPr>
        <w:t>11</w:t>
      </w:r>
      <w:r>
        <w:t>.</w:t>
      </w:r>
      <w:r>
        <w:tab/>
        <w:t>Certificate under Act s. 101C(2A): Part 4 proceedings</w:t>
      </w:r>
      <w:bookmarkEnd w:id="69"/>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nHeading2"/>
        <w:pageBreakBefore/>
      </w:pPr>
      <w:bookmarkStart w:id="70" w:name="_Toc506363701"/>
      <w:bookmarkStart w:id="71" w:name="_Toc506364861"/>
      <w:bookmarkStart w:id="72" w:name="_Toc507070891"/>
      <w:bookmarkStart w:id="73" w:name="_Toc507071014"/>
      <w:bookmarkStart w:id="74" w:name="_Toc511135703"/>
      <w:r>
        <w:t>Notes</w:t>
      </w:r>
      <w:bookmarkEnd w:id="70"/>
      <w:bookmarkEnd w:id="71"/>
      <w:bookmarkEnd w:id="72"/>
      <w:bookmarkEnd w:id="73"/>
      <w:bookmarkEnd w:id="74"/>
    </w:p>
    <w:p>
      <w:pPr>
        <w:pStyle w:val="nSubsection"/>
      </w:pPr>
      <w:r>
        <w:rPr>
          <w:vertAlign w:val="superscript"/>
        </w:rPr>
        <w:t>1</w:t>
      </w:r>
      <w:r>
        <w:tab/>
        <w:t xml:space="preserve">This reprint is a compilation as at 29 March 2018 of the </w:t>
      </w:r>
      <w:r>
        <w:rPr>
          <w:i/>
          <w:noProof/>
        </w:rPr>
        <w:t>Fines, Penalties and Infringement Notices Enforcement Regulations 1994</w:t>
      </w:r>
      <w:r>
        <w:t xml:space="preserve"> and includes the amendments made by the other written laws referred to in the following table.  The table also contains information about any reprint.</w:t>
      </w:r>
    </w:p>
    <w:p>
      <w:pPr>
        <w:pStyle w:val="nHeading3"/>
      </w:pPr>
      <w:bookmarkStart w:id="75" w:name="_Toc511135704"/>
      <w:r>
        <w:t>Compilation table</w:t>
      </w:r>
      <w:bookmarkEnd w:id="75"/>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16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rPr>
              <w:t>r. 1 and 2: 10 May 2013 (see r. 2(a));</w:t>
            </w:r>
            <w:r>
              <w:rPr>
                <w:snapToGrid w:val="0"/>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rPr>
            </w:pPr>
            <w:r>
              <w:rPr>
                <w:bCs/>
                <w:snapToGrid w:val="0"/>
              </w:rPr>
              <w:t>r. 1 and 2: 3 Dec 2013 (see r. 2(a));</w:t>
            </w:r>
            <w:r>
              <w:rPr>
                <w:bCs/>
                <w:snapToGrid w:val="0"/>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rPr>
            </w:pPr>
            <w:r>
              <w:rPr>
                <w:bCs/>
                <w:snapToGrid w:val="0"/>
              </w:rPr>
              <w:t>r. 1 and 2: 20 Jun 2014 (see r. 2(a));</w:t>
            </w:r>
            <w:r>
              <w:rPr>
                <w:bCs/>
                <w:snapToGrid w:val="0"/>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rPr>
            </w:pPr>
            <w:r>
              <w:rPr>
                <w:bCs/>
                <w:snapToGrid w:val="0"/>
              </w:rPr>
              <w:t>r. 1 and 2: 4 Jul 2014 (see r. 2(a));</w:t>
            </w:r>
            <w:r>
              <w:rPr>
                <w:bCs/>
                <w:snapToGrid w:val="0"/>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rPr>
            </w:pPr>
            <w:r>
              <w:rPr>
                <w:bCs/>
                <w:snapToGrid w:val="0"/>
              </w:rPr>
              <w:t>r. 1 and 2: 13 Jan 2015 (see r. 2(a));</w:t>
            </w:r>
            <w:r>
              <w:rPr>
                <w:bCs/>
                <w:snapToGrid w:val="0"/>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rPr>
          <w:cantSplit/>
        </w:trPr>
        <w:tc>
          <w:tcPr>
            <w:tcW w:w="3118" w:type="dxa"/>
            <w:shd w:val="clear" w:color="auto" w:fill="auto"/>
          </w:tcPr>
          <w:p>
            <w:pPr>
              <w:pStyle w:val="nTable"/>
              <w:spacing w:after="40"/>
              <w:ind w:right="170"/>
            </w:pPr>
            <w:r>
              <w:rPr>
                <w:i/>
              </w:rPr>
              <w:t>Fines, Penalties and Infringement Notices Enforcement Amendment Regulations (No. 3) 2015</w:t>
            </w:r>
          </w:p>
        </w:tc>
        <w:tc>
          <w:tcPr>
            <w:tcW w:w="1276" w:type="dxa"/>
            <w:shd w:val="clear" w:color="auto" w:fill="auto"/>
          </w:tcPr>
          <w:p>
            <w:pPr>
              <w:pStyle w:val="nTable"/>
              <w:spacing w:after="40"/>
            </w:pPr>
            <w:r>
              <w:t>12 Jun 2015 p. 2027</w:t>
            </w:r>
          </w:p>
        </w:tc>
        <w:tc>
          <w:tcPr>
            <w:tcW w:w="2693" w:type="dxa"/>
            <w:shd w:val="clear" w:color="auto" w:fill="auto"/>
          </w:tcPr>
          <w:p>
            <w:pPr>
              <w:pStyle w:val="nTable"/>
              <w:spacing w:after="40"/>
              <w:rPr>
                <w:bCs/>
                <w:snapToGrid w:val="0"/>
              </w:rPr>
            </w:pPr>
            <w:r>
              <w:rPr>
                <w:bCs/>
                <w:snapToGrid w:val="0"/>
              </w:rPr>
              <w:t>r. 1 and 2: 12 Jun 2015 (see r. 2(a));</w:t>
            </w:r>
            <w:r>
              <w:rPr>
                <w:bCs/>
                <w:snapToGrid w:val="0"/>
              </w:rPr>
              <w:br/>
              <w:t>Regulations other than r. 1 and 2: 13 Jun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2015</w:t>
            </w:r>
          </w:p>
        </w:tc>
        <w:tc>
          <w:tcPr>
            <w:tcW w:w="1276" w:type="dxa"/>
            <w:shd w:val="clear" w:color="auto" w:fill="auto"/>
          </w:tcPr>
          <w:p>
            <w:pPr>
              <w:pStyle w:val="nTable"/>
              <w:spacing w:after="40"/>
            </w:pPr>
            <w:r>
              <w:t>19 Jun 2015 p. 2123</w:t>
            </w:r>
            <w:r>
              <w:noBreakHyphen/>
              <w:t>4</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5) 2015</w:t>
            </w:r>
          </w:p>
        </w:tc>
        <w:tc>
          <w:tcPr>
            <w:tcW w:w="1276" w:type="dxa"/>
            <w:shd w:val="clear" w:color="auto" w:fill="auto"/>
          </w:tcPr>
          <w:p>
            <w:pPr>
              <w:pStyle w:val="nTable"/>
              <w:spacing w:after="40"/>
            </w:pPr>
            <w:r>
              <w:t>13 Nov 2015 p. 4656</w:t>
            </w:r>
            <w:r>
              <w:noBreakHyphen/>
              <w:t>8</w:t>
            </w:r>
          </w:p>
        </w:tc>
        <w:tc>
          <w:tcPr>
            <w:tcW w:w="2693" w:type="dxa"/>
            <w:shd w:val="clear" w:color="auto" w:fill="auto"/>
          </w:tcPr>
          <w:p>
            <w:pPr>
              <w:pStyle w:val="nTable"/>
              <w:spacing w:after="40"/>
              <w:rPr>
                <w:rFonts w:ascii="Times" w:hAnsi="Times"/>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rPr>
          <w:cantSplit/>
        </w:trPr>
        <w:tc>
          <w:tcPr>
            <w:tcW w:w="7087"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7</w:t>
            </w:r>
            <w:r>
              <w:rPr>
                <w:b/>
                <w:bCs/>
                <w:snapToGrid w:val="0"/>
              </w:rPr>
              <w:t xml:space="preserve">: The </w:t>
            </w:r>
            <w:r>
              <w:rPr>
                <w:rFonts w:ascii="Times" w:hAnsi="Times"/>
                <w:b/>
                <w:bCs/>
                <w:i/>
                <w:noProof/>
                <w:snapToGrid w:val="0"/>
                <w:spacing w:val="-2"/>
              </w:rPr>
              <w:t>Fines, Penalties and Infringement Notices Enforcement Regulations 1994</w:t>
            </w:r>
            <w:r>
              <w:rPr>
                <w:b/>
                <w:bCs/>
                <w:snapToGrid w:val="0"/>
              </w:rPr>
              <w:t xml:space="preserve"> as at </w:t>
            </w:r>
            <w:r>
              <w:rPr>
                <w:rFonts w:ascii="Times" w:hAnsi="Times"/>
                <w:b/>
                <w:bCs/>
                <w:snapToGrid w:val="0"/>
                <w:spacing w:val="-2"/>
              </w:rPr>
              <w:t>8 Jan 2016</w:t>
            </w:r>
            <w:r>
              <w:rPr>
                <w:bCs/>
                <w:snapToGrid w:val="0"/>
              </w:rPr>
              <w:t xml:space="preserve"> (includes amendments listed above)</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7</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rPr>
          <w:cantSplit/>
        </w:trPr>
        <w:tc>
          <w:tcPr>
            <w:tcW w:w="3118" w:type="dxa"/>
            <w:shd w:val="clear" w:color="auto" w:fill="auto"/>
          </w:tcPr>
          <w:p>
            <w:pPr>
              <w:pStyle w:val="nTable"/>
              <w:spacing w:after="40"/>
              <w:rPr>
                <w:b/>
                <w:bCs/>
                <w:snapToGrid w:val="0"/>
              </w:rPr>
            </w:pPr>
            <w:r>
              <w:rPr>
                <w:i/>
              </w:rPr>
              <w:t>Fines, Penalties and Infringement Notices Enforcement Amendment Regulations 2016</w:t>
            </w:r>
          </w:p>
        </w:tc>
        <w:tc>
          <w:tcPr>
            <w:tcW w:w="1276" w:type="dxa"/>
            <w:shd w:val="clear" w:color="auto" w:fill="auto"/>
          </w:tcPr>
          <w:p>
            <w:pPr>
              <w:pStyle w:val="nTable"/>
              <w:spacing w:after="40"/>
              <w:rPr>
                <w:b/>
                <w:bCs/>
                <w:snapToGrid w:val="0"/>
              </w:rPr>
            </w:pPr>
            <w:r>
              <w:t>28 Jun 2016 p. 2642</w:t>
            </w:r>
            <w:r>
              <w:noBreakHyphen/>
              <w:t>3</w:t>
            </w:r>
          </w:p>
        </w:tc>
        <w:tc>
          <w:tcPr>
            <w:tcW w:w="2693" w:type="dxa"/>
            <w:shd w:val="clear" w:color="auto" w:fill="auto"/>
          </w:tcPr>
          <w:p>
            <w:pPr>
              <w:pStyle w:val="nTable"/>
              <w:spacing w:after="40"/>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rPr>
          <w:cantSplit/>
        </w:trPr>
        <w:tc>
          <w:tcPr>
            <w:tcW w:w="3118" w:type="dxa"/>
            <w:shd w:val="clear" w:color="auto" w:fill="auto"/>
          </w:tcPr>
          <w:p>
            <w:pPr>
              <w:pStyle w:val="nTable"/>
              <w:spacing w:after="40"/>
              <w:rPr>
                <w:i/>
              </w:rPr>
            </w:pPr>
            <w:r>
              <w:rPr>
                <w:i/>
              </w:rPr>
              <w:t>Fines, Penalties and Infringement Notices Enforcement Amendment Regulations (No. 2) 2016</w:t>
            </w:r>
          </w:p>
        </w:tc>
        <w:tc>
          <w:tcPr>
            <w:tcW w:w="1276" w:type="dxa"/>
            <w:shd w:val="clear" w:color="auto" w:fill="auto"/>
          </w:tcPr>
          <w:p>
            <w:pPr>
              <w:pStyle w:val="nTable"/>
              <w:spacing w:after="40"/>
            </w:pPr>
            <w:r>
              <w:t>9 Aug 2016 p. 3427</w:t>
            </w:r>
            <w:r>
              <w:noBreakHyphen/>
              <w:t>8</w:t>
            </w:r>
          </w:p>
        </w:tc>
        <w:tc>
          <w:tcPr>
            <w:tcW w:w="2693" w:type="dxa"/>
            <w:shd w:val="clear" w:color="auto" w:fill="auto"/>
          </w:tcPr>
          <w:p>
            <w:pPr>
              <w:pStyle w:val="nTable"/>
              <w:spacing w:after="40"/>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3</w:t>
            </w:r>
          </w:p>
        </w:tc>
        <w:tc>
          <w:tcPr>
            <w:tcW w:w="1276" w:type="dxa"/>
            <w:shd w:val="clear" w:color="auto" w:fill="auto"/>
          </w:tcPr>
          <w:p>
            <w:pPr>
              <w:pStyle w:val="nTable"/>
              <w:spacing w:after="40"/>
            </w:pPr>
            <w:r>
              <w:t>30 Dec 2016 p. 5965</w:t>
            </w:r>
            <w:r>
              <w:noBreakHyphen/>
              <w:t>6</w:t>
            </w:r>
          </w:p>
        </w:tc>
        <w:tc>
          <w:tcPr>
            <w:tcW w:w="2693" w:type="dxa"/>
            <w:shd w:val="clear" w:color="auto" w:fill="auto"/>
          </w:tcPr>
          <w:p>
            <w:pPr>
              <w:pStyle w:val="nTable"/>
              <w:spacing w:after="40"/>
              <w:rPr>
                <w:bCs/>
                <w:snapToGrid w:val="0"/>
              </w:rPr>
            </w:pPr>
            <w:r>
              <w:rPr>
                <w:bCs/>
                <w:snapToGrid w:val="0"/>
              </w:rPr>
              <w:t>31 Dec 2016 (see r. 2(b))</w:t>
            </w:r>
          </w:p>
        </w:tc>
      </w:tr>
      <w:tr>
        <w:trPr>
          <w:cantSplit/>
        </w:trPr>
        <w:tc>
          <w:tcPr>
            <w:tcW w:w="3118" w:type="dxa"/>
            <w:shd w:val="clear" w:color="auto" w:fill="auto"/>
          </w:tcPr>
          <w:p>
            <w:pPr>
              <w:pStyle w:val="nTable"/>
              <w:spacing w:after="40"/>
              <w:rPr>
                <w:i/>
              </w:rPr>
            </w:pPr>
            <w:r>
              <w:rPr>
                <w:i/>
              </w:rPr>
              <w:t>Attorney General Regulations Amendment (Public Health) Regulations 2016</w:t>
            </w:r>
            <w:r>
              <w:t xml:space="preserve"> Pt. 3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8" w:type="dxa"/>
            <w:shd w:val="clear" w:color="auto" w:fill="auto"/>
          </w:tcPr>
          <w:p>
            <w:pPr>
              <w:pStyle w:val="nTable"/>
              <w:widowControl w:val="0"/>
              <w:spacing w:after="40"/>
              <w:rPr>
                <w:i/>
              </w:rPr>
            </w:pPr>
            <w:r>
              <w:rPr>
                <w:i/>
              </w:rPr>
              <w:t>Attorney General Regulations Amendment (Travel Agents) Regulations 2016</w:t>
            </w:r>
            <w:r>
              <w:t xml:space="preserve"> Pt. 3 </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c>
          <w:tcPr>
            <w:tcW w:w="3118" w:type="dxa"/>
            <w:shd w:val="clear" w:color="auto" w:fill="auto"/>
          </w:tcPr>
          <w:p>
            <w:pPr>
              <w:pStyle w:val="nTable"/>
              <w:keepNext/>
              <w:widowControl w:val="0"/>
              <w:spacing w:after="40"/>
            </w:pPr>
            <w:r>
              <w:rPr>
                <w:i/>
              </w:rPr>
              <w:t xml:space="preserve">Attorney General Regulations Amendment (Fees and Charges) Regulations 2017 </w:t>
            </w:r>
            <w:r>
              <w:t>Pt. 7</w:t>
            </w:r>
          </w:p>
        </w:tc>
        <w:tc>
          <w:tcPr>
            <w:tcW w:w="1276" w:type="dxa"/>
            <w:shd w:val="clear" w:color="auto" w:fill="auto"/>
          </w:tcPr>
          <w:p>
            <w:pPr>
              <w:pStyle w:val="nTable"/>
              <w:keepNext/>
              <w:spacing w:after="40"/>
            </w:pPr>
            <w:r>
              <w:t>7 Jul 2017 p. 3721</w:t>
            </w:r>
            <w:r>
              <w:noBreakHyphen/>
              <w:t>98</w:t>
            </w:r>
          </w:p>
        </w:tc>
        <w:tc>
          <w:tcPr>
            <w:tcW w:w="2693" w:type="dxa"/>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c>
          <w:tcPr>
            <w:tcW w:w="3118" w:type="dxa"/>
            <w:shd w:val="clear" w:color="auto" w:fill="auto"/>
          </w:tcPr>
          <w:p>
            <w:pPr>
              <w:pStyle w:val="nTable"/>
              <w:widowControl w:val="0"/>
              <w:spacing w:after="40"/>
            </w:pPr>
            <w:r>
              <w:rPr>
                <w:i/>
              </w:rPr>
              <w:t>Attorney General Regulations Amendment Regulations 2017</w:t>
            </w:r>
            <w:r>
              <w:t xml:space="preserve"> Pt. 3</w:t>
            </w:r>
          </w:p>
        </w:tc>
        <w:tc>
          <w:tcPr>
            <w:tcW w:w="1276" w:type="dxa"/>
            <w:shd w:val="clear" w:color="auto" w:fill="auto"/>
          </w:tcPr>
          <w:p>
            <w:pPr>
              <w:pStyle w:val="nTable"/>
              <w:keepNext/>
              <w:spacing w:after="40"/>
            </w:pPr>
            <w:r>
              <w:t>4 Aug 2017 p. 4313</w:t>
            </w:r>
            <w:r>
              <w:noBreakHyphen/>
              <w:t>14</w:t>
            </w:r>
          </w:p>
        </w:tc>
        <w:tc>
          <w:tcPr>
            <w:tcW w:w="2693" w:type="dxa"/>
            <w:shd w:val="clear" w:color="auto" w:fill="auto"/>
          </w:tcPr>
          <w:p>
            <w:pPr>
              <w:pStyle w:val="nTable"/>
              <w:keepNext/>
              <w:spacing w:after="40"/>
              <w:rPr>
                <w:bCs/>
                <w:snapToGrid w:val="0"/>
              </w:rPr>
            </w:pPr>
            <w:r>
              <w:rPr>
                <w:bCs/>
                <w:snapToGrid w:val="0"/>
              </w:rPr>
              <w:t>5 Aug 2017 (see r. 2(b))</w:t>
            </w:r>
          </w:p>
        </w:tc>
      </w:tr>
      <w:tr>
        <w:tc>
          <w:tcPr>
            <w:tcW w:w="7087" w:type="dxa"/>
            <w:gridSpan w:val="3"/>
            <w:tcBorders>
              <w:bottom w:val="single" w:sz="8" w:space="0" w:color="auto"/>
            </w:tcBorders>
            <w:shd w:val="clear" w:color="auto" w:fill="auto"/>
          </w:tcPr>
          <w:p>
            <w:pPr>
              <w:pStyle w:val="nTable"/>
              <w:keepNext/>
              <w:spacing w:after="40"/>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Indent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Indent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Subsection"/>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Subsection"/>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Subsection"/>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Subsection"/>
        <w:rPr>
          <w:snapToGrid w:val="0"/>
        </w:rPr>
      </w:pPr>
      <w:r>
        <w:rPr>
          <w:snapToGrid w:val="0"/>
          <w:vertAlign w:val="superscript"/>
        </w:rPr>
        <w:t>10</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Subsection"/>
        <w:rPr>
          <w:snapToGrid w:val="0"/>
        </w:rPr>
      </w:pPr>
      <w:r>
        <w:rPr>
          <w:snapToGrid w:val="0"/>
          <w:vertAlign w:val="superscript"/>
        </w:rPr>
        <w:t>11</w:t>
      </w:r>
      <w:r>
        <w:rPr>
          <w:snapToGrid w:val="0"/>
          <w:vertAlign w:val="superscript"/>
        </w:rPr>
        <w:tab/>
      </w:r>
      <w:r>
        <w:rPr>
          <w:snapToGrid w:val="0"/>
        </w:rPr>
        <w:t>No longer exists. See endnote 15.</w:t>
      </w:r>
    </w:p>
    <w:p>
      <w:pPr>
        <w:pStyle w:val="nSubsection"/>
      </w:pPr>
      <w:r>
        <w:rPr>
          <w:vertAlign w:val="superscript"/>
        </w:rPr>
        <w:t>12</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13</w:t>
      </w:r>
      <w:r>
        <w:rPr>
          <w:vertAlign w:val="superscript"/>
        </w:rPr>
        <w:tab/>
      </w:r>
      <w:r>
        <w:t>The</w:t>
      </w:r>
      <w:r>
        <w:rPr>
          <w:i/>
        </w:rPr>
        <w:t xml:space="preserve"> Companies (Co</w:t>
      </w:r>
      <w:r>
        <w:rPr>
          <w:i/>
        </w:rPr>
        <w:noBreakHyphen/>
        <w:t>operative) Act 1943</w:t>
      </w:r>
      <w:r>
        <w:t xml:space="preserve"> was repealed by the </w:t>
      </w:r>
      <w:r>
        <w:rPr>
          <w:i/>
          <w:iCs/>
        </w:rPr>
        <w:t>Co-operatives Act 2009</w:t>
      </w:r>
      <w:r>
        <w:rPr>
          <w:iCs/>
        </w:rPr>
        <w:t xml:space="preserve"> s. 490</w:t>
      </w:r>
      <w:r>
        <w:t>.</w:t>
      </w:r>
    </w:p>
    <w:p>
      <w:pPr>
        <w:pStyle w:val="nSubsection"/>
      </w:pPr>
      <w:r>
        <w:rPr>
          <w:snapToGrid w:val="0"/>
          <w:vertAlign w:val="superscript"/>
        </w:rPr>
        <w:t>14</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Subsection"/>
      </w:pPr>
      <w:r>
        <w:rPr>
          <w:snapToGrid w:val="0"/>
          <w:vertAlign w:val="superscript"/>
        </w:rPr>
        <w:t>15</w:t>
      </w:r>
      <w:r>
        <w:rPr>
          <w:snapToGrid w:val="0"/>
        </w:rPr>
        <w:tab/>
        <w:t xml:space="preserve">Repealed by the </w:t>
      </w:r>
      <w:r>
        <w:rPr>
          <w:i/>
          <w:snapToGrid w:val="0"/>
        </w:rPr>
        <w:t>Perth Market Disposal Act 2015</w:t>
      </w:r>
      <w:r>
        <w:rPr>
          <w:snapToGrid w:val="0"/>
        </w:rPr>
        <w:t>.</w:t>
      </w:r>
    </w:p>
    <w:p>
      <w:pPr>
        <w:pStyle w:val="nSubsection"/>
        <w:keepNext/>
      </w:pPr>
      <w:r>
        <w:rPr>
          <w:vertAlign w:val="superscript"/>
        </w:rPr>
        <w:t>16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4"/>
          <w:headerReference w:type="default" r:id="rId35"/>
          <w:headerReference w:type="first" r:id="rId36"/>
          <w:type w:val="continuous"/>
          <w:pgSz w:w="11907" w:h="16840" w:code="9"/>
          <w:pgMar w:top="2376" w:right="2404" w:bottom="3544" w:left="2404" w:header="720" w:footer="3380" w:gutter="0"/>
          <w:cols w:space="720"/>
          <w:noEndnote/>
          <w:docGrid w:linePitch="326"/>
        </w:sectPr>
      </w:pPr>
    </w:p>
    <w:p>
      <w:pPr>
        <w:pStyle w:val="nHeading2"/>
        <w:rPr>
          <w:sz w:val="28"/>
        </w:rPr>
      </w:pPr>
      <w:bookmarkStart w:id="77" w:name="_Toc506363703"/>
      <w:bookmarkStart w:id="78" w:name="_Toc506364863"/>
      <w:bookmarkStart w:id="79" w:name="_Toc507070893"/>
      <w:bookmarkStart w:id="80" w:name="_Toc507071016"/>
      <w:bookmarkStart w:id="81" w:name="_Toc511135705"/>
      <w:r>
        <w:rPr>
          <w:sz w:val="28"/>
        </w:rPr>
        <w:t>Defined terms</w:t>
      </w:r>
      <w:bookmarkEnd w:id="77"/>
      <w:bookmarkEnd w:id="78"/>
      <w:bookmarkEnd w:id="79"/>
      <w:bookmarkEnd w:id="80"/>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2A</w:t>
      </w:r>
    </w:p>
    <w:p>
      <w:pPr>
        <w:pStyle w:val="DefinedTerms"/>
      </w:pPr>
      <w:r>
        <w:t>courts electronic system</w:t>
      </w:r>
      <w:r>
        <w:tab/>
        <w:t>2A</w:t>
      </w:r>
    </w:p>
    <w:p>
      <w:pPr>
        <w:pStyle w:val="DefinedTerms"/>
      </w:pPr>
      <w:r>
        <w:t>GST</w:t>
      </w:r>
      <w:r>
        <w:tab/>
        <w:t>3AA(1)</w:t>
      </w:r>
    </w:p>
    <w:p>
      <w:pPr>
        <w:pStyle w:val="DefinedTerms"/>
      </w:pPr>
      <w:r>
        <w:t>warrant</w:t>
      </w:r>
      <w:r>
        <w:tab/>
        <w:t>11B(1)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imes New Roman Bold Italic">
    <w:panose1 w:val="00000000000000000000"/>
    <w:charset w:val="00"/>
    <w:family w:val="roman"/>
    <w:notTrueType/>
    <w:pitch w:val="default"/>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Mar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4" w:name="Schedule"/>
    <w:bookmarkEnd w:id="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6" w:name="Compilation"/>
    <w:bookmarkEnd w:id="7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81E6700"/>
    <w:multiLevelType w:val="multilevel"/>
    <w:tmpl w:val="4604606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2"/>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214092047"/>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1.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042DE1-86A7-4BFA-9782-922BC7545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10532</Words>
  <Characters>52875</Characters>
  <Application>Microsoft Office Word</Application>
  <DocSecurity>0</DocSecurity>
  <Lines>2033</Lines>
  <Paragraphs>1196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1994 - 08-a0-02</dc:title>
  <dc:subject/>
  <dc:creator/>
  <cp:keywords/>
  <dc:description/>
  <cp:lastModifiedBy>svcMRProcess</cp:lastModifiedBy>
  <cp:revision>4</cp:revision>
  <cp:lastPrinted>2018-02-21T01:26:00Z</cp:lastPrinted>
  <dcterms:created xsi:type="dcterms:W3CDTF">2020-02-25T18:56:00Z</dcterms:created>
  <dcterms:modified xsi:type="dcterms:W3CDTF">2020-02-25T18:56:00Z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20180329</vt:lpwstr>
  </property>
  <property fmtid="{D5CDD505-2E9C-101B-9397-08002B2CF9AE}" pid="8" name="AsAtDate">
    <vt:lpwstr>29 Mar 2018</vt:lpwstr>
  </property>
  <property fmtid="{D5CDD505-2E9C-101B-9397-08002B2CF9AE}" pid="9" name="Suffix">
    <vt:lpwstr>08-a0-02</vt:lpwstr>
  </property>
</Properties>
</file>