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(Yakanarra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_Toc511719936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_Toc511719937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Yakanarra Aboriginal Community</w:t>
      </w:r>
      <w:r>
        <w:tab/>
      </w:r>
      <w:r>
        <w:fldChar w:fldCharType="begin"/>
      </w:r>
      <w:r>
        <w:instrText xml:space="preserve"> PAGEREF _Toc511719938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_Toc511719939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_Toc511719940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_Toc511719941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Yakanarra Aboriginal Community</w:t>
      </w:r>
      <w:r>
        <w:tab/>
      </w:r>
      <w:r>
        <w:fldChar w:fldCharType="begin"/>
      </w:r>
      <w:r>
        <w:instrText xml:space="preserve"> PAGEREF _Toc511719942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_Toc511719943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_Toc511719944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_Toc511719946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(Yakanarra Restricted Area) Regulations 2010</w:t>
      </w:r>
    </w:p>
    <w:p>
      <w:pPr>
        <w:pStyle w:val="Heading5"/>
      </w:pPr>
      <w:bookmarkStart w:id="3" w:name="_Toc323283515"/>
      <w:bookmarkStart w:id="4" w:name="_Toc511719936"/>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51171993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23283517"/>
      <w:bookmarkStart w:id="9" w:name="_Toc511719938"/>
      <w:r>
        <w:rPr>
          <w:rStyle w:val="CharSectno"/>
        </w:rPr>
        <w:t>3</w:t>
      </w:r>
      <w:r>
        <w:t>.</w:t>
      </w:r>
      <w:r>
        <w:tab/>
        <w:t>Term used: Yakanarra Aboriginal Community</w:t>
      </w:r>
      <w:bookmarkEnd w:id="8"/>
      <w:bookmarkEnd w:id="9"/>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0" w:name="_Toc323283518"/>
      <w:bookmarkStart w:id="11" w:name="_Toc511719939"/>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23283519"/>
      <w:bookmarkStart w:id="13" w:name="_Toc511719940"/>
      <w:r>
        <w:rPr>
          <w:rStyle w:val="CharSectno"/>
        </w:rPr>
        <w:t>5</w:t>
      </w:r>
      <w:r>
        <w:t>.</w:t>
      </w:r>
      <w:r>
        <w:tab/>
        <w:t>Declaration of restricted area</w:t>
      </w:r>
      <w:bookmarkEnd w:id="12"/>
      <w:bookmarkEnd w:id="13"/>
    </w:p>
    <w:p>
      <w:pPr>
        <w:pStyle w:val="Subsection"/>
      </w:pPr>
      <w:r>
        <w:tab/>
      </w:r>
      <w:r>
        <w:tab/>
        <w:t>The Yakanarra Aboriginal Community is declared to be a restricted area for the purposes of section 175(1a) of the Act.</w:t>
      </w:r>
    </w:p>
    <w:p>
      <w:pPr>
        <w:pStyle w:val="Heading5"/>
      </w:pPr>
      <w:bookmarkStart w:id="14" w:name="_Toc323283520"/>
      <w:bookmarkStart w:id="15" w:name="_Toc511719941"/>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23283521"/>
      <w:bookmarkStart w:id="17" w:name="_Toc511719942"/>
      <w:r>
        <w:rPr>
          <w:rStyle w:val="CharSectno"/>
        </w:rPr>
        <w:t>7</w:t>
      </w:r>
      <w:r>
        <w:t>.</w:t>
      </w:r>
      <w:r>
        <w:tab/>
        <w:t>Prohibitions as to liquor in Yakanarra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23283522"/>
      <w:bookmarkStart w:id="19" w:name="_Toc511719943"/>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23283523"/>
      <w:bookmarkStart w:id="21" w:name="_Toc511719944"/>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30 April 2021.</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27 Apr 2012 p. 1768; 24 Mar 2015 p. 1047; 17 Apr 2018 p. 1305.]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260312393"/>
      <w:bookmarkStart w:id="23" w:name="_Toc260312404"/>
      <w:bookmarkStart w:id="24" w:name="_Toc260320857"/>
      <w:bookmarkStart w:id="25" w:name="_Toc323283524"/>
      <w:bookmarkStart w:id="26" w:name="_Toc414889310"/>
      <w:bookmarkStart w:id="27" w:name="_Toc414891223"/>
      <w:bookmarkStart w:id="28" w:name="_Toc511719945"/>
      <w:r>
        <w:t>Notes</w:t>
      </w:r>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rPr>
          <w:vertAlign w:val="superscript"/>
        </w:rPr>
        <w:t xml:space="preserve"> 2</w:t>
      </w:r>
      <w:r>
        <w:rPr>
          <w:snapToGrid w:val="0"/>
        </w:rPr>
        <w:t xml:space="preserve"> and includes the amendments made by the other written laws referred to in the following table.</w:t>
      </w:r>
    </w:p>
    <w:p>
      <w:pPr>
        <w:pStyle w:val="nHeading3"/>
      </w:pPr>
      <w:bookmarkStart w:id="29" w:name="_Toc323283525"/>
      <w:bookmarkStart w:id="30" w:name="_Toc511719946"/>
      <w:r>
        <w:t>Compilation table</w:t>
      </w:r>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c>
          <w:tcPr>
            <w:tcW w:w="3118" w:type="dxa"/>
            <w:tcBorders>
              <w:top w:val="nil"/>
              <w:bottom w:val="nil"/>
            </w:tcBorders>
          </w:tcPr>
          <w:p>
            <w:pPr>
              <w:pStyle w:val="nTable"/>
              <w:spacing w:after="40"/>
              <w:rPr>
                <w:i/>
              </w:rPr>
            </w:pPr>
            <w:r>
              <w:rPr>
                <w:i/>
              </w:rPr>
              <w:t>Liquor Control (Yakanarra Restricted Area) Amendment Regulations 2012</w:t>
            </w:r>
          </w:p>
        </w:tc>
        <w:tc>
          <w:tcPr>
            <w:tcW w:w="1276" w:type="dxa"/>
            <w:tcBorders>
              <w:top w:val="nil"/>
              <w:bottom w:val="nil"/>
            </w:tcBorders>
          </w:tcPr>
          <w:p>
            <w:pPr>
              <w:pStyle w:val="nTable"/>
              <w:spacing w:after="40"/>
            </w:pPr>
            <w:r>
              <w:t>27 Apr 2012 p. 1767</w:t>
            </w:r>
            <w:r>
              <w:noBreakHyphen/>
              <w:t>8</w:t>
            </w:r>
          </w:p>
        </w:tc>
        <w:tc>
          <w:tcPr>
            <w:tcW w:w="2693" w:type="dxa"/>
            <w:tcBorders>
              <w:top w:val="nil"/>
              <w:bottom w:val="nil"/>
            </w:tcBorders>
          </w:tcPr>
          <w:p>
            <w:pPr>
              <w:pStyle w:val="nTable"/>
              <w:spacing w:after="40"/>
            </w:pPr>
            <w:r>
              <w:rPr>
                <w:snapToGrid w:val="0"/>
                <w:spacing w:val="-2"/>
                <w:lang w:val="en-US"/>
              </w:rPr>
              <w:t>r. 1 and 2: 27 Apr 2012 (see r. 2(a));</w:t>
            </w:r>
            <w:r>
              <w:rPr>
                <w:snapToGrid w:val="0"/>
                <w:spacing w:val="-2"/>
                <w:lang w:val="en-US"/>
              </w:rPr>
              <w:br/>
              <w:t>Regulations other than r. 1 and 2: 28 Apr 2012 (see r. 2(b))</w:t>
            </w:r>
          </w:p>
        </w:tc>
      </w:tr>
      <w:tr>
        <w:tc>
          <w:tcPr>
            <w:tcW w:w="3118" w:type="dxa"/>
            <w:tcBorders>
              <w:top w:val="nil"/>
              <w:bottom w:val="nil"/>
            </w:tcBorders>
          </w:tcPr>
          <w:p>
            <w:pPr>
              <w:pStyle w:val="nTable"/>
              <w:spacing w:after="40"/>
              <w:rPr>
                <w:i/>
              </w:rPr>
            </w:pPr>
            <w:r>
              <w:rPr>
                <w:i/>
              </w:rPr>
              <w:t>Liquor Control (Yakanarra Restricted Area) Amendment Regulations 2015</w:t>
            </w:r>
          </w:p>
        </w:tc>
        <w:tc>
          <w:tcPr>
            <w:tcW w:w="1276" w:type="dxa"/>
            <w:tcBorders>
              <w:top w:val="nil"/>
              <w:bottom w:val="nil"/>
            </w:tcBorders>
          </w:tcPr>
          <w:p>
            <w:pPr>
              <w:pStyle w:val="nTable"/>
              <w:spacing w:after="40"/>
            </w:pPr>
            <w:r>
              <w:t>24 Mar 2015 p. 1046-7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24 Mar 2015 (see r. 2(a));</w:t>
            </w:r>
            <w:r>
              <w:rPr>
                <w:snapToGrid w:val="0"/>
                <w:spacing w:val="-2"/>
                <w:lang w:val="en-US"/>
              </w:rPr>
              <w:br/>
              <w:t>Regulations other than r. 1 and 2: 25 Mar 2015 (see r. 2(b))</w:t>
            </w:r>
          </w:p>
        </w:tc>
      </w:tr>
      <w:tr>
        <w:tc>
          <w:tcPr>
            <w:tcW w:w="3118" w:type="dxa"/>
            <w:tcBorders>
              <w:top w:val="nil"/>
              <w:bottom w:val="single" w:sz="4" w:space="0" w:color="auto"/>
            </w:tcBorders>
          </w:tcPr>
          <w:p>
            <w:pPr>
              <w:pStyle w:val="nTable"/>
              <w:spacing w:after="40"/>
              <w:rPr>
                <w:i/>
              </w:rPr>
            </w:pPr>
            <w:r>
              <w:rPr>
                <w:i/>
              </w:rPr>
              <w:t>Liquor Control (Yakanarra Restricted Area) Amendment Regulations 2018</w:t>
            </w:r>
          </w:p>
        </w:tc>
        <w:tc>
          <w:tcPr>
            <w:tcW w:w="1276" w:type="dxa"/>
            <w:tcBorders>
              <w:top w:val="nil"/>
              <w:bottom w:val="single" w:sz="4" w:space="0" w:color="auto"/>
            </w:tcBorders>
          </w:tcPr>
          <w:p>
            <w:pPr>
              <w:pStyle w:val="nTable"/>
              <w:spacing w:after="40"/>
            </w:pPr>
            <w:r>
              <w:t>17 Apr 2018 p. 1305</w:t>
            </w:r>
          </w:p>
        </w:tc>
        <w:tc>
          <w:tcPr>
            <w:tcW w:w="2693" w:type="dxa"/>
            <w:tcBorders>
              <w:top w:val="nil"/>
              <w:bottom w:val="single" w:sz="4" w:space="0" w:color="auto"/>
            </w:tcBorders>
          </w:tcPr>
          <w:p>
            <w:pPr>
              <w:pStyle w:val="nTable"/>
              <w:spacing w:after="40"/>
              <w:rPr>
                <w:snapToGrid w:val="0"/>
                <w:spacing w:val="-2"/>
                <w:lang w:val="en-US"/>
              </w:rPr>
            </w:pPr>
            <w:r>
              <w:rPr>
                <w:snapToGrid w:val="0"/>
                <w:spacing w:val="-2"/>
                <w:lang w:val="en-US"/>
              </w:rPr>
              <w:t>r. 1 and 2: 17 Apr 2018 (see r. 2(a));</w:t>
            </w:r>
            <w:r>
              <w:rPr>
                <w:snapToGrid w:val="0"/>
                <w:spacing w:val="-2"/>
                <w:lang w:val="en-US"/>
              </w:rPr>
              <w:br/>
              <w:t>Regulations other than r. 1 and 2: 18 Apr 2018 (see r. 2(b))</w:t>
            </w:r>
          </w:p>
        </w:tc>
      </w:tr>
    </w:tbl>
    <w:p>
      <w:pPr>
        <w:pStyle w:val="nSubsection"/>
      </w:pPr>
      <w:r>
        <w:rPr>
          <w:vertAlign w:val="superscript"/>
        </w:rPr>
        <w:t>2</w:t>
      </w:r>
      <w:r>
        <w:tab/>
        <w:t>These regulations expire at the close of 30 Apr 2021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2" w:name="_Toc414891225"/>
      <w:bookmarkStart w:id="33" w:name="_Toc511719947"/>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Yakanarra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942"/>
    <w:docVar w:name="WAFER_20150323155022" w:val="ResetPageSize,UpdateArrangement,UpdateNTable"/>
    <w:docVar w:name="WAFER_20150323155022_GUID" w:val="0a1b4180-e09f-498a-b1ab-6c36bb890c86"/>
    <w:docVar w:name="WAFER_20151126102930" w:val="UpdateStyles"/>
    <w:docVar w:name="WAFER_20151126102930_GUID" w:val="35fa455c-5ffe-4a6d-8e65-b1ebc69ef577"/>
    <w:docVar w:name="WAFER_20151126103942" w:val="UsedStyles"/>
    <w:docVar w:name="WAFER_20151126103942_GUID" w:val="7290687e-22e5-4026-a815-4c211340c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910</Words>
  <Characters>4483</Characters>
  <Application>Microsoft Office Word</Application>
  <DocSecurity>0</DocSecurity>
  <Lines>166</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2010 - 00-d0-03</dc:title>
  <dc:subject/>
  <dc:creator/>
  <cp:keywords/>
  <dc:description/>
  <cp:lastModifiedBy>svcMRProcess</cp:lastModifiedBy>
  <cp:revision>4</cp:revision>
  <cp:lastPrinted>2010-02-22T02:01:00Z</cp:lastPrinted>
  <dcterms:created xsi:type="dcterms:W3CDTF">2019-01-17T08:27:00Z</dcterms:created>
  <dcterms:modified xsi:type="dcterms:W3CDTF">2019-01-17T08:27:00Z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OWLSUId">
    <vt:i4>461</vt:i4>
  </property>
  <property fmtid="{D5CDD505-2E9C-101B-9397-08002B2CF9AE}" pid="4" name="DocumentType">
    <vt:lpwstr>Reg</vt:lpwstr>
  </property>
  <property fmtid="{D5CDD505-2E9C-101B-9397-08002B2CF9AE}" pid="5" name="CommencementDate">
    <vt:lpwstr>20180418</vt:lpwstr>
  </property>
  <property fmtid="{D5CDD505-2E9C-101B-9397-08002B2CF9AE}" pid="6" name="AsAtDate">
    <vt:lpwstr>18 Apr 2018</vt:lpwstr>
  </property>
  <property fmtid="{D5CDD505-2E9C-101B-9397-08002B2CF9AE}" pid="7" name="Suffix">
    <vt:lpwstr>00-d0-03</vt:lpwstr>
  </property>
</Properties>
</file>