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Curriculum and Standards Authority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Curriculum and Standards Authority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_Toc32412281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_Toc32412282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_Toc32412283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Act</w:t>
      </w:r>
      <w:r>
        <w:tab/>
      </w:r>
      <w:r>
        <w:fldChar w:fldCharType="begin"/>
      </w:r>
      <w:r>
        <w:instrText xml:space="preserve"> PAGEREF _Toc32412284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The School Curriculum and Standards Authority and committees</w:t>
      </w:r>
    </w:p>
    <w:p>
      <w:pPr>
        <w:pStyle w:val="TOC4"/>
        <w:tabs>
          <w:tab w:val="right" w:leader="dot" w:pos="7077"/>
        </w:tabs>
        <w:rPr>
          <w:rFonts w:asciiTheme="minorHAnsi" w:eastAsiaTheme="minorEastAsia" w:hAnsiTheme="minorHAnsi" w:cstheme="minorBidi"/>
          <w:b w:val="0"/>
          <w:szCs w:val="22"/>
        </w:rPr>
      </w:pPr>
      <w:r>
        <w:t>Division 1 — School Curriculum and Standards Authority</w:t>
      </w:r>
    </w:p>
    <w:p>
      <w:pPr>
        <w:pStyle w:val="TOC8"/>
        <w:rPr>
          <w:rFonts w:asciiTheme="minorHAnsi" w:eastAsiaTheme="minorEastAsia" w:hAnsiTheme="minorHAnsi" w:cstheme="minorBidi"/>
          <w:szCs w:val="22"/>
        </w:rPr>
      </w:pPr>
      <w:r>
        <w:t>5.</w:t>
      </w:r>
      <w:r>
        <w:tab/>
        <w:t>Authority established; status etc. of Authority</w:t>
      </w:r>
      <w:r>
        <w:tab/>
      </w:r>
      <w:r>
        <w:fldChar w:fldCharType="begin"/>
      </w:r>
      <w:r>
        <w:instrText xml:space="preserve"> PAGEREF _Toc32412287 \h </w:instrText>
      </w:r>
      <w:r>
        <w:fldChar w:fldCharType="separate"/>
      </w:r>
      <w:r>
        <w:t>6</w:t>
      </w:r>
      <w:r>
        <w:fldChar w:fldCharType="end"/>
      </w:r>
    </w:p>
    <w:p>
      <w:pPr>
        <w:pStyle w:val="TOC8"/>
        <w:rPr>
          <w:rFonts w:asciiTheme="minorHAnsi" w:eastAsiaTheme="minorEastAsia" w:hAnsiTheme="minorHAnsi" w:cstheme="minorBidi"/>
          <w:szCs w:val="22"/>
        </w:rPr>
      </w:pPr>
      <w:r>
        <w:t>6.</w:t>
      </w:r>
      <w:r>
        <w:tab/>
        <w:t>Board of Authority</w:t>
      </w:r>
      <w:r>
        <w:tab/>
      </w:r>
      <w:r>
        <w:fldChar w:fldCharType="begin"/>
      </w:r>
      <w:r>
        <w:instrText xml:space="preserve"> PAGEREF _Toc32412288 \h </w:instrText>
      </w:r>
      <w:r>
        <w:fldChar w:fldCharType="separate"/>
      </w:r>
      <w:r>
        <w:t>6</w:t>
      </w:r>
      <w:r>
        <w:fldChar w:fldCharType="end"/>
      </w:r>
    </w:p>
    <w:p>
      <w:pPr>
        <w:pStyle w:val="TOC8"/>
        <w:rPr>
          <w:rFonts w:asciiTheme="minorHAnsi" w:eastAsiaTheme="minorEastAsia" w:hAnsiTheme="minorHAnsi" w:cstheme="minorBidi"/>
          <w:szCs w:val="22"/>
        </w:rPr>
      </w:pPr>
      <w:r>
        <w:t>7A.</w:t>
      </w:r>
      <w:r>
        <w:tab/>
        <w:t>Board, members of</w:t>
      </w:r>
      <w:r>
        <w:tab/>
      </w:r>
      <w:r>
        <w:fldChar w:fldCharType="begin"/>
      </w:r>
      <w:r>
        <w:instrText xml:space="preserve"> PAGEREF _Toc32412289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7B.</w:t>
      </w:r>
      <w:r>
        <w:tab/>
        <w:t>Standards Committee established; members of</w:t>
      </w:r>
      <w:r>
        <w:tab/>
      </w:r>
      <w:r>
        <w:fldChar w:fldCharType="begin"/>
      </w:r>
      <w:r>
        <w:instrText xml:space="preserve"> PAGEREF _Toc32412291 \h </w:instrText>
      </w:r>
      <w:r>
        <w:fldChar w:fldCharType="separate"/>
      </w:r>
      <w:r>
        <w:t>7</w:t>
      </w:r>
      <w:r>
        <w:fldChar w:fldCharType="end"/>
      </w:r>
    </w:p>
    <w:p>
      <w:pPr>
        <w:pStyle w:val="TOC8"/>
        <w:rPr>
          <w:rFonts w:asciiTheme="minorHAnsi" w:eastAsiaTheme="minorEastAsia" w:hAnsiTheme="minorHAnsi" w:cstheme="minorBidi"/>
          <w:szCs w:val="22"/>
        </w:rPr>
      </w:pPr>
      <w:r>
        <w:t>7C.</w:t>
      </w:r>
      <w:r>
        <w:tab/>
        <w:t>Standards Committee, functions of</w:t>
      </w:r>
      <w:r>
        <w:tab/>
      </w:r>
      <w:r>
        <w:fldChar w:fldCharType="begin"/>
      </w:r>
      <w:r>
        <w:instrText xml:space="preserve"> PAGEREF _Toc32412292 \h </w:instrText>
      </w:r>
      <w:r>
        <w:fldChar w:fldCharType="separate"/>
      </w:r>
      <w:r>
        <w:t>7</w:t>
      </w:r>
      <w:r>
        <w:fldChar w:fldCharType="end"/>
      </w:r>
    </w:p>
    <w:p>
      <w:pPr>
        <w:pStyle w:val="TOC8"/>
        <w:rPr>
          <w:rFonts w:asciiTheme="minorHAnsi" w:eastAsiaTheme="minorEastAsia" w:hAnsiTheme="minorHAnsi" w:cstheme="minorBidi"/>
          <w:szCs w:val="22"/>
        </w:rPr>
      </w:pPr>
      <w:r>
        <w:t>7D.</w:t>
      </w:r>
      <w:r>
        <w:tab/>
        <w:t>Curriculum and Assessment Committee established; members of</w:t>
      </w:r>
      <w:r>
        <w:tab/>
      </w:r>
      <w:r>
        <w:fldChar w:fldCharType="begin"/>
      </w:r>
      <w:r>
        <w:instrText xml:space="preserve"> PAGEREF _Toc32412293 \h </w:instrText>
      </w:r>
      <w:r>
        <w:fldChar w:fldCharType="separate"/>
      </w:r>
      <w:r>
        <w:t>8</w:t>
      </w:r>
      <w:r>
        <w:fldChar w:fldCharType="end"/>
      </w:r>
    </w:p>
    <w:p>
      <w:pPr>
        <w:pStyle w:val="TOC8"/>
        <w:rPr>
          <w:rFonts w:asciiTheme="minorHAnsi" w:eastAsiaTheme="minorEastAsia" w:hAnsiTheme="minorHAnsi" w:cstheme="minorBidi"/>
          <w:szCs w:val="22"/>
        </w:rPr>
      </w:pPr>
      <w:r>
        <w:t>7E.</w:t>
      </w:r>
      <w:r>
        <w:tab/>
        <w:t>Curriculum and Assessment Committee, functions of</w:t>
      </w:r>
      <w:r>
        <w:tab/>
      </w:r>
      <w:r>
        <w:fldChar w:fldCharType="begin"/>
      </w:r>
      <w:r>
        <w:instrText xml:space="preserve"> PAGEREF _Toc32412294 \h </w:instrText>
      </w:r>
      <w:r>
        <w:fldChar w:fldCharType="separate"/>
      </w:r>
      <w:r>
        <w:t>9</w:t>
      </w:r>
      <w:r>
        <w:fldChar w:fldCharType="end"/>
      </w:r>
    </w:p>
    <w:p>
      <w:pPr>
        <w:pStyle w:val="TOC8"/>
        <w:rPr>
          <w:rFonts w:asciiTheme="minorHAnsi" w:eastAsiaTheme="minorEastAsia" w:hAnsiTheme="minorHAnsi" w:cstheme="minorBidi"/>
          <w:szCs w:val="22"/>
        </w:rPr>
      </w:pPr>
      <w:r>
        <w:t>7F.</w:t>
      </w:r>
      <w:r>
        <w:tab/>
        <w:t>Other committees</w:t>
      </w:r>
      <w:r>
        <w:tab/>
      </w:r>
      <w:r>
        <w:fldChar w:fldCharType="begin"/>
      </w:r>
      <w:r>
        <w:instrText xml:space="preserve"> PAGEREF _Toc32412295 \h </w:instrText>
      </w:r>
      <w:r>
        <w:fldChar w:fldCharType="separate"/>
      </w:r>
      <w:r>
        <w:t>9</w:t>
      </w:r>
      <w:r>
        <w:fldChar w:fldCharType="end"/>
      </w:r>
    </w:p>
    <w:p>
      <w:pPr>
        <w:pStyle w:val="TOC8"/>
        <w:rPr>
          <w:rFonts w:asciiTheme="minorHAnsi" w:eastAsiaTheme="minorEastAsia" w:hAnsiTheme="minorHAnsi" w:cstheme="minorBidi"/>
          <w:szCs w:val="22"/>
        </w:rPr>
      </w:pPr>
      <w:r>
        <w:t>7G.</w:t>
      </w:r>
      <w:r>
        <w:tab/>
        <w:t>Support services for committees</w:t>
      </w:r>
      <w:r>
        <w:tab/>
      </w:r>
      <w:r>
        <w:fldChar w:fldCharType="begin"/>
      </w:r>
      <w:r>
        <w:instrText xml:space="preserve"> PAGEREF _Toc32412296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7</w:t>
      </w:r>
      <w:r>
        <w:rPr>
          <w:snapToGrid w:val="0"/>
        </w:rPr>
        <w:t>.</w:t>
      </w:r>
      <w:r>
        <w:rPr>
          <w:snapToGrid w:val="0"/>
        </w:rPr>
        <w:tab/>
        <w:t>Provisions about Board (Sch. 1)</w:t>
      </w:r>
      <w:r>
        <w:tab/>
      </w:r>
      <w:r>
        <w:fldChar w:fldCharType="begin"/>
      </w:r>
      <w:r>
        <w:instrText xml:space="preserve"> PAGEREF _Toc32412298 \h </w:instrText>
      </w:r>
      <w:r>
        <w:fldChar w:fldCharType="separate"/>
      </w:r>
      <w:r>
        <w:t>10</w:t>
      </w:r>
      <w:r>
        <w:fldChar w:fldCharType="end"/>
      </w:r>
    </w:p>
    <w:p>
      <w:pPr>
        <w:pStyle w:val="TOC8"/>
        <w:rPr>
          <w:rFonts w:asciiTheme="minorHAnsi" w:eastAsiaTheme="minorEastAsia" w:hAnsiTheme="minorHAnsi" w:cstheme="minorBidi"/>
          <w:szCs w:val="22"/>
        </w:rPr>
      </w:pPr>
      <w:r>
        <w:t>8A.</w:t>
      </w:r>
      <w:r>
        <w:tab/>
        <w:t>CEO or representative may attend meetings of Board and committees</w:t>
      </w:r>
      <w:r>
        <w:tab/>
      </w:r>
      <w:r>
        <w:fldChar w:fldCharType="begin"/>
      </w:r>
      <w:r>
        <w:instrText xml:space="preserve"> PAGEREF _Toc32412299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Members of Board and committees, remuneration of</w:t>
      </w:r>
      <w:r>
        <w:tab/>
      </w:r>
      <w:r>
        <w:fldChar w:fldCharType="begin"/>
      </w:r>
      <w:r>
        <w:instrText xml:space="preserve"> PAGEREF _Toc32412300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tab/>
        <w:t>Functions of Authority</w:t>
      </w:r>
      <w:r>
        <w:tab/>
      </w:r>
      <w:r>
        <w:fldChar w:fldCharType="begin"/>
      </w:r>
      <w:r>
        <w:instrText xml:space="preserve"> PAGEREF _Toc32412302 \h </w:instrText>
      </w:r>
      <w:r>
        <w:fldChar w:fldCharType="separate"/>
      </w:r>
      <w:r>
        <w:t>12</w:t>
      </w:r>
      <w:r>
        <w:fldChar w:fldCharType="end"/>
      </w:r>
    </w:p>
    <w:p>
      <w:pPr>
        <w:pStyle w:val="TOC8"/>
        <w:rPr>
          <w:rFonts w:asciiTheme="minorHAnsi" w:eastAsiaTheme="minorEastAsia" w:hAnsiTheme="minorHAnsi" w:cstheme="minorBidi"/>
          <w:szCs w:val="22"/>
        </w:rPr>
      </w:pPr>
      <w:r>
        <w:t>10.</w:t>
      </w:r>
      <w:r>
        <w:tab/>
        <w:t>Advisory function of Authority</w:t>
      </w:r>
      <w:r>
        <w:tab/>
      </w:r>
      <w:r>
        <w:fldChar w:fldCharType="begin"/>
      </w:r>
      <w:r>
        <w:instrText xml:space="preserve"> PAGEREF _Toc32412303 \h </w:instrText>
      </w:r>
      <w:r>
        <w:fldChar w:fldCharType="separate"/>
      </w:r>
      <w:r>
        <w:t>15</w:t>
      </w:r>
      <w:r>
        <w:fldChar w:fldCharType="end"/>
      </w:r>
    </w:p>
    <w:p>
      <w:pPr>
        <w:pStyle w:val="TOC8"/>
        <w:rPr>
          <w:rFonts w:asciiTheme="minorHAnsi" w:eastAsiaTheme="minorEastAsia" w:hAnsiTheme="minorHAnsi" w:cstheme="minorBidi"/>
          <w:szCs w:val="22"/>
        </w:rPr>
      </w:pPr>
      <w:r>
        <w:t>11.</w:t>
      </w:r>
      <w:r>
        <w:tab/>
        <w:t>Draft reports on standards of student achievement, preparation of etc.</w:t>
      </w:r>
      <w:r>
        <w:tab/>
      </w:r>
      <w:r>
        <w:fldChar w:fldCharType="begin"/>
      </w:r>
      <w:r>
        <w:instrText xml:space="preserve"> PAGEREF _Toc32412304 \h </w:instrText>
      </w:r>
      <w:r>
        <w:fldChar w:fldCharType="separate"/>
      </w:r>
      <w:r>
        <w:t>16</w:t>
      </w:r>
      <w:r>
        <w:fldChar w:fldCharType="end"/>
      </w:r>
    </w:p>
    <w:p>
      <w:pPr>
        <w:pStyle w:val="TOC8"/>
        <w:rPr>
          <w:rFonts w:asciiTheme="minorHAnsi" w:eastAsiaTheme="minorEastAsia" w:hAnsiTheme="minorHAnsi" w:cstheme="minorBidi"/>
          <w:szCs w:val="22"/>
        </w:rPr>
      </w:pPr>
      <w:r>
        <w:t>12.</w:t>
      </w:r>
      <w:r>
        <w:tab/>
        <w:t>Draft reports under s. 11(2), dealing with</w:t>
      </w:r>
      <w:r>
        <w:tab/>
      </w:r>
      <w:r>
        <w:fldChar w:fldCharType="begin"/>
      </w:r>
      <w:r>
        <w:instrText xml:space="preserve"> PAGEREF _Toc32412305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assessment and register of courses, Authority to keep etc.</w:t>
      </w:r>
      <w:r>
        <w:tab/>
      </w:r>
      <w:r>
        <w:fldChar w:fldCharType="begin"/>
      </w:r>
      <w:r>
        <w:instrText xml:space="preserve"> PAGEREF _Toc32412306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Powers of Authority</w:t>
      </w:r>
      <w:r>
        <w:tab/>
      </w:r>
      <w:r>
        <w:fldChar w:fldCharType="begin"/>
      </w:r>
      <w:r>
        <w:instrText xml:space="preserve"> PAGEREF _Toc32412307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 matters affecting performance of</w:t>
      </w:r>
      <w:r>
        <w:tab/>
      </w:r>
      <w:r>
        <w:fldChar w:fldCharType="begin"/>
      </w:r>
      <w:r>
        <w:instrText xml:space="preserve"> PAGEREF _Toc32412308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Delegation by Authority</w:t>
      </w:r>
      <w:r>
        <w:tab/>
      </w:r>
      <w:r>
        <w:fldChar w:fldCharType="begin"/>
      </w:r>
      <w:r>
        <w:instrText xml:space="preserve"> PAGEREF _Toc32412309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Minister may give directions to Authority</w:t>
      </w:r>
      <w:r>
        <w:tab/>
      </w:r>
      <w:r>
        <w:fldChar w:fldCharType="begin"/>
      </w:r>
      <w:r>
        <w:instrText xml:space="preserve"> PAGEREF _Toc32412310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to have access to information</w:t>
      </w:r>
      <w:r>
        <w:tab/>
      </w:r>
      <w:r>
        <w:fldChar w:fldCharType="begin"/>
      </w:r>
      <w:r>
        <w:instrText xml:space="preserve"> PAGEREF _Toc32412311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Student records</w:t>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_Toc32412313 \h </w:instrText>
      </w:r>
      <w:r>
        <w:fldChar w:fldCharType="separate"/>
      </w:r>
      <w:r>
        <w:t>23</w:t>
      </w:r>
      <w:r>
        <w:fldChar w:fldCharType="end"/>
      </w:r>
    </w:p>
    <w:p>
      <w:pPr>
        <w:pStyle w:val="TOC8"/>
        <w:rPr>
          <w:rFonts w:asciiTheme="minorHAnsi" w:eastAsiaTheme="minorEastAsia" w:hAnsiTheme="minorHAnsi" w:cstheme="minorBidi"/>
          <w:szCs w:val="22"/>
        </w:rPr>
      </w:pPr>
      <w:r>
        <w:t>19B.</w:t>
      </w:r>
      <w:r>
        <w:tab/>
        <w:t>Application of this Part to overseas students</w:t>
      </w:r>
      <w:r>
        <w:tab/>
      </w:r>
      <w:r>
        <w:fldChar w:fldCharType="begin"/>
      </w:r>
      <w:r>
        <w:instrText xml:space="preserve"> PAGEREF _Toc32412314 \h </w:instrText>
      </w:r>
      <w:r>
        <w:fldChar w:fldCharType="separate"/>
      </w:r>
      <w:r>
        <w:t>25</w:t>
      </w:r>
      <w:r>
        <w:fldChar w:fldCharType="end"/>
      </w:r>
    </w:p>
    <w:p>
      <w:pPr>
        <w:pStyle w:val="TOC8"/>
        <w:rPr>
          <w:rFonts w:asciiTheme="minorHAnsi" w:eastAsiaTheme="minorEastAsia" w:hAnsiTheme="minorHAnsi" w:cstheme="minorBidi"/>
          <w:szCs w:val="22"/>
        </w:rPr>
      </w:pPr>
      <w:r>
        <w:t>19C.</w:t>
      </w:r>
      <w:r>
        <w:tab/>
        <w:t>When student record to be opened</w:t>
      </w:r>
      <w:r>
        <w:tab/>
      </w:r>
      <w:r>
        <w:fldChar w:fldCharType="begin"/>
      </w:r>
      <w:r>
        <w:instrText xml:space="preserve"> PAGEREF _Toc32412315 \h </w:instrText>
      </w:r>
      <w:r>
        <w:fldChar w:fldCharType="separate"/>
      </w:r>
      <w:r>
        <w:t>25</w:t>
      </w:r>
      <w:r>
        <w:fldChar w:fldCharType="end"/>
      </w:r>
    </w:p>
    <w:p>
      <w:pPr>
        <w:pStyle w:val="TOC8"/>
        <w:rPr>
          <w:rFonts w:asciiTheme="minorHAnsi" w:eastAsiaTheme="minorEastAsia" w:hAnsiTheme="minorHAnsi" w:cstheme="minorBidi"/>
          <w:szCs w:val="22"/>
        </w:rPr>
      </w:pPr>
      <w:r>
        <w:t>19D.</w:t>
      </w:r>
      <w:r>
        <w:tab/>
        <w:t>Provider may be directed to open student record</w:t>
      </w:r>
      <w:r>
        <w:tab/>
      </w:r>
      <w:r>
        <w:fldChar w:fldCharType="begin"/>
      </w:r>
      <w:r>
        <w:instrText xml:space="preserve"> PAGEREF _Toc32412316 \h </w:instrText>
      </w:r>
      <w:r>
        <w:fldChar w:fldCharType="separate"/>
      </w:r>
      <w:r>
        <w:t>26</w:t>
      </w:r>
      <w:r>
        <w:fldChar w:fldCharType="end"/>
      </w:r>
    </w:p>
    <w:p>
      <w:pPr>
        <w:pStyle w:val="TOC8"/>
        <w:rPr>
          <w:rFonts w:asciiTheme="minorHAnsi" w:eastAsiaTheme="minorEastAsia" w:hAnsiTheme="minorHAnsi" w:cstheme="minorBidi"/>
          <w:szCs w:val="22"/>
        </w:rPr>
      </w:pPr>
      <w:r>
        <w:t>19E.</w:t>
      </w:r>
      <w:r>
        <w:tab/>
        <w:t>How student record is opened</w:t>
      </w:r>
      <w:r>
        <w:tab/>
      </w:r>
      <w:r>
        <w:fldChar w:fldCharType="begin"/>
      </w:r>
      <w:r>
        <w:instrText xml:space="preserve"> PAGEREF _Toc32412317 \h </w:instrText>
      </w:r>
      <w:r>
        <w:fldChar w:fldCharType="separate"/>
      </w:r>
      <w:r>
        <w:t>27</w:t>
      </w:r>
      <w:r>
        <w:fldChar w:fldCharType="end"/>
      </w:r>
    </w:p>
    <w:p>
      <w:pPr>
        <w:pStyle w:val="TOC8"/>
        <w:rPr>
          <w:rFonts w:asciiTheme="minorHAnsi" w:eastAsiaTheme="minorEastAsia" w:hAnsiTheme="minorHAnsi" w:cstheme="minorBidi"/>
          <w:szCs w:val="22"/>
        </w:rPr>
      </w:pPr>
      <w:r>
        <w:t>19F.</w:t>
      </w:r>
      <w:r>
        <w:tab/>
        <w:t>Change of student’s provider, employer etc., provider to inform Authority of</w:t>
      </w:r>
      <w:r>
        <w:tab/>
      </w:r>
      <w:r>
        <w:fldChar w:fldCharType="begin"/>
      </w:r>
      <w:r>
        <w:instrText xml:space="preserve"> PAGEREF _Toc32412318 \h </w:instrText>
      </w:r>
      <w:r>
        <w:fldChar w:fldCharType="separate"/>
      </w:r>
      <w:r>
        <w:t>27</w:t>
      </w:r>
      <w:r>
        <w:fldChar w:fldCharType="end"/>
      </w:r>
    </w:p>
    <w:p>
      <w:pPr>
        <w:pStyle w:val="TOC8"/>
        <w:rPr>
          <w:rFonts w:asciiTheme="minorHAnsi" w:eastAsiaTheme="minorEastAsia" w:hAnsiTheme="minorHAnsi" w:cstheme="minorBidi"/>
          <w:szCs w:val="22"/>
        </w:rPr>
      </w:pPr>
      <w:r>
        <w:t>19G.</w:t>
      </w:r>
      <w:r>
        <w:tab/>
        <w:t>Student’s results etc., provider to inform Authority of</w:t>
      </w:r>
      <w:r>
        <w:tab/>
      </w:r>
      <w:r>
        <w:fldChar w:fldCharType="begin"/>
      </w:r>
      <w:r>
        <w:instrText xml:space="preserve"> PAGEREF _Toc32412319 \h </w:instrText>
      </w:r>
      <w:r>
        <w:fldChar w:fldCharType="separate"/>
      </w:r>
      <w:r>
        <w:t>28</w:t>
      </w:r>
      <w:r>
        <w:fldChar w:fldCharType="end"/>
      </w:r>
    </w:p>
    <w:p>
      <w:pPr>
        <w:pStyle w:val="TOC8"/>
        <w:rPr>
          <w:rFonts w:asciiTheme="minorHAnsi" w:eastAsiaTheme="minorEastAsia" w:hAnsiTheme="minorHAnsi" w:cstheme="minorBidi"/>
          <w:szCs w:val="22"/>
        </w:rPr>
      </w:pPr>
      <w:r>
        <w:t>19H.</w:t>
      </w:r>
      <w:r>
        <w:tab/>
        <w:t>Informing Authority, general provisions about</w:t>
      </w:r>
      <w:r>
        <w:tab/>
      </w:r>
      <w:r>
        <w:fldChar w:fldCharType="begin"/>
      </w:r>
      <w:r>
        <w:instrText xml:space="preserve"> PAGEREF _Toc32412320 \h </w:instrText>
      </w:r>
      <w:r>
        <w:fldChar w:fldCharType="separate"/>
      </w:r>
      <w:r>
        <w:t>29</w:t>
      </w:r>
      <w:r>
        <w:fldChar w:fldCharType="end"/>
      </w:r>
    </w:p>
    <w:p>
      <w:pPr>
        <w:pStyle w:val="TOC8"/>
        <w:rPr>
          <w:rFonts w:asciiTheme="minorHAnsi" w:eastAsiaTheme="minorEastAsia" w:hAnsiTheme="minorHAnsi" w:cstheme="minorBidi"/>
          <w:szCs w:val="22"/>
        </w:rPr>
      </w:pPr>
      <w:r>
        <w:t>19I.</w:t>
      </w:r>
      <w:r>
        <w:tab/>
        <w:t>Database of student records etc., Authority to maintain; use of database</w:t>
      </w:r>
      <w:r>
        <w:tab/>
      </w:r>
      <w:r>
        <w:fldChar w:fldCharType="begin"/>
      </w:r>
      <w:r>
        <w:instrText xml:space="preserve"> PAGEREF _Toc32412321 \h </w:instrText>
      </w:r>
      <w:r>
        <w:fldChar w:fldCharType="separate"/>
      </w:r>
      <w:r>
        <w:t>29</w:t>
      </w:r>
      <w:r>
        <w:fldChar w:fldCharType="end"/>
      </w:r>
    </w:p>
    <w:p>
      <w:pPr>
        <w:pStyle w:val="TOC8"/>
        <w:rPr>
          <w:rFonts w:asciiTheme="minorHAnsi" w:eastAsiaTheme="minorEastAsia" w:hAnsiTheme="minorHAnsi" w:cstheme="minorBidi"/>
          <w:szCs w:val="22"/>
        </w:rPr>
      </w:pPr>
      <w:r>
        <w:t>19J.</w:t>
      </w:r>
      <w:r>
        <w:tab/>
      </w:r>
      <w:r>
        <w:rPr>
          <w:bCs/>
        </w:rPr>
        <w:t>Student etc. entitled to student record</w:t>
      </w:r>
      <w:r>
        <w:tab/>
      </w:r>
      <w:r>
        <w:fldChar w:fldCharType="begin"/>
      </w:r>
      <w:r>
        <w:instrText xml:space="preserve"> PAGEREF _Toc32412322 \h </w:instrText>
      </w:r>
      <w:r>
        <w:fldChar w:fldCharType="separate"/>
      </w:r>
      <w:r>
        <w:t>30</w:t>
      </w:r>
      <w:r>
        <w:fldChar w:fldCharType="end"/>
      </w:r>
    </w:p>
    <w:p>
      <w:pPr>
        <w:pStyle w:val="TOC8"/>
        <w:rPr>
          <w:rFonts w:asciiTheme="minorHAnsi" w:eastAsiaTheme="minorEastAsia" w:hAnsiTheme="minorHAnsi" w:cstheme="minorBidi"/>
          <w:szCs w:val="22"/>
        </w:rPr>
      </w:pPr>
      <w:r>
        <w:t>19K.</w:t>
      </w:r>
      <w:r>
        <w:tab/>
        <w:t>Authority may disclose information to provider for checking purposes</w:t>
      </w:r>
      <w:r>
        <w:tab/>
      </w:r>
      <w:r>
        <w:fldChar w:fldCharType="begin"/>
      </w:r>
      <w:r>
        <w:instrText xml:space="preserve"> PAGEREF _Toc32412323 \h </w:instrText>
      </w:r>
      <w:r>
        <w:fldChar w:fldCharType="separate"/>
      </w:r>
      <w:r>
        <w:t>31</w:t>
      </w:r>
      <w:r>
        <w:fldChar w:fldCharType="end"/>
      </w:r>
    </w:p>
    <w:p>
      <w:pPr>
        <w:pStyle w:val="TOC8"/>
        <w:rPr>
          <w:rFonts w:asciiTheme="minorHAnsi" w:eastAsiaTheme="minorEastAsia" w:hAnsiTheme="minorHAnsi" w:cstheme="minorBidi"/>
          <w:szCs w:val="22"/>
        </w:rPr>
      </w:pPr>
      <w:r>
        <w:t>19L.</w:t>
      </w:r>
      <w:r>
        <w:tab/>
        <w:t>Authority, on request, to give Minister information in aggregated form</w:t>
      </w:r>
      <w:r>
        <w:tab/>
      </w:r>
      <w:r>
        <w:fldChar w:fldCharType="begin"/>
      </w:r>
      <w:r>
        <w:instrText xml:space="preserve"> PAGEREF _Toc32412324 \h </w:instrText>
      </w:r>
      <w:r>
        <w:fldChar w:fldCharType="separate"/>
      </w:r>
      <w:r>
        <w:t>31</w:t>
      </w:r>
      <w:r>
        <w:fldChar w:fldCharType="end"/>
      </w:r>
    </w:p>
    <w:p>
      <w:pPr>
        <w:pStyle w:val="TOC8"/>
        <w:rPr>
          <w:rFonts w:asciiTheme="minorHAnsi" w:eastAsiaTheme="minorEastAsia" w:hAnsiTheme="minorHAnsi" w:cstheme="minorBidi"/>
          <w:szCs w:val="22"/>
        </w:rPr>
      </w:pPr>
      <w:r>
        <w:t>19M.</w:t>
      </w:r>
      <w:r>
        <w:tab/>
        <w:t>Authority, on request, to give Minister information to assist in enforcing School Education Act</w:t>
      </w:r>
      <w:r>
        <w:tab/>
      </w:r>
      <w:r>
        <w:fldChar w:fldCharType="begin"/>
      </w:r>
      <w:r>
        <w:instrText xml:space="preserve"> PAGEREF _Toc32412325 \h </w:instrText>
      </w:r>
      <w:r>
        <w:fldChar w:fldCharType="separate"/>
      </w:r>
      <w:r>
        <w:t>31</w:t>
      </w:r>
      <w:r>
        <w:fldChar w:fldCharType="end"/>
      </w:r>
    </w:p>
    <w:p>
      <w:pPr>
        <w:pStyle w:val="TOC8"/>
        <w:rPr>
          <w:rFonts w:asciiTheme="minorHAnsi" w:eastAsiaTheme="minorEastAsia" w:hAnsiTheme="minorHAnsi" w:cstheme="minorBidi"/>
          <w:szCs w:val="22"/>
        </w:rPr>
      </w:pPr>
      <w:r>
        <w:t>19N.</w:t>
      </w:r>
      <w:r>
        <w:tab/>
        <w:t>Disclosure by Minister of information given under s. 19M</w:t>
      </w:r>
      <w:r>
        <w:tab/>
      </w:r>
      <w:r>
        <w:fldChar w:fldCharType="begin"/>
      </w:r>
      <w:r>
        <w:instrText xml:space="preserve"> PAGEREF _Toc32412326 \h </w:instrText>
      </w:r>
      <w:r>
        <w:fldChar w:fldCharType="separate"/>
      </w:r>
      <w:r>
        <w:t>33</w:t>
      </w:r>
      <w:r>
        <w:fldChar w:fldCharType="end"/>
      </w:r>
    </w:p>
    <w:p>
      <w:pPr>
        <w:pStyle w:val="TOC8"/>
        <w:rPr>
          <w:rFonts w:asciiTheme="minorHAnsi" w:eastAsiaTheme="minorEastAsia" w:hAnsiTheme="minorHAnsi" w:cstheme="minorBidi"/>
          <w:szCs w:val="22"/>
        </w:rPr>
      </w:pPr>
      <w:r>
        <w:t>19O.</w:t>
      </w:r>
      <w:r>
        <w:tab/>
        <w:t>Delegation by Minister etc. of s. 19L, 19M and 19N functions</w:t>
      </w:r>
      <w:r>
        <w:tab/>
      </w:r>
      <w:r>
        <w:fldChar w:fldCharType="begin"/>
      </w:r>
      <w:r>
        <w:instrText xml:space="preserve"> PAGEREF _Toc32412327 \h </w:instrText>
      </w:r>
      <w:r>
        <w:fldChar w:fldCharType="separate"/>
      </w:r>
      <w:r>
        <w:t>33</w:t>
      </w:r>
      <w:r>
        <w:fldChar w:fldCharType="end"/>
      </w:r>
    </w:p>
    <w:p>
      <w:pPr>
        <w:pStyle w:val="TOC8"/>
        <w:rPr>
          <w:rFonts w:asciiTheme="minorHAnsi" w:eastAsiaTheme="minorEastAsia" w:hAnsiTheme="minorHAnsi" w:cstheme="minorBidi"/>
          <w:szCs w:val="22"/>
        </w:rPr>
      </w:pPr>
      <w:r>
        <w:t>19P.</w:t>
      </w:r>
      <w:r>
        <w:tab/>
        <w:t>Authority to give certain entities certain information in aggregated form</w:t>
      </w:r>
      <w:r>
        <w:tab/>
      </w:r>
      <w:r>
        <w:fldChar w:fldCharType="begin"/>
      </w:r>
      <w:r>
        <w:instrText xml:space="preserve"> PAGEREF _Toc32412328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20</w:t>
      </w:r>
      <w:r>
        <w:rPr>
          <w:snapToGrid w:val="0"/>
        </w:rPr>
        <w:t>.</w:t>
      </w:r>
      <w:r>
        <w:rPr>
          <w:snapToGrid w:val="0"/>
        </w:rPr>
        <w:tab/>
        <w:t>Chief executive officer</w:t>
      </w:r>
      <w:r>
        <w:tab/>
      </w:r>
      <w:r>
        <w:fldChar w:fldCharType="begin"/>
      </w:r>
      <w:r>
        <w:instrText xml:space="preserve"> PAGEREF _Toc32412330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Other staff</w:t>
      </w:r>
      <w:r>
        <w:tab/>
      </w:r>
      <w:r>
        <w:fldChar w:fldCharType="begin"/>
      </w:r>
      <w:r>
        <w:instrText xml:space="preserve"> PAGEREF _Toc32412331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Use of other government staff etc.</w:t>
      </w:r>
      <w:r>
        <w:tab/>
      </w:r>
      <w:r>
        <w:fldChar w:fldCharType="begin"/>
      </w:r>
      <w:r>
        <w:instrText xml:space="preserve"> PAGEREF _Toc32412332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8"/>
        <w:rPr>
          <w:rFonts w:asciiTheme="minorHAnsi" w:eastAsiaTheme="minorEastAsia" w:hAnsiTheme="minorHAnsi" w:cstheme="minorBidi"/>
          <w:szCs w:val="22"/>
        </w:rPr>
      </w:pPr>
      <w:r>
        <w:t>23</w:t>
      </w:r>
      <w:r>
        <w:rPr>
          <w:snapToGrid w:val="0"/>
        </w:rPr>
        <w:t>.</w:t>
      </w:r>
      <w:r>
        <w:rPr>
          <w:snapToGrid w:val="0"/>
        </w:rPr>
        <w:tab/>
      </w:r>
      <w:r>
        <w:t>Funds of Authority</w:t>
      </w:r>
      <w:r>
        <w:tab/>
      </w:r>
      <w:r>
        <w:fldChar w:fldCharType="begin"/>
      </w:r>
      <w:r>
        <w:instrText xml:space="preserve"> PAGEREF _Toc32412334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r>
      <w:r>
        <w:rPr>
          <w:bCs/>
        </w:rPr>
        <w:t>School Curriculum and Standards Authority Account</w:t>
      </w:r>
      <w:r>
        <w:tab/>
      </w:r>
      <w:r>
        <w:fldChar w:fldCharType="begin"/>
      </w:r>
      <w:r>
        <w:instrText xml:space="preserve"> PAGEREF _Toc32412335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bCs/>
        </w:rPr>
        <w:t>Borrowing by Authority</w:t>
      </w:r>
      <w:r>
        <w:tab/>
      </w:r>
      <w:r>
        <w:fldChar w:fldCharType="begin"/>
      </w:r>
      <w:r>
        <w:instrText xml:space="preserve"> PAGEREF _Toc32412336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_Toc32412337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30</w:t>
      </w:r>
      <w:r>
        <w:rPr>
          <w:snapToGrid w:val="0"/>
        </w:rPr>
        <w:t>.</w:t>
      </w:r>
      <w:r>
        <w:rPr>
          <w:snapToGrid w:val="0"/>
        </w:rPr>
        <w:tab/>
        <w:t>Protection from personal liability</w:t>
      </w:r>
      <w:r>
        <w:tab/>
      </w:r>
      <w:r>
        <w:fldChar w:fldCharType="begin"/>
      </w:r>
      <w:r>
        <w:instrText xml:space="preserve"> PAGEREF _Toc32412339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Execution of documents by Authority</w:t>
      </w:r>
      <w:r>
        <w:tab/>
      </w:r>
      <w:r>
        <w:fldChar w:fldCharType="begin"/>
      </w:r>
      <w:r>
        <w:instrText xml:space="preserve"> PAGEREF _Toc32412340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Information obtained by Board etc., disclosure and use etc. of restricted</w:t>
      </w:r>
      <w:r>
        <w:tab/>
      </w:r>
      <w:r>
        <w:fldChar w:fldCharType="begin"/>
      </w:r>
      <w:r>
        <w:instrText xml:space="preserve"> PAGEREF _Toc32412341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_Toc32412342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Act</w:t>
      </w:r>
      <w:r>
        <w:tab/>
      </w:r>
      <w:r>
        <w:fldChar w:fldCharType="begin"/>
      </w:r>
      <w:r>
        <w:instrText xml:space="preserve"> PAGEREF _Toc32412343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_Toc32412345 \h </w:instrText>
      </w:r>
      <w:r>
        <w:fldChar w:fldCharType="separate"/>
      </w:r>
      <w:r>
        <w:t>45</w:t>
      </w:r>
      <w:r>
        <w:fldChar w:fldCharType="end"/>
      </w:r>
    </w:p>
    <w:p>
      <w:pPr>
        <w:pStyle w:val="TOC8"/>
        <w:rPr>
          <w:rFonts w:asciiTheme="minorHAnsi" w:eastAsiaTheme="minorEastAsia" w:hAnsiTheme="minorHAnsi" w:cstheme="minorBidi"/>
          <w:szCs w:val="22"/>
        </w:rPr>
      </w:pPr>
      <w:r>
        <w:t>38.</w:t>
      </w:r>
      <w:r>
        <w:tab/>
        <w:t>Curriculum Council abolished on 1 Mar 2012</w:t>
      </w:r>
      <w:r>
        <w:tab/>
      </w:r>
      <w:r>
        <w:fldChar w:fldCharType="begin"/>
      </w:r>
      <w:r>
        <w:instrText xml:space="preserve"> PAGEREF _Toc32412346 \h </w:instrText>
      </w:r>
      <w:r>
        <w:fldChar w:fldCharType="separate"/>
      </w:r>
      <w:r>
        <w:t>45</w:t>
      </w:r>
      <w:r>
        <w:fldChar w:fldCharType="end"/>
      </w:r>
    </w:p>
    <w:p>
      <w:pPr>
        <w:pStyle w:val="TOC8"/>
        <w:rPr>
          <w:rFonts w:asciiTheme="minorHAnsi" w:eastAsiaTheme="minorEastAsia" w:hAnsiTheme="minorHAnsi" w:cstheme="minorBidi"/>
          <w:szCs w:val="22"/>
        </w:rPr>
      </w:pPr>
      <w:r>
        <w:t>39.</w:t>
      </w:r>
      <w:r>
        <w:tab/>
        <w:t>Devolution of Council’s assets, liabilities etc.</w:t>
      </w:r>
      <w:r>
        <w:tab/>
      </w:r>
      <w:r>
        <w:fldChar w:fldCharType="begin"/>
      </w:r>
      <w:r>
        <w:instrText xml:space="preserve"> PAGEREF _Toc32412347 \h </w:instrText>
      </w:r>
      <w:r>
        <w:fldChar w:fldCharType="separate"/>
      </w:r>
      <w:r>
        <w:t>46</w:t>
      </w:r>
      <w:r>
        <w:fldChar w:fldCharType="end"/>
      </w:r>
    </w:p>
    <w:p>
      <w:pPr>
        <w:pStyle w:val="TOC8"/>
        <w:rPr>
          <w:rFonts w:asciiTheme="minorHAnsi" w:eastAsiaTheme="minorEastAsia" w:hAnsiTheme="minorHAnsi" w:cstheme="minorBidi"/>
          <w:szCs w:val="22"/>
        </w:rPr>
      </w:pPr>
      <w:r>
        <w:t>40.</w:t>
      </w:r>
      <w:r>
        <w:tab/>
        <w:t>Chief executive officer of Council continues in office</w:t>
      </w:r>
      <w:r>
        <w:tab/>
      </w:r>
      <w:r>
        <w:fldChar w:fldCharType="begin"/>
      </w:r>
      <w:r>
        <w:instrText xml:space="preserve"> PAGEREF _Toc32412348 \h </w:instrText>
      </w:r>
      <w:r>
        <w:fldChar w:fldCharType="separate"/>
      </w:r>
      <w:r>
        <w:t>46</w:t>
      </w:r>
      <w:r>
        <w:fldChar w:fldCharType="end"/>
      </w:r>
    </w:p>
    <w:p>
      <w:pPr>
        <w:pStyle w:val="TOC8"/>
        <w:rPr>
          <w:rFonts w:asciiTheme="minorHAnsi" w:eastAsiaTheme="minorEastAsia" w:hAnsiTheme="minorHAnsi" w:cstheme="minorBidi"/>
          <w:szCs w:val="22"/>
        </w:rPr>
      </w:pPr>
      <w:r>
        <w:t>41.</w:t>
      </w:r>
      <w:r>
        <w:tab/>
        <w:t>Transfer of members of staff to Authority</w:t>
      </w:r>
      <w:r>
        <w:tab/>
      </w:r>
      <w:r>
        <w:fldChar w:fldCharType="begin"/>
      </w:r>
      <w:r>
        <w:instrText xml:space="preserve"> PAGEREF _Toc32412349 \h </w:instrText>
      </w:r>
      <w:r>
        <w:fldChar w:fldCharType="separate"/>
      </w:r>
      <w:r>
        <w:t>46</w:t>
      </w:r>
      <w:r>
        <w:fldChar w:fldCharType="end"/>
      </w:r>
    </w:p>
    <w:p>
      <w:pPr>
        <w:pStyle w:val="TOC8"/>
        <w:rPr>
          <w:rFonts w:asciiTheme="minorHAnsi" w:eastAsiaTheme="minorEastAsia" w:hAnsiTheme="minorHAnsi" w:cstheme="minorBidi"/>
          <w:szCs w:val="22"/>
        </w:rPr>
      </w:pPr>
      <w:r>
        <w:t>42.</w:t>
      </w:r>
      <w:r>
        <w:tab/>
        <w:t>Employees’ rights preserved</w:t>
      </w:r>
      <w:r>
        <w:tab/>
      </w:r>
      <w:r>
        <w:fldChar w:fldCharType="begin"/>
      </w:r>
      <w:r>
        <w:instrText xml:space="preserve"> PAGEREF _Toc32412350 \h </w:instrText>
      </w:r>
      <w:r>
        <w:fldChar w:fldCharType="separate"/>
      </w:r>
      <w:r>
        <w:t>47</w:t>
      </w:r>
      <w:r>
        <w:fldChar w:fldCharType="end"/>
      </w:r>
    </w:p>
    <w:p>
      <w:pPr>
        <w:pStyle w:val="TOC8"/>
        <w:rPr>
          <w:rFonts w:asciiTheme="minorHAnsi" w:eastAsiaTheme="minorEastAsia" w:hAnsiTheme="minorHAnsi" w:cstheme="minorBidi"/>
          <w:szCs w:val="22"/>
        </w:rPr>
      </w:pPr>
      <w:r>
        <w:t>43.</w:t>
      </w:r>
      <w:r>
        <w:tab/>
        <w:t>Curriculum Council Account</w:t>
      </w:r>
      <w:r>
        <w:tab/>
      </w:r>
      <w:r>
        <w:fldChar w:fldCharType="begin"/>
      </w:r>
      <w:r>
        <w:instrText xml:space="preserve"> PAGEREF _Toc32412351 \h </w:instrText>
      </w:r>
      <w:r>
        <w:fldChar w:fldCharType="separate"/>
      </w:r>
      <w:r>
        <w:t>47</w:t>
      </w:r>
      <w:r>
        <w:fldChar w:fldCharType="end"/>
      </w:r>
    </w:p>
    <w:p>
      <w:pPr>
        <w:pStyle w:val="TOC8"/>
        <w:rPr>
          <w:rFonts w:asciiTheme="minorHAnsi" w:eastAsiaTheme="minorEastAsia" w:hAnsiTheme="minorHAnsi" w:cstheme="minorBidi"/>
          <w:szCs w:val="22"/>
        </w:rPr>
      </w:pPr>
      <w:r>
        <w:t>44.</w:t>
      </w:r>
      <w:r>
        <w:tab/>
        <w:t>Completion of things commenced</w:t>
      </w:r>
      <w:r>
        <w:tab/>
      </w:r>
      <w:r>
        <w:fldChar w:fldCharType="begin"/>
      </w:r>
      <w:r>
        <w:instrText xml:space="preserve"> PAGEREF _Toc32412352 \h </w:instrText>
      </w:r>
      <w:r>
        <w:fldChar w:fldCharType="separate"/>
      </w:r>
      <w:r>
        <w:t>48</w:t>
      </w:r>
      <w:r>
        <w:fldChar w:fldCharType="end"/>
      </w:r>
    </w:p>
    <w:p>
      <w:pPr>
        <w:pStyle w:val="TOC8"/>
        <w:rPr>
          <w:rFonts w:asciiTheme="minorHAnsi" w:eastAsiaTheme="minorEastAsia" w:hAnsiTheme="minorHAnsi" w:cstheme="minorBidi"/>
          <w:szCs w:val="22"/>
        </w:rPr>
      </w:pPr>
      <w:r>
        <w:t>45.</w:t>
      </w:r>
      <w:r>
        <w:tab/>
        <w:t>Continuing effect of things done</w:t>
      </w:r>
      <w:r>
        <w:tab/>
      </w:r>
      <w:r>
        <w:fldChar w:fldCharType="begin"/>
      </w:r>
      <w:r>
        <w:instrText xml:space="preserve"> PAGEREF _Toc32412353 \h </w:instrText>
      </w:r>
      <w:r>
        <w:fldChar w:fldCharType="separate"/>
      </w:r>
      <w:r>
        <w:t>48</w:t>
      </w:r>
      <w:r>
        <w:fldChar w:fldCharType="end"/>
      </w:r>
    </w:p>
    <w:p>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_Toc32412354 \h </w:instrText>
      </w:r>
      <w:r>
        <w:fldChar w:fldCharType="separate"/>
      </w:r>
      <w:r>
        <w:t>48</w:t>
      </w:r>
      <w:r>
        <w:fldChar w:fldCharType="end"/>
      </w:r>
    </w:p>
    <w:p>
      <w:pPr>
        <w:pStyle w:val="TOC8"/>
        <w:rPr>
          <w:rFonts w:asciiTheme="minorHAnsi" w:eastAsiaTheme="minorEastAsia" w:hAnsiTheme="minorHAnsi" w:cstheme="minorBidi"/>
          <w:szCs w:val="22"/>
        </w:rPr>
      </w:pPr>
      <w:r>
        <w:t>47.</w:t>
      </w:r>
      <w:r>
        <w:tab/>
        <w:t>Agreements and instruments generally</w:t>
      </w:r>
      <w:r>
        <w:tab/>
      </w:r>
      <w:r>
        <w:fldChar w:fldCharType="begin"/>
      </w:r>
      <w:r>
        <w:instrText xml:space="preserve"> PAGEREF _Toc32412355 \h </w:instrText>
      </w:r>
      <w:r>
        <w:fldChar w:fldCharType="separate"/>
      </w:r>
      <w:r>
        <w:t>49</w:t>
      </w:r>
      <w:r>
        <w:fldChar w:fldCharType="end"/>
      </w:r>
    </w:p>
    <w:p>
      <w:pPr>
        <w:pStyle w:val="TOC8"/>
        <w:rPr>
          <w:rFonts w:asciiTheme="minorHAnsi" w:eastAsiaTheme="minorEastAsia" w:hAnsiTheme="minorHAnsi" w:cstheme="minorBidi"/>
          <w:szCs w:val="22"/>
        </w:rPr>
      </w:pPr>
      <w:r>
        <w:t>48.</w:t>
      </w:r>
      <w:r>
        <w:tab/>
        <w:t>Immunity continues</w:t>
      </w:r>
      <w:r>
        <w:tab/>
      </w:r>
      <w:r>
        <w:fldChar w:fldCharType="begin"/>
      </w:r>
      <w:r>
        <w:instrText xml:space="preserve"> PAGEREF _Toc32412356 \h </w:instrText>
      </w:r>
      <w:r>
        <w:fldChar w:fldCharType="separate"/>
      </w:r>
      <w:r>
        <w:t>49</w:t>
      </w:r>
      <w:r>
        <w:fldChar w:fldCharType="end"/>
      </w:r>
    </w:p>
    <w:p>
      <w:pPr>
        <w:pStyle w:val="TOC8"/>
        <w:rPr>
          <w:rFonts w:asciiTheme="minorHAnsi" w:eastAsiaTheme="minorEastAsia" w:hAnsiTheme="minorHAnsi" w:cstheme="minorBidi"/>
          <w:szCs w:val="22"/>
        </w:rPr>
      </w:pPr>
      <w:r>
        <w:t>49.</w:t>
      </w:r>
      <w:r>
        <w:tab/>
        <w:t>Duty of confidentiality continues to apply to members of the Council</w:t>
      </w:r>
      <w:r>
        <w:tab/>
      </w:r>
      <w:r>
        <w:fldChar w:fldCharType="begin"/>
      </w:r>
      <w:r>
        <w:instrText xml:space="preserve"> PAGEREF _Toc32412357 \h </w:instrText>
      </w:r>
      <w:r>
        <w:fldChar w:fldCharType="separate"/>
      </w:r>
      <w:r>
        <w:t>49</w:t>
      </w:r>
      <w:r>
        <w:fldChar w:fldCharType="end"/>
      </w:r>
    </w:p>
    <w:p>
      <w:pPr>
        <w:pStyle w:val="TOC8"/>
        <w:rPr>
          <w:rFonts w:asciiTheme="minorHAnsi" w:eastAsiaTheme="minorEastAsia" w:hAnsiTheme="minorHAnsi" w:cstheme="minorBidi"/>
          <w:szCs w:val="22"/>
        </w:rPr>
      </w:pPr>
      <w:r>
        <w:t>50.</w:t>
      </w:r>
      <w:r>
        <w:tab/>
        <w:t>Registration of documents</w:t>
      </w:r>
      <w:r>
        <w:tab/>
      </w:r>
      <w:r>
        <w:fldChar w:fldCharType="begin"/>
      </w:r>
      <w:r>
        <w:instrText xml:space="preserve"> PAGEREF _Toc32412358 \h </w:instrText>
      </w:r>
      <w:r>
        <w:fldChar w:fldCharType="separate"/>
      </w:r>
      <w:r>
        <w:t>49</w:t>
      </w:r>
      <w:r>
        <w:fldChar w:fldCharType="end"/>
      </w:r>
    </w:p>
    <w:p>
      <w:pPr>
        <w:pStyle w:val="TOC8"/>
        <w:rPr>
          <w:rFonts w:asciiTheme="minorHAnsi" w:eastAsiaTheme="minorEastAsia" w:hAnsiTheme="minorHAnsi" w:cstheme="minorBidi"/>
          <w:szCs w:val="22"/>
        </w:rPr>
      </w:pPr>
      <w:r>
        <w:t>51.</w:t>
      </w:r>
      <w:r>
        <w:tab/>
        <w:t>Transitional regulations</w:t>
      </w:r>
      <w:r>
        <w:tab/>
      </w:r>
      <w:r>
        <w:fldChar w:fldCharType="begin"/>
      </w:r>
      <w:r>
        <w:instrText xml:space="preserve"> PAGEREF _Toc32412359 \h </w:instrText>
      </w:r>
      <w:r>
        <w:fldChar w:fldCharType="separate"/>
      </w:r>
      <w:r>
        <w:t>50</w:t>
      </w:r>
      <w:r>
        <w:fldChar w:fldCharType="end"/>
      </w:r>
    </w:p>
    <w:p>
      <w:pPr>
        <w:pStyle w:val="TOC8"/>
        <w:rPr>
          <w:rFonts w:asciiTheme="minorHAnsi" w:eastAsiaTheme="minorEastAsia" w:hAnsiTheme="minorHAnsi" w:cstheme="minorBidi"/>
          <w:szCs w:val="22"/>
        </w:rPr>
      </w:pPr>
      <w:r>
        <w:t>52.</w:t>
      </w:r>
      <w:r>
        <w:tab/>
        <w:t>Saving</w:t>
      </w:r>
      <w:r>
        <w:tab/>
      </w:r>
      <w:r>
        <w:fldChar w:fldCharType="begin"/>
      </w:r>
      <w:r>
        <w:instrText xml:space="preserve"> PAGEREF _Toc32412360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Board</w:t>
      </w:r>
    </w:p>
    <w:p>
      <w:pPr>
        <w:pStyle w:val="TOC4"/>
        <w:tabs>
          <w:tab w:val="right" w:leader="dot" w:pos="7077"/>
        </w:tabs>
        <w:rPr>
          <w:rFonts w:asciiTheme="minorHAnsi" w:eastAsiaTheme="minorEastAsia" w:hAnsiTheme="minorHAnsi" w:cstheme="minorBidi"/>
          <w:b w:val="0"/>
          <w:szCs w:val="22"/>
        </w:rPr>
      </w:pPr>
      <w:r>
        <w:t>Division 1 — Provisions as to constitution and proceedings of the Board</w:t>
      </w:r>
    </w:p>
    <w:p>
      <w:pPr>
        <w:pStyle w:val="TOC8"/>
        <w:rPr>
          <w:rFonts w:asciiTheme="minorHAnsi" w:eastAsiaTheme="minorEastAsia" w:hAnsiTheme="minorHAnsi" w:cstheme="minorBidi"/>
          <w:szCs w:val="22"/>
        </w:rPr>
      </w:pPr>
      <w:r>
        <w:t>1.</w:t>
      </w:r>
      <w:r>
        <w:tab/>
        <w:t>Term of office of members</w:t>
      </w:r>
      <w:r>
        <w:tab/>
      </w:r>
      <w:r>
        <w:fldChar w:fldCharType="begin"/>
      </w:r>
      <w:r>
        <w:instrText xml:space="preserve"> PAGEREF _Toc32412363 \h </w:instrText>
      </w:r>
      <w:r>
        <w:fldChar w:fldCharType="separate"/>
      </w:r>
      <w:r>
        <w:t>52</w:t>
      </w:r>
      <w:r>
        <w:fldChar w:fldCharType="end"/>
      </w:r>
    </w:p>
    <w:p>
      <w:pPr>
        <w:pStyle w:val="TOC8"/>
        <w:rPr>
          <w:rFonts w:asciiTheme="minorHAnsi" w:eastAsiaTheme="minorEastAsia" w:hAnsiTheme="minorHAnsi" w:cstheme="minorBidi"/>
          <w:szCs w:val="22"/>
        </w:rPr>
      </w:pPr>
      <w:r>
        <w:t>2.</w:t>
      </w:r>
      <w:r>
        <w:tab/>
        <w:t>Resignation, removal etc. of members</w:t>
      </w:r>
      <w:r>
        <w:tab/>
      </w:r>
      <w:r>
        <w:fldChar w:fldCharType="begin"/>
      </w:r>
      <w:r>
        <w:instrText xml:space="preserve"> PAGEREF _Toc32412364 \h </w:instrText>
      </w:r>
      <w:r>
        <w:fldChar w:fldCharType="separate"/>
      </w:r>
      <w:r>
        <w:t>52</w:t>
      </w:r>
      <w:r>
        <w:fldChar w:fldCharType="end"/>
      </w:r>
    </w:p>
    <w:p>
      <w:pPr>
        <w:pStyle w:val="TOC8"/>
        <w:rPr>
          <w:rFonts w:asciiTheme="minorHAnsi" w:eastAsiaTheme="minorEastAsia" w:hAnsiTheme="minorHAnsi" w:cstheme="minorBidi"/>
          <w:szCs w:val="22"/>
        </w:rPr>
      </w:pPr>
      <w:r>
        <w:t>3.</w:t>
      </w:r>
      <w:r>
        <w:tab/>
        <w:t>Leave of absence for members</w:t>
      </w:r>
      <w:r>
        <w:tab/>
      </w:r>
      <w:r>
        <w:fldChar w:fldCharType="begin"/>
      </w:r>
      <w:r>
        <w:instrText xml:space="preserve"> PAGEREF _Toc32412365 \h </w:instrText>
      </w:r>
      <w:r>
        <w:fldChar w:fldCharType="separate"/>
      </w:r>
      <w:r>
        <w:t>53</w:t>
      </w:r>
      <w:r>
        <w:fldChar w:fldCharType="end"/>
      </w:r>
    </w:p>
    <w:p>
      <w:pPr>
        <w:pStyle w:val="TOC8"/>
        <w:rPr>
          <w:rFonts w:asciiTheme="minorHAnsi" w:eastAsiaTheme="minorEastAsia" w:hAnsiTheme="minorHAnsi" w:cstheme="minorBidi"/>
          <w:szCs w:val="22"/>
        </w:rPr>
      </w:pPr>
      <w:r>
        <w:t>4.</w:t>
      </w:r>
      <w:r>
        <w:tab/>
        <w:t>Appointed member unable to act</w:t>
      </w:r>
      <w:r>
        <w:tab/>
      </w:r>
      <w:r>
        <w:fldChar w:fldCharType="begin"/>
      </w:r>
      <w:r>
        <w:instrText xml:space="preserve"> PAGEREF _Toc32412366 \h </w:instrText>
      </w:r>
      <w:r>
        <w:fldChar w:fldCharType="separate"/>
      </w:r>
      <w:r>
        <w:t>53</w:t>
      </w:r>
      <w:r>
        <w:fldChar w:fldCharType="end"/>
      </w:r>
    </w:p>
    <w:p>
      <w:pPr>
        <w:pStyle w:val="TOC8"/>
        <w:rPr>
          <w:rFonts w:asciiTheme="minorHAnsi" w:eastAsiaTheme="minorEastAsia" w:hAnsiTheme="minorHAnsi" w:cstheme="minorBidi"/>
          <w:szCs w:val="22"/>
        </w:rPr>
      </w:pPr>
      <w:r>
        <w:t>6.</w:t>
      </w:r>
      <w:r>
        <w:tab/>
        <w:t>Saving</w:t>
      </w:r>
      <w:r>
        <w:tab/>
      </w:r>
      <w:r>
        <w:fldChar w:fldCharType="begin"/>
      </w:r>
      <w:r>
        <w:instrText xml:space="preserve"> PAGEREF _Toc32412367 \h </w:instrText>
      </w:r>
      <w:r>
        <w:fldChar w:fldCharType="separate"/>
      </w:r>
      <w:r>
        <w:t>53</w:t>
      </w:r>
      <w:r>
        <w:fldChar w:fldCharType="end"/>
      </w:r>
    </w:p>
    <w:p>
      <w:pPr>
        <w:pStyle w:val="TOC8"/>
        <w:rPr>
          <w:rFonts w:asciiTheme="minorHAnsi" w:eastAsiaTheme="minorEastAsia" w:hAnsiTheme="minorHAnsi" w:cstheme="minorBidi"/>
          <w:szCs w:val="22"/>
        </w:rPr>
      </w:pPr>
      <w:r>
        <w:t>7.</w:t>
      </w:r>
      <w:r>
        <w:tab/>
        <w:t>Meetings, convening</w:t>
      </w:r>
      <w:r>
        <w:tab/>
      </w:r>
      <w:r>
        <w:fldChar w:fldCharType="begin"/>
      </w:r>
      <w:r>
        <w:instrText xml:space="preserve"> PAGEREF _Toc32412368 \h </w:instrText>
      </w:r>
      <w:r>
        <w:fldChar w:fldCharType="separate"/>
      </w:r>
      <w:r>
        <w:t>53</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_Toc32412369 \h </w:instrText>
      </w:r>
      <w:r>
        <w:fldChar w:fldCharType="separate"/>
      </w:r>
      <w:r>
        <w:t>54</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_Toc32412370 \h </w:instrText>
      </w:r>
      <w:r>
        <w:fldChar w:fldCharType="separate"/>
      </w:r>
      <w:r>
        <w:t>54</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_Toc32412371 \h </w:instrText>
      </w:r>
      <w:r>
        <w:fldChar w:fldCharType="separate"/>
      </w:r>
      <w:r>
        <w:t>54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_Toc32412372 \h </w:instrText>
      </w:r>
      <w:r>
        <w:fldChar w:fldCharType="separate"/>
      </w:r>
      <w:r>
        <w:t>54</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_Toc32412373 \h </w:instrText>
      </w:r>
      <w:r>
        <w:fldChar w:fldCharType="separate"/>
      </w:r>
      <w:r>
        <w:t>55</w:t>
      </w:r>
      <w:r>
        <w:fldChar w:fldCharType="end"/>
      </w:r>
    </w:p>
    <w:p>
      <w:pPr>
        <w:pStyle w:val="TOC8"/>
        <w:rPr>
          <w:rFonts w:asciiTheme="minorHAnsi" w:eastAsiaTheme="minorEastAsia" w:hAnsiTheme="minorHAnsi" w:cstheme="minorBidi"/>
          <w:szCs w:val="22"/>
        </w:rPr>
      </w:pPr>
      <w:r>
        <w:t>13.</w:t>
      </w:r>
      <w:r>
        <w:tab/>
        <w:t>Telephone or video meetings</w:t>
      </w:r>
      <w:r>
        <w:tab/>
      </w:r>
      <w:r>
        <w:fldChar w:fldCharType="begin"/>
      </w:r>
      <w:r>
        <w:instrText xml:space="preserve"> PAGEREF _Toc32412374 \h </w:instrText>
      </w:r>
      <w:r>
        <w:fldChar w:fldCharType="separate"/>
      </w:r>
      <w:r>
        <w:t>55</w:t>
      </w:r>
      <w:r>
        <w:fldChar w:fldCharType="end"/>
      </w:r>
    </w:p>
    <w:p>
      <w:pPr>
        <w:pStyle w:val="TOC8"/>
        <w:rPr>
          <w:rFonts w:asciiTheme="minorHAnsi" w:eastAsiaTheme="minorEastAsia" w:hAnsiTheme="minorHAnsi" w:cstheme="minorBidi"/>
          <w:szCs w:val="22"/>
        </w:rPr>
      </w:pPr>
      <w:r>
        <w:t>15.</w:t>
      </w:r>
      <w:r>
        <w:tab/>
        <w:t>Board to determine own procedures</w:t>
      </w:r>
      <w:r>
        <w:tab/>
      </w:r>
      <w:r>
        <w:fldChar w:fldCharType="begin"/>
      </w:r>
      <w:r>
        <w:instrText xml:space="preserve"> PAGEREF _Toc32412375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Material personal interests to be disclosed</w:t>
      </w:r>
      <w:r>
        <w:tab/>
      </w:r>
      <w:r>
        <w:fldChar w:fldCharType="begin"/>
      </w:r>
      <w:r>
        <w:instrText xml:space="preserve"> PAGEREF _Toc32412377 \h </w:instrText>
      </w:r>
      <w:r>
        <w:fldChar w:fldCharType="separate"/>
      </w:r>
      <w:r>
        <w:t>55</w:t>
      </w:r>
      <w:r>
        <w:fldChar w:fldCharType="end"/>
      </w:r>
    </w:p>
    <w:p>
      <w:pPr>
        <w:pStyle w:val="TOC8"/>
        <w:rPr>
          <w:rFonts w:asciiTheme="minorHAnsi" w:eastAsiaTheme="minorEastAsia" w:hAnsiTheme="minorHAnsi" w:cstheme="minorBidi"/>
          <w:szCs w:val="22"/>
        </w:rPr>
      </w:pPr>
      <w:r>
        <w:t>17.</w:t>
      </w:r>
      <w:r>
        <w:tab/>
        <w:t>Member with material personal interest not to vote etc.</w:t>
      </w:r>
      <w:r>
        <w:tab/>
      </w:r>
      <w:r>
        <w:fldChar w:fldCharType="begin"/>
      </w:r>
      <w:r>
        <w:instrText xml:space="preserve"> PAGEREF _Toc32412378 \h </w:instrText>
      </w:r>
      <w:r>
        <w:fldChar w:fldCharType="separate"/>
      </w:r>
      <w:r>
        <w:t>56</w:t>
      </w:r>
      <w:r>
        <w:fldChar w:fldCharType="end"/>
      </w:r>
    </w:p>
    <w:p>
      <w:pPr>
        <w:pStyle w:val="TOC8"/>
        <w:rPr>
          <w:rFonts w:asciiTheme="minorHAnsi" w:eastAsiaTheme="minorEastAsia" w:hAnsiTheme="minorHAnsi" w:cstheme="minorBidi"/>
          <w:szCs w:val="22"/>
        </w:rPr>
      </w:pPr>
      <w:r>
        <w:t>18.</w:t>
      </w:r>
      <w:r>
        <w:tab/>
        <w:t>Board may disapply cl. 17</w:t>
      </w:r>
      <w:r>
        <w:tab/>
      </w:r>
      <w:r>
        <w:fldChar w:fldCharType="begin"/>
      </w:r>
      <w:r>
        <w:instrText xml:space="preserve"> PAGEREF _Toc32412379 \h </w:instrText>
      </w:r>
      <w:r>
        <w:fldChar w:fldCharType="separate"/>
      </w:r>
      <w:r>
        <w:t>56</w:t>
      </w:r>
      <w:r>
        <w:fldChar w:fldCharType="end"/>
      </w:r>
    </w:p>
    <w:p>
      <w:pPr>
        <w:pStyle w:val="TOC8"/>
        <w:rPr>
          <w:rFonts w:asciiTheme="minorHAnsi" w:eastAsiaTheme="minorEastAsia" w:hAnsiTheme="minorHAnsi" w:cstheme="minorBidi"/>
          <w:szCs w:val="22"/>
        </w:rPr>
      </w:pPr>
      <w:r>
        <w:t>19.</w:t>
      </w:r>
      <w:r>
        <w:tab/>
        <w:t>Quorum where cl. 17 applies</w:t>
      </w:r>
      <w:r>
        <w:tab/>
      </w:r>
      <w:r>
        <w:fldChar w:fldCharType="begin"/>
      </w:r>
      <w:r>
        <w:instrText xml:space="preserve"> PAGEREF _Toc32412380 \h </w:instrText>
      </w:r>
      <w:r>
        <w:fldChar w:fldCharType="separate"/>
      </w:r>
      <w:r>
        <w:t>56</w:t>
      </w:r>
      <w:r>
        <w:fldChar w:fldCharType="end"/>
      </w:r>
    </w:p>
    <w:p>
      <w:pPr>
        <w:pStyle w:val="TOC8"/>
        <w:rPr>
          <w:rFonts w:asciiTheme="minorHAnsi" w:eastAsiaTheme="minorEastAsia" w:hAnsiTheme="minorHAnsi" w:cstheme="minorBidi"/>
          <w:szCs w:val="22"/>
        </w:rPr>
      </w:pPr>
      <w:r>
        <w:t>20.</w:t>
      </w:r>
      <w:r>
        <w:tab/>
        <w:t>Minister may declare cl. 17 and 19 inapplicable</w:t>
      </w:r>
      <w:r>
        <w:tab/>
      </w:r>
      <w:r>
        <w:fldChar w:fldCharType="begin"/>
      </w:r>
      <w:r>
        <w:instrText xml:space="preserve"> PAGEREF _Toc32412381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_Toc32412383 \h </w:instrText>
      </w:r>
      <w:r>
        <w:fldChar w:fldCharType="separate"/>
      </w:r>
      <w:r>
        <w:t>58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_Toc32412384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_Toc32412385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School Curriculum and Standards Authority Act 1997</w:t>
      </w:r>
    </w:p>
    <w:p>
      <w:pPr>
        <w:pStyle w:val="LongTitle"/>
        <w:rPr>
          <w:snapToGrid w:val="0"/>
        </w:rPr>
      </w:pPr>
      <w:r>
        <w:rPr>
          <w:snapToGrid w:val="0"/>
        </w:rPr>
        <w:t>An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No. 37 of 2011 s. 4.]</w:t>
      </w:r>
    </w:p>
    <w:p>
      <w:pPr>
        <w:pStyle w:val="Heading2"/>
      </w:pPr>
      <w:bookmarkStart w:id="3" w:name="_Toc32412173"/>
      <w:bookmarkStart w:id="4" w:name="_Toc32412280"/>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2412281"/>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rPr>
        <w:t>.</w:t>
      </w:r>
    </w:p>
    <w:p>
      <w:pPr>
        <w:pStyle w:val="Footnotesection"/>
      </w:pPr>
      <w:r>
        <w:tab/>
        <w:t>[Section 1 amended: No. 37 of 2011 s. 5.]</w:t>
      </w:r>
    </w:p>
    <w:p>
      <w:pPr>
        <w:pStyle w:val="Heading5"/>
        <w:rPr>
          <w:snapToGrid w:val="0"/>
        </w:rPr>
      </w:pPr>
      <w:bookmarkStart w:id="6" w:name="_Toc3241228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32412283"/>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tab/>
      </w:r>
      <w:r>
        <w:rPr>
          <w:rStyle w:val="CharDefText"/>
        </w:rPr>
        <w:t>compulsory education period</w:t>
      </w:r>
      <w:r>
        <w:t xml:space="preserve"> has the meaning given in the School Education Act section 6(1);</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 and</w:t>
      </w:r>
    </w:p>
    <w:p>
      <w:pPr>
        <w:pStyle w:val="Defpara"/>
      </w:pPr>
      <w:r>
        <w:tab/>
        <w:t>(b)</w:t>
      </w:r>
      <w:r>
        <w:tab/>
        <w:t>in relation to a non</w:t>
      </w:r>
      <w:r>
        <w:noBreakHyphen/>
        <w:t>government school as defined in the School Education Act, means the governing body of that school under that Act;</w:t>
      </w:r>
    </w:p>
    <w:p>
      <w:pPr>
        <w:pStyle w:val="Defpara"/>
        <w:rPr>
          <w:i/>
        </w:rPr>
      </w:pPr>
      <w:r>
        <w:tab/>
      </w:r>
      <w:r>
        <w:rPr>
          <w:i/>
        </w:rPr>
        <w:t>[(c)</w:t>
      </w:r>
      <w:r>
        <w:rPr>
          <w:i/>
        </w:rPr>
        <w:tab/>
        <w:t>deleted]</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 and</w:t>
      </w:r>
    </w:p>
    <w:p>
      <w:pPr>
        <w:pStyle w:val="Defpara"/>
      </w:pPr>
      <w:r>
        <w:tab/>
        <w:t>(b)</w:t>
      </w:r>
      <w:r>
        <w:tab/>
        <w:t>a person referred to in section 21(2); and</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tab/>
      </w:r>
      <w:r>
        <w:rPr>
          <w:rStyle w:val="CharDefText"/>
        </w:rPr>
        <w:t>research involving students</w:t>
      </w:r>
      <w:r>
        <w:t xml:space="preserve"> means research conducted by any person or body in relation to either or both of the following purposes — </w:t>
      </w:r>
    </w:p>
    <w:p>
      <w:pPr>
        <w:pStyle w:val="Defpara"/>
      </w:pPr>
      <w:r>
        <w:tab/>
        <w:t>(a)</w:t>
      </w:r>
      <w:r>
        <w:tab/>
        <w:t>promoting student achievement or student wellbeing;</w:t>
      </w:r>
    </w:p>
    <w:p>
      <w:pPr>
        <w:pStyle w:val="Defpara"/>
      </w:pPr>
      <w:r>
        <w:tab/>
        <w:t>(b)</w:t>
      </w:r>
      <w:r>
        <w:tab/>
        <w:t>understanding outcomes connected with student achievement or wellbeing;</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Defstart"/>
      </w:pPr>
      <w:r>
        <w:tab/>
      </w:r>
      <w:r>
        <w:rPr>
          <w:rStyle w:val="CharDefText"/>
        </w:rPr>
        <w:t>wellbeing</w:t>
      </w:r>
      <w:r>
        <w:t xml:space="preserve">, of a student, includes the following — </w:t>
      </w:r>
    </w:p>
    <w:p>
      <w:pPr>
        <w:pStyle w:val="Defpara"/>
      </w:pPr>
      <w:r>
        <w:tab/>
        <w:t>(a)</w:t>
      </w:r>
      <w:r>
        <w:tab/>
        <w:t xml:space="preserve">the care of the student; </w:t>
      </w:r>
    </w:p>
    <w:p>
      <w:pPr>
        <w:pStyle w:val="Defpara"/>
      </w:pPr>
      <w:r>
        <w:tab/>
        <w:t>(b)</w:t>
      </w:r>
      <w:r>
        <w:tab/>
        <w:t xml:space="preserve">the physical, emotional, psychological and educational development of the student; </w:t>
      </w:r>
    </w:p>
    <w:p>
      <w:pPr>
        <w:pStyle w:val="Defpara"/>
      </w:pPr>
      <w:r>
        <w:tab/>
        <w:t>(c)</w:t>
      </w:r>
      <w:r>
        <w:tab/>
        <w:t xml:space="preserve">the physical, emotional and psychological health of the student; </w:t>
      </w:r>
    </w:p>
    <w:p>
      <w:pPr>
        <w:pStyle w:val="Defpara"/>
      </w:pPr>
      <w:r>
        <w:tab/>
        <w:t>(d)</w:t>
      </w:r>
      <w:r>
        <w:tab/>
        <w:t>the safety of the student.</w:t>
      </w:r>
    </w:p>
    <w:p>
      <w:pPr>
        <w:pStyle w:val="Footnotesection"/>
      </w:pPr>
      <w:r>
        <w:tab/>
        <w:t>[Section 3 amended: No. 36 of 1999 s. 247; No. 22 of 2005 s. 43; No. 37 of 2011 s. 6 and 53(1); No. 46 of 2012 s. 14; No. 28 of 2014 s. 37; No. 17 of 2017 s. 4.]</w:t>
      </w:r>
    </w:p>
    <w:p>
      <w:pPr>
        <w:pStyle w:val="Heading5"/>
      </w:pPr>
      <w:bookmarkStart w:id="8" w:name="_Toc32412284"/>
      <w:r>
        <w:rPr>
          <w:rStyle w:val="CharSectno"/>
        </w:rPr>
        <w:t>4</w:t>
      </w:r>
      <w:r>
        <w:t>.</w:t>
      </w:r>
      <w:r>
        <w:tab/>
        <w:t>Objects of Act</w:t>
      </w:r>
      <w:bookmarkEnd w:id="8"/>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No. 37 of 2011 s. 7.]</w:t>
      </w:r>
    </w:p>
    <w:p>
      <w:pPr>
        <w:pStyle w:val="Heading2"/>
      </w:pPr>
      <w:bookmarkStart w:id="9" w:name="_Toc32412178"/>
      <w:bookmarkStart w:id="10" w:name="_Toc32412285"/>
      <w:r>
        <w:rPr>
          <w:rStyle w:val="CharPartNo"/>
        </w:rPr>
        <w:t>Part 2</w:t>
      </w:r>
      <w:r>
        <w:rPr>
          <w:b w:val="0"/>
        </w:rPr>
        <w:t> </w:t>
      </w:r>
      <w:r>
        <w:t>—</w:t>
      </w:r>
      <w:r>
        <w:rPr>
          <w:b w:val="0"/>
        </w:rPr>
        <w:t> </w:t>
      </w:r>
      <w:r>
        <w:rPr>
          <w:rStyle w:val="CharPartText"/>
        </w:rPr>
        <w:t>The School Curriculum and Standards Authority and committees</w:t>
      </w:r>
      <w:bookmarkEnd w:id="9"/>
      <w:bookmarkEnd w:id="10"/>
    </w:p>
    <w:p>
      <w:pPr>
        <w:pStyle w:val="Footnoteheading"/>
        <w:spacing w:before="100"/>
      </w:pPr>
      <w:r>
        <w:tab/>
        <w:t>[Heading inserted: No. 37 of 2011 s. 8.]</w:t>
      </w:r>
    </w:p>
    <w:p>
      <w:pPr>
        <w:pStyle w:val="Heading3"/>
      </w:pPr>
      <w:bookmarkStart w:id="11" w:name="_Toc32412179"/>
      <w:bookmarkStart w:id="12" w:name="_Toc32412286"/>
      <w:r>
        <w:rPr>
          <w:rStyle w:val="CharDivNo"/>
        </w:rPr>
        <w:t>Division 1</w:t>
      </w:r>
      <w:r>
        <w:t> — </w:t>
      </w:r>
      <w:r>
        <w:rPr>
          <w:rStyle w:val="CharDivText"/>
        </w:rPr>
        <w:t>School Curriculum and Standards Authority</w:t>
      </w:r>
      <w:bookmarkEnd w:id="11"/>
      <w:bookmarkEnd w:id="12"/>
    </w:p>
    <w:p>
      <w:pPr>
        <w:pStyle w:val="Footnoteheading"/>
        <w:spacing w:before="100"/>
      </w:pPr>
      <w:r>
        <w:tab/>
        <w:t>[Heading inserted: No. 37 of 2011 s. 8.]</w:t>
      </w:r>
    </w:p>
    <w:p>
      <w:pPr>
        <w:pStyle w:val="Heading5"/>
      </w:pPr>
      <w:bookmarkStart w:id="13" w:name="_Toc32412287"/>
      <w:r>
        <w:rPr>
          <w:rStyle w:val="CharSectno"/>
        </w:rPr>
        <w:t>5</w:t>
      </w:r>
      <w:r>
        <w:t>.</w:t>
      </w:r>
      <w:r>
        <w:tab/>
        <w:t>Authority established; status etc. of Authority</w:t>
      </w:r>
      <w:bookmarkEnd w:id="13"/>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r>
        <w:tab/>
        <w:t>[Section 5 inserted: No. 37 of 2011 s. 9.]</w:t>
      </w:r>
    </w:p>
    <w:p>
      <w:pPr>
        <w:pStyle w:val="Heading5"/>
      </w:pPr>
      <w:bookmarkStart w:id="14" w:name="_Toc32412288"/>
      <w:r>
        <w:rPr>
          <w:rStyle w:val="CharSectno"/>
        </w:rPr>
        <w:t>6</w:t>
      </w:r>
      <w:r>
        <w:t>.</w:t>
      </w:r>
      <w:r>
        <w:tab/>
        <w:t>Board of Authority</w:t>
      </w:r>
      <w:bookmarkEnd w:id="14"/>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r>
        <w:tab/>
        <w:t>[Section 6 inserted: No. 37 of 2011 s. 9.]</w:t>
      </w:r>
    </w:p>
    <w:p>
      <w:pPr>
        <w:pStyle w:val="Heading5"/>
      </w:pPr>
      <w:bookmarkStart w:id="15" w:name="_Toc32412289"/>
      <w:r>
        <w:rPr>
          <w:rStyle w:val="CharSectno"/>
        </w:rPr>
        <w:t>7A</w:t>
      </w:r>
      <w:r>
        <w:t>.</w:t>
      </w:r>
      <w:r>
        <w:tab/>
        <w:t>Board, members of</w:t>
      </w:r>
      <w:bookmarkEnd w:id="15"/>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r>
        <w:tab/>
        <w:t>[Section 7A inserted: No. 37 of 2011 s. 9.]</w:t>
      </w:r>
    </w:p>
    <w:p>
      <w:pPr>
        <w:pStyle w:val="Heading3"/>
      </w:pPr>
      <w:bookmarkStart w:id="16" w:name="_Toc32412183"/>
      <w:bookmarkStart w:id="17" w:name="_Toc32412290"/>
      <w:r>
        <w:rPr>
          <w:rStyle w:val="CharDivNo"/>
        </w:rPr>
        <w:t>Division 2</w:t>
      </w:r>
      <w:r>
        <w:t> — </w:t>
      </w:r>
      <w:r>
        <w:rPr>
          <w:rStyle w:val="CharDivText"/>
        </w:rPr>
        <w:t>Committees</w:t>
      </w:r>
      <w:bookmarkEnd w:id="16"/>
      <w:bookmarkEnd w:id="17"/>
    </w:p>
    <w:p>
      <w:pPr>
        <w:pStyle w:val="Footnoteheading"/>
      </w:pPr>
      <w:r>
        <w:tab/>
        <w:t>[Heading inserted: No. 37 of 2011 s. 9.]</w:t>
      </w:r>
    </w:p>
    <w:p>
      <w:pPr>
        <w:pStyle w:val="Heading5"/>
      </w:pPr>
      <w:bookmarkStart w:id="18" w:name="_Toc32412291"/>
      <w:r>
        <w:rPr>
          <w:rStyle w:val="CharSectno"/>
        </w:rPr>
        <w:t>7B</w:t>
      </w:r>
      <w:r>
        <w:t>.</w:t>
      </w:r>
      <w:r>
        <w:tab/>
        <w:t>Standards Committee established; members of</w:t>
      </w:r>
      <w:bookmarkEnd w:id="18"/>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r>
        <w:tab/>
        <w:t>[Section 7B inserted: No. 37 of 2011 s. 9.]</w:t>
      </w:r>
    </w:p>
    <w:p>
      <w:pPr>
        <w:pStyle w:val="Heading5"/>
      </w:pPr>
      <w:bookmarkStart w:id="19" w:name="_Toc32412292"/>
      <w:r>
        <w:rPr>
          <w:rStyle w:val="CharSectno"/>
        </w:rPr>
        <w:t>7C</w:t>
      </w:r>
      <w:r>
        <w:t>.</w:t>
      </w:r>
      <w:r>
        <w:tab/>
        <w:t>Standards Committee, functions of</w:t>
      </w:r>
      <w:bookmarkEnd w:id="19"/>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r>
        <w:tab/>
        <w:t>[Section 7C inserted: No. 37 of 2011 s. 9.]</w:t>
      </w:r>
    </w:p>
    <w:p>
      <w:pPr>
        <w:pStyle w:val="Heading5"/>
      </w:pPr>
      <w:bookmarkStart w:id="20" w:name="_Toc32412293"/>
      <w:r>
        <w:rPr>
          <w:rStyle w:val="CharSectno"/>
        </w:rPr>
        <w:t>7D</w:t>
      </w:r>
      <w:r>
        <w:t>.</w:t>
      </w:r>
      <w:r>
        <w:tab/>
        <w:t>Curriculum and Assessment Committee established; members of</w:t>
      </w:r>
      <w:bookmarkEnd w:id="20"/>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r>
        <w:tab/>
        <w:t>[Section 7D inserted: No. 37 of 2011 s. 9.]</w:t>
      </w:r>
    </w:p>
    <w:p>
      <w:pPr>
        <w:pStyle w:val="Heading5"/>
      </w:pPr>
      <w:bookmarkStart w:id="21" w:name="_Toc32412294"/>
      <w:r>
        <w:rPr>
          <w:rStyle w:val="CharSectno"/>
        </w:rPr>
        <w:t>7E</w:t>
      </w:r>
      <w:r>
        <w:t>.</w:t>
      </w:r>
      <w:r>
        <w:tab/>
        <w:t>Curriculum and Assessment Committee, functions of</w:t>
      </w:r>
      <w:bookmarkEnd w:id="21"/>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r>
        <w:tab/>
        <w:t>[Section 7E inserted: No. 37 of 2011 s. 9.]</w:t>
      </w:r>
    </w:p>
    <w:p>
      <w:pPr>
        <w:pStyle w:val="Heading5"/>
      </w:pPr>
      <w:bookmarkStart w:id="22" w:name="_Toc32412295"/>
      <w:r>
        <w:rPr>
          <w:rStyle w:val="CharSectno"/>
        </w:rPr>
        <w:t>7F</w:t>
      </w:r>
      <w:r>
        <w:t>.</w:t>
      </w:r>
      <w:r>
        <w:tab/>
        <w:t>Other committees</w:t>
      </w:r>
      <w:bookmarkEnd w:id="22"/>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r>
        <w:tab/>
        <w:t>[Section 7F inserted: No. 37 of 2011 s. 9.]</w:t>
      </w:r>
    </w:p>
    <w:p>
      <w:pPr>
        <w:pStyle w:val="Heading5"/>
      </w:pPr>
      <w:bookmarkStart w:id="23" w:name="_Toc32412296"/>
      <w:r>
        <w:rPr>
          <w:rStyle w:val="CharSectno"/>
        </w:rPr>
        <w:t>7G</w:t>
      </w:r>
      <w:r>
        <w:t>.</w:t>
      </w:r>
      <w:r>
        <w:tab/>
        <w:t>Support services for committees</w:t>
      </w:r>
      <w:bookmarkEnd w:id="23"/>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 No. 37 of 2011 s. 9.]</w:t>
      </w:r>
    </w:p>
    <w:p>
      <w:pPr>
        <w:pStyle w:val="Heading3"/>
      </w:pPr>
      <w:bookmarkStart w:id="24" w:name="_Toc32412190"/>
      <w:bookmarkStart w:id="25" w:name="_Toc32412297"/>
      <w:r>
        <w:rPr>
          <w:rStyle w:val="CharDivNo"/>
        </w:rPr>
        <w:t>Division 3</w:t>
      </w:r>
      <w:r>
        <w:t> — </w:t>
      </w:r>
      <w:r>
        <w:rPr>
          <w:rStyle w:val="CharDivText"/>
        </w:rPr>
        <w:t>General</w:t>
      </w:r>
      <w:bookmarkEnd w:id="24"/>
      <w:bookmarkEnd w:id="25"/>
    </w:p>
    <w:p>
      <w:pPr>
        <w:pStyle w:val="Footnoteheading"/>
      </w:pPr>
      <w:r>
        <w:tab/>
        <w:t>[Heading inserted: No. 37 of 2011 s. 10.]</w:t>
      </w:r>
    </w:p>
    <w:p>
      <w:pPr>
        <w:pStyle w:val="Heading5"/>
        <w:rPr>
          <w:snapToGrid w:val="0"/>
        </w:rPr>
      </w:pPr>
      <w:bookmarkStart w:id="26" w:name="_Toc32412298"/>
      <w:r>
        <w:rPr>
          <w:rStyle w:val="CharSectno"/>
        </w:rPr>
        <w:t>7</w:t>
      </w:r>
      <w:r>
        <w:rPr>
          <w:snapToGrid w:val="0"/>
        </w:rPr>
        <w:t>.</w:t>
      </w:r>
      <w:r>
        <w:rPr>
          <w:snapToGrid w:val="0"/>
        </w:rPr>
        <w:tab/>
        <w:t>Provisions about Board (Sch. 1)</w:t>
      </w:r>
      <w:bookmarkEnd w:id="26"/>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r>
        <w:tab/>
        <w:t>[Section 7 amended: No. 37 of 2011 s. 11.]</w:t>
      </w:r>
    </w:p>
    <w:p>
      <w:pPr>
        <w:pStyle w:val="Heading5"/>
      </w:pPr>
      <w:bookmarkStart w:id="27" w:name="_Toc32412299"/>
      <w:r>
        <w:rPr>
          <w:rStyle w:val="CharSectno"/>
        </w:rPr>
        <w:t>8A</w:t>
      </w:r>
      <w:r>
        <w:t>.</w:t>
      </w:r>
      <w:r>
        <w:tab/>
        <w:t>CEO or representative may attend meetings of Board and committees</w:t>
      </w:r>
      <w:bookmarkEnd w:id="27"/>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No. 37 of 2011 s. 12.]</w:t>
      </w:r>
    </w:p>
    <w:p>
      <w:pPr>
        <w:pStyle w:val="Heading5"/>
        <w:rPr>
          <w:snapToGrid w:val="0"/>
        </w:rPr>
      </w:pPr>
      <w:bookmarkStart w:id="28" w:name="_Toc32412300"/>
      <w:r>
        <w:rPr>
          <w:rStyle w:val="CharSectno"/>
        </w:rPr>
        <w:t>8</w:t>
      </w:r>
      <w:r>
        <w:rPr>
          <w:snapToGrid w:val="0"/>
        </w:rPr>
        <w:t>.</w:t>
      </w:r>
      <w:r>
        <w:rPr>
          <w:snapToGrid w:val="0"/>
        </w:rPr>
        <w:tab/>
        <w:t>Members of Board and committees, remuneration of</w:t>
      </w:r>
      <w:bookmarkEnd w:id="28"/>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No. 39 of 2010 s. 89; No. 37 of 2011 s. 13.]</w:t>
      </w:r>
    </w:p>
    <w:p>
      <w:pPr>
        <w:pStyle w:val="Heading2"/>
      </w:pPr>
      <w:bookmarkStart w:id="29" w:name="_Toc32412194"/>
      <w:bookmarkStart w:id="30" w:name="_Toc32412301"/>
      <w:r>
        <w:rPr>
          <w:rStyle w:val="CharPartNo"/>
        </w:rPr>
        <w:t>Part 3</w:t>
      </w:r>
      <w:r>
        <w:rPr>
          <w:rStyle w:val="CharDivNo"/>
        </w:rPr>
        <w:t> </w:t>
      </w:r>
      <w:r>
        <w:t>—</w:t>
      </w:r>
      <w:r>
        <w:rPr>
          <w:rStyle w:val="CharDivText"/>
        </w:rPr>
        <w:t> </w:t>
      </w:r>
      <w:r>
        <w:rPr>
          <w:rStyle w:val="CharPartText"/>
        </w:rPr>
        <w:t>Functions and powers</w:t>
      </w:r>
      <w:bookmarkEnd w:id="29"/>
      <w:bookmarkEnd w:id="30"/>
      <w:r>
        <w:rPr>
          <w:rStyle w:val="CharPartText"/>
        </w:rPr>
        <w:t xml:space="preserve"> </w:t>
      </w:r>
    </w:p>
    <w:p>
      <w:pPr>
        <w:pStyle w:val="Heading5"/>
      </w:pPr>
      <w:bookmarkStart w:id="31" w:name="_Toc32412302"/>
      <w:r>
        <w:rPr>
          <w:rStyle w:val="CharSectno"/>
        </w:rPr>
        <w:t>9</w:t>
      </w:r>
      <w:r>
        <w:t>.</w:t>
      </w:r>
      <w:r>
        <w:tab/>
        <w:t>Functions of Authority</w:t>
      </w:r>
      <w:bookmarkEnd w:id="31"/>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pPr>
      <w:r>
        <w:tab/>
        <w:t>(ea)</w:t>
      </w:r>
      <w:r>
        <w:tab/>
        <w:t>to administer and support the implementation of national assessment of student achievement that is the subject of agreements or arrangements made between the State and the Commonwealth (whether or not those agreements or arrangements involve another State or a Territory) or a governing body, for example, the National Assessment Program; and</w:t>
      </w:r>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 and</w:t>
      </w:r>
    </w:p>
    <w:p>
      <w:pPr>
        <w:pStyle w:val="Indenta"/>
      </w:pPr>
      <w:r>
        <w:tab/>
        <w:t>(r)</w:t>
      </w:r>
      <w:r>
        <w:tab/>
        <w:t>to support the development of the national school curriculum and national assessments; and</w:t>
      </w:r>
    </w:p>
    <w:p>
      <w:pPr>
        <w:pStyle w:val="Indenta"/>
      </w:pPr>
      <w:r>
        <w:tab/>
        <w:t>(s)</w:t>
      </w:r>
      <w:r>
        <w:tab/>
        <w:t>to conduct and promote, or participate in, research involving students.</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r>
        <w:tab/>
        <w:t>[Section 9 inserted: No. 37 of 2011 s. 14; amended: No. 17 of 2017 s. 5.]</w:t>
      </w:r>
    </w:p>
    <w:p>
      <w:pPr>
        <w:pStyle w:val="Heading5"/>
      </w:pPr>
      <w:bookmarkStart w:id="32" w:name="_Toc32412303"/>
      <w:r>
        <w:rPr>
          <w:rStyle w:val="CharSectno"/>
        </w:rPr>
        <w:t>10</w:t>
      </w:r>
      <w:r>
        <w:t>.</w:t>
      </w:r>
      <w:r>
        <w:tab/>
        <w:t>Advisory function of Authority</w:t>
      </w:r>
      <w:bookmarkEnd w:id="32"/>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r>
        <w:tab/>
        <w:t>[Section 10 inserted: No. 37 of 2011 s. 14.]</w:t>
      </w:r>
    </w:p>
    <w:p>
      <w:pPr>
        <w:pStyle w:val="Heading5"/>
      </w:pPr>
      <w:bookmarkStart w:id="33" w:name="_Toc32412304"/>
      <w:r>
        <w:rPr>
          <w:rStyle w:val="CharSectno"/>
        </w:rPr>
        <w:t>11</w:t>
      </w:r>
      <w:r>
        <w:t>.</w:t>
      </w:r>
      <w:r>
        <w:tab/>
        <w:t>Draft reports on standards of student achievement, preparation of etc.</w:t>
      </w:r>
      <w:bookmarkEnd w:id="33"/>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r>
        <w:tab/>
        <w:t>[Section 11 inserted: No. 37 of 2011 s. 14.]</w:t>
      </w:r>
    </w:p>
    <w:p>
      <w:pPr>
        <w:pStyle w:val="Heading5"/>
      </w:pPr>
      <w:bookmarkStart w:id="34" w:name="_Toc32412305"/>
      <w:r>
        <w:rPr>
          <w:rStyle w:val="CharSectno"/>
        </w:rPr>
        <w:t>12</w:t>
      </w:r>
      <w:r>
        <w:t>.</w:t>
      </w:r>
      <w:r>
        <w:tab/>
        <w:t>Draft reports under s. 11(2), dealing with</w:t>
      </w:r>
      <w:bookmarkEnd w:id="34"/>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No. 37 of 2011 s. 14.]</w:t>
      </w:r>
    </w:p>
    <w:p>
      <w:pPr>
        <w:pStyle w:val="Ednotesection"/>
      </w:pPr>
      <w:r>
        <w:t>[</w:t>
      </w:r>
      <w:r>
        <w:rPr>
          <w:b/>
        </w:rPr>
        <w:t>13.</w:t>
      </w:r>
      <w:r>
        <w:tab/>
        <w:t>Deleted: No. 37 of 2011 s. 14.]</w:t>
      </w:r>
    </w:p>
    <w:p>
      <w:pPr>
        <w:pStyle w:val="Heading5"/>
        <w:rPr>
          <w:snapToGrid w:val="0"/>
        </w:rPr>
      </w:pPr>
      <w:bookmarkStart w:id="35" w:name="_Toc32412306"/>
      <w:r>
        <w:rPr>
          <w:rStyle w:val="CharSectno"/>
        </w:rPr>
        <w:t>14</w:t>
      </w:r>
      <w:r>
        <w:rPr>
          <w:snapToGrid w:val="0"/>
        </w:rPr>
        <w:t>.</w:t>
      </w:r>
      <w:r>
        <w:rPr>
          <w:snapToGrid w:val="0"/>
        </w:rPr>
        <w:tab/>
        <w:t>Records of assessment and register of courses, Authority to keep etc.</w:t>
      </w:r>
      <w:bookmarkEnd w:id="35"/>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Footnotesection"/>
      </w:pPr>
      <w:r>
        <w:tab/>
        <w:t>[Section 14 amended: No. 37 of 2011 s. 15 and 53(1).]</w:t>
      </w:r>
    </w:p>
    <w:p>
      <w:pPr>
        <w:pStyle w:val="Heading5"/>
        <w:spacing w:before="260"/>
        <w:rPr>
          <w:snapToGrid w:val="0"/>
        </w:rPr>
      </w:pPr>
      <w:bookmarkStart w:id="36" w:name="_Toc32412307"/>
      <w:r>
        <w:rPr>
          <w:rStyle w:val="CharSectno"/>
        </w:rPr>
        <w:t>15</w:t>
      </w:r>
      <w:r>
        <w:rPr>
          <w:snapToGrid w:val="0"/>
        </w:rPr>
        <w:t>.</w:t>
      </w:r>
      <w:r>
        <w:rPr>
          <w:snapToGrid w:val="0"/>
        </w:rPr>
        <w:tab/>
        <w:t>Powers of Authority</w:t>
      </w:r>
      <w:bookmarkEnd w:id="36"/>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Ednotepara"/>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Footnotesection"/>
      </w:pPr>
      <w:r>
        <w:tab/>
        <w:t>[Section 15 amended: No. 37 of 2011 s. 16 and 53(1); No. 17 of 2017 s. 6.]</w:t>
      </w:r>
    </w:p>
    <w:p>
      <w:pPr>
        <w:pStyle w:val="Heading5"/>
        <w:rPr>
          <w:snapToGrid w:val="0"/>
        </w:rPr>
      </w:pPr>
      <w:bookmarkStart w:id="37" w:name="_Toc32412308"/>
      <w:r>
        <w:rPr>
          <w:rStyle w:val="CharSectno"/>
        </w:rPr>
        <w:t>16</w:t>
      </w:r>
      <w:r>
        <w:rPr>
          <w:snapToGrid w:val="0"/>
        </w:rPr>
        <w:t>.</w:t>
      </w:r>
      <w:r>
        <w:rPr>
          <w:snapToGrid w:val="0"/>
        </w:rPr>
        <w:tab/>
        <w:t>Functions of Authority, matters affecting performance of</w:t>
      </w:r>
      <w:bookmarkEnd w:id="37"/>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Footnotesection"/>
        <w:spacing w:before="100"/>
        <w:ind w:left="890" w:hanging="890"/>
      </w:pPr>
      <w:r>
        <w:tab/>
        <w:t>[Section 16 amended: No. 37 of 2011 s. 17 and 53(1).]</w:t>
      </w:r>
    </w:p>
    <w:p>
      <w:pPr>
        <w:pStyle w:val="Heading5"/>
        <w:spacing w:before="200"/>
        <w:rPr>
          <w:snapToGrid w:val="0"/>
        </w:rPr>
      </w:pPr>
      <w:bookmarkStart w:id="38" w:name="_Toc32412309"/>
      <w:r>
        <w:rPr>
          <w:rStyle w:val="CharSectno"/>
        </w:rPr>
        <w:t>17</w:t>
      </w:r>
      <w:r>
        <w:rPr>
          <w:snapToGrid w:val="0"/>
        </w:rPr>
        <w:t>.</w:t>
      </w:r>
      <w:r>
        <w:rPr>
          <w:snapToGrid w:val="0"/>
        </w:rPr>
        <w:tab/>
        <w:t>Delegation by Authority</w:t>
      </w:r>
      <w:bookmarkEnd w:id="38"/>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r>
        <w:tab/>
        <w:t>[Section 17 amended: No. 37 of 2011 s. 18 and 53(1).]</w:t>
      </w:r>
    </w:p>
    <w:p>
      <w:pPr>
        <w:pStyle w:val="Heading5"/>
        <w:spacing w:before="200"/>
        <w:rPr>
          <w:snapToGrid w:val="0"/>
        </w:rPr>
      </w:pPr>
      <w:bookmarkStart w:id="39" w:name="_Toc32412310"/>
      <w:r>
        <w:rPr>
          <w:rStyle w:val="CharSectno"/>
        </w:rPr>
        <w:t>18</w:t>
      </w:r>
      <w:r>
        <w:rPr>
          <w:snapToGrid w:val="0"/>
        </w:rPr>
        <w:t>.</w:t>
      </w:r>
      <w:r>
        <w:rPr>
          <w:snapToGrid w:val="0"/>
        </w:rPr>
        <w:tab/>
        <w:t>Minister may give directions to Authority</w:t>
      </w:r>
      <w:bookmarkEnd w:id="39"/>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[Section 18 amended: No. 77 of 2006 Sch. 1 cl. 41(1); No. 37 of 2011 s. 19 and 53(1).]</w:t>
      </w:r>
    </w:p>
    <w:p>
      <w:pPr>
        <w:pStyle w:val="Heading5"/>
        <w:rPr>
          <w:snapToGrid w:val="0"/>
        </w:rPr>
      </w:pPr>
      <w:bookmarkStart w:id="40" w:name="_Toc32412311"/>
      <w:r>
        <w:rPr>
          <w:rStyle w:val="CharSectno"/>
        </w:rPr>
        <w:t>19</w:t>
      </w:r>
      <w:r>
        <w:rPr>
          <w:snapToGrid w:val="0"/>
        </w:rPr>
        <w:t>.</w:t>
      </w:r>
      <w:r>
        <w:rPr>
          <w:snapToGrid w:val="0"/>
        </w:rPr>
        <w:tab/>
        <w:t>Minister to have access to information</w:t>
      </w:r>
      <w:bookmarkEnd w:id="40"/>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 No. 22 of 2005 s. 46; No. 37 of 2011 s. 53(1).]</w:t>
      </w:r>
    </w:p>
    <w:p>
      <w:pPr>
        <w:pStyle w:val="Heading2"/>
      </w:pPr>
      <w:bookmarkStart w:id="41" w:name="_Toc32412205"/>
      <w:bookmarkStart w:id="42" w:name="_Toc32412312"/>
      <w:r>
        <w:rPr>
          <w:rStyle w:val="CharPartNo"/>
        </w:rPr>
        <w:t>Part 3A</w:t>
      </w:r>
      <w:r>
        <w:rPr>
          <w:b w:val="0"/>
        </w:rPr>
        <w:t> </w:t>
      </w:r>
      <w:r>
        <w:t>—</w:t>
      </w:r>
      <w:r>
        <w:rPr>
          <w:b w:val="0"/>
        </w:rPr>
        <w:t> </w:t>
      </w:r>
      <w:r>
        <w:rPr>
          <w:rStyle w:val="CharPartText"/>
        </w:rPr>
        <w:t>Student records</w:t>
      </w:r>
      <w:bookmarkEnd w:id="41"/>
      <w:bookmarkEnd w:id="42"/>
    </w:p>
    <w:p>
      <w:pPr>
        <w:pStyle w:val="Footnoteheading"/>
        <w:spacing w:before="100"/>
      </w:pPr>
      <w:r>
        <w:tab/>
        <w:t>[Heading inserted: No. 22 of 2005 s. 47.]</w:t>
      </w:r>
    </w:p>
    <w:p>
      <w:pPr>
        <w:pStyle w:val="Heading5"/>
      </w:pPr>
      <w:bookmarkStart w:id="43" w:name="_Toc32412313"/>
      <w:r>
        <w:rPr>
          <w:rStyle w:val="CharSectno"/>
        </w:rPr>
        <w:t>19A</w:t>
      </w:r>
      <w:r>
        <w:t>.</w:t>
      </w:r>
      <w:r>
        <w:tab/>
        <w:t>Terms used</w:t>
      </w:r>
      <w:bookmarkEnd w:id="43"/>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tab/>
      </w:r>
      <w:r>
        <w:rPr>
          <w:rStyle w:val="CharDefText"/>
        </w:rPr>
        <w:t>final years of compulsory education</w:t>
      </w:r>
      <w:r>
        <w:t xml:space="preserve"> has the meaning given in the School Education Act section 4;</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a child in either of the final years of compulsory education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any educational programme in which the student is or has been enrolled, or that is being or has been provided to the student by a home educator; and</w:t>
      </w:r>
    </w:p>
    <w:p>
      <w:pPr>
        <w:pStyle w:val="Defpara"/>
        <w:spacing w:before="70"/>
      </w:pPr>
      <w:r>
        <w:tab/>
        <w:t>(b)</w:t>
      </w:r>
      <w:r>
        <w:tab/>
        <w:t>any option under section 11B of the School Education Act notified under this Part to the Authority by a provider in respect of the student; and</w:t>
      </w:r>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 No. 22 of 2005 s. 47; amended: No. 44 of 2008 s. 52(2); No. 37 of 2011 s. 20 and 53(1); No. 46 of 2012 s. 15.]</w:t>
      </w:r>
    </w:p>
    <w:p>
      <w:pPr>
        <w:pStyle w:val="Heading5"/>
      </w:pPr>
      <w:bookmarkStart w:id="44" w:name="_Toc32412314"/>
      <w:r>
        <w:rPr>
          <w:rStyle w:val="CharSectno"/>
        </w:rPr>
        <w:t>19B</w:t>
      </w:r>
      <w:r>
        <w:t>.</w:t>
      </w:r>
      <w:r>
        <w:tab/>
        <w:t>Application of this Part to overseas students</w:t>
      </w:r>
      <w:bookmarkEnd w:id="44"/>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No. 22 of 2005 s. 47.]</w:t>
      </w:r>
    </w:p>
    <w:p>
      <w:pPr>
        <w:pStyle w:val="Heading5"/>
      </w:pPr>
      <w:bookmarkStart w:id="45" w:name="_Toc32412315"/>
      <w:r>
        <w:rPr>
          <w:rStyle w:val="CharSectno"/>
        </w:rPr>
        <w:t>19C</w:t>
      </w:r>
      <w:r>
        <w:t>.</w:t>
      </w:r>
      <w:r>
        <w:tab/>
        <w:t>When student record to be opened</w:t>
      </w:r>
      <w:bookmarkEnd w:id="45"/>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No. 22 of 2005 s. 47; amended: No. 37 of 2011 s. 21.]</w:t>
      </w:r>
    </w:p>
    <w:p>
      <w:pPr>
        <w:pStyle w:val="Heading5"/>
      </w:pPr>
      <w:bookmarkStart w:id="46" w:name="_Toc32412316"/>
      <w:r>
        <w:rPr>
          <w:rStyle w:val="CharSectno"/>
        </w:rPr>
        <w:t>19D</w:t>
      </w:r>
      <w:r>
        <w:t>.</w:t>
      </w:r>
      <w:r>
        <w:tab/>
        <w:t>Provider may be directed to open student record</w:t>
      </w:r>
      <w:bookmarkEnd w:id="46"/>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No. 22 of 2005 s. 47; amended: No. 37 of 2011 s. 53(1).]</w:t>
      </w:r>
    </w:p>
    <w:p>
      <w:pPr>
        <w:pStyle w:val="Heading5"/>
        <w:spacing w:before="180"/>
      </w:pPr>
      <w:bookmarkStart w:id="47" w:name="_Toc32412317"/>
      <w:r>
        <w:rPr>
          <w:rStyle w:val="CharSectno"/>
        </w:rPr>
        <w:t>19E</w:t>
      </w:r>
      <w:r>
        <w:t>.</w:t>
      </w:r>
      <w:r>
        <w:tab/>
        <w:t>How student record is opened</w:t>
      </w:r>
      <w:bookmarkEnd w:id="47"/>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 and</w:t>
      </w:r>
    </w:p>
    <w:p>
      <w:pPr>
        <w:pStyle w:val="Indenti"/>
      </w:pPr>
      <w:r>
        <w:tab/>
        <w:t>(ii)</w:t>
      </w:r>
      <w:r>
        <w:tab/>
        <w:t>address; and</w:t>
      </w:r>
    </w:p>
    <w:p>
      <w:pPr>
        <w:pStyle w:val="Indenti"/>
      </w:pPr>
      <w:r>
        <w:tab/>
        <w:t>(iii)</w:t>
      </w:r>
      <w:r>
        <w:tab/>
        <w:t>date of birth;</w:t>
      </w:r>
    </w:p>
    <w:p>
      <w:pPr>
        <w:pStyle w:val="Indenta"/>
      </w:pPr>
      <w:r>
        <w:tab/>
      </w:r>
      <w:r>
        <w:tab/>
        <w:t>and</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No. 22 of 2005 s. 47; amended: No. 37 of 2011 s. 53(1).]</w:t>
      </w:r>
    </w:p>
    <w:p>
      <w:pPr>
        <w:pStyle w:val="Heading5"/>
        <w:spacing w:before="200"/>
      </w:pPr>
      <w:bookmarkStart w:id="48" w:name="_Toc32412318"/>
      <w:r>
        <w:rPr>
          <w:rStyle w:val="CharSectno"/>
        </w:rPr>
        <w:t>19F</w:t>
      </w:r>
      <w:r>
        <w:t>.</w:t>
      </w:r>
      <w:r>
        <w:tab/>
        <w:t>Change of student’s provider, employer etc., provider to inform Authority of</w:t>
      </w:r>
      <w:bookmarkEnd w:id="48"/>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No. 22 of 2005 s. 47; amended: No. 44 of 2008 s. 52(3); No. 37 of 2011 s. 53(1).]</w:t>
      </w:r>
    </w:p>
    <w:p>
      <w:pPr>
        <w:pStyle w:val="Heading5"/>
      </w:pPr>
      <w:bookmarkStart w:id="49" w:name="_Toc32412319"/>
      <w:r>
        <w:rPr>
          <w:rStyle w:val="CharSectno"/>
        </w:rPr>
        <w:t>19G</w:t>
      </w:r>
      <w:r>
        <w:t>.</w:t>
      </w:r>
      <w:r>
        <w:tab/>
        <w:t>Student’s results etc., provider to inform Authority of</w:t>
      </w:r>
      <w:bookmarkEnd w:id="49"/>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No. 22 of 2005 s. 47; amended: No. 37 of 2011 s. 53(1).]</w:t>
      </w:r>
    </w:p>
    <w:p>
      <w:pPr>
        <w:pStyle w:val="Heading5"/>
      </w:pPr>
      <w:bookmarkStart w:id="50" w:name="_Toc32412320"/>
      <w:r>
        <w:rPr>
          <w:rStyle w:val="CharSectno"/>
        </w:rPr>
        <w:t>19H</w:t>
      </w:r>
      <w:r>
        <w:t>.</w:t>
      </w:r>
      <w:r>
        <w:tab/>
        <w:t>Informing Authority, general provisions about</w:t>
      </w:r>
      <w:bookmarkEnd w:id="50"/>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 No. 22 of 2005 s. 47; amended: No. 37 of 2011 s. 53(1).]</w:t>
      </w:r>
    </w:p>
    <w:p>
      <w:pPr>
        <w:pStyle w:val="Heading5"/>
      </w:pPr>
      <w:bookmarkStart w:id="51" w:name="_Toc32412321"/>
      <w:r>
        <w:rPr>
          <w:rStyle w:val="CharSectno"/>
        </w:rPr>
        <w:t>19I</w:t>
      </w:r>
      <w:r>
        <w:t>.</w:t>
      </w:r>
      <w:r>
        <w:tab/>
        <w:t>Database of student records etc., Authority to maintain; use of database</w:t>
      </w:r>
      <w:bookmarkEnd w:id="51"/>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No. 22 of 2005 s. 47; amended: No. 37 of 2011 s. 22 and 53(1).]</w:t>
      </w:r>
    </w:p>
    <w:p>
      <w:pPr>
        <w:pStyle w:val="Heading5"/>
      </w:pPr>
      <w:bookmarkStart w:id="52" w:name="_Toc32412322"/>
      <w:r>
        <w:rPr>
          <w:rStyle w:val="CharSectno"/>
        </w:rPr>
        <w:t>19J</w:t>
      </w:r>
      <w:r>
        <w:t>.</w:t>
      </w:r>
      <w:r>
        <w:tab/>
      </w:r>
      <w:r>
        <w:rPr>
          <w:bCs/>
        </w:rPr>
        <w:t>Student etc. entitled to student record</w:t>
      </w:r>
      <w:bookmarkEnd w:id="52"/>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No. 22 of 2005 s. 47; amended: No. 37 of 2011 s. 23 and 53(1).]</w:t>
      </w:r>
    </w:p>
    <w:p>
      <w:pPr>
        <w:pStyle w:val="Heading5"/>
      </w:pPr>
      <w:bookmarkStart w:id="53" w:name="_Toc32412323"/>
      <w:r>
        <w:rPr>
          <w:rStyle w:val="CharSectno"/>
        </w:rPr>
        <w:t>19K</w:t>
      </w:r>
      <w:r>
        <w:t>.</w:t>
      </w:r>
      <w:r>
        <w:tab/>
        <w:t>Authority may disclose information to provider for checking purposes</w:t>
      </w:r>
      <w:bookmarkEnd w:id="53"/>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No. 22 of 2005 s. 47; amended: No. 37 of 2011 s. 53(1).]</w:t>
      </w:r>
    </w:p>
    <w:p>
      <w:pPr>
        <w:pStyle w:val="Heading5"/>
      </w:pPr>
      <w:bookmarkStart w:id="54" w:name="_Toc32412324"/>
      <w:r>
        <w:rPr>
          <w:rStyle w:val="CharSectno"/>
        </w:rPr>
        <w:t>19L</w:t>
      </w:r>
      <w:r>
        <w:t>.</w:t>
      </w:r>
      <w:r>
        <w:tab/>
        <w:t>Authority, on request, to give Minister information in aggregated form</w:t>
      </w:r>
      <w:bookmarkEnd w:id="54"/>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No. 22 of 2005 s. 47; amended: No. 37 of 2011 s. 53(1).]</w:t>
      </w:r>
    </w:p>
    <w:p>
      <w:pPr>
        <w:pStyle w:val="Heading5"/>
      </w:pPr>
      <w:bookmarkStart w:id="55" w:name="_Toc32412325"/>
      <w:r>
        <w:rPr>
          <w:rStyle w:val="CharSectno"/>
        </w:rPr>
        <w:t>19M</w:t>
      </w:r>
      <w:r>
        <w:t>.</w:t>
      </w:r>
      <w:r>
        <w:tab/>
        <w:t>Authority, on request, to give Minister information to assist in enforcing School Education Act</w:t>
      </w:r>
      <w:bookmarkEnd w:id="55"/>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 and</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identifying those children in either of the final years of compulsory education who are not engaged full</w:t>
      </w:r>
      <w:r>
        <w:noBreakHyphen/>
        <w:t>time in education, training or employment as provided by the School Education Act; and</w:t>
      </w:r>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 (ii).</w:t>
      </w:r>
    </w:p>
    <w:p>
      <w:pPr>
        <w:pStyle w:val="Footnotesection"/>
        <w:spacing w:before="100"/>
        <w:ind w:left="890" w:hanging="890"/>
      </w:pPr>
      <w:r>
        <w:tab/>
        <w:t>[Section 19M inserted: No. 22 of 2005 s. 47; amended: No. 37 of 2011 s. 53(1); No. 46 of 2012 s. 16.]</w:t>
      </w:r>
    </w:p>
    <w:p>
      <w:pPr>
        <w:pStyle w:val="Heading5"/>
        <w:spacing w:before="200"/>
      </w:pPr>
      <w:bookmarkStart w:id="56" w:name="_Toc32412326"/>
      <w:r>
        <w:rPr>
          <w:rStyle w:val="CharSectno"/>
        </w:rPr>
        <w:t>19N</w:t>
      </w:r>
      <w:r>
        <w:t>.</w:t>
      </w:r>
      <w:r>
        <w:tab/>
        <w:t>Disclosure by Minister of information given under s. 19M</w:t>
      </w:r>
      <w:bookmarkEnd w:id="56"/>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No. 22 of 2005 s. 47.]</w:t>
      </w:r>
    </w:p>
    <w:p>
      <w:pPr>
        <w:pStyle w:val="Heading5"/>
      </w:pPr>
      <w:bookmarkStart w:id="57" w:name="_Toc32412327"/>
      <w:r>
        <w:rPr>
          <w:rStyle w:val="CharSectno"/>
        </w:rPr>
        <w:t>19O</w:t>
      </w:r>
      <w:r>
        <w:t>.</w:t>
      </w:r>
      <w:r>
        <w:tab/>
        <w:t>Delegation by Minister etc. of s. 19L, 19M and 19N functions</w:t>
      </w:r>
      <w:bookmarkEnd w:id="57"/>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No. 22 of 2005 s. 47.]</w:t>
      </w:r>
    </w:p>
    <w:p>
      <w:pPr>
        <w:pStyle w:val="Heading5"/>
      </w:pPr>
      <w:bookmarkStart w:id="58" w:name="_Toc32412328"/>
      <w:r>
        <w:rPr>
          <w:rStyle w:val="CharSectno"/>
        </w:rPr>
        <w:t>19P</w:t>
      </w:r>
      <w:r>
        <w:t>.</w:t>
      </w:r>
      <w:r>
        <w:tab/>
        <w:t>Authority to give certain entities certain information in aggregated form</w:t>
      </w:r>
      <w:bookmarkEnd w:id="58"/>
    </w:p>
    <w:p>
      <w:pPr>
        <w:pStyle w:val="Subsection"/>
        <w:keepNext/>
      </w:pPr>
      <w:r>
        <w:tab/>
        <w:t>(1)</w:t>
      </w:r>
      <w:r>
        <w:tab/>
        <w:t xml:space="preserve">The Authority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No. 22 of 2005 s. 47; amended: No. 37 of 2011 s. 53(1).]</w:t>
      </w:r>
    </w:p>
    <w:p>
      <w:pPr>
        <w:pStyle w:val="Heading2"/>
      </w:pPr>
      <w:bookmarkStart w:id="59" w:name="_Toc32412222"/>
      <w:bookmarkStart w:id="60" w:name="_Toc32412329"/>
      <w:r>
        <w:rPr>
          <w:rStyle w:val="CharPartNo"/>
        </w:rPr>
        <w:t>Part 4</w:t>
      </w:r>
      <w:r>
        <w:rPr>
          <w:rStyle w:val="CharDivNo"/>
        </w:rPr>
        <w:t> </w:t>
      </w:r>
      <w:r>
        <w:t>—</w:t>
      </w:r>
      <w:r>
        <w:rPr>
          <w:rStyle w:val="CharDivText"/>
        </w:rPr>
        <w:t> </w:t>
      </w:r>
      <w:r>
        <w:rPr>
          <w:rStyle w:val="CharPartText"/>
        </w:rPr>
        <w:t>Staff</w:t>
      </w:r>
      <w:bookmarkEnd w:id="59"/>
      <w:bookmarkEnd w:id="60"/>
      <w:r>
        <w:rPr>
          <w:rStyle w:val="CharPartText"/>
        </w:rPr>
        <w:t xml:space="preserve"> </w:t>
      </w:r>
    </w:p>
    <w:p>
      <w:pPr>
        <w:pStyle w:val="Heading5"/>
        <w:rPr>
          <w:snapToGrid w:val="0"/>
        </w:rPr>
      </w:pPr>
      <w:bookmarkStart w:id="61" w:name="_Toc32412330"/>
      <w:r>
        <w:rPr>
          <w:rStyle w:val="CharSectno"/>
        </w:rPr>
        <w:t>20</w:t>
      </w:r>
      <w:r>
        <w:rPr>
          <w:snapToGrid w:val="0"/>
        </w:rPr>
        <w:t>.</w:t>
      </w:r>
      <w:r>
        <w:rPr>
          <w:snapToGrid w:val="0"/>
        </w:rPr>
        <w:tab/>
        <w:t>Chief executive officer</w:t>
      </w:r>
      <w:bookmarkEnd w:id="61"/>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r>
        <w:tab/>
        <w:t>[Section 20 amended: No. 37 of 2011 s. 24 and 53(1).]</w:t>
      </w:r>
    </w:p>
    <w:p>
      <w:pPr>
        <w:pStyle w:val="Heading5"/>
        <w:rPr>
          <w:snapToGrid w:val="0"/>
        </w:rPr>
      </w:pPr>
      <w:bookmarkStart w:id="62" w:name="_Toc32412331"/>
      <w:r>
        <w:rPr>
          <w:rStyle w:val="CharSectno"/>
        </w:rPr>
        <w:t>21</w:t>
      </w:r>
      <w:r>
        <w:rPr>
          <w:snapToGrid w:val="0"/>
        </w:rPr>
        <w:t>.</w:t>
      </w:r>
      <w:r>
        <w:rPr>
          <w:snapToGrid w:val="0"/>
        </w:rPr>
        <w:tab/>
        <w:t>Other staff</w:t>
      </w:r>
      <w:bookmarkEnd w:id="62"/>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No. 20 of 2002 s. 27; No. 37 of 2011 s. 53(1); amended in Gazette 15 Aug 2003 p. 3692.]</w:t>
      </w:r>
    </w:p>
    <w:p>
      <w:pPr>
        <w:pStyle w:val="Heading5"/>
        <w:rPr>
          <w:snapToGrid w:val="0"/>
        </w:rPr>
      </w:pPr>
      <w:bookmarkStart w:id="63" w:name="_Toc32412332"/>
      <w:r>
        <w:rPr>
          <w:rStyle w:val="CharSectno"/>
        </w:rPr>
        <w:t>22</w:t>
      </w:r>
      <w:r>
        <w:rPr>
          <w:snapToGrid w:val="0"/>
        </w:rPr>
        <w:t>.</w:t>
      </w:r>
      <w:r>
        <w:rPr>
          <w:snapToGrid w:val="0"/>
        </w:rPr>
        <w:tab/>
        <w:t>Use of other government staff etc.</w:t>
      </w:r>
      <w:bookmarkEnd w:id="63"/>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r>
        <w:tab/>
        <w:t>[Section 22 amended: No. 37 of 2011 s. 25 and 53(1).]</w:t>
      </w:r>
    </w:p>
    <w:p>
      <w:pPr>
        <w:pStyle w:val="Heading2"/>
      </w:pPr>
      <w:bookmarkStart w:id="64" w:name="_Toc32412226"/>
      <w:bookmarkStart w:id="65" w:name="_Toc32412333"/>
      <w:r>
        <w:rPr>
          <w:rStyle w:val="CharPartNo"/>
        </w:rPr>
        <w:t>Part 5</w:t>
      </w:r>
      <w:r>
        <w:rPr>
          <w:rStyle w:val="CharDivNo"/>
        </w:rPr>
        <w:t> </w:t>
      </w:r>
      <w:r>
        <w:t>—</w:t>
      </w:r>
      <w:r>
        <w:rPr>
          <w:rStyle w:val="CharDivText"/>
        </w:rPr>
        <w:t> </w:t>
      </w:r>
      <w:r>
        <w:rPr>
          <w:rStyle w:val="CharPartText"/>
        </w:rPr>
        <w:t>Financial provisions</w:t>
      </w:r>
      <w:bookmarkEnd w:id="64"/>
      <w:bookmarkEnd w:id="65"/>
      <w:r>
        <w:rPr>
          <w:rStyle w:val="CharPartText"/>
        </w:rPr>
        <w:t xml:space="preserve"> </w:t>
      </w:r>
    </w:p>
    <w:p>
      <w:pPr>
        <w:pStyle w:val="Heading5"/>
        <w:rPr>
          <w:snapToGrid w:val="0"/>
        </w:rPr>
      </w:pPr>
      <w:bookmarkStart w:id="66" w:name="_Toc32412334"/>
      <w:r>
        <w:rPr>
          <w:rStyle w:val="CharSectno"/>
        </w:rPr>
        <w:t>23</w:t>
      </w:r>
      <w:r>
        <w:rPr>
          <w:snapToGrid w:val="0"/>
        </w:rPr>
        <w:t>.</w:t>
      </w:r>
      <w:r>
        <w:rPr>
          <w:snapToGrid w:val="0"/>
        </w:rPr>
        <w:tab/>
      </w:r>
      <w:r>
        <w:t>Funds of Authority</w:t>
      </w:r>
      <w:bookmarkEnd w:id="66"/>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r>
        <w:tab/>
        <w:t>[Section 23 amended: No. 37 of 2011 s. 26 and 53(1).]</w:t>
      </w:r>
    </w:p>
    <w:p>
      <w:pPr>
        <w:pStyle w:val="Heading5"/>
        <w:rPr>
          <w:snapToGrid w:val="0"/>
        </w:rPr>
      </w:pPr>
      <w:bookmarkStart w:id="67" w:name="_Toc32412335"/>
      <w:r>
        <w:rPr>
          <w:rStyle w:val="CharSectno"/>
        </w:rPr>
        <w:t>24</w:t>
      </w:r>
      <w:r>
        <w:rPr>
          <w:snapToGrid w:val="0"/>
        </w:rPr>
        <w:t>.</w:t>
      </w:r>
      <w:r>
        <w:rPr>
          <w:snapToGrid w:val="0"/>
        </w:rPr>
        <w:tab/>
      </w:r>
      <w:r>
        <w:rPr>
          <w:bCs/>
        </w:rPr>
        <w:t>School Curriculum and Standards Authority Account</w:t>
      </w:r>
      <w:bookmarkEnd w:id="67"/>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 and</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 No. 77 of 2006 Sch. 1 cl. 41(2); No. 37 of 2011 s. 27 and 53(1).]</w:t>
      </w:r>
    </w:p>
    <w:p>
      <w:pPr>
        <w:pStyle w:val="Ednotesection"/>
      </w:pPr>
      <w:r>
        <w:t>[</w:t>
      </w:r>
      <w:r>
        <w:rPr>
          <w:b/>
        </w:rPr>
        <w:t>25.</w:t>
      </w:r>
      <w:r>
        <w:tab/>
        <w:t>Deleted: No. 37 of 2011 s. 28.]</w:t>
      </w:r>
    </w:p>
    <w:p>
      <w:pPr>
        <w:pStyle w:val="Heading5"/>
        <w:rPr>
          <w:snapToGrid w:val="0"/>
        </w:rPr>
      </w:pPr>
      <w:bookmarkStart w:id="68" w:name="_Toc32412336"/>
      <w:r>
        <w:rPr>
          <w:rStyle w:val="CharSectno"/>
        </w:rPr>
        <w:t>26</w:t>
      </w:r>
      <w:r>
        <w:rPr>
          <w:snapToGrid w:val="0"/>
        </w:rPr>
        <w:t>.</w:t>
      </w:r>
      <w:r>
        <w:rPr>
          <w:snapToGrid w:val="0"/>
        </w:rPr>
        <w:tab/>
      </w:r>
      <w:r>
        <w:rPr>
          <w:bCs/>
        </w:rPr>
        <w:t>Borrowing by Authority</w:t>
      </w:r>
      <w:bookmarkEnd w:id="68"/>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r>
        <w:tab/>
        <w:t>[Section 26 amended: No. 37 of 2011 s. 29 and 53(1).]</w:t>
      </w:r>
    </w:p>
    <w:p>
      <w:pPr>
        <w:pStyle w:val="Ednotesection"/>
      </w:pPr>
      <w:r>
        <w:t>[</w:t>
      </w:r>
      <w:r>
        <w:rPr>
          <w:b/>
        </w:rPr>
        <w:t>27, 28.</w:t>
      </w:r>
      <w:r>
        <w:tab/>
        <w:t>Deleted: No. 37 of 2011 s. 30.]</w:t>
      </w:r>
    </w:p>
    <w:p>
      <w:pPr>
        <w:pStyle w:val="Heading5"/>
        <w:rPr>
          <w:snapToGrid w:val="0"/>
        </w:rPr>
      </w:pPr>
      <w:bookmarkStart w:id="69" w:name="_Toc32412337"/>
      <w:r>
        <w:rPr>
          <w:rStyle w:val="CharSectno"/>
        </w:rP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6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 No. 77 of 2006 Sch. 1 cl. 41(3); No. 37 of 2011 s. 53(1).]</w:t>
      </w:r>
    </w:p>
    <w:p>
      <w:pPr>
        <w:pStyle w:val="Heading2"/>
      </w:pPr>
      <w:bookmarkStart w:id="70" w:name="_Toc32412231"/>
      <w:bookmarkStart w:id="71" w:name="_Toc32412338"/>
      <w:r>
        <w:rPr>
          <w:rStyle w:val="CharPartNo"/>
        </w:rPr>
        <w:t>Part 6</w:t>
      </w:r>
      <w:r>
        <w:rPr>
          <w:rStyle w:val="CharDivNo"/>
        </w:rPr>
        <w:t> </w:t>
      </w:r>
      <w:r>
        <w:t>—</w:t>
      </w:r>
      <w:r>
        <w:rPr>
          <w:rStyle w:val="CharDivText"/>
        </w:rPr>
        <w:t> </w:t>
      </w:r>
      <w:r>
        <w:rPr>
          <w:rStyle w:val="CharPartText"/>
        </w:rPr>
        <w:t>Miscellaneous</w:t>
      </w:r>
      <w:bookmarkEnd w:id="70"/>
      <w:bookmarkEnd w:id="71"/>
      <w:r>
        <w:rPr>
          <w:rStyle w:val="CharPartText"/>
        </w:rPr>
        <w:t xml:space="preserve"> </w:t>
      </w:r>
    </w:p>
    <w:p>
      <w:pPr>
        <w:pStyle w:val="Heading5"/>
        <w:rPr>
          <w:snapToGrid w:val="0"/>
        </w:rPr>
      </w:pPr>
      <w:bookmarkStart w:id="72" w:name="_Toc32412339"/>
      <w:r>
        <w:rPr>
          <w:rStyle w:val="CharSectno"/>
        </w:rPr>
        <w:t>30</w:t>
      </w:r>
      <w:r>
        <w:rPr>
          <w:snapToGrid w:val="0"/>
        </w:rPr>
        <w:t>.</w:t>
      </w:r>
      <w:r>
        <w:rPr>
          <w:snapToGrid w:val="0"/>
        </w:rPr>
        <w:tab/>
        <w:t>Protection from personal liability</w:t>
      </w:r>
      <w:bookmarkEnd w:id="72"/>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30 amended: No. 37 of 2011 s. 31 and 53(1).]</w:t>
      </w:r>
    </w:p>
    <w:p>
      <w:pPr>
        <w:pStyle w:val="Heading5"/>
        <w:rPr>
          <w:snapToGrid w:val="0"/>
        </w:rPr>
      </w:pPr>
      <w:bookmarkStart w:id="73" w:name="_Toc32412340"/>
      <w:r>
        <w:rPr>
          <w:rStyle w:val="CharSectno"/>
        </w:rPr>
        <w:t>31</w:t>
      </w:r>
      <w:r>
        <w:rPr>
          <w:snapToGrid w:val="0"/>
        </w:rPr>
        <w:t>.</w:t>
      </w:r>
      <w:r>
        <w:rPr>
          <w:snapToGrid w:val="0"/>
        </w:rPr>
        <w:tab/>
      </w:r>
      <w:r>
        <w:t>Execution of documents by Authority</w:t>
      </w:r>
      <w:bookmarkEnd w:id="73"/>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r>
        <w:tab/>
        <w:t>[Section 31 amended: No. 37 of 2011 s. 32 and 53(1).]</w:t>
      </w:r>
    </w:p>
    <w:p>
      <w:pPr>
        <w:pStyle w:val="Heading5"/>
        <w:rPr>
          <w:snapToGrid w:val="0"/>
        </w:rPr>
      </w:pPr>
      <w:bookmarkStart w:id="74" w:name="_Toc32412341"/>
      <w:r>
        <w:rPr>
          <w:rStyle w:val="CharSectno"/>
        </w:rPr>
        <w:t>32</w:t>
      </w:r>
      <w:r>
        <w:rPr>
          <w:snapToGrid w:val="0"/>
        </w:rPr>
        <w:t>.</w:t>
      </w:r>
      <w:r>
        <w:rPr>
          <w:snapToGrid w:val="0"/>
        </w:rPr>
        <w:tab/>
        <w:t>Information obtained by Board etc., disclosure and use etc. of restricted</w:t>
      </w:r>
      <w:bookmarkEnd w:id="74"/>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No. 22 of 2005 s. 48; No. 37 of 2011 s. 33.]</w:t>
      </w:r>
    </w:p>
    <w:p>
      <w:pPr>
        <w:pStyle w:val="Heading5"/>
        <w:rPr>
          <w:snapToGrid w:val="0"/>
        </w:rPr>
      </w:pPr>
      <w:bookmarkStart w:id="75" w:name="_Toc32412342"/>
      <w:r>
        <w:rPr>
          <w:rStyle w:val="CharSectno"/>
        </w:rPr>
        <w:t>33</w:t>
      </w:r>
      <w:r>
        <w:rPr>
          <w:snapToGrid w:val="0"/>
        </w:rPr>
        <w:t>.</w:t>
      </w:r>
      <w:r>
        <w:rPr>
          <w:snapToGrid w:val="0"/>
        </w:rPr>
        <w:tab/>
        <w:t>Regulations</w:t>
      </w:r>
      <w:bookmarkEnd w:id="7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 and</w:t>
      </w:r>
    </w:p>
    <w:p>
      <w:pPr>
        <w:pStyle w:val="Indenti"/>
        <w:rPr>
          <w:snapToGrid w:val="0"/>
        </w:rPr>
      </w:pPr>
      <w:r>
        <w:rPr>
          <w:snapToGrid w:val="0"/>
        </w:rPr>
        <w:tab/>
        <w:t>(ii)</w:t>
      </w:r>
      <w:r>
        <w:rPr>
          <w:snapToGrid w:val="0"/>
        </w:rPr>
        <w:tab/>
        <w:t xml:space="preserve">an application to the </w:t>
      </w:r>
      <w:r>
        <w:t>Authority</w:t>
      </w:r>
      <w:r>
        <w:rPr>
          <w:snapToGrid w:val="0"/>
        </w:rPr>
        <w:t>; and</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No. 22 of 2005 s. 49; No. 37 of 2011 s. 34 and 53(1).]</w:t>
      </w:r>
    </w:p>
    <w:p>
      <w:pPr>
        <w:pStyle w:val="Ednotesection"/>
      </w:pPr>
      <w:r>
        <w:t>[</w:t>
      </w:r>
      <w:r>
        <w:rPr>
          <w:b/>
        </w:rPr>
        <w:t>34.</w:t>
      </w:r>
      <w:r>
        <w:tab/>
        <w:t>Deleted: No. 37 of 2011 s. 35.]</w:t>
      </w:r>
    </w:p>
    <w:p>
      <w:pPr>
        <w:pStyle w:val="Ednotesection"/>
      </w:pPr>
      <w:r>
        <w:t>[</w:t>
      </w:r>
      <w:r>
        <w:rPr>
          <w:b/>
        </w:rPr>
        <w:t>35.</w:t>
      </w:r>
      <w:r>
        <w:tab/>
        <w:t>Omitted under the Reprints Act 1984 s. 7(4)(e).]</w:t>
      </w:r>
    </w:p>
    <w:p>
      <w:pPr>
        <w:pStyle w:val="Heading5"/>
        <w:rPr>
          <w:snapToGrid w:val="0"/>
        </w:rPr>
      </w:pPr>
      <w:bookmarkStart w:id="76" w:name="_Toc32412343"/>
      <w:r>
        <w:rPr>
          <w:rStyle w:val="CharSectno"/>
        </w:rPr>
        <w:t>36</w:t>
      </w:r>
      <w:r>
        <w:rPr>
          <w:snapToGrid w:val="0"/>
        </w:rPr>
        <w:t>.</w:t>
      </w:r>
      <w:r>
        <w:rPr>
          <w:snapToGrid w:val="0"/>
        </w:rPr>
        <w:tab/>
        <w:t>Review of Act</w:t>
      </w:r>
      <w:bookmarkEnd w:id="7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 and</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No. 37 of 2011 s. 36 and 53(1).]</w:t>
      </w:r>
    </w:p>
    <w:p>
      <w:pPr>
        <w:pStyle w:val="Heading2"/>
      </w:pPr>
      <w:bookmarkStart w:id="77" w:name="_Toc32412237"/>
      <w:bookmarkStart w:id="78" w:name="_Toc32412344"/>
      <w:r>
        <w:rPr>
          <w:rStyle w:val="CharPartNo"/>
        </w:rPr>
        <w:t>Part 7</w:t>
      </w:r>
      <w:r>
        <w:rPr>
          <w:rStyle w:val="CharDivNo"/>
        </w:rPr>
        <w:t> </w:t>
      </w:r>
      <w:r>
        <w:t>—</w:t>
      </w:r>
      <w:r>
        <w:rPr>
          <w:rStyle w:val="CharDivText"/>
        </w:rPr>
        <w:t> </w:t>
      </w:r>
      <w:r>
        <w:rPr>
          <w:rStyle w:val="CharPartText"/>
        </w:rPr>
        <w:t>Transitional provisions</w:t>
      </w:r>
      <w:bookmarkEnd w:id="77"/>
      <w:bookmarkEnd w:id="78"/>
    </w:p>
    <w:p>
      <w:pPr>
        <w:pStyle w:val="Footnoteheading"/>
      </w:pPr>
      <w:r>
        <w:tab/>
        <w:t>[Heading inserted: No. 37 of 2011 s. 37.]</w:t>
      </w:r>
    </w:p>
    <w:p>
      <w:pPr>
        <w:pStyle w:val="Heading5"/>
      </w:pPr>
      <w:bookmarkStart w:id="79" w:name="_Toc32412345"/>
      <w:r>
        <w:rPr>
          <w:rStyle w:val="CharSectno"/>
        </w:rPr>
        <w:t>37</w:t>
      </w:r>
      <w:r>
        <w:t>.</w:t>
      </w:r>
      <w:r>
        <w:tab/>
        <w:t>Terms used</w:t>
      </w:r>
      <w:bookmarkEnd w:id="79"/>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r>
        <w:tab/>
        <w:t>[Section 37 inserted: No. 37 of 2011 s. 37.]</w:t>
      </w:r>
    </w:p>
    <w:p>
      <w:pPr>
        <w:pStyle w:val="Heading5"/>
      </w:pPr>
      <w:bookmarkStart w:id="80" w:name="_Toc32412346"/>
      <w:r>
        <w:rPr>
          <w:rStyle w:val="CharSectno"/>
        </w:rPr>
        <w:t>38</w:t>
      </w:r>
      <w:r>
        <w:t>.</w:t>
      </w:r>
      <w:r>
        <w:rPr>
          <w:b w:val="0"/>
        </w:rPr>
        <w:tab/>
      </w:r>
      <w:r>
        <w:t>Curriculum Council abolished on 1 Mar 2012</w:t>
      </w:r>
      <w:bookmarkEnd w:id="80"/>
    </w:p>
    <w:p>
      <w:pPr>
        <w:pStyle w:val="Subsection"/>
      </w:pPr>
      <w:r>
        <w:tab/>
      </w:r>
      <w:r>
        <w:tab/>
        <w:t>At the beginning of the commencement day the Council is abolished and its members go out of office.</w:t>
      </w:r>
    </w:p>
    <w:p>
      <w:pPr>
        <w:pStyle w:val="Footnotesection"/>
      </w:pPr>
      <w:r>
        <w:tab/>
        <w:t>[Section 38 inserted: No. 37 of 2011 s. 37.]</w:t>
      </w:r>
    </w:p>
    <w:p>
      <w:pPr>
        <w:pStyle w:val="Heading5"/>
      </w:pPr>
      <w:bookmarkStart w:id="81" w:name="_Toc32412347"/>
      <w:r>
        <w:rPr>
          <w:rStyle w:val="CharSectno"/>
        </w:rPr>
        <w:t>39</w:t>
      </w:r>
      <w:r>
        <w:t>.</w:t>
      </w:r>
      <w:r>
        <w:rPr>
          <w:b w:val="0"/>
        </w:rPr>
        <w:tab/>
      </w:r>
      <w:r>
        <w:t>Devolution of Council’s assets, liabilities etc.</w:t>
      </w:r>
      <w:bookmarkEnd w:id="81"/>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r>
        <w:tab/>
        <w:t>[Section 39 inserted: No. 37 of 2011 s. 37.]</w:t>
      </w:r>
    </w:p>
    <w:p>
      <w:pPr>
        <w:pStyle w:val="Heading5"/>
      </w:pPr>
      <w:bookmarkStart w:id="82" w:name="_Toc32412348"/>
      <w:r>
        <w:rPr>
          <w:rStyle w:val="CharSectno"/>
        </w:rPr>
        <w:t>40</w:t>
      </w:r>
      <w:r>
        <w:t>.</w:t>
      </w:r>
      <w:r>
        <w:rPr>
          <w:b w:val="0"/>
        </w:rPr>
        <w:tab/>
      </w:r>
      <w:r>
        <w:t>Chief executive officer of Council continues in office</w:t>
      </w:r>
      <w:bookmarkEnd w:id="82"/>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r>
        <w:tab/>
        <w:t>[Section 40 inserted: No. 37 of 2011 s. 37.]</w:t>
      </w:r>
    </w:p>
    <w:p>
      <w:pPr>
        <w:pStyle w:val="Heading5"/>
      </w:pPr>
      <w:bookmarkStart w:id="83" w:name="_Toc32412349"/>
      <w:r>
        <w:rPr>
          <w:rStyle w:val="CharSectno"/>
        </w:rPr>
        <w:t>41</w:t>
      </w:r>
      <w:r>
        <w:t>.</w:t>
      </w:r>
      <w:r>
        <w:rPr>
          <w:b w:val="0"/>
        </w:rPr>
        <w:tab/>
      </w:r>
      <w:r>
        <w:t>Transfer of members of staff to Authority</w:t>
      </w:r>
      <w:bookmarkEnd w:id="83"/>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r>
        <w:tab/>
        <w:t>[Section 41 inserted: No. 37 of 2011 s. 37.]</w:t>
      </w:r>
    </w:p>
    <w:p>
      <w:pPr>
        <w:pStyle w:val="Heading5"/>
      </w:pPr>
      <w:bookmarkStart w:id="84" w:name="_Toc32412350"/>
      <w:r>
        <w:rPr>
          <w:rStyle w:val="CharSectno"/>
        </w:rPr>
        <w:t>42</w:t>
      </w:r>
      <w:r>
        <w:t>.</w:t>
      </w:r>
      <w:r>
        <w:rPr>
          <w:b w:val="0"/>
        </w:rPr>
        <w:tab/>
      </w:r>
      <w:r>
        <w:t>Employees’ rights preserved</w:t>
      </w:r>
      <w:bookmarkEnd w:id="84"/>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r>
        <w:tab/>
        <w:t>[Section 42 inserted: No. 37 of 2011 s. 37.]</w:t>
      </w:r>
    </w:p>
    <w:p>
      <w:pPr>
        <w:pStyle w:val="Heading5"/>
      </w:pPr>
      <w:bookmarkStart w:id="85" w:name="_Toc32412351"/>
      <w:r>
        <w:rPr>
          <w:rStyle w:val="CharSectno"/>
        </w:rPr>
        <w:t>43</w:t>
      </w:r>
      <w:r>
        <w:t>.</w:t>
      </w:r>
      <w:r>
        <w:rPr>
          <w:b w:val="0"/>
        </w:rPr>
        <w:tab/>
      </w:r>
      <w:r>
        <w:t>Curriculum Council Account</w:t>
      </w:r>
      <w:bookmarkEnd w:id="85"/>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r>
        <w:tab/>
        <w:t>[Section 43 inserted: No. 37 of 2011 s. 37.]</w:t>
      </w:r>
    </w:p>
    <w:p>
      <w:pPr>
        <w:pStyle w:val="Heading5"/>
        <w:spacing w:before="280"/>
      </w:pPr>
      <w:bookmarkStart w:id="86" w:name="_Toc32412352"/>
      <w:r>
        <w:rPr>
          <w:rStyle w:val="CharSectno"/>
        </w:rPr>
        <w:t>44</w:t>
      </w:r>
      <w:r>
        <w:t>.</w:t>
      </w:r>
      <w:r>
        <w:rPr>
          <w:b w:val="0"/>
        </w:rPr>
        <w:tab/>
      </w:r>
      <w:r>
        <w:t>Completion of things commenced</w:t>
      </w:r>
      <w:bookmarkEnd w:id="86"/>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r>
        <w:tab/>
        <w:t>[Section 44 inserted: No. 37 of 2011 s. 37.]</w:t>
      </w:r>
    </w:p>
    <w:p>
      <w:pPr>
        <w:pStyle w:val="Heading5"/>
        <w:spacing w:before="280"/>
      </w:pPr>
      <w:bookmarkStart w:id="87" w:name="_Toc32412353"/>
      <w:r>
        <w:rPr>
          <w:rStyle w:val="CharSectno"/>
        </w:rPr>
        <w:t>45</w:t>
      </w:r>
      <w:r>
        <w:t>.</w:t>
      </w:r>
      <w:r>
        <w:rPr>
          <w:b w:val="0"/>
        </w:rPr>
        <w:tab/>
      </w:r>
      <w:r>
        <w:t>Continuing effect of things done</w:t>
      </w:r>
      <w:bookmarkEnd w:id="87"/>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r>
        <w:tab/>
        <w:t>[Section 45 inserted: No. 37 of 2011 s. 37.]</w:t>
      </w:r>
    </w:p>
    <w:p>
      <w:pPr>
        <w:pStyle w:val="Heading5"/>
        <w:spacing w:before="280"/>
      </w:pPr>
      <w:bookmarkStart w:id="88" w:name="_Toc32412354"/>
      <w:r>
        <w:rPr>
          <w:rStyle w:val="CharSectno"/>
        </w:rPr>
        <w:t>46</w:t>
      </w:r>
      <w:r>
        <w:t>.</w:t>
      </w:r>
      <w:r>
        <w:rPr>
          <w:b w:val="0"/>
        </w:rPr>
        <w:tab/>
      </w:r>
      <w:r>
        <w:t>Exemption from State taxes</w:t>
      </w:r>
      <w:bookmarkEnd w:id="88"/>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r>
        <w:tab/>
        <w:t>[Section 46 inserted: No. 37 of 2011 s. 37.]</w:t>
      </w:r>
    </w:p>
    <w:p>
      <w:pPr>
        <w:pStyle w:val="Heading5"/>
      </w:pPr>
      <w:bookmarkStart w:id="89" w:name="_Toc32412355"/>
      <w:r>
        <w:rPr>
          <w:rStyle w:val="CharSectno"/>
        </w:rPr>
        <w:t>47</w:t>
      </w:r>
      <w:r>
        <w:t>.</w:t>
      </w:r>
      <w:r>
        <w:rPr>
          <w:b w:val="0"/>
        </w:rPr>
        <w:tab/>
      </w:r>
      <w:r>
        <w:t>Agreements and instruments generally</w:t>
      </w:r>
      <w:bookmarkEnd w:id="89"/>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r>
        <w:tab/>
        <w:t>[Section 47 inserted: No. 37 of 2011 s. 37.]</w:t>
      </w:r>
    </w:p>
    <w:p>
      <w:pPr>
        <w:pStyle w:val="Heading5"/>
      </w:pPr>
      <w:bookmarkStart w:id="90" w:name="_Toc32412356"/>
      <w:r>
        <w:rPr>
          <w:rStyle w:val="CharSectno"/>
        </w:rPr>
        <w:t>48</w:t>
      </w:r>
      <w:r>
        <w:t>.</w:t>
      </w:r>
      <w:r>
        <w:rPr>
          <w:b w:val="0"/>
        </w:rPr>
        <w:tab/>
      </w:r>
      <w:r>
        <w:t>Immunity continues</w:t>
      </w:r>
      <w:bookmarkEnd w:id="90"/>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r>
        <w:tab/>
        <w:t>[Section 48 inserted: No. 37 of 2011 s. 37.]</w:t>
      </w:r>
    </w:p>
    <w:p>
      <w:pPr>
        <w:pStyle w:val="Heading5"/>
      </w:pPr>
      <w:bookmarkStart w:id="91" w:name="_Toc32412357"/>
      <w:r>
        <w:rPr>
          <w:rStyle w:val="CharSectno"/>
        </w:rPr>
        <w:t>49</w:t>
      </w:r>
      <w:r>
        <w:t>.</w:t>
      </w:r>
      <w:r>
        <w:rPr>
          <w:b w:val="0"/>
        </w:rPr>
        <w:tab/>
      </w:r>
      <w:r>
        <w:t>Duty of confidentiality continues to apply to members of the Council</w:t>
      </w:r>
      <w:bookmarkEnd w:id="91"/>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r>
        <w:tab/>
        <w:t>[Section 49 inserted: No. 37 of 2011 s. 37.]</w:t>
      </w:r>
    </w:p>
    <w:p>
      <w:pPr>
        <w:pStyle w:val="Heading5"/>
      </w:pPr>
      <w:bookmarkStart w:id="92" w:name="_Toc32412358"/>
      <w:r>
        <w:rPr>
          <w:rStyle w:val="CharSectno"/>
        </w:rPr>
        <w:t>50</w:t>
      </w:r>
      <w:r>
        <w:t>.</w:t>
      </w:r>
      <w:r>
        <w:rPr>
          <w:b w:val="0"/>
        </w:rPr>
        <w:tab/>
      </w:r>
      <w:r>
        <w:t>Registration of documents</w:t>
      </w:r>
      <w:bookmarkEnd w:id="92"/>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r>
        <w:tab/>
        <w:t>[Section 50 inserted: No. 37 of 2011 s. 37.]</w:t>
      </w:r>
    </w:p>
    <w:p>
      <w:pPr>
        <w:pStyle w:val="Heading5"/>
      </w:pPr>
      <w:bookmarkStart w:id="93" w:name="_Toc32412359"/>
      <w:r>
        <w:rPr>
          <w:rStyle w:val="CharSectno"/>
        </w:rPr>
        <w:t>51</w:t>
      </w:r>
      <w:r>
        <w:t>.</w:t>
      </w:r>
      <w:r>
        <w:rPr>
          <w:b w:val="0"/>
        </w:rPr>
        <w:tab/>
      </w:r>
      <w:r>
        <w:t>Transitional regulations</w:t>
      </w:r>
      <w:bookmarkEnd w:id="93"/>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51 inserted: No. 37 of 2011 s. 37.]</w:t>
      </w:r>
    </w:p>
    <w:p>
      <w:pPr>
        <w:pStyle w:val="Heading5"/>
      </w:pPr>
      <w:bookmarkStart w:id="94" w:name="_Toc32412360"/>
      <w:r>
        <w:rPr>
          <w:rStyle w:val="CharSectno"/>
        </w:rPr>
        <w:t>52</w:t>
      </w:r>
      <w:r>
        <w:t>.</w:t>
      </w:r>
      <w:r>
        <w:rPr>
          <w:b w:val="0"/>
        </w:rPr>
        <w:tab/>
      </w:r>
      <w:r>
        <w:t>Saving</w:t>
      </w:r>
      <w:bookmarkEnd w:id="94"/>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No. 37 of 2011 s. 37.]</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95" w:name="_Toc32412254"/>
      <w:bookmarkStart w:id="96" w:name="_Toc32412361"/>
      <w:r>
        <w:rPr>
          <w:rStyle w:val="CharSchNo"/>
        </w:rPr>
        <w:t>Schedule 1</w:t>
      </w:r>
      <w:r>
        <w:t> — </w:t>
      </w:r>
      <w:r>
        <w:rPr>
          <w:rStyle w:val="CharSchText"/>
        </w:rPr>
        <w:t>Provisions as to Board</w:t>
      </w:r>
      <w:bookmarkEnd w:id="95"/>
      <w:bookmarkEnd w:id="96"/>
    </w:p>
    <w:p>
      <w:pPr>
        <w:pStyle w:val="yShoulderClause"/>
        <w:rPr>
          <w:snapToGrid w:val="0"/>
        </w:rPr>
      </w:pPr>
      <w:r>
        <w:rPr>
          <w:snapToGrid w:val="0"/>
        </w:rPr>
        <w:t>[s. 7]</w:t>
      </w:r>
    </w:p>
    <w:p>
      <w:pPr>
        <w:pStyle w:val="yFootnoteheading"/>
      </w:pPr>
      <w:r>
        <w:tab/>
        <w:t>[Heading amended: No. 19 of 2010 s. 4; No. 37 of 2011 s. 38.]</w:t>
      </w:r>
    </w:p>
    <w:p>
      <w:pPr>
        <w:pStyle w:val="yHeading3"/>
      </w:pPr>
      <w:bookmarkStart w:id="97" w:name="_Toc32412255"/>
      <w:bookmarkStart w:id="98" w:name="_Toc32412362"/>
      <w:r>
        <w:rPr>
          <w:rStyle w:val="CharSDivNo"/>
        </w:rPr>
        <w:t>Division 1</w:t>
      </w:r>
      <w:r>
        <w:t> — </w:t>
      </w:r>
      <w:r>
        <w:rPr>
          <w:rStyle w:val="CharSDivText"/>
        </w:rPr>
        <w:t>Provisions as to constitution and proceedings of the Board</w:t>
      </w:r>
      <w:bookmarkEnd w:id="97"/>
      <w:bookmarkEnd w:id="98"/>
    </w:p>
    <w:p>
      <w:pPr>
        <w:pStyle w:val="yFootnoteheading"/>
      </w:pPr>
      <w:r>
        <w:tab/>
        <w:t>[Heading amended: No. 37 of 2011 s. 39.]</w:t>
      </w:r>
    </w:p>
    <w:p>
      <w:pPr>
        <w:pStyle w:val="yHeading5"/>
        <w:outlineLvl w:val="9"/>
      </w:pPr>
      <w:bookmarkStart w:id="99" w:name="_Toc32412363"/>
      <w:r>
        <w:rPr>
          <w:rStyle w:val="CharSClsNo"/>
        </w:rPr>
        <w:t>1</w:t>
      </w:r>
      <w:r>
        <w:t>.</w:t>
      </w:r>
      <w:r>
        <w:tab/>
        <w:t>Term of office of members</w:t>
      </w:r>
      <w:bookmarkEnd w:id="99"/>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r>
        <w:tab/>
        <w:t>[Clause 1 amended: No. 37 of 2011 s. 40.]</w:t>
      </w:r>
    </w:p>
    <w:p>
      <w:pPr>
        <w:pStyle w:val="yHeading5"/>
        <w:outlineLvl w:val="9"/>
      </w:pPr>
      <w:bookmarkStart w:id="100" w:name="_Toc32412364"/>
      <w:r>
        <w:rPr>
          <w:rStyle w:val="CharSClsNo"/>
        </w:rPr>
        <w:t>2</w:t>
      </w:r>
      <w:r>
        <w:t>.</w:t>
      </w:r>
      <w:r>
        <w:tab/>
        <w:t>Resignation, removal etc. of members</w:t>
      </w:r>
      <w:bookmarkEnd w:id="100"/>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 or</w:t>
      </w:r>
    </w:p>
    <w:p>
      <w:pPr>
        <w:pStyle w:val="yIndenta"/>
        <w:spacing w:before="70"/>
        <w:rPr>
          <w:snapToGrid w:val="0"/>
        </w:rPr>
      </w:pPr>
      <w:r>
        <w:rPr>
          <w:snapToGrid w:val="0"/>
        </w:rPr>
        <w:tab/>
        <w:t>(b)</w:t>
      </w:r>
      <w:r>
        <w:rPr>
          <w:snapToGrid w:val="0"/>
        </w:rPr>
        <w:tab/>
        <w:t>has misbehaved; or</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r>
        <w:tab/>
        <w:t>[Clause 2 amended: No. 10 of 2001 s. 220; No. 37 of 2011 s. 41.]</w:t>
      </w:r>
    </w:p>
    <w:p>
      <w:pPr>
        <w:pStyle w:val="yHeading5"/>
        <w:outlineLvl w:val="9"/>
      </w:pPr>
      <w:bookmarkStart w:id="101" w:name="_Toc32412365"/>
      <w:r>
        <w:rPr>
          <w:rStyle w:val="CharSClsNo"/>
        </w:rPr>
        <w:t>3</w:t>
      </w:r>
      <w:r>
        <w:t>.</w:t>
      </w:r>
      <w:r>
        <w:tab/>
        <w:t>Leave of absence for members</w:t>
      </w:r>
      <w:bookmarkEnd w:id="101"/>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r>
        <w:tab/>
        <w:t>[Clause 3 amended: No. 37 of 2011 s. 42.]</w:t>
      </w:r>
    </w:p>
    <w:p>
      <w:pPr>
        <w:pStyle w:val="yHeading5"/>
        <w:outlineLvl w:val="9"/>
      </w:pPr>
      <w:bookmarkStart w:id="102" w:name="_Toc32412366"/>
      <w:r>
        <w:rPr>
          <w:rStyle w:val="CharSClsNo"/>
        </w:rPr>
        <w:t>4</w:t>
      </w:r>
      <w:r>
        <w:t>.</w:t>
      </w:r>
      <w:r>
        <w:tab/>
        <w:t>Appointed member unable to act</w:t>
      </w:r>
      <w:bookmarkEnd w:id="102"/>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r>
        <w:tab/>
        <w:t>[Clause 4 amended: No. 37 of 2011 s. 43.]</w:t>
      </w:r>
    </w:p>
    <w:p>
      <w:pPr>
        <w:pStyle w:val="yEdnotesection"/>
      </w:pPr>
      <w:r>
        <w:t>[</w:t>
      </w:r>
      <w:r>
        <w:rPr>
          <w:b/>
        </w:rPr>
        <w:t>5.</w:t>
      </w:r>
      <w:r>
        <w:tab/>
        <w:t>Deleted: No. 37 of 2011 s. 44.]</w:t>
      </w:r>
    </w:p>
    <w:p>
      <w:pPr>
        <w:pStyle w:val="yHeading5"/>
        <w:outlineLvl w:val="9"/>
      </w:pPr>
      <w:bookmarkStart w:id="103" w:name="_Toc32412367"/>
      <w:r>
        <w:rPr>
          <w:rStyle w:val="CharSClsNo"/>
        </w:rPr>
        <w:t>6</w:t>
      </w:r>
      <w:r>
        <w:t>.</w:t>
      </w:r>
      <w:r>
        <w:tab/>
        <w:t>Saving</w:t>
      </w:r>
      <w:bookmarkEnd w:id="103"/>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r>
        <w:tab/>
        <w:t>[Clause 6 amended: No. 37 of 2011 s. 45.]</w:t>
      </w:r>
    </w:p>
    <w:p>
      <w:pPr>
        <w:pStyle w:val="yHeading5"/>
        <w:outlineLvl w:val="9"/>
      </w:pPr>
      <w:bookmarkStart w:id="104" w:name="_Toc32412368"/>
      <w:r>
        <w:rPr>
          <w:rStyle w:val="CharSClsNo"/>
        </w:rPr>
        <w:t>7</w:t>
      </w:r>
      <w:r>
        <w:t>.</w:t>
      </w:r>
      <w:r>
        <w:tab/>
        <w:t>Meetings, convening</w:t>
      </w:r>
      <w:bookmarkEnd w:id="104"/>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r>
        <w:tab/>
        <w:t>[Clause 7 amended: No. 37 of 2011 s. 53(2).]</w:t>
      </w:r>
    </w:p>
    <w:p>
      <w:pPr>
        <w:pStyle w:val="yHeading5"/>
        <w:outlineLvl w:val="9"/>
      </w:pPr>
      <w:bookmarkStart w:id="105" w:name="_Toc32412369"/>
      <w:r>
        <w:rPr>
          <w:rStyle w:val="CharSClsNo"/>
        </w:rPr>
        <w:t>8</w:t>
      </w:r>
      <w:r>
        <w:t>.</w:t>
      </w:r>
      <w:r>
        <w:tab/>
        <w:t>Presiding officer</w:t>
      </w:r>
      <w:bookmarkEnd w:id="105"/>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r>
        <w:tab/>
        <w:t>[Clause 8 amended: No. 37 of 2011 s. 53(2).]</w:t>
      </w:r>
    </w:p>
    <w:p>
      <w:pPr>
        <w:pStyle w:val="yHeading5"/>
        <w:outlineLvl w:val="9"/>
      </w:pPr>
      <w:bookmarkStart w:id="106" w:name="_Toc32412370"/>
      <w:r>
        <w:rPr>
          <w:rStyle w:val="CharSClsNo"/>
        </w:rPr>
        <w:t>9</w:t>
      </w:r>
      <w:r>
        <w:t>.</w:t>
      </w:r>
      <w:r>
        <w:tab/>
        <w:t>Quorum</w:t>
      </w:r>
      <w:bookmarkEnd w:id="106"/>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r>
        <w:tab/>
        <w:t>[Clause 9 amended: No. 37 of 2011 s. 46.]</w:t>
      </w:r>
    </w:p>
    <w:p>
      <w:pPr>
        <w:pStyle w:val="yHeading5"/>
        <w:outlineLvl w:val="9"/>
      </w:pPr>
      <w:bookmarkStart w:id="107" w:name="_Toc32412371"/>
      <w:r>
        <w:rPr>
          <w:rStyle w:val="CharSClsNo"/>
        </w:rPr>
        <w:t>10</w:t>
      </w:r>
      <w:r>
        <w:t>.</w:t>
      </w:r>
      <w:r>
        <w:tab/>
        <w:t>Voting</w:t>
      </w:r>
      <w:bookmarkEnd w:id="107"/>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r>
        <w:tab/>
        <w:t>[Clause 10 amended: No. 37 of 2011 s. 47 and 53(2).]</w:t>
      </w:r>
    </w:p>
    <w:p>
      <w:pPr>
        <w:pStyle w:val="yHeading5"/>
        <w:outlineLvl w:val="9"/>
      </w:pPr>
      <w:bookmarkStart w:id="108" w:name="_Toc32412372"/>
      <w:r>
        <w:rPr>
          <w:rStyle w:val="CharSClsNo"/>
        </w:rPr>
        <w:t>11</w:t>
      </w:r>
      <w:r>
        <w:t>.</w:t>
      </w:r>
      <w:r>
        <w:tab/>
        <w:t>Minutes</w:t>
      </w:r>
      <w:bookmarkEnd w:id="108"/>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r>
        <w:tab/>
        <w:t>[Clause 11 amended: No. 37 of 2011 s. 53(2).]</w:t>
      </w:r>
    </w:p>
    <w:p>
      <w:pPr>
        <w:pStyle w:val="yHeading5"/>
        <w:outlineLvl w:val="9"/>
      </w:pPr>
      <w:bookmarkStart w:id="109" w:name="_Toc32412373"/>
      <w:r>
        <w:rPr>
          <w:rStyle w:val="CharSClsNo"/>
        </w:rPr>
        <w:t>12</w:t>
      </w:r>
      <w:r>
        <w:t>.</w:t>
      </w:r>
      <w:r>
        <w:tab/>
        <w:t>Resolution without meeting</w:t>
      </w:r>
      <w:bookmarkEnd w:id="109"/>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r>
        <w:tab/>
        <w:t>[Clause 12 amended: No. 37 of 2011 s. 53(2).]</w:t>
      </w:r>
    </w:p>
    <w:p>
      <w:pPr>
        <w:pStyle w:val="yHeading5"/>
        <w:outlineLvl w:val="9"/>
      </w:pPr>
      <w:bookmarkStart w:id="110" w:name="_Toc32412374"/>
      <w:r>
        <w:rPr>
          <w:rStyle w:val="CharSClsNo"/>
        </w:rPr>
        <w:t>13</w:t>
      </w:r>
      <w:r>
        <w:t>.</w:t>
      </w:r>
      <w:r>
        <w:tab/>
        <w:t>Telephone or video meetings</w:t>
      </w:r>
      <w:bookmarkEnd w:id="110"/>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r>
        <w:tab/>
        <w:t>[Clause 13 amended: No. 37 of 2011 s. 48.]</w:t>
      </w:r>
    </w:p>
    <w:p>
      <w:pPr>
        <w:pStyle w:val="yEdnotesection"/>
      </w:pPr>
      <w:r>
        <w:t>[</w:t>
      </w:r>
      <w:r>
        <w:rPr>
          <w:b/>
        </w:rPr>
        <w:t>14.</w:t>
      </w:r>
      <w:r>
        <w:tab/>
        <w:t>Deleted: No. 37 of 2011 s. 49.]</w:t>
      </w:r>
    </w:p>
    <w:p>
      <w:pPr>
        <w:pStyle w:val="yHeading5"/>
        <w:outlineLvl w:val="9"/>
      </w:pPr>
      <w:bookmarkStart w:id="111" w:name="_Toc32412375"/>
      <w:r>
        <w:rPr>
          <w:rStyle w:val="CharSClsNo"/>
        </w:rPr>
        <w:t>15</w:t>
      </w:r>
      <w:r>
        <w:t>.</w:t>
      </w:r>
      <w:r>
        <w:tab/>
        <w:t>Board to determine own procedures</w:t>
      </w:r>
      <w:bookmarkEnd w:id="111"/>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r>
        <w:tab/>
        <w:t>[Clause 15 amended: No. 37 of 2011 s. 53(2).]</w:t>
      </w:r>
    </w:p>
    <w:p>
      <w:pPr>
        <w:pStyle w:val="yHeading3"/>
      </w:pPr>
      <w:bookmarkStart w:id="112" w:name="_Toc32412269"/>
      <w:bookmarkStart w:id="113" w:name="_Toc32412376"/>
      <w:r>
        <w:rPr>
          <w:rStyle w:val="CharSDivNo"/>
        </w:rPr>
        <w:t>Division 2</w:t>
      </w:r>
      <w:r>
        <w:t> — </w:t>
      </w:r>
      <w:r>
        <w:rPr>
          <w:rStyle w:val="CharSDivText"/>
        </w:rPr>
        <w:t>Disclosure of interests, etc.</w:t>
      </w:r>
      <w:bookmarkEnd w:id="112"/>
      <w:bookmarkEnd w:id="113"/>
    </w:p>
    <w:p>
      <w:pPr>
        <w:pStyle w:val="yHeading5"/>
        <w:outlineLvl w:val="9"/>
      </w:pPr>
      <w:bookmarkStart w:id="114" w:name="_Toc32412377"/>
      <w:r>
        <w:rPr>
          <w:rStyle w:val="CharSClsNo"/>
        </w:rPr>
        <w:t>16</w:t>
      </w:r>
      <w:r>
        <w:t>.</w:t>
      </w:r>
      <w:r>
        <w:tab/>
        <w:t>Material personal interests to be disclosed</w:t>
      </w:r>
      <w:bookmarkEnd w:id="114"/>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16 amended: No. 50 of 2003 s. 53(2); No. 37 of 2011 s. 50.]</w:t>
      </w:r>
    </w:p>
    <w:p>
      <w:pPr>
        <w:pStyle w:val="yHeading5"/>
        <w:outlineLvl w:val="9"/>
      </w:pPr>
      <w:bookmarkStart w:id="115" w:name="_Toc32412378"/>
      <w:r>
        <w:rPr>
          <w:rStyle w:val="CharSClsNo"/>
        </w:rPr>
        <w:t>17</w:t>
      </w:r>
      <w:r>
        <w:t>.</w:t>
      </w:r>
      <w:r>
        <w:tab/>
        <w:t>Member with material personal interest not to vote etc.</w:t>
      </w:r>
      <w:bookmarkEnd w:id="115"/>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r>
        <w:tab/>
        <w:t>[Clause 17 amended: No. 37 of 2011 s. 51.]</w:t>
      </w:r>
    </w:p>
    <w:p>
      <w:pPr>
        <w:pStyle w:val="yHeading5"/>
        <w:outlineLvl w:val="9"/>
      </w:pPr>
      <w:bookmarkStart w:id="116" w:name="_Toc32412379"/>
      <w:r>
        <w:rPr>
          <w:rStyle w:val="CharSClsNo"/>
        </w:rPr>
        <w:t>18</w:t>
      </w:r>
      <w:r>
        <w:t>.</w:t>
      </w:r>
      <w:r>
        <w:tab/>
        <w:t>Board may disapply cl. 17</w:t>
      </w:r>
      <w:bookmarkEnd w:id="116"/>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r>
        <w:tab/>
        <w:t>[Clause 18 amended: No. 37 of 2011 s. 53(2).]</w:t>
      </w:r>
    </w:p>
    <w:p>
      <w:pPr>
        <w:pStyle w:val="yHeading5"/>
        <w:outlineLvl w:val="9"/>
      </w:pPr>
      <w:bookmarkStart w:id="117" w:name="_Toc32412380"/>
      <w:r>
        <w:rPr>
          <w:rStyle w:val="CharSClsNo"/>
        </w:rPr>
        <w:t>19</w:t>
      </w:r>
      <w:r>
        <w:t>.</w:t>
      </w:r>
      <w:r>
        <w:tab/>
        <w:t>Quorum where cl. 17 applies</w:t>
      </w:r>
      <w:bookmarkEnd w:id="117"/>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r>
        <w:tab/>
        <w:t>[Clause 19 amended: No. 37 of 2011 s. 52 and 53(2).]</w:t>
      </w:r>
    </w:p>
    <w:p>
      <w:pPr>
        <w:pStyle w:val="yHeading5"/>
        <w:outlineLvl w:val="9"/>
      </w:pPr>
      <w:bookmarkStart w:id="118" w:name="_Toc32412381"/>
      <w:r>
        <w:rPr>
          <w:rStyle w:val="CharSClsNo"/>
        </w:rPr>
        <w:t>20</w:t>
      </w:r>
      <w:r>
        <w:t>.</w:t>
      </w:r>
      <w:r>
        <w:tab/>
        <w:t>Minister may declare cl. 17 and 19 inapplicable</w:t>
      </w:r>
      <w:bookmarkEnd w:id="118"/>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r>
        <w:t>[Schedules 2 and 3 deleted: No. 37 of 2011 s. 54.]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20" w:name="_Toc32412275"/>
      <w:bookmarkStart w:id="121" w:name="_Toc32412382"/>
      <w:r>
        <w:t>Notes</w:t>
      </w:r>
      <w:bookmarkEnd w:id="120"/>
      <w:bookmarkEnd w:id="121"/>
    </w:p>
    <w:p>
      <w:pPr>
        <w:pStyle w:val="nStatement"/>
      </w:pPr>
      <w:r>
        <w:t xml:space="preserve">This is a compilation of the </w:t>
      </w:r>
      <w:r>
        <w:rPr>
          <w:i/>
          <w:noProof/>
        </w:rPr>
        <w:t>School Curriculum and Standards Authority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2" w:name="_Toc32412383"/>
      <w:r>
        <w:t>Compilation table</w:t>
      </w:r>
      <w:bookmarkEnd w:id="122"/>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8"/>
        <w:gridCol w:w="27"/>
        <w:gridCol w:w="2524"/>
        <w:gridCol w:w="22"/>
      </w:tblGrid>
      <w:tr>
        <w:trPr>
          <w:gridAfter w:val="1"/>
          <w:wAfter w:w="22" w:type="dxa"/>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2" w:type="dxa"/>
        </w:trPr>
        <w:tc>
          <w:tcPr>
            <w:tcW w:w="2268" w:type="dxa"/>
          </w:tcPr>
          <w:p>
            <w:pPr>
              <w:pStyle w:val="nTable"/>
              <w:spacing w:after="40"/>
              <w:rPr>
                <w:vertAlign w:val="superscript"/>
              </w:rPr>
            </w:pPr>
            <w:r>
              <w:rPr>
                <w:i/>
              </w:rPr>
              <w:t>Curriculum Council Act 1997</w:t>
            </w:r>
            <w:r>
              <w:rPr>
                <w:vertAlign w:val="superscript"/>
              </w:rPr>
              <w:t> 1</w:t>
            </w:r>
          </w:p>
        </w:tc>
        <w:tc>
          <w:tcPr>
            <w:tcW w:w="1134" w:type="dxa"/>
            <w:gridSpan w:val="2"/>
          </w:tcPr>
          <w:p>
            <w:pPr>
              <w:pStyle w:val="nTable"/>
              <w:spacing w:after="40"/>
            </w:pPr>
            <w:r>
              <w:t>17 of 1997</w:t>
            </w:r>
          </w:p>
        </w:tc>
        <w:tc>
          <w:tcPr>
            <w:tcW w:w="1136" w:type="dxa"/>
            <w:gridSpan w:val="2"/>
          </w:tcPr>
          <w:p>
            <w:pPr>
              <w:pStyle w:val="nTable"/>
              <w:spacing w:after="40"/>
            </w:pPr>
            <w:r>
              <w:t>8 Jul 1997</w:t>
            </w:r>
          </w:p>
        </w:tc>
        <w:tc>
          <w:tcPr>
            <w:tcW w:w="2551" w:type="dxa"/>
            <w:gridSpan w:val="2"/>
          </w:tcPr>
          <w:p>
            <w:pPr>
              <w:pStyle w:val="nTable"/>
              <w:spacing w:after="40"/>
            </w:pPr>
            <w:r>
              <w:t>s. 1 and 2: 8 Jul 1997;</w:t>
            </w:r>
            <w:r>
              <w:br/>
              <w:t xml:space="preserve">Act other than s. 1 and 2: 1 Aug 1997 (see s. 2 and </w:t>
            </w:r>
            <w:r>
              <w:rPr>
                <w:i/>
              </w:rPr>
              <w:t>Gazette</w:t>
            </w:r>
            <w:r>
              <w:t xml:space="preserve"> 25 Jul 1997 p. 3907)</w:t>
            </w:r>
          </w:p>
        </w:tc>
      </w:tr>
      <w:tr>
        <w:trPr>
          <w:gridAfter w:val="1"/>
          <w:wAfter w:w="22" w:type="dxa"/>
        </w:trPr>
        <w:tc>
          <w:tcPr>
            <w:tcW w:w="2268" w:type="dxa"/>
          </w:tcPr>
          <w:p>
            <w:pPr>
              <w:pStyle w:val="nTable"/>
              <w:spacing w:after="40"/>
              <w:rPr>
                <w:i/>
              </w:rPr>
            </w:pPr>
            <w:r>
              <w:rPr>
                <w:i/>
              </w:rPr>
              <w:t>School Education Act 1999</w:t>
            </w:r>
            <w:r>
              <w:t xml:space="preserve"> s. 247</w:t>
            </w:r>
          </w:p>
        </w:tc>
        <w:tc>
          <w:tcPr>
            <w:tcW w:w="1134" w:type="dxa"/>
            <w:gridSpan w:val="2"/>
          </w:tcPr>
          <w:p>
            <w:pPr>
              <w:pStyle w:val="nTable"/>
              <w:spacing w:after="40"/>
            </w:pPr>
            <w:r>
              <w:t>36 of 1999</w:t>
            </w:r>
          </w:p>
        </w:tc>
        <w:tc>
          <w:tcPr>
            <w:tcW w:w="1136"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1"/>
          <w:wAfter w:w="22" w:type="dxa"/>
        </w:trPr>
        <w:tc>
          <w:tcPr>
            <w:tcW w:w="2268" w:type="dxa"/>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6"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22" w:type="dxa"/>
        </w:trPr>
        <w:tc>
          <w:tcPr>
            <w:tcW w:w="2268" w:type="dxa"/>
          </w:tcPr>
          <w:p>
            <w:pPr>
              <w:pStyle w:val="nTable"/>
              <w:spacing w:after="40"/>
            </w:pPr>
            <w:r>
              <w:rPr>
                <w:i/>
              </w:rPr>
              <w:t>Labour Relations Reform Act 2002</w:t>
            </w:r>
            <w:r>
              <w:t xml:space="preserve"> s. 27</w:t>
            </w:r>
          </w:p>
        </w:tc>
        <w:tc>
          <w:tcPr>
            <w:tcW w:w="1134" w:type="dxa"/>
            <w:gridSpan w:val="2"/>
          </w:tcPr>
          <w:p>
            <w:pPr>
              <w:pStyle w:val="nTable"/>
              <w:spacing w:after="40"/>
            </w:pPr>
            <w:r>
              <w:t>20 of 2002</w:t>
            </w:r>
          </w:p>
        </w:tc>
        <w:tc>
          <w:tcPr>
            <w:tcW w:w="1136" w:type="dxa"/>
            <w:gridSpan w:val="2"/>
          </w:tcPr>
          <w:p>
            <w:pPr>
              <w:pStyle w:val="nTable"/>
              <w:spacing w:after="40"/>
            </w:pPr>
            <w:r>
              <w:t>8 Jul 2002</w:t>
            </w:r>
          </w:p>
        </w:tc>
        <w:tc>
          <w:tcPr>
            <w:tcW w:w="2551" w:type="dxa"/>
            <w:gridSpan w:val="2"/>
          </w:tcPr>
          <w:p>
            <w:pPr>
              <w:pStyle w:val="nTable"/>
              <w:spacing w:after="40"/>
            </w:pPr>
            <w:r>
              <w:t xml:space="preserve">15 Sep 2002 (see s. 2(1) and </w:t>
            </w:r>
            <w:r>
              <w:rPr>
                <w:i/>
              </w:rPr>
              <w:t>Gazette</w:t>
            </w:r>
            <w:r>
              <w:t xml:space="preserve"> 6 Sep 2002 p. 4487)</w:t>
            </w:r>
          </w:p>
        </w:tc>
      </w:tr>
      <w:tr>
        <w:trPr>
          <w:gridAfter w:val="1"/>
          <w:wAfter w:w="22" w:type="dxa"/>
          <w:cantSplit/>
        </w:trPr>
        <w:tc>
          <w:tcPr>
            <w:tcW w:w="7089" w:type="dxa"/>
            <w:gridSpan w:val="7"/>
          </w:tcPr>
          <w:p>
            <w:pPr>
              <w:pStyle w:val="nTable"/>
              <w:spacing w:after="40"/>
            </w:pPr>
            <w:r>
              <w:rPr>
                <w:b/>
              </w:rPr>
              <w:t xml:space="preserve">Reprint 1: The </w:t>
            </w:r>
            <w:r>
              <w:rPr>
                <w:b/>
                <w:i/>
              </w:rPr>
              <w:t>Curriculum Council Act 1997</w:t>
            </w:r>
            <w:r>
              <w:rPr>
                <w:b/>
              </w:rPr>
              <w:t xml:space="preserve"> as at 11 Apr 2003</w:t>
            </w:r>
            <w:r>
              <w:t xml:space="preserve"> (includes amendments listed above)</w:t>
            </w:r>
          </w:p>
        </w:tc>
      </w:tr>
      <w:tr>
        <w:trPr>
          <w:gridAfter w:val="1"/>
          <w:wAfter w:w="22" w:type="dxa"/>
        </w:trPr>
        <w:tc>
          <w:tcPr>
            <w:tcW w:w="2268" w:type="dxa"/>
          </w:tcPr>
          <w:p>
            <w:pPr>
              <w:pStyle w:val="nTable"/>
              <w:spacing w:after="40"/>
            </w:pPr>
            <w:r>
              <w:rPr>
                <w:i/>
              </w:rPr>
              <w:t xml:space="preserve">Sentencing Legislation Amendment and Repeal Act 2003 </w:t>
            </w:r>
            <w:r>
              <w:t>s. 53</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rPr>
          <w:gridAfter w:val="1"/>
          <w:wAfter w:w="22" w:type="dxa"/>
          <w:cantSplit/>
        </w:trPr>
        <w:tc>
          <w:tcPr>
            <w:tcW w:w="4538" w:type="dxa"/>
            <w:gridSpan w:val="5"/>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1" w:type="dxa"/>
            <w:gridSpan w:val="2"/>
          </w:tcPr>
          <w:p>
            <w:pPr>
              <w:pStyle w:val="nTable"/>
              <w:spacing w:after="40"/>
            </w:pPr>
            <w:r>
              <w:rPr>
                <w:spacing w:val="-2"/>
              </w:rPr>
              <w:t>15 Sep 2003 (see r. 2)</w:t>
            </w:r>
          </w:p>
        </w:tc>
      </w:tr>
      <w:tr>
        <w:trPr>
          <w:gridAfter w:val="1"/>
          <w:wAfter w:w="22" w:type="dxa"/>
        </w:trPr>
        <w:tc>
          <w:tcPr>
            <w:tcW w:w="2268" w:type="dxa"/>
          </w:tcPr>
          <w:p>
            <w:pPr>
              <w:pStyle w:val="nTable"/>
              <w:spacing w:after="40"/>
              <w:rPr>
                <w:i/>
              </w:rPr>
            </w:pPr>
            <w:r>
              <w:rPr>
                <w:i/>
                <w:iCs/>
                <w:snapToGrid w:val="0"/>
              </w:rPr>
              <w:t>Acts Amendment (Higher School Leaving Age and Related Provisions) Act 2005</w:t>
            </w:r>
            <w:r>
              <w:rPr>
                <w:snapToGrid w:val="0"/>
              </w:rPr>
              <w:t xml:space="preserve"> Pt. 3</w:t>
            </w:r>
          </w:p>
        </w:tc>
        <w:tc>
          <w:tcPr>
            <w:tcW w:w="1134" w:type="dxa"/>
            <w:gridSpan w:val="2"/>
          </w:tcPr>
          <w:p>
            <w:pPr>
              <w:pStyle w:val="nTable"/>
              <w:spacing w:after="40"/>
            </w:pPr>
            <w:r>
              <w:rPr>
                <w:snapToGrid w:val="0"/>
              </w:rPr>
              <w:t>22 of 2005</w:t>
            </w:r>
          </w:p>
        </w:tc>
        <w:tc>
          <w:tcPr>
            <w:tcW w:w="1136" w:type="dxa"/>
            <w:gridSpan w:val="2"/>
          </w:tcPr>
          <w:p>
            <w:pPr>
              <w:pStyle w:val="nTable"/>
              <w:spacing w:after="40"/>
            </w:pPr>
            <w:r>
              <w:t>18 Nov 2005</w:t>
            </w:r>
          </w:p>
        </w:tc>
        <w:tc>
          <w:tcPr>
            <w:tcW w:w="2551" w:type="dxa"/>
            <w:gridSpan w:val="2"/>
          </w:tcPr>
          <w:p>
            <w:pPr>
              <w:pStyle w:val="nTable"/>
              <w:spacing w:after="40"/>
            </w:pPr>
            <w:r>
              <w:rPr>
                <w:snapToGrid w:val="0"/>
              </w:rPr>
              <w:t>1 Jan 2006 (see s. 2(3))</w:t>
            </w:r>
          </w:p>
        </w:tc>
      </w:tr>
      <w:tr>
        <w:trPr>
          <w:gridAfter w:val="1"/>
          <w:wAfter w:w="22" w:type="dxa"/>
        </w:trPr>
        <w:tc>
          <w:tcPr>
            <w:tcW w:w="2268" w:type="dxa"/>
          </w:tcPr>
          <w:p>
            <w:pPr>
              <w:pStyle w:val="nTable"/>
              <w:spacing w:after="40"/>
              <w:rPr>
                <w:i/>
              </w:rPr>
            </w:pPr>
            <w:r>
              <w:rPr>
                <w:i/>
                <w:snapToGrid w:val="0"/>
              </w:rPr>
              <w:t xml:space="preserve">Financial Legislation Amendment and Repeal Act 2006 </w:t>
            </w:r>
            <w:r>
              <w:rPr>
                <w:iCs/>
                <w:snapToGrid w:val="0"/>
              </w:rPr>
              <w:t>s. 4, 5(1) and Sch. 1 cl. 41</w:t>
            </w:r>
          </w:p>
        </w:tc>
        <w:tc>
          <w:tcPr>
            <w:tcW w:w="1134" w:type="dxa"/>
            <w:gridSpan w:val="2"/>
          </w:tcPr>
          <w:p>
            <w:pPr>
              <w:pStyle w:val="nTable"/>
              <w:spacing w:after="40"/>
            </w:pPr>
            <w:r>
              <w:rPr>
                <w:snapToGrid w:val="0"/>
              </w:rPr>
              <w:t>77 of 2006</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After w:val="1"/>
          <w:wAfter w:w="22" w:type="dxa"/>
          <w:cantSplit/>
        </w:trPr>
        <w:tc>
          <w:tcPr>
            <w:tcW w:w="7089" w:type="dxa"/>
            <w:gridSpan w:val="7"/>
          </w:tcPr>
          <w:p>
            <w:pPr>
              <w:pStyle w:val="nTable"/>
              <w:spacing w:after="40"/>
              <w:rPr>
                <w:snapToGrid w:val="0"/>
              </w:rPr>
            </w:pPr>
            <w:r>
              <w:rPr>
                <w:b/>
              </w:rPr>
              <w:t xml:space="preserve">Reprint 2: The </w:t>
            </w:r>
            <w:r>
              <w:rPr>
                <w:b/>
                <w:i/>
              </w:rPr>
              <w:t>Curriculum Council Act 1997</w:t>
            </w:r>
            <w:r>
              <w:rPr>
                <w:b/>
              </w:rPr>
              <w:t xml:space="preserve"> as at 13 Apr 2007</w:t>
            </w:r>
            <w:r>
              <w:t xml:space="preserve"> (includes amendments listed above)</w:t>
            </w:r>
          </w:p>
        </w:tc>
      </w:tr>
      <w:tr>
        <w:trPr>
          <w:gridAfter w:val="1"/>
          <w:wAfter w:w="22" w:type="dxa"/>
          <w:cantSplit/>
        </w:trPr>
        <w:tc>
          <w:tcPr>
            <w:tcW w:w="2268" w:type="dxa"/>
          </w:tcPr>
          <w:p>
            <w:pPr>
              <w:pStyle w:val="nTable"/>
              <w:spacing w:after="40"/>
              <w:ind w:right="113"/>
              <w:rPr>
                <w:iCs/>
              </w:rPr>
            </w:pPr>
            <w:r>
              <w:rPr>
                <w:i/>
              </w:rPr>
              <w:t>Training Legislation Amendment and Repeal Act 2008</w:t>
            </w:r>
            <w:r>
              <w:rPr>
                <w:iCs/>
              </w:rPr>
              <w:t xml:space="preserve"> s. 52</w:t>
            </w:r>
          </w:p>
        </w:tc>
        <w:tc>
          <w:tcPr>
            <w:tcW w:w="1134" w:type="dxa"/>
            <w:gridSpan w:val="2"/>
          </w:tcPr>
          <w:p>
            <w:pPr>
              <w:pStyle w:val="nTable"/>
              <w:spacing w:after="40"/>
            </w:pPr>
            <w:r>
              <w:t>44 of 2008</w:t>
            </w:r>
          </w:p>
        </w:tc>
        <w:tc>
          <w:tcPr>
            <w:tcW w:w="1136" w:type="dxa"/>
            <w:gridSpan w:val="2"/>
          </w:tcPr>
          <w:p>
            <w:pPr>
              <w:pStyle w:val="nTable"/>
              <w:spacing w:after="40"/>
            </w:pPr>
            <w:r>
              <w:t>10 Dec 2008</w:t>
            </w:r>
          </w:p>
        </w:tc>
        <w:tc>
          <w:tcPr>
            <w:tcW w:w="2551" w:type="dxa"/>
            <w:gridSpan w:val="2"/>
          </w:tcPr>
          <w:p>
            <w:pPr>
              <w:pStyle w:val="nTable"/>
              <w:spacing w:after="40"/>
            </w:pPr>
            <w:r>
              <w:t>10 Jun 2009 (see s. 2(2))</w:t>
            </w:r>
          </w:p>
        </w:tc>
      </w:tr>
      <w:tr>
        <w:trPr>
          <w:gridAfter w:val="1"/>
          <w:wAfter w:w="22" w:type="dxa"/>
          <w:cantSplit/>
        </w:trPr>
        <w:tc>
          <w:tcPr>
            <w:tcW w:w="2268" w:type="dxa"/>
          </w:tcPr>
          <w:p>
            <w:pPr>
              <w:pStyle w:val="nTable"/>
              <w:spacing w:after="40"/>
              <w:ind w:right="113"/>
              <w:rPr>
                <w:iCs/>
              </w:rPr>
            </w:pPr>
            <w:r>
              <w:rPr>
                <w:i/>
              </w:rPr>
              <w:t>Statutes (Repeals and Miscellaneous Amendments) Act 2009</w:t>
            </w:r>
            <w:r>
              <w:rPr>
                <w:iCs/>
              </w:rPr>
              <w:t xml:space="preserve"> s. 45</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2"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2" w:type="dxa"/>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2" w:type="dxa"/>
          <w:cantSplit/>
        </w:trPr>
        <w:tc>
          <w:tcPr>
            <w:tcW w:w="2268" w:type="dxa"/>
            <w:shd w:val="clear" w:color="auto" w:fill="auto"/>
          </w:tcPr>
          <w:p>
            <w:pPr>
              <w:pStyle w:val="nTable"/>
              <w:spacing w:after="40"/>
              <w:ind w:right="113"/>
              <w:rPr>
                <w:i/>
                <w:iCs/>
                <w:snapToGrid w:val="0"/>
              </w:rPr>
            </w:pPr>
            <w:r>
              <w:rPr>
                <w:i/>
                <w:snapToGrid w:val="0"/>
              </w:rPr>
              <w:t xml:space="preserve">Curriculum Council Amendment Act 2011 </w:t>
            </w:r>
            <w:r>
              <w:rPr>
                <w:snapToGrid w:val="0"/>
              </w:rPr>
              <w:t>Pt. 2</w:t>
            </w:r>
          </w:p>
        </w:tc>
        <w:tc>
          <w:tcPr>
            <w:tcW w:w="1134" w:type="dxa"/>
            <w:gridSpan w:val="2"/>
            <w:shd w:val="clear" w:color="auto" w:fill="auto"/>
          </w:tcPr>
          <w:p>
            <w:pPr>
              <w:pStyle w:val="nTable"/>
              <w:spacing w:after="40"/>
              <w:rPr>
                <w:snapToGrid w:val="0"/>
              </w:rPr>
            </w:pPr>
            <w:r>
              <w:rPr>
                <w:snapToGrid w:val="0"/>
              </w:rPr>
              <w:t>37 of 2011</w:t>
            </w:r>
          </w:p>
        </w:tc>
        <w:tc>
          <w:tcPr>
            <w:tcW w:w="1136" w:type="dxa"/>
            <w:gridSpan w:val="2"/>
            <w:shd w:val="clear" w:color="auto" w:fill="auto"/>
          </w:tcPr>
          <w:p>
            <w:pPr>
              <w:pStyle w:val="nTable"/>
              <w:spacing w:after="40"/>
              <w:rPr>
                <w:snapToGrid w:val="0"/>
              </w:rPr>
            </w:pPr>
            <w:r>
              <w:t>13 Sep 2011</w:t>
            </w:r>
          </w:p>
        </w:tc>
        <w:tc>
          <w:tcPr>
            <w:tcW w:w="2551" w:type="dxa"/>
            <w:gridSpan w:val="2"/>
            <w:shd w:val="clear" w:color="auto" w:fill="auto"/>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2" w:type="dxa"/>
          <w:cantSplit/>
        </w:trPr>
        <w:tc>
          <w:tcPr>
            <w:tcW w:w="7089" w:type="dxa"/>
            <w:gridSpan w:val="7"/>
            <w:shd w:val="clear" w:color="auto" w:fill="auto"/>
          </w:tcPr>
          <w:p>
            <w:pPr>
              <w:pStyle w:val="nTable"/>
              <w:spacing w:after="40"/>
              <w:rPr>
                <w:snapToGrid w:val="0"/>
              </w:rPr>
            </w:pPr>
            <w:r>
              <w:rPr>
                <w:b/>
              </w:rPr>
              <w:t xml:space="preserve">Reprint 3: The </w:t>
            </w:r>
            <w:r>
              <w:rPr>
                <w:b/>
                <w:i/>
                <w:iCs/>
              </w:rPr>
              <w:t>School Curriculum and Standards Authority Act 1997</w:t>
            </w:r>
            <w:r>
              <w:rPr>
                <w:b/>
              </w:rPr>
              <w:t xml:space="preserve"> as at 27 Apr 2012</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after="40"/>
              <w:ind w:right="113"/>
              <w:rPr>
                <w:snapToGrid w:val="0"/>
              </w:rPr>
            </w:pPr>
            <w:r>
              <w:rPr>
                <w:i/>
                <w:snapToGrid w:val="0"/>
              </w:rPr>
              <w:t>School Education Amendment Act 2012</w:t>
            </w:r>
            <w:r>
              <w:rPr>
                <w:snapToGrid w:val="0"/>
              </w:rPr>
              <w:t xml:space="preserve"> Pt. 3</w:t>
            </w:r>
          </w:p>
        </w:tc>
        <w:tc>
          <w:tcPr>
            <w:tcW w:w="1134" w:type="dxa"/>
            <w:gridSpan w:val="2"/>
            <w:tcBorders>
              <w:top w:val="nil"/>
              <w:bottom w:val="nil"/>
            </w:tcBorders>
          </w:tcPr>
          <w:p>
            <w:pPr>
              <w:pStyle w:val="nTable"/>
              <w:spacing w:after="40"/>
              <w:rPr>
                <w:snapToGrid w:val="0"/>
              </w:rPr>
            </w:pPr>
            <w:r>
              <w:rPr>
                <w:snapToGrid w:val="0"/>
              </w:rPr>
              <w:t>46 of 2012</w:t>
            </w:r>
          </w:p>
        </w:tc>
        <w:tc>
          <w:tcPr>
            <w:tcW w:w="1135" w:type="dxa"/>
            <w:gridSpan w:val="2"/>
            <w:tcBorders>
              <w:top w:val="nil"/>
              <w:bottom w:val="nil"/>
            </w:tcBorders>
          </w:tcPr>
          <w:p>
            <w:pPr>
              <w:pStyle w:val="nTable"/>
              <w:spacing w:after="40"/>
              <w:rPr>
                <w:snapToGrid w:val="0"/>
              </w:rPr>
            </w:pPr>
            <w:r>
              <w:rPr>
                <w:snapToGrid w:val="0"/>
              </w:rPr>
              <w:t>29 Nov 2012</w:t>
            </w:r>
          </w:p>
        </w:tc>
        <w:tc>
          <w:tcPr>
            <w:tcW w:w="2546" w:type="dxa"/>
            <w:gridSpan w:val="2"/>
            <w:tcBorders>
              <w:top w:val="nil"/>
              <w:bottom w:val="nil"/>
            </w:tcBorders>
          </w:tcPr>
          <w:p>
            <w:pPr>
              <w:pStyle w:val="nTable"/>
              <w:spacing w:after="40"/>
              <w:rPr>
                <w:snapToGrid w:val="0"/>
              </w:rPr>
            </w:pPr>
            <w:r>
              <w:rPr>
                <w:snapToGrid w:val="0"/>
              </w:rPr>
              <w:t>1 Jan 2013 (see s. 2(b))</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after="40"/>
              <w:ind w:right="113"/>
              <w:rPr>
                <w:i/>
                <w:snapToGrid w:val="0"/>
              </w:rPr>
            </w:pPr>
            <w:r>
              <w:rPr>
                <w:i/>
              </w:rPr>
              <w:t>School Education Amendment Act 2014</w:t>
            </w:r>
            <w:r>
              <w:t xml:space="preserve"> Pt. 3</w:t>
            </w:r>
          </w:p>
        </w:tc>
        <w:tc>
          <w:tcPr>
            <w:tcW w:w="1134" w:type="dxa"/>
            <w:gridSpan w:val="2"/>
            <w:tcBorders>
              <w:top w:val="nil"/>
              <w:bottom w:val="nil"/>
            </w:tcBorders>
          </w:tcPr>
          <w:p>
            <w:pPr>
              <w:pStyle w:val="nTable"/>
              <w:spacing w:after="40"/>
              <w:rPr>
                <w:snapToGrid w:val="0"/>
              </w:rPr>
            </w:pPr>
            <w:r>
              <w:rPr>
                <w:snapToGrid w:val="0"/>
              </w:rPr>
              <w:t xml:space="preserve">28 of 2014 </w:t>
            </w:r>
          </w:p>
        </w:tc>
        <w:tc>
          <w:tcPr>
            <w:tcW w:w="1135" w:type="dxa"/>
            <w:gridSpan w:val="2"/>
            <w:tcBorders>
              <w:top w:val="nil"/>
              <w:bottom w:val="nil"/>
            </w:tcBorders>
          </w:tcPr>
          <w:p>
            <w:pPr>
              <w:pStyle w:val="nTable"/>
              <w:spacing w:after="40"/>
              <w:rPr>
                <w:snapToGrid w:val="0"/>
              </w:rPr>
            </w:pPr>
            <w:r>
              <w:rPr>
                <w:snapToGrid w:val="0"/>
              </w:rPr>
              <w:t>27 Nov 2014</w:t>
            </w:r>
          </w:p>
        </w:tc>
        <w:tc>
          <w:tcPr>
            <w:tcW w:w="2546" w:type="dxa"/>
            <w:gridSpan w:val="2"/>
            <w:tcBorders>
              <w:top w:val="nil"/>
              <w:bottom w:val="nil"/>
            </w:tcBorders>
          </w:tcPr>
          <w:p>
            <w:pPr>
              <w:pStyle w:val="nTable"/>
              <w:spacing w:after="40"/>
              <w:rPr>
                <w:snapToGrid w:val="0"/>
              </w:rPr>
            </w:pPr>
            <w:r>
              <w:rPr>
                <w:snapToGrid w:val="0"/>
              </w:rPr>
              <w:t xml:space="preserve">2 Feb 2015 (see s. 2(c) and </w:t>
            </w:r>
            <w:r>
              <w:rPr>
                <w:i/>
                <w:snapToGrid w:val="0"/>
              </w:rPr>
              <w:t xml:space="preserve">Gazette </w:t>
            </w:r>
            <w:r>
              <w:rPr>
                <w:snapToGrid w:val="0"/>
              </w:rPr>
              <w:t>16 Jan 2015 p. 311)</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single" w:sz="4" w:space="0" w:color="auto"/>
            </w:tcBorders>
          </w:tcPr>
          <w:p>
            <w:pPr>
              <w:pStyle w:val="nTable"/>
              <w:spacing w:after="40"/>
              <w:ind w:right="113"/>
            </w:pPr>
            <w:r>
              <w:rPr>
                <w:i/>
              </w:rPr>
              <w:t xml:space="preserve">School Curriculum and Standards Authority Amendment Act 2017 </w:t>
            </w:r>
            <w:r>
              <w:t>s. 1</w:t>
            </w:r>
            <w:r>
              <w:noBreakHyphen/>
              <w:t xml:space="preserve">6 </w:t>
            </w:r>
          </w:p>
        </w:tc>
        <w:tc>
          <w:tcPr>
            <w:tcW w:w="1134" w:type="dxa"/>
            <w:gridSpan w:val="2"/>
            <w:tcBorders>
              <w:top w:val="nil"/>
              <w:bottom w:val="single" w:sz="4" w:space="0" w:color="auto"/>
            </w:tcBorders>
          </w:tcPr>
          <w:p>
            <w:pPr>
              <w:pStyle w:val="nTable"/>
              <w:spacing w:after="40"/>
              <w:rPr>
                <w:snapToGrid w:val="0"/>
              </w:rPr>
            </w:pPr>
            <w:r>
              <w:t>17 of 2017</w:t>
            </w:r>
          </w:p>
        </w:tc>
        <w:tc>
          <w:tcPr>
            <w:tcW w:w="1135" w:type="dxa"/>
            <w:gridSpan w:val="2"/>
            <w:tcBorders>
              <w:top w:val="nil"/>
              <w:bottom w:val="single" w:sz="4" w:space="0" w:color="auto"/>
            </w:tcBorders>
          </w:tcPr>
          <w:p>
            <w:pPr>
              <w:pStyle w:val="nTable"/>
              <w:spacing w:after="40"/>
              <w:rPr>
                <w:snapToGrid w:val="0"/>
              </w:rPr>
            </w:pPr>
            <w:r>
              <w:t>13 Dec 2017</w:t>
            </w:r>
          </w:p>
        </w:tc>
        <w:tc>
          <w:tcPr>
            <w:tcW w:w="2546" w:type="dxa"/>
            <w:gridSpan w:val="2"/>
            <w:tcBorders>
              <w:top w:val="nil"/>
              <w:bottom w:val="single" w:sz="4" w:space="0" w:color="auto"/>
            </w:tcBorders>
          </w:tcPr>
          <w:p>
            <w:pPr>
              <w:pStyle w:val="nTable"/>
              <w:spacing w:after="40"/>
              <w:rPr>
                <w:snapToGrid w:val="0"/>
              </w:rPr>
            </w:pPr>
            <w:r>
              <w:rPr>
                <w:snapToGrid w:val="0"/>
              </w:rPr>
              <w:t>s. 1 and 2: 13 Dec 2017 (see s. 2(a));</w:t>
            </w:r>
            <w:r>
              <w:rPr>
                <w:snapToGrid w:val="0"/>
              </w:rPr>
              <w:br/>
              <w:t xml:space="preserve">Act other than s. 1, 2, 7 and 8: 21 Apr 2018 (see s. 2(b) and </w:t>
            </w:r>
            <w:r>
              <w:rPr>
                <w:i/>
                <w:snapToGrid w:val="0"/>
              </w:rPr>
              <w:t>Gazette</w:t>
            </w:r>
            <w:r>
              <w:rPr>
                <w:snapToGrid w:val="0"/>
              </w:rPr>
              <w:t xml:space="preserve"> 20 Apr 2018 p. 1313)</w:t>
            </w:r>
          </w:p>
        </w:tc>
      </w:tr>
    </w:tbl>
    <w:p>
      <w:pPr>
        <w:pStyle w:val="nHeading3"/>
      </w:pPr>
      <w:bookmarkStart w:id="123" w:name="_Toc32412384"/>
      <w:r>
        <w:t>Uncommenced provisions table</w:t>
      </w:r>
      <w:bookmarkEnd w:id="12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School Curriculum and Standards Authority Amendment Act 2017</w:t>
            </w:r>
            <w:r>
              <w:t xml:space="preserve"> s. 7 and 8</w:t>
            </w:r>
          </w:p>
        </w:tc>
        <w:tc>
          <w:tcPr>
            <w:tcW w:w="1134" w:type="dxa"/>
          </w:tcPr>
          <w:p>
            <w:pPr>
              <w:pStyle w:val="nTable"/>
              <w:spacing w:after="40"/>
            </w:pPr>
            <w:r>
              <w:t>17 of 2017</w:t>
            </w:r>
          </w:p>
        </w:tc>
        <w:tc>
          <w:tcPr>
            <w:tcW w:w="1134" w:type="dxa"/>
          </w:tcPr>
          <w:p>
            <w:pPr>
              <w:pStyle w:val="nTable"/>
              <w:spacing w:after="40"/>
            </w:pPr>
            <w:r>
              <w:t>13 Dec 2017</w:t>
            </w:r>
          </w:p>
        </w:tc>
        <w:tc>
          <w:tcPr>
            <w:tcW w:w="2552" w:type="dxa"/>
          </w:tcPr>
          <w:p>
            <w:pPr>
              <w:pStyle w:val="nTable"/>
              <w:spacing w:after="40"/>
            </w:pPr>
            <w:r>
              <w:t>To be proclaimed (see s. 2(b))</w:t>
            </w:r>
          </w:p>
        </w:tc>
      </w:tr>
    </w:tbl>
    <w:p>
      <w:pPr>
        <w:pStyle w:val="nHeading3"/>
      </w:pPr>
      <w:bookmarkStart w:id="124" w:name="_Toc32412385"/>
      <w:r>
        <w:t>Other notes</w:t>
      </w:r>
      <w:bookmarkEnd w:id="124"/>
    </w:p>
    <w:p>
      <w:pPr>
        <w:pStyle w:val="nNote"/>
        <w:tabs>
          <w:tab w:val="left" w:pos="567"/>
          <w:tab w:val="left" w:pos="5103"/>
        </w:tabs>
        <w:spacing w:before="200"/>
        <w:ind w:left="567" w:hanging="567"/>
        <w:rPr>
          <w:snapToGrid w:val="0"/>
        </w:rPr>
      </w:pPr>
      <w:r>
        <w:rPr>
          <w:snapToGrid w:val="0"/>
          <w:vertAlign w:val="superscript"/>
        </w:rPr>
        <w:t>1</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26" w:name="_Toc32412279"/>
      <w:bookmarkStart w:id="127" w:name="_Toc32412386"/>
      <w:r>
        <w:rPr>
          <w:sz w:val="28"/>
        </w:rPr>
        <w:t>Defined terms</w:t>
      </w:r>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advisory committee</w:t>
      </w:r>
      <w:r>
        <w:tab/>
        <w:t>3</w:t>
      </w:r>
    </w:p>
    <w:p>
      <w:pPr>
        <w:pStyle w:val="DefinedTerms"/>
      </w:pPr>
      <w:r>
        <w:t>aggregated form</w:t>
      </w:r>
      <w:r>
        <w:tab/>
        <w:t>12(1), 19A(1)</w:t>
      </w:r>
    </w:p>
    <w:p>
      <w:pPr>
        <w:pStyle w:val="DefinedTerms"/>
      </w:pPr>
      <w:r>
        <w:t>allowed information</w:t>
      </w:r>
      <w:r>
        <w:tab/>
        <w:t>19M(1)</w:t>
      </w:r>
    </w:p>
    <w:p>
      <w:pPr>
        <w:pStyle w:val="DefinedTerms"/>
      </w:pPr>
      <w:r>
        <w:t>apprentice</w:t>
      </w:r>
      <w:r>
        <w:tab/>
        <w:t>19F(1)</w:t>
      </w:r>
    </w:p>
    <w:p>
      <w:pPr>
        <w:pStyle w:val="DefinedTerms"/>
      </w:pPr>
      <w:r>
        <w:t>assessment</w:t>
      </w:r>
      <w:r>
        <w:tab/>
        <w:t>3</w:t>
      </w:r>
    </w:p>
    <w:p>
      <w:pPr>
        <w:pStyle w:val="DefinedTerms"/>
      </w:pPr>
      <w:r>
        <w:t>assets</w:t>
      </w:r>
      <w:r>
        <w:tab/>
        <w:t>37</w:t>
      </w:r>
    </w:p>
    <w:p>
      <w:pPr>
        <w:pStyle w:val="DefinedTerms"/>
      </w:pPr>
      <w:r>
        <w:t>Authority</w:t>
      </w:r>
      <w:r>
        <w:tab/>
        <w:t>3</w:t>
      </w:r>
    </w:p>
    <w:p>
      <w:pPr>
        <w:pStyle w:val="DefinedTerms"/>
      </w:pPr>
      <w:r>
        <w:t>Board</w:t>
      </w:r>
      <w:r>
        <w:tab/>
        <w:t>3, 6(1)</w:t>
      </w:r>
    </w:p>
    <w:p>
      <w:pPr>
        <w:pStyle w:val="DefinedTerms"/>
      </w:pPr>
      <w:r>
        <w:t>candidates</w:t>
      </w:r>
      <w:r>
        <w:tab/>
        <w:t>33(2)</w:t>
      </w:r>
    </w:p>
    <w:p>
      <w:pPr>
        <w:pStyle w:val="DefinedTerms"/>
      </w:pPr>
      <w:r>
        <w:t>chairperson</w:t>
      </w:r>
      <w:r>
        <w:tab/>
        <w:t>3</w:t>
      </w:r>
    </w:p>
    <w:p>
      <w:pPr>
        <w:pStyle w:val="DefinedTerms"/>
      </w:pPr>
      <w:r>
        <w:t>chief executive officer</w:t>
      </w:r>
      <w:r>
        <w:tab/>
        <w:t>3</w:t>
      </w:r>
    </w:p>
    <w:p>
      <w:pPr>
        <w:pStyle w:val="DefinedTerms"/>
      </w:pPr>
      <w:r>
        <w:t>commencement day</w:t>
      </w:r>
      <w:r>
        <w:tab/>
        <w:t>37</w:t>
      </w:r>
    </w:p>
    <w:p>
      <w:pPr>
        <w:pStyle w:val="DefinedTerms"/>
      </w:pPr>
      <w:r>
        <w:t>committee</w:t>
      </w:r>
      <w:r>
        <w:tab/>
        <w:t>3</w:t>
      </w:r>
    </w:p>
    <w:p>
      <w:pPr>
        <w:pStyle w:val="DefinedTerms"/>
      </w:pPr>
      <w:r>
        <w:t>community kindergarten</w:t>
      </w:r>
      <w:r>
        <w:tab/>
        <w:t>3</w:t>
      </w:r>
    </w:p>
    <w:p>
      <w:pPr>
        <w:pStyle w:val="DefinedTerms"/>
      </w:pPr>
      <w:r>
        <w:t>compulsory education period</w:t>
      </w:r>
      <w:r>
        <w:tab/>
        <w:t>3</w:t>
      </w:r>
    </w:p>
    <w:p>
      <w:pPr>
        <w:pStyle w:val="DefinedTerms"/>
      </w:pPr>
      <w:r>
        <w:t>Council</w:t>
      </w:r>
      <w:r>
        <w:tab/>
        <w:t>37</w:t>
      </w:r>
    </w:p>
    <w:p>
      <w:pPr>
        <w:pStyle w:val="DefinedTerms"/>
      </w:pPr>
      <w:r>
        <w:t>course</w:t>
      </w:r>
      <w:r>
        <w:tab/>
        <w:t>3</w:t>
      </w:r>
    </w:p>
    <w:p>
      <w:pPr>
        <w:pStyle w:val="DefinedTerms"/>
      </w:pPr>
      <w:r>
        <w:t>Curriculum and Assessment Committee</w:t>
      </w:r>
      <w:r>
        <w:tab/>
        <w:t>3</w:t>
      </w:r>
    </w:p>
    <w:p>
      <w:pPr>
        <w:pStyle w:val="DefinedTerms"/>
      </w:pPr>
      <w:r>
        <w:t>document</w:t>
      </w:r>
      <w:r>
        <w:tab/>
        <w:t>19(4)</w:t>
      </w:r>
    </w:p>
    <w:p>
      <w:pPr>
        <w:pStyle w:val="DefinedTerms"/>
      </w:pPr>
      <w:r>
        <w:t>draft report</w:t>
      </w:r>
      <w:r>
        <w:tab/>
        <w:t>11(2), 12(1)</w:t>
      </w:r>
    </w:p>
    <w:p>
      <w:pPr>
        <w:pStyle w:val="DefinedTerms"/>
      </w:pPr>
      <w:r>
        <w:t>Education Department</w:t>
      </w:r>
      <w:r>
        <w:tab/>
        <w:t>3</w:t>
      </w:r>
    </w:p>
    <w:p>
      <w:pPr>
        <w:pStyle w:val="DefinedTerms"/>
      </w:pPr>
      <w:r>
        <w:t>education provider</w:t>
      </w:r>
      <w:r>
        <w:tab/>
        <w:t>3</w:t>
      </w:r>
    </w:p>
    <w:p>
      <w:pPr>
        <w:pStyle w:val="DefinedTerms"/>
      </w:pPr>
      <w:r>
        <w:t>educational programme</w:t>
      </w:r>
      <w:r>
        <w:tab/>
        <w:t>19A(1)</w:t>
      </w:r>
    </w:p>
    <w:p>
      <w:pPr>
        <w:pStyle w:val="DefinedTerms"/>
      </w:pPr>
      <w:r>
        <w:t>employed</w:t>
      </w:r>
      <w:r>
        <w:tab/>
        <w:t>19F(1)</w:t>
      </w:r>
    </w:p>
    <w:p>
      <w:pPr>
        <w:pStyle w:val="DefinedTerms"/>
      </w:pPr>
      <w:r>
        <w:t>exempt child</w:t>
      </w:r>
      <w:r>
        <w:tab/>
        <w:t>19A(1)</w:t>
      </w:r>
    </w:p>
    <w:p>
      <w:pPr>
        <w:pStyle w:val="DefinedTerms"/>
      </w:pPr>
      <w:r>
        <w:t>final years of compulsory education</w:t>
      </w:r>
      <w:r>
        <w:tab/>
        <w:t>19A(1)</w:t>
      </w:r>
    </w:p>
    <w:p>
      <w:pPr>
        <w:pStyle w:val="DefinedTerms"/>
      </w:pPr>
      <w:r>
        <w:t>first year of the relevant education period</w:t>
      </w:r>
      <w:r>
        <w:tab/>
        <w:t>19C(1)</w:t>
      </w:r>
    </w:p>
    <w:p>
      <w:pPr>
        <w:pStyle w:val="DefinedTerms"/>
      </w:pPr>
      <w:r>
        <w:t>former Council</w:t>
      </w:r>
      <w:r>
        <w:tab/>
        <w:t>19I(2A)</w:t>
      </w:r>
    </w:p>
    <w:p>
      <w:pPr>
        <w:pStyle w:val="DefinedTerms"/>
      </w:pPr>
      <w:r>
        <w:t>governing body</w:t>
      </w:r>
      <w:r>
        <w:tab/>
        <w:t>3</w:t>
      </w:r>
    </w:p>
    <w:p>
      <w:pPr>
        <w:pStyle w:val="DefinedTerms"/>
      </w:pPr>
      <w:r>
        <w:t>home education</w:t>
      </w:r>
      <w:r>
        <w:tab/>
        <w:t>3</w:t>
      </w:r>
    </w:p>
    <w:p>
      <w:pPr>
        <w:pStyle w:val="DefinedTerms"/>
      </w:pPr>
      <w:r>
        <w:t>information</w:t>
      </w:r>
      <w:r>
        <w:tab/>
        <w:t>19(4)</w:t>
      </w:r>
    </w:p>
    <w:p>
      <w:pPr>
        <w:pStyle w:val="DefinedTerms"/>
      </w:pPr>
      <w:r>
        <w:t>liability</w:t>
      </w:r>
      <w:r>
        <w:tab/>
        <w:t>37</w:t>
      </w:r>
    </w:p>
    <w:p>
      <w:pPr>
        <w:pStyle w:val="DefinedTerms"/>
      </w:pPr>
      <w:r>
        <w:t>member</w:t>
      </w:r>
      <w:r>
        <w:tab/>
        <w:t>3</w:t>
      </w:r>
    </w:p>
    <w:p>
      <w:pPr>
        <w:pStyle w:val="DefinedTerms"/>
      </w:pPr>
      <w:r>
        <w:t>member of staff</w:t>
      </w:r>
      <w:r>
        <w:tab/>
        <w:t>3</w:t>
      </w:r>
    </w:p>
    <w:p>
      <w:pPr>
        <w:pStyle w:val="DefinedTerms"/>
      </w:pPr>
      <w:r>
        <w:t>Minister</w:t>
      </w:r>
      <w:r>
        <w:tab/>
        <w:t>19A(1)</w:t>
      </w:r>
    </w:p>
    <w:p>
      <w:pPr>
        <w:pStyle w:val="DefinedTerms"/>
      </w:pPr>
      <w:r>
        <w:t>overseas student</w:t>
      </w:r>
      <w:r>
        <w:tab/>
        <w:t>19B(1)</w:t>
      </w:r>
    </w:p>
    <w:p>
      <w:pPr>
        <w:pStyle w:val="DefinedTerms"/>
      </w:pPr>
      <w:r>
        <w:t>parent</w:t>
      </w:r>
      <w:r>
        <w:tab/>
        <w:t>19J(1A)</w:t>
      </w:r>
    </w:p>
    <w:p>
      <w:pPr>
        <w:pStyle w:val="DefinedTerms"/>
      </w:pPr>
      <w:r>
        <w:t>principal</w:t>
      </w:r>
      <w:r>
        <w:tab/>
        <w:t>19A(1)</w:t>
      </w:r>
    </w:p>
    <w:p>
      <w:pPr>
        <w:pStyle w:val="DefinedTerms"/>
      </w:pPr>
      <w:r>
        <w:t>provider</w:t>
      </w:r>
      <w:r>
        <w:tab/>
        <w:t>19A(1), 19A(2)</w:t>
      </w:r>
    </w:p>
    <w:p>
      <w:pPr>
        <w:pStyle w:val="DefinedTerms"/>
      </w:pPr>
      <w:r>
        <w:t>relevant governing body</w:t>
      </w:r>
      <w:r>
        <w:tab/>
        <w:t>12(1)</w:t>
      </w:r>
    </w:p>
    <w:p>
      <w:pPr>
        <w:pStyle w:val="DefinedTerms"/>
      </w:pPr>
      <w:r>
        <w:t>relevant officials</w:t>
      </w:r>
      <w:r>
        <w:tab/>
        <w:t>50(1)</w:t>
      </w:r>
    </w:p>
    <w:p>
      <w:pPr>
        <w:pStyle w:val="DefinedTerms"/>
      </w:pPr>
      <w:r>
        <w:t>research involving students</w:t>
      </w:r>
      <w:r>
        <w:tab/>
        <w:t>3</w:t>
      </w:r>
    </w:p>
    <w:p>
      <w:pPr>
        <w:pStyle w:val="DefinedTerms"/>
      </w:pPr>
      <w:r>
        <w:t>right</w:t>
      </w:r>
      <w:r>
        <w:tab/>
        <w:t>37</w:t>
      </w:r>
    </w:p>
    <w:p>
      <w:pPr>
        <w:pStyle w:val="DefinedTerms"/>
      </w:pPr>
      <w:r>
        <w:t>school</w:t>
      </w:r>
      <w:r>
        <w:tab/>
        <w:t>3, 19A(1)</w:t>
      </w:r>
    </w:p>
    <w:p>
      <w:pPr>
        <w:pStyle w:val="DefinedTerms"/>
      </w:pPr>
      <w:r>
        <w:t>School Education Act</w:t>
      </w:r>
      <w:r>
        <w:tab/>
        <w:t>3</w:t>
      </w:r>
    </w:p>
    <w:p>
      <w:pPr>
        <w:pStyle w:val="DefinedTerms"/>
      </w:pPr>
      <w:r>
        <w:t>school system</w:t>
      </w:r>
      <w:r>
        <w:tab/>
        <w:t>3</w:t>
      </w:r>
    </w:p>
    <w:p>
      <w:pPr>
        <w:pStyle w:val="DefinedTerms"/>
      </w:pPr>
      <w:r>
        <w:t>school years</w:t>
      </w:r>
      <w:r>
        <w:tab/>
        <w:t>3</w:t>
      </w:r>
    </w:p>
    <w:p>
      <w:pPr>
        <w:pStyle w:val="DefinedTerms"/>
      </w:pPr>
      <w:r>
        <w:t>Standards Committee</w:t>
      </w:r>
      <w:r>
        <w:tab/>
        <w:t>3</w:t>
      </w:r>
    </w:p>
    <w:p>
      <w:pPr>
        <w:pStyle w:val="DefinedTerms"/>
      </w:pPr>
      <w:r>
        <w:t>standards of student achievement</w:t>
      </w:r>
      <w:r>
        <w:tab/>
        <w:t>3</w:t>
      </w:r>
    </w:p>
    <w:p>
      <w:pPr>
        <w:pStyle w:val="DefinedTerms"/>
      </w:pPr>
      <w:r>
        <w:t>State tax</w:t>
      </w:r>
      <w:r>
        <w:tab/>
        <w:t>46(1)</w:t>
      </w:r>
    </w:p>
    <w:p>
      <w:pPr>
        <w:pStyle w:val="DefinedTerms"/>
      </w:pPr>
      <w:r>
        <w:t>student</w:t>
      </w:r>
      <w:r>
        <w:tab/>
        <w:t>3, 19A(1)</w:t>
      </w:r>
    </w:p>
    <w:p>
      <w:pPr>
        <w:pStyle w:val="DefinedTerms"/>
      </w:pPr>
      <w:r>
        <w:t>student record</w:t>
      </w:r>
      <w:r>
        <w:tab/>
        <w:t>19A(1), 19J(1A)</w:t>
      </w:r>
    </w:p>
    <w:p>
      <w:pPr>
        <w:pStyle w:val="DefinedTerms"/>
      </w:pPr>
      <w:r>
        <w:t>transitional regulations</w:t>
      </w:r>
      <w:r>
        <w:tab/>
        <w:t>51(1)</w:t>
      </w:r>
    </w:p>
    <w:p>
      <w:pPr>
        <w:pStyle w:val="DefinedTerms"/>
      </w:pPr>
      <w:r>
        <w:t>vocational education and training</w:t>
      </w:r>
      <w:r>
        <w:tab/>
        <w:t>3</w:t>
      </w:r>
    </w:p>
    <w:p>
      <w:pPr>
        <w:pStyle w:val="DefinedTerms"/>
      </w:pPr>
      <w:r>
        <w:t>wellbeing</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6"/>
  </w:num>
  <w:num w:numId="24">
    <w:abstractNumId w:val="11"/>
  </w:num>
  <w:num w:numId="25">
    <w:abstractNumId w:val="12"/>
  </w:num>
  <w:num w:numId="26">
    <w:abstractNumId w:val="14"/>
  </w:num>
  <w:num w:numId="27">
    <w:abstractNumId w:val="18"/>
  </w:num>
  <w:num w:numId="28">
    <w:abstractNumId w:val="10"/>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4731"/>
    <w:docVar w:name="WAFER_20140110100145" w:val="RemoveTocBookmarks,RemoveUnusedBookmarks,RemoveLanguageTags,UsedStyles,ResetPageSize,UpdateArrangement"/>
    <w:docVar w:name="WAFER_20140110100145_GUID" w:val="5dc6e86c-9cb7-401d-afdd-16933950ddaf"/>
    <w:docVar w:name="WAFER_20140110100456" w:val="RemoveTocBookmarks,RunningHeaders"/>
    <w:docVar w:name="WAFER_20140110100456_GUID" w:val="270f402f-88a0-471c-b8ba-2813ce140f2c"/>
    <w:docVar w:name="WAFER_20141128105403" w:val="RemoveTocBookmarks,RemoveUnusedBookmarks,RemoveLanguageTags,UsedStyles,ResetPageSize,UpdateArrangement"/>
    <w:docVar w:name="WAFER_20141128105403_GUID" w:val="905babe1-0899-4a36-9dc7-5b4dbc0d3709"/>
    <w:docVar w:name="WAFER_20150129101436" w:val="RemoveTocBookmarks,RemoveUnusedBookmarks,RemoveLanguageTags,UsedStyles,ResetPageSize"/>
    <w:docVar w:name="WAFER_20150129101436_GUID" w:val="bf77ef21-b4f9-4df3-ba98-a82b27aae47f"/>
    <w:docVar w:name="WAFER_20150710152940" w:val="ResetPageSize,UpdateArrangement,UpdateNTable"/>
    <w:docVar w:name="WAFER_20150710152940_GUID" w:val="811517b0-35e5-40ed-87a8-5418196b7fcf"/>
    <w:docVar w:name="WAFER_20151109160149" w:val="UpdateStyles,UsedStyles"/>
    <w:docVar w:name="WAFER_20151109160149_GUID" w:val="866b098b-356f-4cc1-99fd-0828da649cfe"/>
    <w:docVar w:name="WAFER_20171214112716" w:val="RemoveTocBookmarks,RemoveUnusedBookmarks,RemoveLanguageTags,UsedStyles,ResetPageSize"/>
    <w:docVar w:name="WAFER_20171214112716_GUID" w:val="4147db7c-55a9-472e-aabf-28abe5e6813e"/>
    <w:docVar w:name="WAFER_20200212144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4731_GUID" w:val="b5c6b49f-f330-49d5-91e7-2a1ba4e8b2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14472</Words>
  <Characters>70194</Characters>
  <Application>Microsoft Office Word</Application>
  <DocSecurity>0</DocSecurity>
  <Lines>2064</Lines>
  <Paragraphs>1302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1997 - 03-g0-04</dc:title>
  <dc:subject/>
  <dc:creator/>
  <cp:keywords/>
  <dc:description/>
  <cp:lastModifiedBy>svcMRProcess</cp:lastModifiedBy>
  <cp:revision>4</cp:revision>
  <cp:lastPrinted>2018-04-19T04:31:00Z</cp:lastPrinted>
  <dcterms:created xsi:type="dcterms:W3CDTF">2020-02-25T04:40:00Z</dcterms:created>
  <dcterms:modified xsi:type="dcterms:W3CDTF">2020-02-25T04:40:00Z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DocumentType">
    <vt:lpwstr>Act</vt:lpwstr>
  </property>
  <property fmtid="{D5CDD505-2E9C-101B-9397-08002B2CF9AE}" pid="4" name="OwlsUID">
    <vt:i4>1813</vt:i4>
  </property>
  <property fmtid="{D5CDD505-2E9C-101B-9397-08002B2CF9AE}" pid="5" name="ReprintNo">
    <vt:lpwstr>3</vt:lpwstr>
  </property>
  <property fmtid="{D5CDD505-2E9C-101B-9397-08002B2CF9AE}" pid="6" name="ReprintedAsAt">
    <vt:filetime>2012-04-26T16:00:00Z</vt:filetime>
  </property>
  <property fmtid="{D5CDD505-2E9C-101B-9397-08002B2CF9AE}" pid="7" name="CommencementDate">
    <vt:lpwstr>20180421</vt:lpwstr>
  </property>
  <property fmtid="{D5CDD505-2E9C-101B-9397-08002B2CF9AE}" pid="8" name="AsAtDate">
    <vt:lpwstr>21 Apr 2018</vt:lpwstr>
  </property>
  <property fmtid="{D5CDD505-2E9C-101B-9397-08002B2CF9AE}" pid="9" name="Suffix">
    <vt:lpwstr>03-g0-04</vt:lpwstr>
  </property>
</Properties>
</file>