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434"/>
        <w:outlineLvl w:val="0"/>
      </w:pPr>
      <w:r>
        <w:fldChar w:fldCharType="begin"/>
      </w:r>
      <w:r>
        <w:instrText xml:space="preserve"> STYLEREF "Name Of Act/Reg"</w:instrText>
      </w:r>
      <w:r>
        <w:fldChar w:fldCharType="separate"/>
      </w:r>
      <w:r>
        <w:rPr>
          <w:noProof/>
        </w:rPr>
        <w:t>Health and Disability Services (Complaints)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and Disability Services (Complaints)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_Toc512323813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_Toc512323814 \h </w:instrText>
      </w:r>
      <w:r>
        <w:fldChar w:fldCharType="separate"/>
      </w:r>
      <w:r>
        <w:t>2</w:t>
      </w:r>
      <w:r>
        <w:fldChar w:fldCharType="end"/>
      </w:r>
    </w:p>
    <w:p>
      <w:pPr>
        <w:pStyle w:val="TOC8"/>
        <w:rPr>
          <w:rFonts w:asciiTheme="minorHAnsi" w:eastAsiaTheme="minorEastAsia" w:hAnsiTheme="minorHAnsi" w:cstheme="minorBidi"/>
          <w:szCs w:val="22"/>
        </w:rPr>
      </w:pPr>
      <w:r>
        <w:t>3A.</w:t>
      </w:r>
      <w:r>
        <w:tab/>
        <w:t>Act to be read with other legislation about health and disability complaints</w:t>
      </w:r>
      <w:r>
        <w:tab/>
      </w:r>
      <w:r>
        <w:fldChar w:fldCharType="begin"/>
      </w:r>
      <w:r>
        <w:instrText xml:space="preserve"> PAGEREF _Toc512323815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_Toc512323816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Guiding principles for the provision of health services</w:t>
      </w:r>
      <w:r>
        <w:tab/>
      </w:r>
      <w:r>
        <w:fldChar w:fldCharType="begin"/>
      </w:r>
      <w:r>
        <w:instrText xml:space="preserve"> PAGEREF _Toc512323817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_Toc512323818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arrangements</w:t>
      </w:r>
    </w:p>
    <w:p>
      <w:pPr>
        <w:pStyle w:val="TOC8"/>
        <w:rPr>
          <w:rFonts w:asciiTheme="minorHAnsi" w:eastAsiaTheme="minorEastAsia" w:hAnsiTheme="minorHAnsi" w:cstheme="minorBidi"/>
          <w:szCs w:val="22"/>
        </w:rPr>
      </w:pPr>
      <w:r>
        <w:t>6</w:t>
      </w:r>
      <w:r>
        <w:rPr>
          <w:snapToGrid w:val="0"/>
        </w:rPr>
        <w:t>.</w:t>
      </w:r>
      <w:r>
        <w:rPr>
          <w:snapToGrid w:val="0"/>
        </w:rPr>
        <w:tab/>
        <w:t>Health and Disability Services Complaints Office</w:t>
      </w:r>
      <w:r>
        <w:tab/>
      </w:r>
      <w:r>
        <w:fldChar w:fldCharType="begin"/>
      </w:r>
      <w:r>
        <w:instrText xml:space="preserve"> PAGEREF _Toc512323820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Director of Office</w:t>
      </w:r>
      <w:r>
        <w:tab/>
      </w:r>
      <w:r>
        <w:fldChar w:fldCharType="begin"/>
      </w:r>
      <w:r>
        <w:instrText xml:space="preserve"> PAGEREF _Toc512323821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Tenure, salary etc. of Director</w:t>
      </w:r>
      <w:r>
        <w:tab/>
      </w:r>
      <w:r>
        <w:fldChar w:fldCharType="begin"/>
      </w:r>
      <w:r>
        <w:instrText xml:space="preserve"> PAGEREF _Toc512323822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Judicial notice of Director’s appointment and signature</w:t>
      </w:r>
      <w:r>
        <w:tab/>
      </w:r>
      <w:r>
        <w:fldChar w:fldCharType="begin"/>
      </w:r>
      <w:r>
        <w:instrText xml:space="preserve"> PAGEREF _Toc512323823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Director’s functions</w:t>
      </w:r>
      <w:r>
        <w:tab/>
      </w:r>
      <w:r>
        <w:fldChar w:fldCharType="begin"/>
      </w:r>
      <w:r>
        <w:instrText xml:space="preserve"> PAGEREF _Toc512323824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give Director directions</w:t>
      </w:r>
      <w:r>
        <w:tab/>
      </w:r>
      <w:r>
        <w:fldChar w:fldCharType="begin"/>
      </w:r>
      <w:r>
        <w:instrText xml:space="preserve"> PAGEREF _Toc512323825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to have access to information</w:t>
      </w:r>
      <w:r>
        <w:tab/>
      </w:r>
      <w:r>
        <w:fldChar w:fldCharType="begin"/>
      </w:r>
      <w:r>
        <w:instrText xml:space="preserve"> PAGEREF _Toc512323826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Financial provisions</w:t>
      </w:r>
      <w:r>
        <w:tab/>
      </w:r>
      <w:r>
        <w:fldChar w:fldCharType="begin"/>
      </w:r>
      <w:r>
        <w:instrText xml:space="preserve"> PAGEREF _Toc512323827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Staff</w:t>
      </w:r>
      <w:r>
        <w:tab/>
      </w:r>
      <w:r>
        <w:fldChar w:fldCharType="begin"/>
      </w:r>
      <w:r>
        <w:instrText xml:space="preserve"> PAGEREF _Toc512323828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Consultants</w:t>
      </w:r>
      <w:r>
        <w:tab/>
      </w:r>
      <w:r>
        <w:fldChar w:fldCharType="begin"/>
      </w:r>
      <w:r>
        <w:instrText xml:space="preserve"> PAGEREF _Toc512323829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Use of other government staff etc.</w:t>
      </w:r>
      <w:r>
        <w:tab/>
      </w:r>
      <w:r>
        <w:fldChar w:fldCharType="begin"/>
      </w:r>
      <w:r>
        <w:instrText xml:space="preserve"> PAGEREF _Toc512323830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Oath of office by Director and staff</w:t>
      </w:r>
      <w:r>
        <w:tab/>
      </w:r>
      <w:r>
        <w:fldChar w:fldCharType="begin"/>
      </w:r>
      <w:r>
        <w:instrText xml:space="preserve"> PAGEREF _Toc512323831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Director</w:t>
      </w:r>
      <w:r>
        <w:tab/>
      </w:r>
      <w:r>
        <w:fldChar w:fldCharType="begin"/>
      </w:r>
      <w:r>
        <w:instrText xml:space="preserve"> PAGEREF _Toc512323832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Complaints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to complain conferred</w:t>
      </w:r>
    </w:p>
    <w:p>
      <w:pPr>
        <w:pStyle w:val="TOC8"/>
        <w:rPr>
          <w:rFonts w:asciiTheme="minorHAnsi" w:eastAsiaTheme="minorEastAsia" w:hAnsiTheme="minorHAnsi" w:cstheme="minorBidi"/>
          <w:szCs w:val="22"/>
        </w:rPr>
      </w:pPr>
      <w:r>
        <w:t>19</w:t>
      </w:r>
      <w:r>
        <w:rPr>
          <w:snapToGrid w:val="0"/>
        </w:rPr>
        <w:t>.</w:t>
      </w:r>
      <w:r>
        <w:rPr>
          <w:snapToGrid w:val="0"/>
        </w:rPr>
        <w:tab/>
        <w:t>Who may complain</w:t>
      </w:r>
      <w:r>
        <w:tab/>
      </w:r>
      <w:r>
        <w:fldChar w:fldCharType="begin"/>
      </w:r>
      <w:r>
        <w:instrText xml:space="preserve"> PAGEREF _Toc512323835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Representatives of users</w:t>
      </w:r>
      <w:r>
        <w:tab/>
      </w:r>
      <w:r>
        <w:fldChar w:fldCharType="begin"/>
      </w:r>
      <w:r>
        <w:instrText xml:space="preserve"> PAGEREF _Toc512323836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Representative not to be paid</w:t>
      </w:r>
      <w:r>
        <w:tab/>
      </w:r>
      <w:r>
        <w:fldChar w:fldCharType="begin"/>
      </w:r>
      <w:r>
        <w:instrText xml:space="preserve"> PAGEREF _Toc512323837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Provider may complain for user</w:t>
      </w:r>
      <w:r>
        <w:tab/>
      </w:r>
      <w:r>
        <w:fldChar w:fldCharType="begin"/>
      </w:r>
      <w:r>
        <w:instrText xml:space="preserve"> PAGEREF _Toc512323838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Complaints to public providers, referral under administrative instructions</w:t>
      </w:r>
      <w:r>
        <w:tab/>
      </w:r>
      <w:r>
        <w:fldChar w:fldCharType="begin"/>
      </w:r>
      <w:r>
        <w:instrText xml:space="preserve"> PAGEREF _Toc512323839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Time limit for complaints</w:t>
      </w:r>
      <w:r>
        <w:tab/>
      </w:r>
      <w:r>
        <w:fldChar w:fldCharType="begin"/>
      </w:r>
      <w:r>
        <w:instrText xml:space="preserve"> PAGEREF _Toc512323840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What complaints can be about</w:t>
      </w:r>
      <w:r>
        <w:tab/>
      </w:r>
      <w:r>
        <w:fldChar w:fldCharType="begin"/>
      </w:r>
      <w:r>
        <w:instrText xml:space="preserve"> PAGEREF _Toc512323841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Complaints that must be rejected</w:t>
      </w:r>
      <w:r>
        <w:tab/>
      </w:r>
      <w:r>
        <w:fldChar w:fldCharType="begin"/>
      </w:r>
      <w:r>
        <w:instrText xml:space="preserve"> PAGEREF _Toc512323842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Initial procedures</w:t>
      </w:r>
    </w:p>
    <w:p>
      <w:pPr>
        <w:pStyle w:val="TOC8"/>
        <w:rPr>
          <w:rFonts w:asciiTheme="minorHAnsi" w:eastAsiaTheme="minorEastAsia" w:hAnsiTheme="minorHAnsi" w:cstheme="minorBidi"/>
          <w:szCs w:val="22"/>
        </w:rPr>
      </w:pPr>
      <w:r>
        <w:t>27</w:t>
      </w:r>
      <w:r>
        <w:rPr>
          <w:snapToGrid w:val="0"/>
        </w:rPr>
        <w:t>.</w:t>
      </w:r>
      <w:r>
        <w:rPr>
          <w:snapToGrid w:val="0"/>
        </w:rPr>
        <w:tab/>
        <w:t>How to complain</w:t>
      </w:r>
      <w:r>
        <w:tab/>
      </w:r>
      <w:r>
        <w:fldChar w:fldCharType="begin"/>
      </w:r>
      <w:r>
        <w:instrText xml:space="preserve"> PAGEREF _Toc512323844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Referral of complaint where Act inapplicable</w:t>
      </w:r>
      <w:r>
        <w:tab/>
      </w:r>
      <w:r>
        <w:fldChar w:fldCharType="begin"/>
      </w:r>
      <w:r>
        <w:instrText xml:space="preserve"> PAGEREF _Toc512323845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Withdrawal of complaint</w:t>
      </w:r>
      <w:r>
        <w:tab/>
      </w:r>
      <w:r>
        <w:fldChar w:fldCharType="begin"/>
      </w:r>
      <w:r>
        <w:instrText xml:space="preserve"> PAGEREF _Toc512323846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User or carer must try to resolve matter</w:t>
      </w:r>
      <w:r>
        <w:tab/>
      </w:r>
      <w:r>
        <w:fldChar w:fldCharType="begin"/>
      </w:r>
      <w:r>
        <w:instrText xml:space="preserve"> PAGEREF _Toc512323847 \h </w:instrText>
      </w:r>
      <w:r>
        <w:fldChar w:fldCharType="separate"/>
      </w:r>
      <w:r>
        <w:t>19</w:t>
      </w:r>
      <w:r>
        <w:fldChar w:fldCharType="end"/>
      </w:r>
    </w:p>
    <w:p>
      <w:pPr>
        <w:pStyle w:val="TOC8"/>
        <w:rPr>
          <w:rFonts w:asciiTheme="minorHAnsi" w:eastAsiaTheme="minorEastAsia" w:hAnsiTheme="minorHAnsi" w:cstheme="minorBidi"/>
          <w:szCs w:val="22"/>
        </w:rPr>
      </w:pPr>
      <w:r>
        <w:t>31.</w:t>
      </w:r>
      <w:r>
        <w:tab/>
        <w:t xml:space="preserve">Complaints not dealt with by National Board under </w:t>
      </w:r>
      <w:r>
        <w:rPr>
          <w:i/>
          <w:iCs/>
        </w:rPr>
        <w:t>Health Practitioner Regulation National Law (Western Australia)</w:t>
      </w:r>
      <w:r>
        <w:tab/>
      </w:r>
      <w:r>
        <w:fldChar w:fldCharType="begin"/>
      </w:r>
      <w:r>
        <w:instrText xml:space="preserve"> PAGEREF _Toc512323848 \h </w:instrText>
      </w:r>
      <w:r>
        <w:fldChar w:fldCharType="separate"/>
      </w:r>
      <w:r>
        <w:t>20</w:t>
      </w:r>
      <w:r>
        <w:fldChar w:fldCharType="end"/>
      </w:r>
    </w:p>
    <w:p>
      <w:pPr>
        <w:pStyle w:val="TOC8"/>
        <w:rPr>
          <w:rFonts w:asciiTheme="minorHAnsi" w:eastAsiaTheme="minorEastAsia" w:hAnsiTheme="minorHAnsi" w:cstheme="minorBidi"/>
          <w:szCs w:val="22"/>
        </w:rPr>
      </w:pPr>
      <w:r>
        <w:t>32A.</w:t>
      </w:r>
      <w:r>
        <w:tab/>
        <w:t>Notice that complaint being dealt with by National Board</w:t>
      </w:r>
      <w:r>
        <w:tab/>
      </w:r>
      <w:r>
        <w:fldChar w:fldCharType="begin"/>
      </w:r>
      <w:r>
        <w:instrText xml:space="preserve"> PAGEREF _Toc512323849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Referral to other bodies</w:t>
      </w:r>
      <w:r>
        <w:tab/>
      </w:r>
      <w:r>
        <w:fldChar w:fldCharType="begin"/>
      </w:r>
      <w:r>
        <w:instrText xml:space="preserve"> PAGEREF _Toc512323850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Director’s duties if complaint referred under s. 32</w:t>
      </w:r>
      <w:r>
        <w:tab/>
      </w:r>
      <w:r>
        <w:fldChar w:fldCharType="begin"/>
      </w:r>
      <w:r>
        <w:instrText xml:space="preserve"> PAGEREF _Toc512323851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Preliminary assessment by Director</w:t>
      </w:r>
      <w:r>
        <w:tab/>
      </w:r>
      <w:r>
        <w:fldChar w:fldCharType="begin"/>
      </w:r>
      <w:r>
        <w:instrText xml:space="preserve"> PAGEREF _Toc512323852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to provider and others</w:t>
      </w:r>
      <w:r>
        <w:tab/>
      </w:r>
      <w:r>
        <w:fldChar w:fldCharType="begin"/>
      </w:r>
      <w:r>
        <w:instrText xml:space="preserve"> PAGEREF _Toc512323853 \h </w:instrText>
      </w:r>
      <w:r>
        <w:fldChar w:fldCharType="separate"/>
      </w:r>
      <w:r>
        <w:t>22</w:t>
      </w:r>
      <w:r>
        <w:fldChar w:fldCharType="end"/>
      </w:r>
    </w:p>
    <w:p>
      <w:pPr>
        <w:pStyle w:val="TOC8"/>
        <w:rPr>
          <w:rFonts w:asciiTheme="minorHAnsi" w:eastAsiaTheme="minorEastAsia" w:hAnsiTheme="minorHAnsi" w:cstheme="minorBidi"/>
          <w:szCs w:val="22"/>
        </w:rPr>
      </w:pPr>
      <w:r>
        <w:t>36A.</w:t>
      </w:r>
      <w:r>
        <w:tab/>
        <w:t>Response by provider</w:t>
      </w:r>
      <w:r>
        <w:tab/>
      </w:r>
      <w:r>
        <w:fldChar w:fldCharType="begin"/>
      </w:r>
      <w:r>
        <w:instrText xml:space="preserve"> PAGEREF _Toc512323854 \h </w:instrText>
      </w:r>
      <w:r>
        <w:fldChar w:fldCharType="separate"/>
      </w:r>
      <w:r>
        <w:t>23</w:t>
      </w:r>
      <w:r>
        <w:fldChar w:fldCharType="end"/>
      </w:r>
    </w:p>
    <w:p>
      <w:pPr>
        <w:pStyle w:val="TOC8"/>
        <w:rPr>
          <w:rFonts w:asciiTheme="minorHAnsi" w:eastAsiaTheme="minorEastAsia" w:hAnsiTheme="minorHAnsi" w:cstheme="minorBidi"/>
          <w:szCs w:val="22"/>
        </w:rPr>
      </w:pPr>
      <w:r>
        <w:t>36BA.</w:t>
      </w:r>
      <w:r>
        <w:tab/>
        <w:t>Protection of provider’s statements</w:t>
      </w:r>
      <w:r>
        <w:tab/>
      </w:r>
      <w:r>
        <w:fldChar w:fldCharType="begin"/>
      </w:r>
      <w:r>
        <w:instrText xml:space="preserve"> PAGEREF _Toc512323855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3A — Negotiated settlement</w:t>
      </w:r>
    </w:p>
    <w:p>
      <w:pPr>
        <w:pStyle w:val="TOC8"/>
        <w:rPr>
          <w:rFonts w:asciiTheme="minorHAnsi" w:eastAsiaTheme="minorEastAsia" w:hAnsiTheme="minorHAnsi" w:cstheme="minorBidi"/>
          <w:szCs w:val="22"/>
        </w:rPr>
      </w:pPr>
      <w:r>
        <w:t>36B.</w:t>
      </w:r>
      <w:r>
        <w:tab/>
        <w:t>Resolving complaints by negotiation</w:t>
      </w:r>
      <w:r>
        <w:tab/>
      </w:r>
      <w:r>
        <w:fldChar w:fldCharType="begin"/>
      </w:r>
      <w:r>
        <w:instrText xml:space="preserve"> PAGEREF _Toc512323857 \h </w:instrText>
      </w:r>
      <w:r>
        <w:fldChar w:fldCharType="separate"/>
      </w:r>
      <w:r>
        <w:t>24</w:t>
      </w:r>
      <w:r>
        <w:fldChar w:fldCharType="end"/>
      </w:r>
    </w:p>
    <w:p>
      <w:pPr>
        <w:pStyle w:val="TOC8"/>
        <w:rPr>
          <w:rFonts w:asciiTheme="minorHAnsi" w:eastAsiaTheme="minorEastAsia" w:hAnsiTheme="minorHAnsi" w:cstheme="minorBidi"/>
          <w:szCs w:val="22"/>
        </w:rPr>
      </w:pPr>
      <w:r>
        <w:t>36C.</w:t>
      </w:r>
      <w:r>
        <w:tab/>
        <w:t>Protection of statements made</w:t>
      </w:r>
      <w:r>
        <w:tab/>
      </w:r>
      <w:r>
        <w:fldChar w:fldCharType="begin"/>
      </w:r>
      <w:r>
        <w:instrText xml:space="preserve"> PAGEREF _Toc512323858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Conciliation</w:t>
      </w:r>
    </w:p>
    <w:p>
      <w:pPr>
        <w:pStyle w:val="TOC8"/>
        <w:rPr>
          <w:rFonts w:asciiTheme="minorHAnsi" w:eastAsiaTheme="minorEastAsia" w:hAnsiTheme="minorHAnsi" w:cstheme="minorBidi"/>
          <w:szCs w:val="22"/>
        </w:rPr>
      </w:pPr>
      <w:r>
        <w:t>36</w:t>
      </w:r>
      <w:r>
        <w:rPr>
          <w:snapToGrid w:val="0"/>
        </w:rPr>
        <w:t>.</w:t>
      </w:r>
      <w:r>
        <w:rPr>
          <w:snapToGrid w:val="0"/>
        </w:rPr>
        <w:tab/>
        <w:t>Assignment of conciliator</w:t>
      </w:r>
      <w:r>
        <w:tab/>
      </w:r>
      <w:r>
        <w:fldChar w:fldCharType="begin"/>
      </w:r>
      <w:r>
        <w:instrText xml:space="preserve"> PAGEREF _Toc512323860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Notice of referral for conciliation</w:t>
      </w:r>
      <w:r>
        <w:tab/>
      </w:r>
      <w:r>
        <w:fldChar w:fldCharType="begin"/>
      </w:r>
      <w:r>
        <w:instrText xml:space="preserve"> PAGEREF _Toc512323861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Role of conciliator</w:t>
      </w:r>
      <w:r>
        <w:tab/>
      </w:r>
      <w:r>
        <w:fldChar w:fldCharType="begin"/>
      </w:r>
      <w:r>
        <w:instrText xml:space="preserve"> PAGEREF _Toc512323862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Representation in conciliation process</w:t>
      </w:r>
      <w:r>
        <w:tab/>
      </w:r>
      <w:r>
        <w:fldChar w:fldCharType="begin"/>
      </w:r>
      <w:r>
        <w:instrText xml:space="preserve"> PAGEREF _Toc512323863 \h </w:instrText>
      </w:r>
      <w:r>
        <w:fldChar w:fldCharType="separate"/>
      </w:r>
      <w:r>
        <w:t>26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Reports by conciliator</w:t>
      </w:r>
      <w:r>
        <w:tab/>
      </w:r>
      <w:r>
        <w:fldChar w:fldCharType="begin"/>
      </w:r>
      <w:r>
        <w:instrText xml:space="preserve"> PAGEREF _Toc512323864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Parties may resolve complaint</w:t>
      </w:r>
      <w:r>
        <w:tab/>
      </w:r>
      <w:r>
        <w:fldChar w:fldCharType="begin"/>
      </w:r>
      <w:r>
        <w:instrText xml:space="preserve"> PAGEREF _Toc512323865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of statements made</w:t>
      </w:r>
      <w:r>
        <w:tab/>
      </w:r>
      <w:r>
        <w:fldChar w:fldCharType="begin"/>
      </w:r>
      <w:r>
        <w:instrText xml:space="preserve"> PAGEREF _Toc512323866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Subsequent action</w:t>
      </w:r>
    </w:p>
    <w:p>
      <w:pPr>
        <w:pStyle w:val="TOC8"/>
        <w:rPr>
          <w:rFonts w:asciiTheme="minorHAnsi" w:eastAsiaTheme="minorEastAsia" w:hAnsiTheme="minorHAnsi" w:cstheme="minorBidi"/>
          <w:szCs w:val="22"/>
        </w:rPr>
      </w:pPr>
      <w:r>
        <w:t>43</w:t>
      </w:r>
      <w:r>
        <w:rPr>
          <w:snapToGrid w:val="0"/>
        </w:rPr>
        <w:t>.</w:t>
      </w:r>
      <w:r>
        <w:rPr>
          <w:snapToGrid w:val="0"/>
        </w:rPr>
        <w:tab/>
        <w:t>Director’s duties after conciliator’s recommendation</w:t>
      </w:r>
      <w:r>
        <w:tab/>
      </w:r>
      <w:r>
        <w:fldChar w:fldCharType="begin"/>
      </w:r>
      <w:r>
        <w:instrText xml:space="preserve"> PAGEREF _Toc512323868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Notice of investigation by Director</w:t>
      </w:r>
      <w:r>
        <w:tab/>
      </w:r>
      <w:r>
        <w:fldChar w:fldCharType="begin"/>
      </w:r>
      <w:r>
        <w:instrText xml:space="preserve"> PAGEREF _Toc512323869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Further power to investigate</w:t>
      </w:r>
      <w:r>
        <w:tab/>
      </w:r>
      <w:r>
        <w:fldChar w:fldCharType="begin"/>
      </w:r>
      <w:r>
        <w:instrText xml:space="preserve"> PAGEREF _Toc512323870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Conciliator must not investigate</w:t>
      </w:r>
      <w:r>
        <w:tab/>
      </w:r>
      <w:r>
        <w:fldChar w:fldCharType="begin"/>
      </w:r>
      <w:r>
        <w:instrText xml:space="preserve"> PAGEREF _Toc512323871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Purpose of investigation, and procedure</w:t>
      </w:r>
      <w:r>
        <w:tab/>
      </w:r>
      <w:r>
        <w:fldChar w:fldCharType="begin"/>
      </w:r>
      <w:r>
        <w:instrText xml:space="preserve"> PAGEREF _Toc512323872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Remedial action where complaint justified</w:t>
      </w:r>
      <w:r>
        <w:tab/>
      </w:r>
      <w:r>
        <w:fldChar w:fldCharType="begin"/>
      </w:r>
      <w:r>
        <w:instrText xml:space="preserve"> PAGEREF _Toc512323873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Provider must report on remedial action</w:t>
      </w:r>
      <w:r>
        <w:tab/>
      </w:r>
      <w:r>
        <w:fldChar w:fldCharType="begin"/>
      </w:r>
      <w:r>
        <w:instrText xml:space="preserve"> PAGEREF _Toc512323874 \h </w:instrText>
      </w:r>
      <w:r>
        <w:fldChar w:fldCharType="separate"/>
      </w:r>
      <w:r>
        <w:t>31</w:t>
      </w:r>
      <w:r>
        <w:fldChar w:fldCharType="end"/>
      </w:r>
    </w:p>
    <w:p>
      <w:pPr>
        <w:pStyle w:val="TOC8"/>
        <w:rPr>
          <w:rFonts w:asciiTheme="minorHAnsi" w:eastAsiaTheme="minorEastAsia" w:hAnsiTheme="minorHAnsi" w:cstheme="minorBidi"/>
          <w:szCs w:val="22"/>
        </w:rPr>
      </w:pPr>
      <w:r>
        <w:t>52A.</w:t>
      </w:r>
      <w:r>
        <w:tab/>
        <w:t>Report to Parliament if report not made under s. 51 or remedial action not taken</w:t>
      </w:r>
      <w:r>
        <w:tab/>
      </w:r>
      <w:r>
        <w:fldChar w:fldCharType="begin"/>
      </w:r>
      <w:r>
        <w:instrText xml:space="preserve"> PAGEREF _Toc512323875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52</w:t>
      </w:r>
      <w:r>
        <w:rPr>
          <w:snapToGrid w:val="0"/>
        </w:rPr>
        <w:t>.</w:t>
      </w:r>
      <w:r>
        <w:rPr>
          <w:snapToGrid w:val="0"/>
        </w:rPr>
        <w:tab/>
        <w:t>Director to stop proceedings in some cases</w:t>
      </w:r>
      <w:r>
        <w:tab/>
      </w:r>
      <w:r>
        <w:fldChar w:fldCharType="begin"/>
      </w:r>
      <w:r>
        <w:instrText xml:space="preserve"> PAGEREF _Toc512323877 \h </w:instrText>
      </w:r>
      <w:r>
        <w:fldChar w:fldCharType="separate"/>
      </w:r>
      <w:r>
        <w:t>32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Reports to, and at request of, Parliament</w:t>
      </w:r>
      <w:r>
        <w:tab/>
      </w:r>
      <w:r>
        <w:fldChar w:fldCharType="begin"/>
      </w:r>
      <w:r>
        <w:instrText xml:space="preserve"> PAGEREF _Toc512323878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Action if a House not sitting</w:t>
      </w:r>
      <w:r>
        <w:tab/>
      </w:r>
      <w:r>
        <w:fldChar w:fldCharType="begin"/>
      </w:r>
      <w:r>
        <w:instrText xml:space="preserve"> PAGEREF _Toc512323879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Saving</w:t>
      </w:r>
      <w:r>
        <w:tab/>
      </w:r>
      <w:r>
        <w:fldChar w:fldCharType="begin"/>
      </w:r>
      <w:r>
        <w:instrText xml:space="preserve"> PAGEREF _Toc512323880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Director’s powers to obtain information and entry to premises</w:t>
      </w:r>
    </w:p>
    <w:p>
      <w:pPr>
        <w:pStyle w:val="TOC8"/>
        <w:rPr>
          <w:rFonts w:asciiTheme="minorHAnsi" w:eastAsiaTheme="minorEastAsia" w:hAnsiTheme="minorHAnsi" w:cstheme="minorBidi"/>
          <w:szCs w:val="22"/>
        </w:rPr>
      </w:pPr>
      <w:r>
        <w:t>59</w:t>
      </w:r>
      <w:r>
        <w:rPr>
          <w:snapToGrid w:val="0"/>
        </w:rPr>
        <w:t>.</w:t>
      </w:r>
      <w:r>
        <w:rPr>
          <w:snapToGrid w:val="0"/>
        </w:rPr>
        <w:tab/>
        <w:t>Restriction on powers</w:t>
      </w:r>
      <w:r>
        <w:tab/>
      </w:r>
      <w:r>
        <w:fldChar w:fldCharType="begin"/>
      </w:r>
      <w:r>
        <w:instrText xml:space="preserve"> PAGEREF _Toc512323882 \h </w:instrText>
      </w:r>
      <w:r>
        <w:fldChar w:fldCharType="separate"/>
      </w:r>
      <w:r>
        <w:t>35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Power to summons etc.</w:t>
      </w:r>
      <w:r>
        <w:tab/>
      </w:r>
      <w:r>
        <w:fldChar w:fldCharType="begin"/>
      </w:r>
      <w:r>
        <w:instrText xml:space="preserve"> PAGEREF _Toc512323883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False statements</w:t>
      </w:r>
      <w:r>
        <w:tab/>
      </w:r>
      <w:r>
        <w:fldChar w:fldCharType="begin"/>
      </w:r>
      <w:r>
        <w:instrText xml:space="preserve"> PAGEREF _Toc512323884 \h </w:instrText>
      </w:r>
      <w:r>
        <w:fldChar w:fldCharType="separate"/>
      </w:r>
      <w:r>
        <w:t>35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Failure to attend, take oath etc.</w:t>
      </w:r>
      <w:r>
        <w:tab/>
      </w:r>
      <w:r>
        <w:fldChar w:fldCharType="begin"/>
      </w:r>
      <w:r>
        <w:instrText xml:space="preserve"> PAGEREF _Toc512323885 \h </w:instrText>
      </w:r>
      <w:r>
        <w:fldChar w:fldCharType="separate"/>
      </w:r>
      <w:r>
        <w:t>36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Application for warrant to enter premises etc.</w:t>
      </w:r>
      <w:r>
        <w:tab/>
      </w:r>
      <w:r>
        <w:fldChar w:fldCharType="begin"/>
      </w:r>
      <w:r>
        <w:instrText xml:space="preserve"> PAGEREF _Toc512323886 \h </w:instrText>
      </w:r>
      <w:r>
        <w:fldChar w:fldCharType="separate"/>
      </w:r>
      <w:r>
        <w:t>36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Issue of warrant</w:t>
      </w:r>
      <w:r>
        <w:tab/>
      </w:r>
      <w:r>
        <w:fldChar w:fldCharType="begin"/>
      </w:r>
      <w:r>
        <w:instrText xml:space="preserve"> PAGEREF _Toc512323887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Execution of warrant</w:t>
      </w:r>
      <w:r>
        <w:tab/>
      </w:r>
      <w:r>
        <w:fldChar w:fldCharType="begin"/>
      </w:r>
      <w:r>
        <w:instrText xml:space="preserve"> PAGEREF _Toc512323888 \h </w:instrText>
      </w:r>
      <w:r>
        <w:fldChar w:fldCharType="separate"/>
      </w:r>
      <w:r>
        <w:t>38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Offences relating to warrants</w:t>
      </w:r>
      <w:r>
        <w:tab/>
      </w:r>
      <w:r>
        <w:fldChar w:fldCharType="begin"/>
      </w:r>
      <w:r>
        <w:instrText xml:space="preserve"> PAGEREF _Toc512323889 \h </w:instrText>
      </w:r>
      <w:r>
        <w:fldChar w:fldCharType="separate"/>
      </w:r>
      <w:r>
        <w:t>38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Information etc. that may be withheld</w:t>
      </w:r>
      <w:r>
        <w:tab/>
      </w:r>
      <w:r>
        <w:fldChar w:fldCharType="begin"/>
      </w:r>
      <w:r>
        <w:instrText xml:space="preserve"> PAGEREF _Toc512323890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68</w:t>
      </w:r>
      <w:r>
        <w:rPr>
          <w:snapToGrid w:val="0"/>
        </w:rPr>
        <w:t>.</w:t>
      </w:r>
      <w:r>
        <w:rPr>
          <w:snapToGrid w:val="0"/>
        </w:rPr>
        <w:tab/>
        <w:t>Register of complaints</w:t>
      </w:r>
      <w:r>
        <w:tab/>
      </w:r>
      <w:r>
        <w:fldChar w:fldCharType="begin"/>
      </w:r>
      <w:r>
        <w:instrText xml:space="preserve"> PAGEREF _Toc512323892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Protection of Director etc. from personal liability</w:t>
      </w:r>
      <w:r>
        <w:tab/>
      </w:r>
      <w:r>
        <w:fldChar w:fldCharType="begin"/>
      </w:r>
      <w:r>
        <w:instrText xml:space="preserve"> PAGEREF _Toc512323893 \h </w:instrText>
      </w:r>
      <w:r>
        <w:fldChar w:fldCharType="separate"/>
      </w:r>
      <w:r>
        <w:t>41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Protection of other persons</w:t>
      </w:r>
      <w:r>
        <w:tab/>
      </w:r>
      <w:r>
        <w:fldChar w:fldCharType="begin"/>
      </w:r>
      <w:r>
        <w:instrText xml:space="preserve"> PAGEREF _Toc512323894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Confidentiality</w:t>
      </w:r>
      <w:r>
        <w:tab/>
      </w:r>
      <w:r>
        <w:fldChar w:fldCharType="begin"/>
      </w:r>
      <w:r>
        <w:instrText xml:space="preserve"> PAGEREF _Toc512323895 \h </w:instrText>
      </w:r>
      <w:r>
        <w:fldChar w:fldCharType="separate"/>
      </w:r>
      <w:r>
        <w:t>42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False statements</w:t>
      </w:r>
      <w:r>
        <w:tab/>
      </w:r>
      <w:r>
        <w:fldChar w:fldCharType="begin"/>
      </w:r>
      <w:r>
        <w:instrText xml:space="preserve"> PAGEREF _Toc512323896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Person not to be threatened etc. because of complaining to Director</w:t>
      </w:r>
      <w:r>
        <w:tab/>
      </w:r>
      <w:r>
        <w:fldChar w:fldCharType="begin"/>
      </w:r>
      <w:r>
        <w:instrText xml:space="preserve"> PAGEREF _Toc512323897 \h </w:instrText>
      </w:r>
      <w:r>
        <w:fldChar w:fldCharType="separate"/>
      </w:r>
      <w:r>
        <w:t>43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 xml:space="preserve">Application of </w:t>
      </w:r>
      <w:r>
        <w:rPr>
          <w:i/>
          <w:iCs/>
          <w:snapToGrid w:val="0"/>
        </w:rPr>
        <w:t>Parliamentary Commissioner Act 1971</w:t>
      </w:r>
      <w:r>
        <w:tab/>
      </w:r>
      <w:r>
        <w:fldChar w:fldCharType="begin"/>
      </w:r>
      <w:r>
        <w:instrText xml:space="preserve"> PAGEREF _Toc512323898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Prescribed provider must give certain information</w:t>
      </w:r>
      <w:r>
        <w:tab/>
      </w:r>
      <w:r>
        <w:fldChar w:fldCharType="begin"/>
      </w:r>
      <w:r>
        <w:instrText xml:space="preserve"> PAGEREF _Toc512323899 \h </w:instrText>
      </w:r>
      <w:r>
        <w:fldChar w:fldCharType="separate"/>
      </w:r>
      <w:r>
        <w:t>44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Prosecutions</w:t>
      </w:r>
      <w:r>
        <w:tab/>
      </w:r>
      <w:r>
        <w:fldChar w:fldCharType="begin"/>
      </w:r>
      <w:r>
        <w:instrText xml:space="preserve"> PAGEREF _Toc512323900 \h </w:instrText>
      </w:r>
      <w:r>
        <w:fldChar w:fldCharType="separate"/>
      </w:r>
      <w:r>
        <w:t>44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w:t>
      </w:r>
      <w:r>
        <w:tab/>
      </w:r>
      <w:r>
        <w:fldChar w:fldCharType="begin"/>
      </w:r>
      <w:r>
        <w:instrText xml:space="preserve"> PAGEREF _Toc512323901 \h </w:instrText>
      </w:r>
      <w:r>
        <w:fldChar w:fldCharType="separate"/>
      </w:r>
      <w:r>
        <w:t>45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Transitional provision</w:t>
      </w:r>
      <w:r>
        <w:tab/>
      </w:r>
      <w:r>
        <w:fldChar w:fldCharType="begin"/>
      </w:r>
      <w:r>
        <w:instrText xml:space="preserve"> PAGEREF _Toc512323902 \h </w:instrText>
      </w:r>
      <w:r>
        <w:fldChar w:fldCharType="separate"/>
      </w:r>
      <w:r>
        <w:t>45</w:t>
      </w:r>
      <w:r>
        <w:fldChar w:fldCharType="end"/>
      </w:r>
    </w:p>
    <w:p>
      <w:pPr>
        <w:pStyle w:val="TOC8"/>
        <w:rPr>
          <w:rFonts w:asciiTheme="minorHAnsi" w:eastAsiaTheme="minorEastAsia" w:hAnsiTheme="minorHAnsi" w:cstheme="minorBidi"/>
          <w:szCs w:val="22"/>
        </w:rPr>
      </w:pPr>
      <w:r>
        <w:t>79.</w:t>
      </w:r>
      <w:r>
        <w:tab/>
        <w:t>Review of Act</w:t>
      </w:r>
      <w:r>
        <w:tab/>
      </w:r>
      <w:r>
        <w:fldChar w:fldCharType="begin"/>
      </w:r>
      <w:r>
        <w:instrText xml:space="preserve"> PAGEREF _Toc512323903 \h </w:instrText>
      </w:r>
      <w:r>
        <w:fldChar w:fldCharType="separate"/>
      </w:r>
      <w:r>
        <w:t>45</w:t>
      </w:r>
      <w:r>
        <w:fldChar w:fldCharType="end"/>
      </w:r>
    </w:p>
    <w:p>
      <w:pPr>
        <w:pStyle w:val="TOC8"/>
        <w:rPr>
          <w:rFonts w:asciiTheme="minorHAnsi" w:eastAsiaTheme="minorEastAsia" w:hAnsiTheme="minorHAnsi" w:cstheme="minorBidi"/>
          <w:szCs w:val="22"/>
        </w:rPr>
      </w:pPr>
      <w:r>
        <w:t>80.</w:t>
      </w:r>
      <w:r>
        <w:tab/>
        <w:t>Transitional provisions</w:t>
      </w:r>
      <w:r>
        <w:tab/>
      </w:r>
      <w:r>
        <w:fldChar w:fldCharType="begin"/>
      </w:r>
      <w:r>
        <w:instrText xml:space="preserve"> PAGEREF _Toc512323904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1 — Registration Boards</w:t>
      </w:r>
    </w:p>
    <w:p>
      <w:pPr>
        <w:pStyle w:val="TOC2"/>
        <w:tabs>
          <w:tab w:val="right" w:leader="dot" w:pos="7077"/>
        </w:tabs>
        <w:rPr>
          <w:rFonts w:asciiTheme="minorHAnsi" w:eastAsiaTheme="minorEastAsia" w:hAnsiTheme="minorHAnsi" w:cstheme="minorBidi"/>
          <w:b w:val="0"/>
          <w:sz w:val="22"/>
          <w:szCs w:val="22"/>
        </w:rPr>
      </w:pPr>
      <w:r>
        <w:t>Schedule 2 — Tenure, salary, conditions of service, etc., of Director</w:t>
      </w:r>
    </w:p>
    <w:p>
      <w:pPr>
        <w:pStyle w:val="TOC8"/>
        <w:rPr>
          <w:rFonts w:asciiTheme="minorHAnsi" w:eastAsiaTheme="minorEastAsia" w:hAnsiTheme="minorHAnsi" w:cstheme="minorBidi"/>
          <w:szCs w:val="22"/>
        </w:rPr>
      </w:pPr>
      <w:r>
        <w:t>1</w:t>
      </w:r>
      <w:r>
        <w:rPr>
          <w:snapToGrid w:val="0"/>
        </w:rPr>
        <w:t>.</w:t>
      </w:r>
      <w:r>
        <w:rPr>
          <w:snapToGrid w:val="0"/>
        </w:rPr>
        <w:tab/>
        <w:t>Tenure of office</w:t>
      </w:r>
      <w:r>
        <w:tab/>
      </w:r>
      <w:r>
        <w:fldChar w:fldCharType="begin"/>
      </w:r>
      <w:r>
        <w:instrText xml:space="preserve"> PAGEREF _Toc512323907 \h </w:instrText>
      </w:r>
      <w:r>
        <w:fldChar w:fldCharType="separate"/>
      </w:r>
      <w:r>
        <w:t>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Salary and entitlements</w:t>
      </w:r>
      <w:r>
        <w:tab/>
      </w:r>
      <w:r>
        <w:fldChar w:fldCharType="begin"/>
      </w:r>
      <w:r>
        <w:instrText xml:space="preserve"> PAGEREF _Toc512323908 \h </w:instrText>
      </w:r>
      <w:r>
        <w:fldChar w:fldCharType="separate"/>
      </w:r>
      <w:r>
        <w:t>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Superannuation</w:t>
      </w:r>
      <w:r>
        <w:tab/>
      </w:r>
      <w:r>
        <w:fldChar w:fldCharType="begin"/>
      </w:r>
      <w:r>
        <w:instrText xml:space="preserve"> PAGEREF _Toc512323909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public service officer</w:t>
      </w:r>
      <w:r>
        <w:tab/>
      </w:r>
      <w:r>
        <w:fldChar w:fldCharType="begin"/>
      </w:r>
      <w:r>
        <w:instrText xml:space="preserve"> PAGEREF _Toc512323910 \h </w:instrText>
      </w:r>
      <w:r>
        <w:fldChar w:fldCharType="separate"/>
      </w:r>
      <w:r>
        <w:t>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Removal from office</w:t>
      </w:r>
      <w:r>
        <w:tab/>
      </w:r>
      <w:r>
        <w:fldChar w:fldCharType="begin"/>
      </w:r>
      <w:r>
        <w:instrText xml:space="preserve"> PAGEREF _Toc512323911 \h </w:instrText>
      </w:r>
      <w:r>
        <w:fldChar w:fldCharType="separate"/>
      </w:r>
      <w:r>
        <w:t>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conditions of service</w:t>
      </w:r>
      <w:r>
        <w:tab/>
      </w:r>
      <w:r>
        <w:fldChar w:fldCharType="begin"/>
      </w:r>
      <w:r>
        <w:instrText xml:space="preserve"> PAGEREF _Toc512323912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_Toc512323914 \h </w:instrText>
      </w:r>
      <w:r>
        <w:fldChar w:fldCharType="separate"/>
      </w:r>
      <w:r>
        <w:t>52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_Toc512323915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80" w:after="1000"/>
        <w:ind w:left="539" w:right="607"/>
      </w:pPr>
      <w:r>
        <w:t>Health and Disability Services (Complaints) Act 1995</w:t>
      </w:r>
    </w:p>
    <w:p>
      <w:pPr>
        <w:pStyle w:val="LongTitle"/>
        <w:rPr>
          <w:snapToGrid w:val="0"/>
        </w:rPr>
      </w:pPr>
      <w:r>
        <w:rPr>
          <w:snapToGrid w:val="0"/>
        </w:rPr>
        <w:t>An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 by No. 33 of 2010 s. 4.]</w:t>
      </w:r>
    </w:p>
    <w:p>
      <w:pPr>
        <w:pStyle w:val="Heading2"/>
      </w:pPr>
      <w:bookmarkStart w:id="3" w:name="_Toc419461271"/>
      <w:bookmarkStart w:id="4" w:name="_Toc435776407"/>
      <w:bookmarkStart w:id="5" w:name="_Toc435776512"/>
      <w:bookmarkStart w:id="6" w:name="_Toc435776777"/>
      <w:bookmarkStart w:id="7" w:name="_Toc436059344"/>
      <w:bookmarkStart w:id="8" w:name="_Toc452545271"/>
      <w:bookmarkStart w:id="9" w:name="_Toc455412923"/>
      <w:bookmarkStart w:id="10" w:name="_Toc51232381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512323813"/>
      <w:r>
        <w:rPr>
          <w:rStyle w:val="CharSectno"/>
        </w:rPr>
        <w:t>1</w:t>
      </w:r>
      <w:r>
        <w:rPr>
          <w:snapToGrid w:val="0"/>
        </w:rPr>
        <w:t>.</w:t>
      </w:r>
      <w:r>
        <w:rPr>
          <w:snapToGrid w:val="0"/>
        </w:rPr>
        <w:tab/>
        <w:t>Short title</w:t>
      </w:r>
      <w:bookmarkEnd w:id="11"/>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 </w:t>
      </w:r>
      <w:r>
        <w:rPr>
          <w:iCs/>
          <w:snapToGrid w:val="0"/>
          <w:vertAlign w:val="superscript"/>
        </w:rPr>
        <w:t>1</w:t>
      </w:r>
      <w:r>
        <w:rPr>
          <w:iCs/>
          <w:snapToGrid w:val="0"/>
        </w:rPr>
        <w:t>.</w:t>
      </w:r>
    </w:p>
    <w:p>
      <w:pPr>
        <w:pStyle w:val="Footnotesection"/>
        <w:spacing w:before="100"/>
        <w:ind w:left="890" w:hanging="890"/>
      </w:pPr>
      <w:r>
        <w:tab/>
        <w:t>[Section 1 amended by No. 33 of 2010 s. 5.]</w:t>
      </w:r>
    </w:p>
    <w:p>
      <w:pPr>
        <w:pStyle w:val="Heading5"/>
        <w:rPr>
          <w:snapToGrid w:val="0"/>
        </w:rPr>
      </w:pPr>
      <w:bookmarkStart w:id="12" w:name="_Toc512323814"/>
      <w:r>
        <w:rPr>
          <w:rStyle w:val="CharSectno"/>
        </w:rPr>
        <w:t>2</w:t>
      </w:r>
      <w:r>
        <w:rPr>
          <w:snapToGrid w:val="0"/>
        </w:rPr>
        <w:t>.</w:t>
      </w:r>
      <w:r>
        <w:rPr>
          <w:snapToGrid w:val="0"/>
        </w:rPr>
        <w:tab/>
        <w:t>Commencement</w:t>
      </w:r>
      <w:bookmarkEnd w:id="12"/>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pPr>
      <w:bookmarkStart w:id="13" w:name="_Toc512323815"/>
      <w:r>
        <w:rPr>
          <w:rStyle w:val="CharSectno"/>
        </w:rPr>
        <w:t>3A</w:t>
      </w:r>
      <w:r>
        <w:t>.</w:t>
      </w:r>
      <w:r>
        <w:tab/>
        <w:t>Act to be read with other legislation about health and disability complaints</w:t>
      </w:r>
      <w:bookmarkEnd w:id="13"/>
    </w:p>
    <w:p>
      <w:pPr>
        <w:pStyle w:val="Subsection"/>
      </w:pPr>
      <w:r>
        <w:tab/>
      </w:r>
      <w:r>
        <w:tab/>
        <w:t xml:space="preserve">This Act is to be read with the following — </w:t>
      </w:r>
    </w:p>
    <w:p>
      <w:pPr>
        <w:pStyle w:val="Indenta"/>
      </w:pPr>
      <w:r>
        <w:tab/>
        <w:t>(a)</w:t>
      </w:r>
      <w:r>
        <w:tab/>
        <w:t xml:space="preserve">the </w:t>
      </w:r>
      <w:r>
        <w:rPr>
          <w:i/>
        </w:rPr>
        <w:t>Disability Services Act 1993</w:t>
      </w:r>
      <w:r>
        <w:t xml:space="preserve"> Part 6;</w:t>
      </w:r>
    </w:p>
    <w:p>
      <w:pPr>
        <w:pStyle w:val="Indenta"/>
      </w:pPr>
      <w:r>
        <w:tab/>
        <w:t>(b)</w:t>
      </w:r>
      <w:r>
        <w:tab/>
        <w:t xml:space="preserve">the </w:t>
      </w:r>
      <w:r>
        <w:rPr>
          <w:i/>
        </w:rPr>
        <w:t>Mental Health Act 2014</w:t>
      </w:r>
      <w:r>
        <w:t xml:space="preserve"> Part 19 Divisions 3 and 4.</w:t>
      </w:r>
    </w:p>
    <w:p>
      <w:pPr>
        <w:pStyle w:val="Footnotesection"/>
      </w:pPr>
      <w:r>
        <w:tab/>
        <w:t>[Section 3A inserted by No. 25 of 2014 s. 64.]</w:t>
      </w:r>
    </w:p>
    <w:p>
      <w:pPr>
        <w:pStyle w:val="Heading5"/>
        <w:rPr>
          <w:snapToGrid w:val="0"/>
        </w:rPr>
      </w:pPr>
      <w:bookmarkStart w:id="14" w:name="_Toc512323816"/>
      <w:r>
        <w:rPr>
          <w:rStyle w:val="CharSectno"/>
        </w:rPr>
        <w:t>3</w:t>
      </w:r>
      <w:r>
        <w:rPr>
          <w:snapToGrid w:val="0"/>
        </w:rPr>
        <w:t>.</w:t>
      </w:r>
      <w:r>
        <w:rPr>
          <w:snapToGrid w:val="0"/>
        </w:rPr>
        <w:tab/>
        <w:t>Terms used</w:t>
      </w:r>
      <w:bookmarkEnd w:id="14"/>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w:t>
      </w:r>
    </w:p>
    <w:p>
      <w:pPr>
        <w:pStyle w:val="Defpara"/>
      </w:pPr>
      <w:r>
        <w:tab/>
        <w:t>(a)</w:t>
      </w:r>
      <w:r>
        <w:tab/>
        <w:t>diagnosis or treatment of physical or mental disorder or suspected disorder; and</w:t>
      </w:r>
    </w:p>
    <w:p>
      <w:pPr>
        <w:pStyle w:val="Defpara"/>
      </w:pPr>
      <w:r>
        <w:tab/>
        <w:t>(b)</w:t>
      </w:r>
      <w:r>
        <w:tab/>
        <w:t>health care, including palliative health care; and</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w:t>
      </w:r>
    </w:p>
    <w:p>
      <w:pPr>
        <w:pStyle w:val="Defpara"/>
      </w:pPr>
      <w:r>
        <w:tab/>
        <w:t>(e)</w:t>
      </w:r>
      <w:r>
        <w:tab/>
        <w:t>ambulance service; and</w:t>
      </w:r>
    </w:p>
    <w:p>
      <w:pPr>
        <w:pStyle w:val="Defpara"/>
      </w:pPr>
      <w:r>
        <w:tab/>
        <w:t>(f)</w:t>
      </w:r>
      <w:r>
        <w:tab/>
        <w:t>welfare service that is complementary to a health service; and</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w:t>
      </w:r>
    </w:p>
    <w:p>
      <w:pPr>
        <w:pStyle w:val="Defpara"/>
      </w:pPr>
      <w:r>
        <w:tab/>
        <w:t>(a)</w:t>
      </w:r>
      <w:r>
        <w:tab/>
        <w:t>an individual or a group of individuals or a body that renders or provides any health service;</w:t>
      </w:r>
    </w:p>
    <w:p>
      <w:pPr>
        <w:pStyle w:val="Defpara"/>
        <w:keepNext/>
      </w:pPr>
      <w:r>
        <w:tab/>
        <w:t>(b)</w:t>
      </w:r>
      <w:r>
        <w:tab/>
        <w:t>a person who manages or is the chief executive of —</w:t>
      </w:r>
    </w:p>
    <w:p>
      <w:pPr>
        <w:pStyle w:val="Defsubpara"/>
      </w:pPr>
      <w:r>
        <w:tab/>
        <w:t>(i)</w:t>
      </w:r>
      <w:r>
        <w:tab/>
        <w:t>a body by which or an institution in which any health service is rendered or provided; or</w:t>
      </w:r>
    </w:p>
    <w:p>
      <w:pPr>
        <w:pStyle w:val="Defsubpara"/>
      </w:pPr>
      <w:r>
        <w:tab/>
        <w:t>(ii)</w:t>
      </w:r>
      <w: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as defined in the </w:t>
      </w:r>
      <w:r>
        <w:rPr>
          <w:i/>
        </w:rPr>
        <w:t>Health Services Act 2016</w:t>
      </w:r>
      <w:r>
        <w:t xml:space="preserve"> section 6;</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 No. 33 of 2010 s. 7; No. 11 of 2016 s. 292.]</w:t>
      </w:r>
    </w:p>
    <w:p>
      <w:pPr>
        <w:pStyle w:val="Heading5"/>
        <w:rPr>
          <w:snapToGrid w:val="0"/>
        </w:rPr>
      </w:pPr>
      <w:bookmarkStart w:id="15" w:name="_Toc512323817"/>
      <w:r>
        <w:rPr>
          <w:rStyle w:val="CharSectno"/>
        </w:rPr>
        <w:t>4</w:t>
      </w:r>
      <w:r>
        <w:rPr>
          <w:snapToGrid w:val="0"/>
        </w:rPr>
        <w:t>.</w:t>
      </w:r>
      <w:r>
        <w:rPr>
          <w:snapToGrid w:val="0"/>
        </w:rPr>
        <w:tab/>
        <w:t>Guiding principles for the provision of health services</w:t>
      </w:r>
      <w:bookmarkEnd w:id="15"/>
    </w:p>
    <w:p>
      <w:pPr>
        <w:pStyle w:val="Subsection"/>
        <w:keepNext/>
        <w:rPr>
          <w:snapToGrid w:val="0"/>
        </w:rPr>
      </w:pPr>
      <w:r>
        <w:rPr>
          <w:snapToGrid w:val="0"/>
        </w:rPr>
        <w:tab/>
        <w:t>(1)</w:t>
      </w:r>
      <w:r>
        <w:rPr>
          <w:snapToGrid w:val="0"/>
        </w:rPr>
        <w:tab/>
        <w:t>For the guidance of providers it is declared that health services should be provided so as to promote —</w:t>
      </w:r>
    </w:p>
    <w:p>
      <w:pPr>
        <w:pStyle w:val="Indenta"/>
        <w:rPr>
          <w:snapToGrid w:val="0"/>
        </w:rPr>
      </w:pPr>
      <w:r>
        <w:rPr>
          <w:snapToGrid w:val="0"/>
        </w:rPr>
        <w:tab/>
        <w:t>(a)</w:t>
      </w:r>
      <w:r>
        <w:rPr>
          <w:snapToGrid w:val="0"/>
        </w:rPr>
        <w:tab/>
        <w:t>quality health care, given as promptly as circumstances permit; and</w:t>
      </w:r>
    </w:p>
    <w:p>
      <w:pPr>
        <w:pStyle w:val="Indenta"/>
        <w:rPr>
          <w:snapToGrid w:val="0"/>
        </w:rPr>
      </w:pPr>
      <w:r>
        <w:rPr>
          <w:snapToGrid w:val="0"/>
        </w:rPr>
        <w:tab/>
        <w:t>(b)</w:t>
      </w:r>
      <w:r>
        <w:rPr>
          <w:snapToGrid w:val="0"/>
        </w:rPr>
        <w:tab/>
        <w:t>respect for the privacy and dignity of persons receiving health care; and</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pPr>
        <w:pStyle w:val="Indenta"/>
        <w:rPr>
          <w:snapToGrid w:val="0"/>
        </w:rPr>
      </w:pPr>
      <w:r>
        <w:rPr>
          <w:snapToGrid w:val="0"/>
        </w:rPr>
        <w:tab/>
        <w:t>(d)</w:t>
      </w:r>
      <w:r>
        <w:rPr>
          <w:snapToGrid w:val="0"/>
        </w:rPr>
        <w:tab/>
        <w:t>participation in decision</w:t>
      </w:r>
      <w:r>
        <w:rPr>
          <w:snapToGrid w:val="0"/>
        </w:rPr>
        <w:noBreakHyphen/>
        <w:t>making affecting individual health care; and</w:t>
      </w:r>
    </w:p>
    <w:p>
      <w:pPr>
        <w:pStyle w:val="Indenta"/>
        <w:rPr>
          <w:snapToGrid w:val="0"/>
        </w:rPr>
      </w:pPr>
      <w:r>
        <w:rPr>
          <w:snapToGrid w:val="0"/>
        </w:rPr>
        <w:tab/>
        <w:t>(e)</w:t>
      </w:r>
      <w:r>
        <w:rPr>
          <w:snapToGrid w:val="0"/>
        </w:rPr>
        <w:tab/>
        <w:t>informed choice in the acceptance or refusal of treatment or participation in education or research programmes; and</w:t>
      </w:r>
    </w:p>
    <w:p>
      <w:pPr>
        <w:pStyle w:val="Indenta"/>
        <w:rPr>
          <w:snapToGrid w:val="0"/>
        </w:rPr>
      </w:pPr>
      <w:r>
        <w:rPr>
          <w:snapToGrid w:val="0"/>
        </w:rPr>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16" w:name="_Toc512323818"/>
      <w:r>
        <w:rPr>
          <w:rStyle w:val="CharSectno"/>
        </w:rPr>
        <w:t>5</w:t>
      </w:r>
      <w:r>
        <w:rPr>
          <w:snapToGrid w:val="0"/>
        </w:rPr>
        <w:t>.</w:t>
      </w:r>
      <w:r>
        <w:rPr>
          <w:snapToGrid w:val="0"/>
        </w:rPr>
        <w:tab/>
        <w:t>Crown bound</w:t>
      </w:r>
      <w:bookmarkEnd w:id="16"/>
    </w:p>
    <w:p>
      <w:pPr>
        <w:pStyle w:val="Subsection"/>
        <w:rPr>
          <w:snapToGrid w:val="0"/>
        </w:rPr>
      </w:pPr>
      <w:r>
        <w:rPr>
          <w:snapToGrid w:val="0"/>
        </w:rPr>
        <w:tab/>
      </w:r>
      <w:r>
        <w:rPr>
          <w:snapToGrid w:val="0"/>
        </w:rPr>
        <w:tab/>
        <w:t>This Act binds the Crown.</w:t>
      </w:r>
    </w:p>
    <w:p>
      <w:pPr>
        <w:pStyle w:val="Heading2"/>
      </w:pPr>
      <w:bookmarkStart w:id="17" w:name="_Toc419461278"/>
      <w:bookmarkStart w:id="18" w:name="_Toc435776414"/>
      <w:bookmarkStart w:id="19" w:name="_Toc435776519"/>
      <w:bookmarkStart w:id="20" w:name="_Toc435776784"/>
      <w:bookmarkStart w:id="21" w:name="_Toc436059351"/>
      <w:bookmarkStart w:id="22" w:name="_Toc452545278"/>
      <w:bookmarkStart w:id="23" w:name="_Toc455412930"/>
      <w:bookmarkStart w:id="24" w:name="_Toc512323819"/>
      <w:r>
        <w:rPr>
          <w:rStyle w:val="CharPartNo"/>
        </w:rPr>
        <w:t>Part 2</w:t>
      </w:r>
      <w:r>
        <w:rPr>
          <w:rStyle w:val="CharDivNo"/>
        </w:rPr>
        <w:t> </w:t>
      </w:r>
      <w:r>
        <w:t>—</w:t>
      </w:r>
      <w:r>
        <w:rPr>
          <w:rStyle w:val="CharDivText"/>
        </w:rPr>
        <w:t> </w:t>
      </w:r>
      <w:r>
        <w:rPr>
          <w:rStyle w:val="CharPartText"/>
        </w:rPr>
        <w:t>Administrative arrangements</w:t>
      </w:r>
      <w:bookmarkEnd w:id="17"/>
      <w:bookmarkEnd w:id="18"/>
      <w:bookmarkEnd w:id="19"/>
      <w:bookmarkEnd w:id="20"/>
      <w:bookmarkEnd w:id="21"/>
      <w:bookmarkEnd w:id="22"/>
      <w:bookmarkEnd w:id="23"/>
      <w:bookmarkEnd w:id="24"/>
    </w:p>
    <w:p>
      <w:pPr>
        <w:pStyle w:val="Heading5"/>
        <w:rPr>
          <w:snapToGrid w:val="0"/>
        </w:rPr>
      </w:pPr>
      <w:bookmarkStart w:id="25" w:name="_Toc512323820"/>
      <w:r>
        <w:rPr>
          <w:rStyle w:val="CharSectno"/>
        </w:rPr>
        <w:t>6</w:t>
      </w:r>
      <w:r>
        <w:rPr>
          <w:snapToGrid w:val="0"/>
        </w:rPr>
        <w:t>.</w:t>
      </w:r>
      <w:r>
        <w:rPr>
          <w:snapToGrid w:val="0"/>
        </w:rPr>
        <w:tab/>
        <w:t>Health and Disability Services Complaints Office</w:t>
      </w:r>
      <w:bookmarkEnd w:id="25"/>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r>
        <w:tab/>
        <w:t>[Section 6 amended by No. 33 of 2010 s. 8.]</w:t>
      </w:r>
    </w:p>
    <w:p>
      <w:pPr>
        <w:pStyle w:val="Heading5"/>
        <w:rPr>
          <w:snapToGrid w:val="0"/>
        </w:rPr>
      </w:pPr>
      <w:bookmarkStart w:id="26" w:name="_Toc512323821"/>
      <w:r>
        <w:rPr>
          <w:rStyle w:val="CharSectno"/>
        </w:rPr>
        <w:t>7</w:t>
      </w:r>
      <w:r>
        <w:rPr>
          <w:snapToGrid w:val="0"/>
        </w:rPr>
        <w:t>.</w:t>
      </w:r>
      <w:r>
        <w:rPr>
          <w:snapToGrid w:val="0"/>
        </w:rPr>
        <w:tab/>
        <w:t>Director of Office</w:t>
      </w:r>
      <w:bookmarkEnd w:id="26"/>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27" w:name="_Toc512323822"/>
      <w:r>
        <w:rPr>
          <w:rStyle w:val="CharSectno"/>
        </w:rPr>
        <w:t>8</w:t>
      </w:r>
      <w:r>
        <w:rPr>
          <w:snapToGrid w:val="0"/>
        </w:rPr>
        <w:t>.</w:t>
      </w:r>
      <w:r>
        <w:rPr>
          <w:snapToGrid w:val="0"/>
        </w:rPr>
        <w:tab/>
        <w:t>Tenure, salary etc. of Director</w:t>
      </w:r>
      <w:bookmarkEnd w:id="27"/>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28" w:name="_Toc512323823"/>
      <w:r>
        <w:rPr>
          <w:rStyle w:val="CharSectno"/>
        </w:rPr>
        <w:t>9</w:t>
      </w:r>
      <w:r>
        <w:rPr>
          <w:snapToGrid w:val="0"/>
        </w:rPr>
        <w:t>.</w:t>
      </w:r>
      <w:r>
        <w:rPr>
          <w:snapToGrid w:val="0"/>
        </w:rPr>
        <w:tab/>
        <w:t>Judicial notice of Director’s appointment and signature</w:t>
      </w:r>
      <w:bookmarkEnd w:id="28"/>
    </w:p>
    <w:p>
      <w:pPr>
        <w:pStyle w:val="Subsection"/>
        <w:keepNext/>
        <w:rPr>
          <w:snapToGrid w:val="0"/>
        </w:rPr>
      </w:pPr>
      <w:r>
        <w:rPr>
          <w:snapToGrid w:val="0"/>
        </w:rPr>
        <w:tab/>
      </w:r>
      <w:r>
        <w:rPr>
          <w:snapToGrid w:val="0"/>
        </w:rPr>
        <w:tab/>
        <w:t>All courts and persons acting judicially are to take judicial notice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29" w:name="_Toc512323824"/>
      <w:r>
        <w:rPr>
          <w:rStyle w:val="CharSectno"/>
        </w:rPr>
        <w:t>10</w:t>
      </w:r>
      <w:r>
        <w:rPr>
          <w:snapToGrid w:val="0"/>
        </w:rPr>
        <w:t>.</w:t>
      </w:r>
      <w:r>
        <w:rPr>
          <w:snapToGrid w:val="0"/>
        </w:rPr>
        <w:tab/>
        <w:t>Director’s functions</w:t>
      </w:r>
      <w:bookmarkEnd w:id="29"/>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to deal with complaints in accordance with Part 3;</w:t>
      </w:r>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 No. 33 of 2010 s. 9.]</w:t>
      </w:r>
    </w:p>
    <w:p>
      <w:pPr>
        <w:pStyle w:val="Heading5"/>
        <w:rPr>
          <w:snapToGrid w:val="0"/>
        </w:rPr>
      </w:pPr>
      <w:bookmarkStart w:id="30" w:name="_Toc512323825"/>
      <w:r>
        <w:rPr>
          <w:rStyle w:val="CharSectno"/>
        </w:rPr>
        <w:t>11</w:t>
      </w:r>
      <w:r>
        <w:rPr>
          <w:snapToGrid w:val="0"/>
        </w:rPr>
        <w:t>.</w:t>
      </w:r>
      <w:r>
        <w:rPr>
          <w:snapToGrid w:val="0"/>
        </w:rPr>
        <w:tab/>
        <w:t>Minister may give Director directions</w:t>
      </w:r>
      <w:bookmarkEnd w:id="30"/>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complaint; or</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r>
        <w:tab/>
        <w:t>(4)</w:t>
      </w:r>
      <w:r>
        <w:tab/>
        <w:t>In subsection (1)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Sch. 1 cl. 82(1); No. 35 of 2010 s. 80.]</w:t>
      </w:r>
    </w:p>
    <w:p>
      <w:pPr>
        <w:pStyle w:val="Heading5"/>
        <w:rPr>
          <w:snapToGrid w:val="0"/>
        </w:rPr>
      </w:pPr>
      <w:bookmarkStart w:id="31" w:name="_Toc512323826"/>
      <w:r>
        <w:rPr>
          <w:rStyle w:val="CharSectno"/>
        </w:rPr>
        <w:t>12</w:t>
      </w:r>
      <w:r>
        <w:rPr>
          <w:snapToGrid w:val="0"/>
        </w:rPr>
        <w:t>.</w:t>
      </w:r>
      <w:r>
        <w:rPr>
          <w:snapToGrid w:val="0"/>
        </w:rPr>
        <w:tab/>
        <w:t>Minister to have access to information</w:t>
      </w:r>
      <w:bookmarkEnd w:id="31"/>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Director to furnish information to the Minister; and</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32" w:name="_Toc512323827"/>
      <w:r>
        <w:rPr>
          <w:rStyle w:val="CharSectno"/>
        </w:rPr>
        <w:t>13</w:t>
      </w:r>
      <w:r>
        <w:rPr>
          <w:snapToGrid w:val="0"/>
        </w:rPr>
        <w:t>.</w:t>
      </w:r>
      <w:r>
        <w:rPr>
          <w:snapToGrid w:val="0"/>
        </w:rPr>
        <w:tab/>
        <w:t>Financial provisions</w:t>
      </w:r>
      <w:bookmarkEnd w:id="32"/>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Sch. 1 cl. 82(2) and (3); No. 33 of 2010 s. 10.]</w:t>
      </w:r>
    </w:p>
    <w:p>
      <w:pPr>
        <w:pStyle w:val="Heading5"/>
        <w:rPr>
          <w:snapToGrid w:val="0"/>
        </w:rPr>
      </w:pPr>
      <w:bookmarkStart w:id="33" w:name="_Toc512323828"/>
      <w:r>
        <w:rPr>
          <w:rStyle w:val="CharSectno"/>
        </w:rPr>
        <w:t>14</w:t>
      </w:r>
      <w:r>
        <w:rPr>
          <w:snapToGrid w:val="0"/>
        </w:rPr>
        <w:t>.</w:t>
      </w:r>
      <w:r>
        <w:rPr>
          <w:snapToGrid w:val="0"/>
        </w:rPr>
        <w:tab/>
        <w:t>Staff</w:t>
      </w:r>
      <w:bookmarkEnd w:id="33"/>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34" w:name="_Toc512323829"/>
      <w:r>
        <w:rPr>
          <w:rStyle w:val="CharSectno"/>
        </w:rPr>
        <w:t>15</w:t>
      </w:r>
      <w:r>
        <w:rPr>
          <w:snapToGrid w:val="0"/>
        </w:rPr>
        <w:t>.</w:t>
      </w:r>
      <w:r>
        <w:rPr>
          <w:snapToGrid w:val="0"/>
        </w:rPr>
        <w:tab/>
        <w:t>Consultants</w:t>
      </w:r>
      <w:bookmarkEnd w:id="34"/>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35" w:name="_Toc512323830"/>
      <w:r>
        <w:rPr>
          <w:rStyle w:val="CharSectno"/>
        </w:rPr>
        <w:t>16</w:t>
      </w:r>
      <w:r>
        <w:rPr>
          <w:snapToGrid w:val="0"/>
        </w:rPr>
        <w:t>.</w:t>
      </w:r>
      <w:r>
        <w:rPr>
          <w:snapToGrid w:val="0"/>
        </w:rPr>
        <w:tab/>
        <w:t>Use of other government staff etc.</w:t>
      </w:r>
      <w:bookmarkEnd w:id="35"/>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36" w:name="_Toc512323831"/>
      <w:r>
        <w:rPr>
          <w:rStyle w:val="CharSectno"/>
        </w:rPr>
        <w:t>17</w:t>
      </w:r>
      <w:r>
        <w:rPr>
          <w:snapToGrid w:val="0"/>
        </w:rPr>
        <w:t>.</w:t>
      </w:r>
      <w:r>
        <w:rPr>
          <w:snapToGrid w:val="0"/>
        </w:rPr>
        <w:tab/>
        <w:t>Oath of office by Director and staff</w:t>
      </w:r>
      <w:bookmarkEnd w:id="36"/>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37" w:name="_Toc512323832"/>
      <w:r>
        <w:rPr>
          <w:rStyle w:val="CharSectno"/>
        </w:rPr>
        <w:t>18</w:t>
      </w:r>
      <w:r>
        <w:rPr>
          <w:snapToGrid w:val="0"/>
        </w:rPr>
        <w:t>.</w:t>
      </w:r>
      <w:r>
        <w:rPr>
          <w:snapToGrid w:val="0"/>
        </w:rPr>
        <w:tab/>
        <w:t>Delegation by Director</w:t>
      </w:r>
      <w:bookmarkEnd w:id="37"/>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38" w:name="_Toc419461292"/>
      <w:bookmarkStart w:id="39" w:name="_Toc435776428"/>
      <w:bookmarkStart w:id="40" w:name="_Toc435776533"/>
      <w:bookmarkStart w:id="41" w:name="_Toc435776798"/>
      <w:bookmarkStart w:id="42" w:name="_Toc436059365"/>
      <w:bookmarkStart w:id="43" w:name="_Toc452545292"/>
      <w:bookmarkStart w:id="44" w:name="_Toc455412944"/>
      <w:bookmarkStart w:id="45" w:name="_Toc512323833"/>
      <w:r>
        <w:rPr>
          <w:rStyle w:val="CharPartNo"/>
        </w:rPr>
        <w:t>Part 3</w:t>
      </w:r>
      <w:r>
        <w:t> — </w:t>
      </w:r>
      <w:r>
        <w:rPr>
          <w:rStyle w:val="CharPartText"/>
        </w:rPr>
        <w:t>Complaints</w:t>
      </w:r>
      <w:bookmarkEnd w:id="38"/>
      <w:bookmarkEnd w:id="39"/>
      <w:bookmarkEnd w:id="40"/>
      <w:bookmarkEnd w:id="41"/>
      <w:bookmarkEnd w:id="42"/>
      <w:bookmarkEnd w:id="43"/>
      <w:bookmarkEnd w:id="44"/>
      <w:bookmarkEnd w:id="45"/>
    </w:p>
    <w:p>
      <w:pPr>
        <w:pStyle w:val="Heading3"/>
      </w:pPr>
      <w:bookmarkStart w:id="46" w:name="_Toc419461293"/>
      <w:bookmarkStart w:id="47" w:name="_Toc435776429"/>
      <w:bookmarkStart w:id="48" w:name="_Toc435776534"/>
      <w:bookmarkStart w:id="49" w:name="_Toc435776799"/>
      <w:bookmarkStart w:id="50" w:name="_Toc436059366"/>
      <w:bookmarkStart w:id="51" w:name="_Toc452545293"/>
      <w:bookmarkStart w:id="52" w:name="_Toc455412945"/>
      <w:bookmarkStart w:id="53" w:name="_Toc512323834"/>
      <w:r>
        <w:rPr>
          <w:rStyle w:val="CharDivNo"/>
        </w:rPr>
        <w:t>Division 1</w:t>
      </w:r>
      <w:r>
        <w:rPr>
          <w:snapToGrid w:val="0"/>
        </w:rPr>
        <w:t> — </w:t>
      </w:r>
      <w:r>
        <w:rPr>
          <w:rStyle w:val="CharDivText"/>
        </w:rPr>
        <w:t>Right to complain conferred</w:t>
      </w:r>
      <w:bookmarkEnd w:id="46"/>
      <w:bookmarkEnd w:id="47"/>
      <w:bookmarkEnd w:id="48"/>
      <w:bookmarkEnd w:id="49"/>
      <w:bookmarkEnd w:id="50"/>
      <w:bookmarkEnd w:id="51"/>
      <w:bookmarkEnd w:id="52"/>
      <w:bookmarkEnd w:id="53"/>
    </w:p>
    <w:p>
      <w:pPr>
        <w:pStyle w:val="Heading5"/>
        <w:rPr>
          <w:snapToGrid w:val="0"/>
        </w:rPr>
      </w:pPr>
      <w:bookmarkStart w:id="54" w:name="_Toc512323835"/>
      <w:r>
        <w:rPr>
          <w:rStyle w:val="CharSectno"/>
        </w:rPr>
        <w:t>19</w:t>
      </w:r>
      <w:r>
        <w:rPr>
          <w:snapToGrid w:val="0"/>
        </w:rPr>
        <w:t>.</w:t>
      </w:r>
      <w:r>
        <w:rPr>
          <w:snapToGrid w:val="0"/>
        </w:rPr>
        <w:tab/>
        <w:t>Who may complain</w:t>
      </w:r>
      <w:bookmarkEnd w:id="54"/>
    </w:p>
    <w:p>
      <w:pPr>
        <w:pStyle w:val="Subsection"/>
        <w:keepNext/>
        <w:rPr>
          <w:snapToGrid w:val="0"/>
        </w:rPr>
      </w:pPr>
      <w:r>
        <w:rPr>
          <w:snapToGrid w:val="0"/>
        </w:rPr>
        <w:tab/>
        <w:t>(1)</w:t>
      </w:r>
      <w:r>
        <w:rPr>
          <w:snapToGrid w:val="0"/>
        </w:rPr>
        <w:tab/>
        <w:t>A complaint alleging one or more of the matters set out in section 25 may be made to the Director by —</w:t>
      </w:r>
    </w:p>
    <w:p>
      <w:pPr>
        <w:pStyle w:val="Indenta"/>
        <w:rPr>
          <w:snapToGrid w:val="0"/>
        </w:rPr>
      </w:pPr>
      <w:r>
        <w:rPr>
          <w:snapToGrid w:val="0"/>
        </w:rPr>
        <w:tab/>
        <w:t>(a)</w:t>
      </w:r>
      <w:r>
        <w:rPr>
          <w:snapToGrid w:val="0"/>
        </w:rPr>
        <w:tab/>
        <w:t>a user; or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55" w:name="_Toc512323836"/>
      <w:r>
        <w:rPr>
          <w:rStyle w:val="CharSectno"/>
        </w:rPr>
        <w:t>20</w:t>
      </w:r>
      <w:r>
        <w:rPr>
          <w:snapToGrid w:val="0"/>
        </w:rPr>
        <w:t>.</w:t>
      </w:r>
      <w:r>
        <w:rPr>
          <w:snapToGrid w:val="0"/>
        </w:rPr>
        <w:tab/>
        <w:t>Representatives of users</w:t>
      </w:r>
      <w:bookmarkEnd w:id="55"/>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pPr>
      <w:r>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pPr>
        <w:pStyle w:val="Indenta"/>
        <w:spacing w:before="60"/>
        <w:rPr>
          <w:snapToGrid w:val="0"/>
        </w:rPr>
      </w:pPr>
      <w:r>
        <w:rPr>
          <w:snapToGrid w:val="0"/>
        </w:rPr>
        <w:tab/>
        <w:t>(a)</w:t>
      </w:r>
      <w:r>
        <w:rPr>
          <w:snapToGrid w:val="0"/>
        </w:rPr>
        <w:tab/>
        <w:t>is acting without remuneration; and</w:t>
      </w:r>
    </w:p>
    <w:p>
      <w:pPr>
        <w:pStyle w:val="Indenta"/>
        <w:spacing w:before="60"/>
        <w:rPr>
          <w:snapToGrid w:val="0"/>
        </w:rPr>
      </w:pPr>
      <w:r>
        <w:rPr>
          <w:snapToGrid w:val="0"/>
        </w:rPr>
        <w:tab/>
        <w:t>(b)</w:t>
      </w:r>
      <w:r>
        <w:rPr>
          <w:snapToGrid w:val="0"/>
        </w:rPr>
        <w:tab/>
        <w:t>except in the case of a relative of the user, has no financial interest in the outcome of the complaint.</w:t>
      </w:r>
    </w:p>
    <w:p>
      <w:pPr>
        <w:pStyle w:val="Subsection"/>
        <w:spacing w:before="140"/>
      </w:pPr>
      <w:r>
        <w:tab/>
        <w:t>(4)</w:t>
      </w:r>
      <w:r>
        <w:tab/>
        <w:t>In subsection (3) —</w:t>
      </w:r>
    </w:p>
    <w:p>
      <w:pPr>
        <w:pStyle w:val="Defstart"/>
        <w:spacing w:before="60"/>
      </w:pPr>
      <w:r>
        <w:tab/>
      </w:r>
      <w:r>
        <w:rPr>
          <w:rStyle w:val="CharDefText"/>
        </w:rPr>
        <w:t>relative</w:t>
      </w:r>
      <w:r>
        <w:t>, in relation to a user, includes a de facto partner of the user.</w:t>
      </w:r>
    </w:p>
    <w:p>
      <w:pPr>
        <w:pStyle w:val="Footnotesection"/>
        <w:spacing w:before="100"/>
        <w:ind w:left="890" w:hanging="890"/>
      </w:pPr>
      <w:r>
        <w:tab/>
        <w:t>[Section 20 amended by No. 28 of 2003 s. 79; No. 33 of 2010 s. 11.]</w:t>
      </w:r>
    </w:p>
    <w:p>
      <w:pPr>
        <w:pStyle w:val="Heading5"/>
        <w:rPr>
          <w:snapToGrid w:val="0"/>
        </w:rPr>
      </w:pPr>
      <w:bookmarkStart w:id="56" w:name="_Toc512323837"/>
      <w:r>
        <w:rPr>
          <w:rStyle w:val="CharSectno"/>
        </w:rPr>
        <w:t>21</w:t>
      </w:r>
      <w:r>
        <w:rPr>
          <w:snapToGrid w:val="0"/>
        </w:rPr>
        <w:t>.</w:t>
      </w:r>
      <w:r>
        <w:rPr>
          <w:snapToGrid w:val="0"/>
        </w:rPr>
        <w:tab/>
        <w:t>Representative not to be paid</w:t>
      </w:r>
      <w:bookmarkEnd w:id="56"/>
    </w:p>
    <w:p>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spacing w:before="40"/>
        <w:ind w:left="1797" w:hanging="1797"/>
        <w:rPr>
          <w:snapToGrid w:val="0"/>
        </w:rPr>
      </w:pPr>
      <w:r>
        <w:rPr>
          <w:snapToGrid w:val="0"/>
        </w:rPr>
        <w:tab/>
      </w:r>
      <w:r>
        <w:rPr>
          <w:snapToGrid w:val="0"/>
        </w:rPr>
        <w:tab/>
        <w:t>$10 000 for any subsequent offence.</w:t>
      </w:r>
    </w:p>
    <w:p>
      <w:pPr>
        <w:pStyle w:val="Heading5"/>
        <w:rPr>
          <w:snapToGrid w:val="0"/>
        </w:rPr>
      </w:pPr>
      <w:bookmarkStart w:id="57" w:name="_Toc512323838"/>
      <w:r>
        <w:rPr>
          <w:rStyle w:val="CharSectno"/>
        </w:rPr>
        <w:t>22</w:t>
      </w:r>
      <w:r>
        <w:rPr>
          <w:snapToGrid w:val="0"/>
        </w:rPr>
        <w:t>.</w:t>
      </w:r>
      <w:r>
        <w:rPr>
          <w:snapToGrid w:val="0"/>
        </w:rPr>
        <w:tab/>
        <w:t>Provider may complain for user</w:t>
      </w:r>
      <w:bookmarkEnd w:id="57"/>
    </w:p>
    <w:p>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spacing w:before="100"/>
        <w:ind w:left="890" w:hanging="890"/>
      </w:pPr>
      <w:r>
        <w:tab/>
        <w:t>[Section 22 amended by No. 33 of 2010 s. 12.]</w:t>
      </w:r>
    </w:p>
    <w:p>
      <w:pPr>
        <w:pStyle w:val="Heading5"/>
        <w:spacing w:before="200"/>
        <w:rPr>
          <w:snapToGrid w:val="0"/>
        </w:rPr>
      </w:pPr>
      <w:bookmarkStart w:id="58" w:name="_Toc512323839"/>
      <w:r>
        <w:rPr>
          <w:rStyle w:val="CharSectno"/>
        </w:rPr>
        <w:t>23</w:t>
      </w:r>
      <w:r>
        <w:rPr>
          <w:snapToGrid w:val="0"/>
        </w:rPr>
        <w:t>.</w:t>
      </w:r>
      <w:r>
        <w:rPr>
          <w:snapToGrid w:val="0"/>
        </w:rPr>
        <w:tab/>
        <w:t>Complaints to public providers, referral under administrative instructions</w:t>
      </w:r>
      <w:bookmarkEnd w:id="58"/>
    </w:p>
    <w:p>
      <w:pPr>
        <w:pStyle w:val="Subsection"/>
        <w:keepNext/>
        <w:spacing w:before="140"/>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complaint has been made to a public provider alleging one or more matters set out in section 25; and</w:t>
      </w:r>
    </w:p>
    <w:p>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pPr>
        <w:pStyle w:val="Heading5"/>
        <w:rPr>
          <w:snapToGrid w:val="0"/>
        </w:rPr>
      </w:pPr>
      <w:bookmarkStart w:id="59" w:name="_Toc512323840"/>
      <w:r>
        <w:rPr>
          <w:rStyle w:val="CharSectno"/>
        </w:rPr>
        <w:t>24</w:t>
      </w:r>
      <w:r>
        <w:rPr>
          <w:snapToGrid w:val="0"/>
        </w:rPr>
        <w:t>.</w:t>
      </w:r>
      <w:r>
        <w:rPr>
          <w:snapToGrid w:val="0"/>
        </w:rPr>
        <w:tab/>
        <w:t>Time limit for complaints</w:t>
      </w:r>
      <w:bookmarkEnd w:id="59"/>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r>
        <w:tab/>
        <w:t>[Section 24 amended by No. 33 of 2010 s. 13.]</w:t>
      </w:r>
    </w:p>
    <w:p>
      <w:pPr>
        <w:pStyle w:val="Heading5"/>
        <w:rPr>
          <w:snapToGrid w:val="0"/>
        </w:rPr>
      </w:pPr>
      <w:bookmarkStart w:id="60" w:name="_Toc512323841"/>
      <w:r>
        <w:rPr>
          <w:rStyle w:val="CharSectno"/>
        </w:rPr>
        <w:t>25</w:t>
      </w:r>
      <w:r>
        <w:rPr>
          <w:snapToGrid w:val="0"/>
        </w:rPr>
        <w:t>.</w:t>
      </w:r>
      <w:r>
        <w:rPr>
          <w:snapToGrid w:val="0"/>
        </w:rPr>
        <w:tab/>
        <w:t>What complaints can be about</w:t>
      </w:r>
      <w:bookmarkEnd w:id="60"/>
    </w:p>
    <w:p>
      <w:pPr>
        <w:pStyle w:val="Subsection"/>
        <w:keepNext/>
        <w:rPr>
          <w:snapToGrid w:val="0"/>
        </w:rPr>
      </w:pPr>
      <w:r>
        <w:rPr>
          <w:snapToGrid w:val="0"/>
        </w:rPr>
        <w:tab/>
        <w:t>(1)</w:t>
      </w:r>
      <w:r>
        <w:rPr>
          <w:snapToGrid w:val="0"/>
        </w:rPr>
        <w:tab/>
        <w:t>A complaint must allege that one or more of the following has occurred —</w:t>
      </w:r>
    </w:p>
    <w:p>
      <w:pPr>
        <w:pStyle w:val="Indenta"/>
        <w:rPr>
          <w:snapToGrid w:val="0"/>
        </w:rPr>
      </w:pPr>
      <w:r>
        <w:rPr>
          <w:snapToGrid w:val="0"/>
        </w:rPr>
        <w:tab/>
        <w:t>(a)</w:t>
      </w:r>
      <w:r>
        <w:rPr>
          <w:snapToGrid w:val="0"/>
        </w:rPr>
        <w:tab/>
        <w:t>a provider has acted unreasonably by not providing a health service for the user;</w:t>
      </w:r>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w:t>
      </w:r>
    </w:p>
    <w:p>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pPr>
        <w:pStyle w:val="Footnotesection"/>
      </w:pPr>
      <w:r>
        <w:tab/>
        <w:t>[Section 25 amended by No. 37 of 2004 s. 33; No. 28 of 2006 s. 259; No. 33 of 2010 s. 14.]</w:t>
      </w:r>
    </w:p>
    <w:p>
      <w:pPr>
        <w:pStyle w:val="Heading5"/>
        <w:rPr>
          <w:snapToGrid w:val="0"/>
        </w:rPr>
      </w:pPr>
      <w:bookmarkStart w:id="61" w:name="_Toc512323842"/>
      <w:r>
        <w:rPr>
          <w:rStyle w:val="CharSectno"/>
        </w:rPr>
        <w:t>26</w:t>
      </w:r>
      <w:r>
        <w:rPr>
          <w:snapToGrid w:val="0"/>
        </w:rPr>
        <w:t>.</w:t>
      </w:r>
      <w:r>
        <w:rPr>
          <w:snapToGrid w:val="0"/>
        </w:rPr>
        <w:tab/>
        <w:t>Complaints that must be rejected</w:t>
      </w:r>
      <w:bookmarkEnd w:id="61"/>
    </w:p>
    <w:p>
      <w:pPr>
        <w:pStyle w:val="Subsection"/>
        <w:keepNext/>
        <w:rPr>
          <w:snapToGrid w:val="0"/>
        </w:rPr>
      </w:pPr>
      <w:r>
        <w:rPr>
          <w:snapToGrid w:val="0"/>
        </w:rPr>
        <w:tab/>
        <w:t>(1)</w:t>
      </w:r>
      <w:r>
        <w:rPr>
          <w:snapToGrid w:val="0"/>
        </w:rPr>
        <w:tab/>
        <w:t>The Director must reject a complaint that in the Director’s opinion —</w:t>
      </w:r>
    </w:p>
    <w:p>
      <w:pPr>
        <w:pStyle w:val="Indenta"/>
        <w:rPr>
          <w:snapToGrid w:val="0"/>
        </w:rPr>
      </w:pPr>
      <w:r>
        <w:rPr>
          <w:snapToGrid w:val="0"/>
        </w:rPr>
        <w:tab/>
        <w:t>(a)</w:t>
      </w:r>
      <w:r>
        <w:rPr>
          <w:snapToGrid w:val="0"/>
        </w:rPr>
        <w:tab/>
        <w:t>is vexatious, trivial or without substance; or</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pPr>
      <w:bookmarkStart w:id="62" w:name="_Toc419461302"/>
      <w:bookmarkStart w:id="63" w:name="_Toc435776438"/>
      <w:bookmarkStart w:id="64" w:name="_Toc435776543"/>
      <w:bookmarkStart w:id="65" w:name="_Toc435776808"/>
      <w:bookmarkStart w:id="66" w:name="_Toc436059375"/>
      <w:bookmarkStart w:id="67" w:name="_Toc452545302"/>
      <w:bookmarkStart w:id="68" w:name="_Toc455412954"/>
      <w:bookmarkStart w:id="69" w:name="_Toc512323843"/>
      <w:r>
        <w:rPr>
          <w:rStyle w:val="CharDivNo"/>
        </w:rPr>
        <w:t>Division 2</w:t>
      </w:r>
      <w:r>
        <w:rPr>
          <w:snapToGrid w:val="0"/>
        </w:rPr>
        <w:t> — </w:t>
      </w:r>
      <w:r>
        <w:rPr>
          <w:rStyle w:val="CharDivText"/>
        </w:rPr>
        <w:t>Initial procedures</w:t>
      </w:r>
      <w:bookmarkEnd w:id="62"/>
      <w:bookmarkEnd w:id="63"/>
      <w:bookmarkEnd w:id="64"/>
      <w:bookmarkEnd w:id="65"/>
      <w:bookmarkEnd w:id="66"/>
      <w:bookmarkEnd w:id="67"/>
      <w:bookmarkEnd w:id="68"/>
      <w:bookmarkEnd w:id="69"/>
    </w:p>
    <w:p>
      <w:pPr>
        <w:pStyle w:val="Heading5"/>
        <w:rPr>
          <w:snapToGrid w:val="0"/>
        </w:rPr>
      </w:pPr>
      <w:bookmarkStart w:id="70" w:name="_Toc512323844"/>
      <w:r>
        <w:rPr>
          <w:rStyle w:val="CharSectno"/>
        </w:rPr>
        <w:t>27</w:t>
      </w:r>
      <w:r>
        <w:rPr>
          <w:snapToGrid w:val="0"/>
        </w:rPr>
        <w:t>.</w:t>
      </w:r>
      <w:r>
        <w:rPr>
          <w:snapToGrid w:val="0"/>
        </w:rPr>
        <w:tab/>
        <w:t>How to complain</w:t>
      </w:r>
      <w:bookmarkEnd w:id="70"/>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71" w:name="_Toc512323845"/>
      <w:r>
        <w:rPr>
          <w:rStyle w:val="CharSectno"/>
        </w:rPr>
        <w:t>28</w:t>
      </w:r>
      <w:r>
        <w:rPr>
          <w:snapToGrid w:val="0"/>
        </w:rPr>
        <w:t>.</w:t>
      </w:r>
      <w:r>
        <w:rPr>
          <w:snapToGrid w:val="0"/>
        </w:rPr>
        <w:tab/>
        <w:t>Referral of complaint where Act inapplicable</w:t>
      </w:r>
      <w:bookmarkEnd w:id="71"/>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72" w:name="_Toc512323846"/>
      <w:r>
        <w:rPr>
          <w:rStyle w:val="CharSectno"/>
        </w:rPr>
        <w:t>29</w:t>
      </w:r>
      <w:r>
        <w:rPr>
          <w:snapToGrid w:val="0"/>
        </w:rPr>
        <w:t>.</w:t>
      </w:r>
      <w:r>
        <w:rPr>
          <w:snapToGrid w:val="0"/>
        </w:rPr>
        <w:tab/>
        <w:t>Withdrawal of complaint</w:t>
      </w:r>
      <w:bookmarkEnd w:id="72"/>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73" w:name="_Toc512323847"/>
      <w:r>
        <w:rPr>
          <w:rStyle w:val="CharSectno"/>
        </w:rPr>
        <w:t>30</w:t>
      </w:r>
      <w:r>
        <w:rPr>
          <w:snapToGrid w:val="0"/>
        </w:rPr>
        <w:t>.</w:t>
      </w:r>
      <w:r>
        <w:rPr>
          <w:snapToGrid w:val="0"/>
        </w:rPr>
        <w:tab/>
        <w:t>User or carer must try to resolve matter</w:t>
      </w:r>
      <w:bookmarkEnd w:id="73"/>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r>
        <w:tab/>
        <w:t>[Section 30 amended by No. 37 of 2004 s. 34; No. 33 of 2010 s. 15.]</w:t>
      </w:r>
    </w:p>
    <w:p>
      <w:pPr>
        <w:pStyle w:val="Heading5"/>
      </w:pPr>
      <w:bookmarkStart w:id="74" w:name="_Toc512323848"/>
      <w:r>
        <w:rPr>
          <w:rStyle w:val="CharSectno"/>
        </w:rPr>
        <w:t>31</w:t>
      </w:r>
      <w:r>
        <w:t>.</w:t>
      </w:r>
      <w:r>
        <w:tab/>
        <w:t xml:space="preserve">Complaints not dealt with by National Board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bookmarkEnd w:id="74"/>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by No. 35 of 2010 s. 81.]</w:t>
      </w:r>
    </w:p>
    <w:p>
      <w:pPr>
        <w:pStyle w:val="Heading5"/>
      </w:pPr>
      <w:bookmarkStart w:id="75" w:name="_Toc512323849"/>
      <w:r>
        <w:rPr>
          <w:rStyle w:val="CharSectno"/>
        </w:rPr>
        <w:t>32A</w:t>
      </w:r>
      <w:r>
        <w:t>.</w:t>
      </w:r>
      <w:r>
        <w:tab/>
        <w:t>Notice that complaint being dealt with by National Board</w:t>
      </w:r>
      <w:bookmarkEnd w:id="75"/>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by No. 35 of 2010 s. 81.]</w:t>
      </w:r>
    </w:p>
    <w:p>
      <w:pPr>
        <w:pStyle w:val="Heading5"/>
        <w:rPr>
          <w:snapToGrid w:val="0"/>
        </w:rPr>
      </w:pPr>
      <w:bookmarkStart w:id="76" w:name="_Toc512323850"/>
      <w:r>
        <w:rPr>
          <w:rStyle w:val="CharSectno"/>
        </w:rPr>
        <w:t>32</w:t>
      </w:r>
      <w:r>
        <w:rPr>
          <w:snapToGrid w:val="0"/>
        </w:rPr>
        <w:t>.</w:t>
      </w:r>
      <w:r>
        <w:rPr>
          <w:snapToGrid w:val="0"/>
        </w:rPr>
        <w:tab/>
        <w:t>Referral to other bodies</w:t>
      </w:r>
      <w:bookmarkEnd w:id="76"/>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77" w:name="_Toc512323851"/>
      <w:r>
        <w:rPr>
          <w:rStyle w:val="CharSectno"/>
        </w:rPr>
        <w:t>33</w:t>
      </w:r>
      <w:r>
        <w:rPr>
          <w:snapToGrid w:val="0"/>
        </w:rPr>
        <w:t>.</w:t>
      </w:r>
      <w:r>
        <w:rPr>
          <w:snapToGrid w:val="0"/>
        </w:rPr>
        <w:tab/>
        <w:t>Director’s duties if complaint referred under s. 32</w:t>
      </w:r>
      <w:bookmarkEnd w:id="77"/>
    </w:p>
    <w:p>
      <w:pPr>
        <w:pStyle w:val="Subsection"/>
        <w:keepNext/>
        <w:rPr>
          <w:snapToGrid w:val="0"/>
        </w:rPr>
      </w:pPr>
      <w:r>
        <w:rPr>
          <w:snapToGrid w:val="0"/>
        </w:rPr>
        <w:tab/>
      </w:r>
      <w:r>
        <w:rPr>
          <w:snapToGrid w:val="0"/>
        </w:rPr>
        <w:tab/>
        <w:t>If the Director has referred a complaint under section 32, the Director must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r>
        <w:tab/>
        <w:t>[Section 33 amended by No. 35 of 2010 s. 82.]</w:t>
      </w:r>
    </w:p>
    <w:p>
      <w:pPr>
        <w:pStyle w:val="Heading5"/>
        <w:rPr>
          <w:snapToGrid w:val="0"/>
        </w:rPr>
      </w:pPr>
      <w:bookmarkStart w:id="78" w:name="_Toc512323852"/>
      <w:r>
        <w:rPr>
          <w:rStyle w:val="CharSectno"/>
        </w:rPr>
        <w:t>34</w:t>
      </w:r>
      <w:r>
        <w:rPr>
          <w:snapToGrid w:val="0"/>
        </w:rPr>
        <w:t>.</w:t>
      </w:r>
      <w:r>
        <w:rPr>
          <w:snapToGrid w:val="0"/>
        </w:rPr>
        <w:tab/>
        <w:t>Preliminary assessment by Director</w:t>
      </w:r>
      <w:bookmarkEnd w:id="78"/>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pPr>
        <w:pStyle w:val="Indenta"/>
      </w:pPr>
      <w:r>
        <w:tab/>
        <w:t>(a)</w:t>
      </w:r>
      <w:r>
        <w:tab/>
        <w:t>to accept it; or</w:t>
      </w:r>
    </w:p>
    <w:p>
      <w:pPr>
        <w:pStyle w:val="Indenta"/>
      </w:pPr>
      <w:r>
        <w:tab/>
        <w:t>(b)</w:t>
      </w:r>
      <w:r>
        <w:tab/>
        <w:t>to reject it under section 24, 26 or 30; or</w:t>
      </w:r>
    </w:p>
    <w:p>
      <w:pPr>
        <w:pStyle w:val="Indenta"/>
      </w:pPr>
      <w:r>
        <w:tab/>
        <w:t>(c)</w:t>
      </w:r>
      <w:r>
        <w:tab/>
        <w:t>to refer it under section 28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tab/>
        <w:t>(4)</w:t>
      </w:r>
      <w:r>
        <w:tab/>
        <w:t>If the Director decides to accept a complaint in whole or in part, the Director must then —</w:t>
      </w:r>
    </w:p>
    <w:p>
      <w:pPr>
        <w:pStyle w:val="Indenta"/>
      </w:pPr>
      <w:r>
        <w:tab/>
        <w:t>(a)</w:t>
      </w:r>
      <w:r>
        <w:tab/>
        <w:t>attempt to settle it in accordance with Division 3A; or</w:t>
      </w:r>
    </w:p>
    <w:p>
      <w:pPr>
        <w:pStyle w:val="Indenta"/>
      </w:pPr>
      <w:r>
        <w:tab/>
        <w:t>(b)</w:t>
      </w:r>
      <w:r>
        <w:tab/>
        <w:t>refer it for conciliation under Division 3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it is not suitable to be dealt with under either Division 3A or 3; and</w:t>
      </w:r>
    </w:p>
    <w:p>
      <w:pPr>
        <w:pStyle w:val="Indenti"/>
      </w:pPr>
      <w:r>
        <w:tab/>
        <w:t>(ii)</w:t>
      </w:r>
      <w:r>
        <w:tab/>
        <w:t>an investigation is warranted, taking into account the likely costs and benefits of the investigation.</w:t>
      </w:r>
    </w:p>
    <w:p>
      <w:pPr>
        <w:pStyle w:val="Ednotesubsection"/>
      </w:pPr>
      <w:r>
        <w:tab/>
        <w:t>[(5)</w:t>
      </w:r>
      <w:r>
        <w:tab/>
        <w:t>deleted]</w:t>
      </w:r>
    </w:p>
    <w:p>
      <w:pPr>
        <w:pStyle w:val="Subsection"/>
      </w:pPr>
      <w:r>
        <w:tab/>
        <w:t>(6)</w:t>
      </w:r>
      <w:r>
        <w:tab/>
        <w:t>If the Director decides —</w:t>
      </w:r>
    </w:p>
    <w:p>
      <w:pPr>
        <w:pStyle w:val="Indenta"/>
      </w:pPr>
      <w:r>
        <w:tab/>
        <w:t>(a)</w:t>
      </w:r>
      <w:r>
        <w:tab/>
        <w:t>to reject a complaint; or</w:t>
      </w:r>
    </w:p>
    <w:p>
      <w:pPr>
        <w:pStyle w:val="Indenta"/>
      </w:pPr>
      <w:r>
        <w:tab/>
        <w:t>(b)</w:t>
      </w:r>
      <w:r>
        <w:tab/>
        <w:t>that a complaint is not suitable to be dealt with under either Division 3A or 3 and does not warrant investigating,</w:t>
      </w:r>
    </w:p>
    <w:p>
      <w:pPr>
        <w:pStyle w:val="Subsection"/>
        <w:spacing w:before="120"/>
      </w:pPr>
      <w:r>
        <w:tab/>
      </w:r>
      <w:r>
        <w:tab/>
        <w:t>the Director must, in writing, advise the person who made the complaint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34 amended by No. 35 of 2010 s. 83(1) and (4); No. 33 of 2010 s. 16 (as amended by No. 35 of 2010 s. 83(3)).]</w:t>
      </w:r>
    </w:p>
    <w:p>
      <w:pPr>
        <w:pStyle w:val="Heading5"/>
        <w:rPr>
          <w:snapToGrid w:val="0"/>
        </w:rPr>
      </w:pPr>
      <w:bookmarkStart w:id="79" w:name="_Toc512323853"/>
      <w:r>
        <w:rPr>
          <w:rStyle w:val="CharSectno"/>
        </w:rPr>
        <w:t>35</w:t>
      </w:r>
      <w:r>
        <w:rPr>
          <w:snapToGrid w:val="0"/>
        </w:rPr>
        <w:t>.</w:t>
      </w:r>
      <w:r>
        <w:rPr>
          <w:snapToGrid w:val="0"/>
        </w:rPr>
        <w:tab/>
        <w:t>Notice to provider and others</w:t>
      </w:r>
      <w:bookmarkEnd w:id="79"/>
    </w:p>
    <w:p>
      <w:pPr>
        <w:pStyle w:val="Subsection"/>
        <w:keepNext/>
        <w:rPr>
          <w:snapToGrid w:val="0"/>
        </w:rPr>
      </w:pPr>
      <w:r>
        <w:rPr>
          <w:snapToGrid w:val="0"/>
        </w:rPr>
        <w:tab/>
        <w:t>(1)</w:t>
      </w:r>
      <w:r>
        <w:rPr>
          <w:snapToGrid w:val="0"/>
        </w:rPr>
        <w:tab/>
        <w:t>Subject to this section, within 14 days after deciding to accept a complaint the Director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spacing w:before="120"/>
        <w:rPr>
          <w:snapToGrid w:val="0"/>
        </w:rPr>
      </w:pPr>
      <w:r>
        <w:rPr>
          <w:snapToGrid w:val="0"/>
        </w:rPr>
        <w:tab/>
      </w:r>
      <w:r>
        <w:rPr>
          <w:snapToGrid w:val="0"/>
        </w:rPr>
        <w:tab/>
        <w:t>the Director in giving the notice under that paragraph is not to disclose the identity of the complainant.</w:t>
      </w:r>
    </w:p>
    <w:p>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spacing w:before="140"/>
      </w:pPr>
      <w:r>
        <w:tab/>
        <w:t>(4)</w:t>
      </w:r>
      <w:r>
        <w:tab/>
        <w:t>Subject to subsection (2), a notice given under this section must include a copy or the details of the complaint concerned.</w:t>
      </w:r>
    </w:p>
    <w:p>
      <w:pPr>
        <w:pStyle w:val="Footnotesection"/>
        <w:spacing w:before="100"/>
        <w:ind w:left="890" w:hanging="890"/>
      </w:pPr>
      <w:r>
        <w:tab/>
        <w:t>[Section 35 amended by No. 33 of 2010 s. 17(1)(b) and (2) (as amended by No. 35 of 2010 s. 84(2)); No. 35 of 2010 s. 84.]</w:t>
      </w:r>
    </w:p>
    <w:p>
      <w:pPr>
        <w:pStyle w:val="Heading5"/>
      </w:pPr>
      <w:bookmarkStart w:id="80" w:name="_Toc512323854"/>
      <w:r>
        <w:rPr>
          <w:rStyle w:val="CharSectno"/>
        </w:rPr>
        <w:t>36A</w:t>
      </w:r>
      <w:r>
        <w:t>.</w:t>
      </w:r>
      <w:r>
        <w:tab/>
        <w:t>Response by provider</w:t>
      </w:r>
      <w:bookmarkEnd w:id="80"/>
    </w:p>
    <w:p>
      <w:pPr>
        <w:pStyle w:val="Subsection"/>
        <w:spacing w:before="140"/>
      </w:pPr>
      <w:r>
        <w:tab/>
        <w:t>(1)</w:t>
      </w:r>
      <w:r>
        <w:tab/>
        <w:t>A provider who is given a notice under section 35(1)(a) may give the Director a written response to the complaint concerned.</w:t>
      </w:r>
    </w:p>
    <w:p>
      <w:pPr>
        <w:pStyle w:val="Subsection"/>
        <w:spacing w:before="140"/>
      </w:pPr>
      <w:r>
        <w:tab/>
        <w:t>(2)</w:t>
      </w:r>
      <w:r>
        <w:tab/>
        <w:t>A provider who is given a notice under section 35(1)(ba) must give the Director a written response to the complaint concerned.</w:t>
      </w:r>
    </w:p>
    <w:p>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spacing w:before="140"/>
      </w:pPr>
      <w:r>
        <w:tab/>
        <w:t>(4)</w:t>
      </w:r>
      <w:r>
        <w:tab/>
        <w:t>The Director may extend that 28 day period for good reason.</w:t>
      </w:r>
    </w:p>
    <w:p>
      <w:pPr>
        <w:pStyle w:val="Subsection"/>
        <w:spacing w:before="140"/>
      </w:pPr>
      <w:r>
        <w:tab/>
        <w:t>(5)</w:t>
      </w:r>
      <w:r>
        <w:tab/>
        <w:t>If a provider does not comply with subsection (2), the Director may nevertheless deal with the complaint under this Part.</w:t>
      </w:r>
    </w:p>
    <w:p>
      <w:pPr>
        <w:pStyle w:val="Subsection"/>
        <w:spacing w:before="140"/>
      </w:pPr>
      <w:r>
        <w:tab/>
        <w:t>(6)</w:t>
      </w:r>
      <w:r>
        <w:tab/>
        <w:t>A provider who does not comply with subsection (2) does not commit an offence.</w:t>
      </w:r>
    </w:p>
    <w:p>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spacing w:before="100"/>
        <w:ind w:left="890" w:hanging="890"/>
        <w:rPr>
          <w:snapToGrid/>
        </w:rPr>
      </w:pPr>
      <w:r>
        <w:rPr>
          <w:snapToGrid/>
        </w:rPr>
        <w:tab/>
        <w:t>[Section 36A inserted by No. 33 of 2010 s. 18.]</w:t>
      </w:r>
    </w:p>
    <w:p>
      <w:pPr>
        <w:pStyle w:val="Heading5"/>
      </w:pPr>
      <w:bookmarkStart w:id="81" w:name="_Toc512323855"/>
      <w:r>
        <w:rPr>
          <w:rStyle w:val="CharSectno"/>
        </w:rPr>
        <w:t>36BA</w:t>
      </w:r>
      <w:r>
        <w:t>.</w:t>
      </w:r>
      <w:r>
        <w:tab/>
        <w:t>Protection of provider’s statements</w:t>
      </w:r>
      <w:bookmarkEnd w:id="81"/>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spacing w:before="100"/>
        <w:ind w:left="890" w:hanging="890"/>
        <w:rPr>
          <w:snapToGrid/>
        </w:rPr>
      </w:pPr>
      <w:r>
        <w:rPr>
          <w:snapToGrid/>
        </w:rPr>
        <w:tab/>
        <w:t>[Section 36BA inserted by No. 33 of 2010 s. 18.]</w:t>
      </w:r>
    </w:p>
    <w:p>
      <w:pPr>
        <w:pStyle w:val="Heading3"/>
      </w:pPr>
      <w:bookmarkStart w:id="82" w:name="_Toc419461315"/>
      <w:bookmarkStart w:id="83" w:name="_Toc435776451"/>
      <w:bookmarkStart w:id="84" w:name="_Toc435776556"/>
      <w:bookmarkStart w:id="85" w:name="_Toc435776821"/>
      <w:bookmarkStart w:id="86" w:name="_Toc436059388"/>
      <w:bookmarkStart w:id="87" w:name="_Toc452545315"/>
      <w:bookmarkStart w:id="88" w:name="_Toc455412967"/>
      <w:bookmarkStart w:id="89" w:name="_Toc512323856"/>
      <w:r>
        <w:rPr>
          <w:rStyle w:val="CharDivNo"/>
        </w:rPr>
        <w:t>Division 3A</w:t>
      </w:r>
      <w:r>
        <w:t> — </w:t>
      </w:r>
      <w:r>
        <w:rPr>
          <w:rStyle w:val="CharDivText"/>
        </w:rPr>
        <w:t>Negotiated settlement</w:t>
      </w:r>
      <w:bookmarkEnd w:id="82"/>
      <w:bookmarkEnd w:id="83"/>
      <w:bookmarkEnd w:id="84"/>
      <w:bookmarkEnd w:id="85"/>
      <w:bookmarkEnd w:id="86"/>
      <w:bookmarkEnd w:id="87"/>
      <w:bookmarkEnd w:id="88"/>
      <w:bookmarkEnd w:id="89"/>
    </w:p>
    <w:p>
      <w:pPr>
        <w:pStyle w:val="Footnoteheading"/>
        <w:spacing w:before="100"/>
      </w:pPr>
      <w:r>
        <w:tab/>
        <w:t>[Heading inserted by No. 33 of 2010 s. 19.]</w:t>
      </w:r>
    </w:p>
    <w:p>
      <w:pPr>
        <w:pStyle w:val="Heading5"/>
      </w:pPr>
      <w:bookmarkStart w:id="90" w:name="_Toc512323857"/>
      <w:r>
        <w:rPr>
          <w:rStyle w:val="CharSectno"/>
        </w:rPr>
        <w:t>36B</w:t>
      </w:r>
      <w:r>
        <w:t>.</w:t>
      </w:r>
      <w:r>
        <w:tab/>
        <w:t>Resolving complaints by negotiation</w:t>
      </w:r>
      <w:bookmarkEnd w:id="90"/>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3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3; and</w:t>
      </w:r>
    </w:p>
    <w:p>
      <w:pPr>
        <w:pStyle w:val="Indenti"/>
      </w:pPr>
      <w:r>
        <w:tab/>
        <w:t>(ii)</w:t>
      </w:r>
      <w:r>
        <w:tab/>
        <w:t>an investigation is warranted, taking into account the likely costs and benefits of the investigation.</w:t>
      </w:r>
    </w:p>
    <w:p>
      <w:pPr>
        <w:pStyle w:val="Subsection"/>
      </w:pPr>
      <w:r>
        <w:tab/>
        <w:t>(4)</w:t>
      </w:r>
      <w:r>
        <w:tab/>
        <w:t>The Director may extend that 56 day period if it is for the benefit of the person who made the complaint to do so.</w:t>
      </w:r>
    </w:p>
    <w:p>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 by No. 33 of 2010 s. 19.]</w:t>
      </w:r>
    </w:p>
    <w:p>
      <w:pPr>
        <w:pStyle w:val="Heading5"/>
      </w:pPr>
      <w:bookmarkStart w:id="91" w:name="_Toc512323858"/>
      <w:r>
        <w:rPr>
          <w:rStyle w:val="CharSectno"/>
        </w:rPr>
        <w:t>36C</w:t>
      </w:r>
      <w:r>
        <w:t>.</w:t>
      </w:r>
      <w:r>
        <w:tab/>
        <w:t>Protection of statements made</w:t>
      </w:r>
      <w:bookmarkEnd w:id="91"/>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 by No. 33 of 2010 s. 19.]</w:t>
      </w:r>
    </w:p>
    <w:p>
      <w:pPr>
        <w:pStyle w:val="Heading3"/>
      </w:pPr>
      <w:bookmarkStart w:id="92" w:name="_Toc419461318"/>
      <w:bookmarkStart w:id="93" w:name="_Toc435776454"/>
      <w:bookmarkStart w:id="94" w:name="_Toc435776559"/>
      <w:bookmarkStart w:id="95" w:name="_Toc435776824"/>
      <w:bookmarkStart w:id="96" w:name="_Toc436059391"/>
      <w:bookmarkStart w:id="97" w:name="_Toc452545318"/>
      <w:bookmarkStart w:id="98" w:name="_Toc455412970"/>
      <w:bookmarkStart w:id="99" w:name="_Toc512323859"/>
      <w:r>
        <w:rPr>
          <w:rStyle w:val="CharDivNo"/>
        </w:rPr>
        <w:t>Division 3</w:t>
      </w:r>
      <w:r>
        <w:rPr>
          <w:snapToGrid w:val="0"/>
        </w:rPr>
        <w:t> — </w:t>
      </w:r>
      <w:r>
        <w:rPr>
          <w:rStyle w:val="CharDivText"/>
        </w:rPr>
        <w:t>Conciliation</w:t>
      </w:r>
      <w:bookmarkEnd w:id="92"/>
      <w:bookmarkEnd w:id="93"/>
      <w:bookmarkEnd w:id="94"/>
      <w:bookmarkEnd w:id="95"/>
      <w:bookmarkEnd w:id="96"/>
      <w:bookmarkEnd w:id="97"/>
      <w:bookmarkEnd w:id="98"/>
      <w:bookmarkEnd w:id="99"/>
    </w:p>
    <w:p>
      <w:pPr>
        <w:pStyle w:val="Heading5"/>
        <w:rPr>
          <w:snapToGrid w:val="0"/>
        </w:rPr>
      </w:pPr>
      <w:bookmarkStart w:id="100" w:name="_Toc512323860"/>
      <w:r>
        <w:rPr>
          <w:rStyle w:val="CharSectno"/>
        </w:rPr>
        <w:t>36</w:t>
      </w:r>
      <w:r>
        <w:rPr>
          <w:snapToGrid w:val="0"/>
        </w:rPr>
        <w:t>.</w:t>
      </w:r>
      <w:r>
        <w:rPr>
          <w:snapToGrid w:val="0"/>
        </w:rPr>
        <w:tab/>
        <w:t>Assignment of conciliator</w:t>
      </w:r>
      <w:bookmarkEnd w:id="100"/>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101" w:name="_Toc512323861"/>
      <w:r>
        <w:rPr>
          <w:rStyle w:val="CharSectno"/>
        </w:rPr>
        <w:t>37</w:t>
      </w:r>
      <w:r>
        <w:rPr>
          <w:snapToGrid w:val="0"/>
        </w:rPr>
        <w:t>.</w:t>
      </w:r>
      <w:r>
        <w:rPr>
          <w:snapToGrid w:val="0"/>
        </w:rPr>
        <w:tab/>
        <w:t>Notice of referral for conciliation</w:t>
      </w:r>
      <w:bookmarkEnd w:id="101"/>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102" w:name="_Toc512323862"/>
      <w:r>
        <w:rPr>
          <w:rStyle w:val="CharSectno"/>
        </w:rPr>
        <w:t>38</w:t>
      </w:r>
      <w:r>
        <w:rPr>
          <w:snapToGrid w:val="0"/>
        </w:rPr>
        <w:t>.</w:t>
      </w:r>
      <w:r>
        <w:rPr>
          <w:snapToGrid w:val="0"/>
        </w:rPr>
        <w:tab/>
        <w:t>Role of conciliator</w:t>
      </w:r>
      <w:bookmarkEnd w:id="102"/>
    </w:p>
    <w:p>
      <w:pPr>
        <w:pStyle w:val="Subsection"/>
        <w:keepNext/>
        <w:rPr>
          <w:snapToGrid w:val="0"/>
        </w:rPr>
      </w:pPr>
      <w:r>
        <w:rPr>
          <w:snapToGrid w:val="0"/>
        </w:rPr>
        <w:tab/>
      </w:r>
      <w:r>
        <w:rPr>
          <w:snapToGrid w:val="0"/>
        </w:rPr>
        <w:tab/>
        <w:t>A conciliator’s function is to encourage the settlement of the complaint by —</w:t>
      </w:r>
    </w:p>
    <w:p>
      <w:pPr>
        <w:pStyle w:val="Indenta"/>
        <w:rPr>
          <w:snapToGrid w:val="0"/>
        </w:rPr>
      </w:pPr>
      <w:r>
        <w:rPr>
          <w:snapToGrid w:val="0"/>
        </w:rPr>
        <w:tab/>
        <w:t>(a)</w:t>
      </w:r>
      <w:r>
        <w:rPr>
          <w:snapToGrid w:val="0"/>
        </w:rPr>
        <w:tab/>
        <w:t>arranging for the provider and the person who made the complaint to hold informal discussions about the complaint; and</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103" w:name="_Toc512323863"/>
      <w:r>
        <w:rPr>
          <w:rStyle w:val="CharSectno"/>
        </w:rPr>
        <w:t>39</w:t>
      </w:r>
      <w:r>
        <w:rPr>
          <w:snapToGrid w:val="0"/>
        </w:rPr>
        <w:t>.</w:t>
      </w:r>
      <w:r>
        <w:rPr>
          <w:snapToGrid w:val="0"/>
        </w:rPr>
        <w:tab/>
        <w:t>Representation in conciliation process</w:t>
      </w:r>
      <w:bookmarkEnd w:id="103"/>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104" w:name="_Toc512323864"/>
      <w:r>
        <w:rPr>
          <w:rStyle w:val="CharSectno"/>
        </w:rPr>
        <w:t>40</w:t>
      </w:r>
      <w:r>
        <w:rPr>
          <w:snapToGrid w:val="0"/>
        </w:rPr>
        <w:t>.</w:t>
      </w:r>
      <w:r>
        <w:rPr>
          <w:snapToGrid w:val="0"/>
        </w:rPr>
        <w:tab/>
        <w:t>Reports by conciliator</w:t>
      </w:r>
      <w:bookmarkEnd w:id="104"/>
    </w:p>
    <w:p>
      <w:pPr>
        <w:pStyle w:val="Subsection"/>
        <w:keepNext/>
        <w:rPr>
          <w:snapToGrid w:val="0"/>
        </w:rPr>
      </w:pPr>
      <w:r>
        <w:rPr>
          <w:snapToGrid w:val="0"/>
        </w:rPr>
        <w:tab/>
        <w:t>(1)</w:t>
      </w:r>
      <w:r>
        <w:rPr>
          <w:snapToGrid w:val="0"/>
        </w:rPr>
        <w:tab/>
        <w:t>The conciliator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w:t>
      </w:r>
    </w:p>
    <w:p>
      <w:pPr>
        <w:pStyle w:val="Indenta"/>
        <w:spacing w:before="70"/>
        <w:rPr>
          <w:snapToGrid w:val="0"/>
        </w:rPr>
      </w:pPr>
      <w:r>
        <w:rPr>
          <w:snapToGrid w:val="0"/>
        </w:rPr>
        <w:tab/>
        <w:t>(a)</w:t>
      </w:r>
      <w:r>
        <w:rPr>
          <w:snapToGrid w:val="0"/>
        </w:rPr>
        <w:tab/>
        <w:t>must include details of any agreement reached; and</w:t>
      </w:r>
    </w:p>
    <w:p>
      <w:pPr>
        <w:pStyle w:val="Indenta"/>
        <w:keepNext/>
        <w:spacing w:before="70"/>
        <w:rPr>
          <w:snapToGrid w:val="0"/>
        </w:rPr>
      </w:pPr>
      <w:r>
        <w:rPr>
          <w:snapToGrid w:val="0"/>
        </w:rPr>
        <w:tab/>
        <w:t>(b)</w:t>
      </w:r>
      <w:r>
        <w:rPr>
          <w:snapToGrid w:val="0"/>
        </w:rPr>
        <w:tab/>
        <w:t>if no agreement has been reached, may —</w:t>
      </w:r>
    </w:p>
    <w:p>
      <w:pPr>
        <w:pStyle w:val="Indenti"/>
        <w:spacing w:before="70"/>
        <w:rPr>
          <w:snapToGrid w:val="0"/>
        </w:rPr>
      </w:pPr>
      <w:r>
        <w:rPr>
          <w:snapToGrid w:val="0"/>
        </w:rPr>
        <w:tab/>
        <w:t>(i)</w:t>
      </w:r>
      <w:r>
        <w:rPr>
          <w:snapToGrid w:val="0"/>
        </w:rPr>
        <w:tab/>
        <w:t>recommend that the Director should investigate the matter; or</w:t>
      </w:r>
    </w:p>
    <w:p>
      <w:pPr>
        <w:pStyle w:val="Indenti"/>
        <w:spacing w:before="70"/>
        <w:rPr>
          <w:snapToGrid w:val="0"/>
        </w:rPr>
      </w:pPr>
      <w:r>
        <w:rPr>
          <w:snapToGrid w:val="0"/>
        </w:rPr>
        <w:tab/>
        <w:t>(ii)</w:t>
      </w:r>
      <w:r>
        <w:rPr>
          <w:snapToGrid w:val="0"/>
        </w:rPr>
        <w:tab/>
        <w:t>make no recommendation; or</w:t>
      </w:r>
    </w:p>
    <w:p>
      <w:pPr>
        <w:pStyle w:val="Indenti"/>
        <w:spacing w:before="70"/>
        <w:rPr>
          <w:snapToGrid w:val="0"/>
        </w:rPr>
      </w:pPr>
      <w:r>
        <w:rPr>
          <w:snapToGrid w:val="0"/>
        </w:rPr>
        <w:tab/>
        <w:t>(iii)</w:t>
      </w:r>
      <w:r>
        <w:rPr>
          <w:snapToGrid w:val="0"/>
        </w:rPr>
        <w:tab/>
        <w:t>recommend that the Director should not investigate the matter,</w:t>
      </w:r>
    </w:p>
    <w:p>
      <w:pPr>
        <w:pStyle w:val="Indenta"/>
        <w:spacing w:before="70"/>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105" w:name="_Toc512323865"/>
      <w:r>
        <w:rPr>
          <w:rStyle w:val="CharSectno"/>
        </w:rPr>
        <w:t>41</w:t>
      </w:r>
      <w:r>
        <w:rPr>
          <w:snapToGrid w:val="0"/>
        </w:rPr>
        <w:t>.</w:t>
      </w:r>
      <w:r>
        <w:rPr>
          <w:snapToGrid w:val="0"/>
        </w:rPr>
        <w:tab/>
        <w:t>Parties may resolve complaint</w:t>
      </w:r>
      <w:bookmarkEnd w:id="105"/>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pPr>
      <w:r>
        <w:tab/>
        <w:t>[Section 41 amended by No. 33 of 2010 s. 20.]</w:t>
      </w:r>
    </w:p>
    <w:p>
      <w:pPr>
        <w:pStyle w:val="Heading5"/>
        <w:rPr>
          <w:snapToGrid w:val="0"/>
        </w:rPr>
      </w:pPr>
      <w:bookmarkStart w:id="106" w:name="_Toc512323866"/>
      <w:r>
        <w:rPr>
          <w:rStyle w:val="CharSectno"/>
        </w:rPr>
        <w:t>42</w:t>
      </w:r>
      <w:r>
        <w:rPr>
          <w:snapToGrid w:val="0"/>
        </w:rPr>
        <w:t>.</w:t>
      </w:r>
      <w:r>
        <w:rPr>
          <w:snapToGrid w:val="0"/>
        </w:rPr>
        <w:tab/>
        <w:t>Protection of statements made</w:t>
      </w:r>
      <w:bookmarkEnd w:id="106"/>
    </w:p>
    <w:p>
      <w:pPr>
        <w:pStyle w:val="Subsection"/>
        <w:keepNext/>
        <w:rPr>
          <w:snapToGrid w:val="0"/>
        </w:rPr>
      </w:pPr>
      <w:r>
        <w:rPr>
          <w:snapToGrid w:val="0"/>
        </w:rPr>
        <w:tab/>
        <w:t>(1)</w:t>
      </w:r>
      <w:r>
        <w:rPr>
          <w:snapToGrid w:val="0"/>
        </w:rPr>
        <w:tab/>
        <w:t>Evidence of anything said or admitted during the conciliation process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pPr>
      <w:bookmarkStart w:id="107" w:name="_Toc419461326"/>
      <w:bookmarkStart w:id="108" w:name="_Toc435776462"/>
      <w:bookmarkStart w:id="109" w:name="_Toc435776567"/>
      <w:bookmarkStart w:id="110" w:name="_Toc435776832"/>
      <w:bookmarkStart w:id="111" w:name="_Toc436059399"/>
      <w:bookmarkStart w:id="112" w:name="_Toc452545326"/>
      <w:bookmarkStart w:id="113" w:name="_Toc455412978"/>
      <w:bookmarkStart w:id="114" w:name="_Toc512323867"/>
      <w:r>
        <w:rPr>
          <w:rStyle w:val="CharDivNo"/>
        </w:rPr>
        <w:t>Division 4</w:t>
      </w:r>
      <w:r>
        <w:rPr>
          <w:snapToGrid w:val="0"/>
        </w:rPr>
        <w:t> — </w:t>
      </w:r>
      <w:r>
        <w:rPr>
          <w:rStyle w:val="CharDivText"/>
        </w:rPr>
        <w:t>Subsequent action</w:t>
      </w:r>
      <w:bookmarkEnd w:id="107"/>
      <w:bookmarkEnd w:id="108"/>
      <w:bookmarkEnd w:id="109"/>
      <w:bookmarkEnd w:id="110"/>
      <w:bookmarkEnd w:id="111"/>
      <w:bookmarkEnd w:id="112"/>
      <w:bookmarkEnd w:id="113"/>
      <w:bookmarkEnd w:id="114"/>
    </w:p>
    <w:p>
      <w:pPr>
        <w:pStyle w:val="Heading5"/>
        <w:rPr>
          <w:snapToGrid w:val="0"/>
        </w:rPr>
      </w:pPr>
      <w:bookmarkStart w:id="115" w:name="_Toc512323868"/>
      <w:r>
        <w:rPr>
          <w:rStyle w:val="CharSectno"/>
        </w:rPr>
        <w:t>43</w:t>
      </w:r>
      <w:r>
        <w:rPr>
          <w:snapToGrid w:val="0"/>
        </w:rPr>
        <w:t>.</w:t>
      </w:r>
      <w:r>
        <w:rPr>
          <w:snapToGrid w:val="0"/>
        </w:rPr>
        <w:tab/>
        <w:t>Director’s duties after conciliator’s recommendation</w:t>
      </w:r>
      <w:bookmarkEnd w:id="115"/>
    </w:p>
    <w:p>
      <w:pPr>
        <w:pStyle w:val="Subsection"/>
        <w:keepNext/>
        <w:rPr>
          <w:snapToGrid w:val="0"/>
        </w:rPr>
      </w:pPr>
      <w:r>
        <w:rPr>
          <w:snapToGrid w:val="0"/>
        </w:rPr>
        <w:tab/>
        <w:t>(1)</w:t>
      </w:r>
      <w:r>
        <w:rPr>
          <w:snapToGrid w:val="0"/>
        </w:rPr>
        <w:tab/>
        <w:t>If a conciliator recommends that the Director should not investigate a complaint, the Director must not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Footnotesection"/>
      </w:pPr>
      <w:r>
        <w:tab/>
        <w:t>[Section 43 amended by No. 35 of 2010 s. 85.]</w:t>
      </w:r>
    </w:p>
    <w:p>
      <w:pPr>
        <w:pStyle w:val="Heading5"/>
        <w:rPr>
          <w:snapToGrid w:val="0"/>
        </w:rPr>
      </w:pPr>
      <w:bookmarkStart w:id="116" w:name="_Toc512323869"/>
      <w:r>
        <w:rPr>
          <w:rStyle w:val="CharSectno"/>
        </w:rPr>
        <w:t>44</w:t>
      </w:r>
      <w:r>
        <w:rPr>
          <w:snapToGrid w:val="0"/>
        </w:rPr>
        <w:t>.</w:t>
      </w:r>
      <w:r>
        <w:rPr>
          <w:snapToGrid w:val="0"/>
        </w:rPr>
        <w:tab/>
        <w:t>Notice of investigation by Director</w:t>
      </w:r>
      <w:bookmarkEnd w:id="116"/>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Footnotesection"/>
      </w:pPr>
      <w:r>
        <w:tab/>
        <w:t>[Section 44 amended by No. 33 of 2010 s. 21; No. 35 of 2010 s. 86.]</w:t>
      </w:r>
    </w:p>
    <w:p>
      <w:pPr>
        <w:pStyle w:val="Heading5"/>
        <w:rPr>
          <w:snapToGrid w:val="0"/>
        </w:rPr>
      </w:pPr>
      <w:bookmarkStart w:id="117" w:name="_Toc512323870"/>
      <w:r>
        <w:rPr>
          <w:rStyle w:val="CharSectno"/>
        </w:rPr>
        <w:t>45</w:t>
      </w:r>
      <w:r>
        <w:rPr>
          <w:snapToGrid w:val="0"/>
        </w:rPr>
        <w:t>.</w:t>
      </w:r>
      <w:r>
        <w:rPr>
          <w:snapToGrid w:val="0"/>
        </w:rPr>
        <w:tab/>
        <w:t>Further power to investigate</w:t>
      </w:r>
      <w:bookmarkEnd w:id="117"/>
    </w:p>
    <w:p>
      <w:pPr>
        <w:pStyle w:val="Subsection"/>
        <w:keepNext/>
        <w:rPr>
          <w:snapToGrid w:val="0"/>
        </w:rPr>
      </w:pPr>
      <w:r>
        <w:rPr>
          <w:snapToGrid w:val="0"/>
        </w:rPr>
        <w:tab/>
      </w:r>
      <w:r>
        <w:rPr>
          <w:snapToGrid w:val="0"/>
        </w:rPr>
        <w:tab/>
        <w:t>Where the Minister is of the opinion that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pPr>
        <w:pStyle w:val="Ednotesection"/>
      </w:pPr>
      <w:r>
        <w:t>[</w:t>
      </w:r>
      <w:r>
        <w:rPr>
          <w:b/>
          <w:bCs/>
        </w:rPr>
        <w:t>46.</w:t>
      </w:r>
      <w:r>
        <w:tab/>
        <w:t>Deleted by No. 35 of 2010 s. 87.]</w:t>
      </w:r>
    </w:p>
    <w:p>
      <w:pPr>
        <w:pStyle w:val="Heading5"/>
        <w:rPr>
          <w:snapToGrid w:val="0"/>
        </w:rPr>
      </w:pPr>
      <w:bookmarkStart w:id="118" w:name="_Toc512323871"/>
      <w:r>
        <w:rPr>
          <w:rStyle w:val="CharSectno"/>
        </w:rPr>
        <w:t>47</w:t>
      </w:r>
      <w:r>
        <w:rPr>
          <w:snapToGrid w:val="0"/>
        </w:rPr>
        <w:t>.</w:t>
      </w:r>
      <w:r>
        <w:rPr>
          <w:snapToGrid w:val="0"/>
        </w:rPr>
        <w:tab/>
        <w:t>Conciliator must not investigate</w:t>
      </w:r>
      <w:bookmarkEnd w:id="118"/>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119" w:name="_Toc512323872"/>
      <w:r>
        <w:rPr>
          <w:rStyle w:val="CharSectno"/>
        </w:rPr>
        <w:t>48</w:t>
      </w:r>
      <w:r>
        <w:rPr>
          <w:snapToGrid w:val="0"/>
        </w:rPr>
        <w:t>.</w:t>
      </w:r>
      <w:r>
        <w:rPr>
          <w:snapToGrid w:val="0"/>
        </w:rPr>
        <w:tab/>
        <w:t>Purpose of investigation, and procedure</w:t>
      </w:r>
      <w:bookmarkEnd w:id="119"/>
    </w:p>
    <w:p>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 xml:space="preserve">In conducting an investigation </w:t>
      </w:r>
      <w:r>
        <w:t>of a complaint or under section</w:t>
      </w:r>
      <w:r>
        <w:rPr>
          <w:snapToGrid w:val="0"/>
        </w:rPr>
        <w:t> 45 the Director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pPr>
      <w:r>
        <w:tab/>
        <w:t>[Section 48 amended by No. 33 of 2010 s. 22.]</w:t>
      </w:r>
    </w:p>
    <w:p>
      <w:pPr>
        <w:pStyle w:val="Ednotesection"/>
        <w:ind w:left="0" w:firstLine="0"/>
      </w:pPr>
      <w:r>
        <w:t>[</w:t>
      </w:r>
      <w:r>
        <w:rPr>
          <w:b/>
          <w:bCs/>
        </w:rPr>
        <w:t>49.</w:t>
      </w:r>
      <w:r>
        <w:tab/>
        <w:t>Deleted by No. 35 of 2010 s. 88.]</w:t>
      </w:r>
    </w:p>
    <w:p>
      <w:pPr>
        <w:pStyle w:val="Heading5"/>
        <w:rPr>
          <w:snapToGrid w:val="0"/>
        </w:rPr>
      </w:pPr>
      <w:bookmarkStart w:id="120" w:name="_Toc512323873"/>
      <w:r>
        <w:rPr>
          <w:rStyle w:val="CharSectno"/>
        </w:rPr>
        <w:t>50</w:t>
      </w:r>
      <w:r>
        <w:rPr>
          <w:snapToGrid w:val="0"/>
        </w:rPr>
        <w:t>.</w:t>
      </w:r>
      <w:r>
        <w:rPr>
          <w:snapToGrid w:val="0"/>
        </w:rPr>
        <w:tab/>
        <w:t>Remedial action where complaint justified</w:t>
      </w:r>
      <w:bookmarkEnd w:id="120"/>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Before making a decision under subsection (1), the Director must —</w:t>
      </w:r>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pPr>
        <w:pStyle w:val="Indenta"/>
        <w:rPr>
          <w:snapToGrid w:val="0"/>
        </w:rPr>
      </w:pPr>
      <w:r>
        <w:rPr>
          <w:snapToGrid w:val="0"/>
        </w:rPr>
        <w:tab/>
        <w:t>(a)</w:t>
      </w:r>
      <w:r>
        <w:rPr>
          <w:snapToGrid w:val="0"/>
        </w:rPr>
        <w:tab/>
        <w:t>the reasons for the decision; and</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spacing w:before="150"/>
        <w:rPr>
          <w:snapToGrid w:val="0"/>
        </w:rPr>
      </w:pPr>
      <w:r>
        <w:rPr>
          <w:snapToGrid w:val="0"/>
        </w:rPr>
        <w:tab/>
        <w:t>(4)</w:t>
      </w:r>
      <w:r>
        <w:rPr>
          <w:snapToGrid w:val="0"/>
        </w:rPr>
        <w:tab/>
        <w:t>If asked by the Minister, the Director must give a copy of a notice under subsection (2) to the Minister.</w:t>
      </w:r>
    </w:p>
    <w:p>
      <w:pPr>
        <w:pStyle w:val="Footnotesection"/>
      </w:pPr>
      <w:r>
        <w:tab/>
        <w:t>[Section 50 amended by No. 33 of 2010 s. 23.]</w:t>
      </w:r>
    </w:p>
    <w:p>
      <w:pPr>
        <w:pStyle w:val="Heading5"/>
        <w:rPr>
          <w:snapToGrid w:val="0"/>
        </w:rPr>
      </w:pPr>
      <w:bookmarkStart w:id="121" w:name="_Toc512323874"/>
      <w:r>
        <w:rPr>
          <w:rStyle w:val="CharSectno"/>
        </w:rPr>
        <w:t>51</w:t>
      </w:r>
      <w:r>
        <w:rPr>
          <w:snapToGrid w:val="0"/>
        </w:rPr>
        <w:t>.</w:t>
      </w:r>
      <w:r>
        <w:rPr>
          <w:snapToGrid w:val="0"/>
        </w:rPr>
        <w:tab/>
        <w:t>Provider must report on remedial action</w:t>
      </w:r>
      <w:bookmarkEnd w:id="121"/>
    </w:p>
    <w:p>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122" w:name="_Toc512323875"/>
      <w:r>
        <w:rPr>
          <w:rStyle w:val="CharSectno"/>
        </w:rPr>
        <w:t>52A</w:t>
      </w:r>
      <w:r>
        <w:t>.</w:t>
      </w:r>
      <w:r>
        <w:tab/>
        <w:t>Report to Parliament if report not made under s. 51 or remedial action not taken</w:t>
      </w:r>
      <w:bookmarkEnd w:id="122"/>
    </w:p>
    <w:p>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tab/>
        <w:t>(3)</w:t>
      </w:r>
      <w:r>
        <w:tab/>
        <w:t>After receiving the notice and a report under subsection (1) or (2) the Minister may lay both before each House of Parliament.</w:t>
      </w:r>
    </w:p>
    <w:p>
      <w:pPr>
        <w:pStyle w:val="Subsection"/>
      </w:pPr>
      <w:r>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 by No. 33 of 2010 s. 24.]</w:t>
      </w:r>
    </w:p>
    <w:p>
      <w:pPr>
        <w:pStyle w:val="Heading3"/>
      </w:pPr>
      <w:bookmarkStart w:id="123" w:name="_Toc419461335"/>
      <w:bookmarkStart w:id="124" w:name="_Toc435776471"/>
      <w:bookmarkStart w:id="125" w:name="_Toc435776576"/>
      <w:bookmarkStart w:id="126" w:name="_Toc435776841"/>
      <w:bookmarkStart w:id="127" w:name="_Toc436059408"/>
      <w:bookmarkStart w:id="128" w:name="_Toc452545335"/>
      <w:bookmarkStart w:id="129" w:name="_Toc455412987"/>
      <w:bookmarkStart w:id="130" w:name="_Toc512323876"/>
      <w:r>
        <w:rPr>
          <w:rStyle w:val="CharDivNo"/>
        </w:rPr>
        <w:t>Division 5</w:t>
      </w:r>
      <w:r>
        <w:rPr>
          <w:snapToGrid w:val="0"/>
        </w:rPr>
        <w:t> — </w:t>
      </w:r>
      <w:r>
        <w:rPr>
          <w:rStyle w:val="CharDivText"/>
        </w:rPr>
        <w:t>General</w:t>
      </w:r>
      <w:bookmarkEnd w:id="123"/>
      <w:bookmarkEnd w:id="124"/>
      <w:bookmarkEnd w:id="125"/>
      <w:bookmarkEnd w:id="126"/>
      <w:bookmarkEnd w:id="127"/>
      <w:bookmarkEnd w:id="128"/>
      <w:bookmarkEnd w:id="129"/>
      <w:bookmarkEnd w:id="130"/>
    </w:p>
    <w:p>
      <w:pPr>
        <w:pStyle w:val="Heading5"/>
        <w:rPr>
          <w:snapToGrid w:val="0"/>
        </w:rPr>
      </w:pPr>
      <w:bookmarkStart w:id="131" w:name="_Toc512323877"/>
      <w:r>
        <w:rPr>
          <w:rStyle w:val="CharSectno"/>
        </w:rPr>
        <w:t>52</w:t>
      </w:r>
      <w:r>
        <w:rPr>
          <w:snapToGrid w:val="0"/>
        </w:rPr>
        <w:t>.</w:t>
      </w:r>
      <w:r>
        <w:rPr>
          <w:snapToGrid w:val="0"/>
        </w:rPr>
        <w:tab/>
        <w:t>Director to stop proceedings in some cases</w:t>
      </w:r>
      <w:bookmarkEnd w:id="131"/>
    </w:p>
    <w:p>
      <w:pPr>
        <w:pStyle w:val="Subsection"/>
        <w:keepNext/>
        <w:rPr>
          <w:snapToGrid w:val="0"/>
        </w:rPr>
      </w:pPr>
      <w:r>
        <w:rPr>
          <w:snapToGrid w:val="0"/>
        </w:rPr>
        <w:tab/>
        <w:t>(1)</w:t>
      </w:r>
      <w:r>
        <w:rPr>
          <w:snapToGrid w:val="0"/>
        </w:rPr>
        <w:tab/>
        <w:t>The Director must stop dealing with an issue that arises out of a complaint if the Director —</w:t>
      </w:r>
    </w:p>
    <w:p>
      <w:pPr>
        <w:pStyle w:val="Indenta"/>
        <w:rPr>
          <w:snapToGrid w:val="0"/>
        </w:rPr>
      </w:pPr>
      <w:r>
        <w:rPr>
          <w:snapToGrid w:val="0"/>
        </w:rPr>
        <w:tab/>
        <w:t>(a)</w:t>
      </w:r>
      <w:r>
        <w:rPr>
          <w:snapToGrid w:val="0"/>
        </w:rPr>
        <w:tab/>
        <w:t>becomes aware that the provider or user has begun legal proceedings which relate to that issue; or</w:t>
      </w:r>
    </w:p>
    <w:p>
      <w:pPr>
        <w:pStyle w:val="Indenta"/>
        <w:rPr>
          <w:snapToGrid w:val="0"/>
        </w:rPr>
      </w:pPr>
      <w:r>
        <w:tab/>
        <w:t>(aa)</w:t>
      </w:r>
      <w:r>
        <w:tab/>
      </w:r>
      <w:r>
        <w:rPr>
          <w:snapToGrid w:val="0"/>
        </w:rPr>
        <w:t>becomes aware that the issue has been determined by a registration board; or</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Ednotesection"/>
      </w:pPr>
      <w:r>
        <w:t>[</w:t>
      </w:r>
      <w:r>
        <w:rPr>
          <w:b/>
          <w:bCs/>
        </w:rPr>
        <w:t>53-55.</w:t>
      </w:r>
      <w:r>
        <w:tab/>
        <w:t>Deleted by No. 35 of 2010 s. 89.]</w:t>
      </w:r>
    </w:p>
    <w:p>
      <w:pPr>
        <w:pStyle w:val="Heading5"/>
        <w:rPr>
          <w:snapToGrid w:val="0"/>
        </w:rPr>
      </w:pPr>
      <w:bookmarkStart w:id="132" w:name="_Toc512323878"/>
      <w:r>
        <w:rPr>
          <w:rStyle w:val="CharSectno"/>
        </w:rPr>
        <w:t>56</w:t>
      </w:r>
      <w:r>
        <w:rPr>
          <w:snapToGrid w:val="0"/>
        </w:rPr>
        <w:t>.</w:t>
      </w:r>
      <w:r>
        <w:rPr>
          <w:snapToGrid w:val="0"/>
        </w:rPr>
        <w:tab/>
        <w:t>Reports to, and at request of, Parliament</w:t>
      </w:r>
      <w:bookmarkEnd w:id="132"/>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pPr>
        <w:pStyle w:val="Indenta"/>
        <w:rPr>
          <w:snapToGrid w:val="0"/>
        </w:rPr>
      </w:pPr>
      <w:r>
        <w:rPr>
          <w:snapToGrid w:val="0"/>
        </w:rPr>
        <w:tab/>
        <w:t>(a)</w:t>
      </w:r>
      <w:r>
        <w:rPr>
          <w:snapToGrid w:val="0"/>
        </w:rPr>
        <w:tab/>
        <w:t>arising from an individual complaint or investigation; or</w:t>
      </w:r>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Sch. 1 cl. 82(4); No. 33 of 2010 s. 25.]</w:t>
      </w:r>
    </w:p>
    <w:p>
      <w:pPr>
        <w:pStyle w:val="Heading5"/>
        <w:rPr>
          <w:snapToGrid w:val="0"/>
        </w:rPr>
      </w:pPr>
      <w:bookmarkStart w:id="133" w:name="_Toc512323879"/>
      <w:r>
        <w:rPr>
          <w:rStyle w:val="CharSectno"/>
        </w:rPr>
        <w:t>57</w:t>
      </w:r>
      <w:r>
        <w:rPr>
          <w:snapToGrid w:val="0"/>
        </w:rPr>
        <w:t>.</w:t>
      </w:r>
      <w:r>
        <w:rPr>
          <w:snapToGrid w:val="0"/>
        </w:rPr>
        <w:tab/>
        <w:t>Action if a House not sitting</w:t>
      </w:r>
      <w:bookmarkEnd w:id="133"/>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134" w:name="_Toc512323880"/>
      <w:r>
        <w:rPr>
          <w:rStyle w:val="CharSectno"/>
        </w:rPr>
        <w:t>58</w:t>
      </w:r>
      <w:r>
        <w:rPr>
          <w:snapToGrid w:val="0"/>
        </w:rPr>
        <w:t>.</w:t>
      </w:r>
      <w:r>
        <w:rPr>
          <w:snapToGrid w:val="0"/>
        </w:rPr>
        <w:tab/>
        <w:t>Saving</w:t>
      </w:r>
      <w:bookmarkEnd w:id="134"/>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135" w:name="_Toc419461340"/>
      <w:bookmarkStart w:id="136" w:name="_Toc435776476"/>
      <w:bookmarkStart w:id="137" w:name="_Toc435776581"/>
      <w:bookmarkStart w:id="138" w:name="_Toc435776846"/>
      <w:bookmarkStart w:id="139" w:name="_Toc436059413"/>
      <w:bookmarkStart w:id="140" w:name="_Toc452545340"/>
      <w:bookmarkStart w:id="141" w:name="_Toc455412992"/>
      <w:bookmarkStart w:id="142" w:name="_Toc512323881"/>
      <w:r>
        <w:rPr>
          <w:rStyle w:val="CharPartNo"/>
        </w:rPr>
        <w:t>Part 4</w:t>
      </w:r>
      <w:r>
        <w:rPr>
          <w:rStyle w:val="CharDivNo"/>
        </w:rPr>
        <w:t> </w:t>
      </w:r>
      <w:r>
        <w:t>—</w:t>
      </w:r>
      <w:r>
        <w:rPr>
          <w:rStyle w:val="CharDivText"/>
        </w:rPr>
        <w:t> </w:t>
      </w:r>
      <w:r>
        <w:rPr>
          <w:rStyle w:val="CharPartText"/>
        </w:rPr>
        <w:t>Director’s powers to obtain information and entry to premises</w:t>
      </w:r>
      <w:bookmarkEnd w:id="135"/>
      <w:bookmarkEnd w:id="136"/>
      <w:bookmarkEnd w:id="137"/>
      <w:bookmarkEnd w:id="138"/>
      <w:bookmarkEnd w:id="139"/>
      <w:bookmarkEnd w:id="140"/>
      <w:bookmarkEnd w:id="141"/>
      <w:bookmarkEnd w:id="142"/>
    </w:p>
    <w:p>
      <w:pPr>
        <w:pStyle w:val="Heading5"/>
        <w:rPr>
          <w:snapToGrid w:val="0"/>
        </w:rPr>
      </w:pPr>
      <w:bookmarkStart w:id="143" w:name="_Toc512323882"/>
      <w:r>
        <w:rPr>
          <w:rStyle w:val="CharSectno"/>
        </w:rPr>
        <w:t>59</w:t>
      </w:r>
      <w:r>
        <w:rPr>
          <w:snapToGrid w:val="0"/>
        </w:rPr>
        <w:t>.</w:t>
      </w:r>
      <w:r>
        <w:rPr>
          <w:snapToGrid w:val="0"/>
        </w:rPr>
        <w:tab/>
        <w:t>Restriction on powers</w:t>
      </w:r>
      <w:bookmarkEnd w:id="143"/>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pPr>
        <w:pStyle w:val="Footnotesection"/>
        <w:spacing w:before="100"/>
        <w:ind w:left="890" w:hanging="890"/>
      </w:pPr>
      <w:r>
        <w:tab/>
        <w:t>[Section 59 amended by No. 33 of 2010 s. 26.]</w:t>
      </w:r>
    </w:p>
    <w:p>
      <w:pPr>
        <w:pStyle w:val="Heading5"/>
        <w:rPr>
          <w:snapToGrid w:val="0"/>
        </w:rPr>
      </w:pPr>
      <w:bookmarkStart w:id="144" w:name="_Toc512323883"/>
      <w:r>
        <w:rPr>
          <w:rStyle w:val="CharSectno"/>
        </w:rPr>
        <w:t>60</w:t>
      </w:r>
      <w:r>
        <w:rPr>
          <w:snapToGrid w:val="0"/>
        </w:rPr>
        <w:t>.</w:t>
      </w:r>
      <w:r>
        <w:rPr>
          <w:snapToGrid w:val="0"/>
        </w:rPr>
        <w:tab/>
        <w:t>Power to summons etc.</w:t>
      </w:r>
      <w:bookmarkEnd w:id="144"/>
    </w:p>
    <w:p>
      <w:pPr>
        <w:pStyle w:val="Subsection"/>
        <w:keepNext/>
        <w:rPr>
          <w:snapToGrid w:val="0"/>
        </w:rPr>
      </w:pPr>
      <w:r>
        <w:rPr>
          <w:snapToGrid w:val="0"/>
        </w:rPr>
        <w:tab/>
        <w:t>(1)</w:t>
      </w:r>
      <w:r>
        <w:rPr>
          <w:snapToGrid w:val="0"/>
        </w:rPr>
        <w:tab/>
        <w:t>The Director may —</w:t>
      </w:r>
    </w:p>
    <w:p>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pPr>
        <w:pStyle w:val="Indenta"/>
        <w:spacing w:before="60"/>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w:t>
      </w:r>
    </w:p>
    <w:p>
      <w:pPr>
        <w:pStyle w:val="Indenta"/>
        <w:spacing w:before="60"/>
        <w:rPr>
          <w:snapToGrid w:val="0"/>
        </w:rPr>
      </w:pPr>
      <w:r>
        <w:rPr>
          <w:snapToGrid w:val="0"/>
        </w:rPr>
        <w:tab/>
        <w:t>(a)</w:t>
      </w:r>
      <w:r>
        <w:rPr>
          <w:snapToGrid w:val="0"/>
        </w:rPr>
        <w:tab/>
        <w:t>require a person who appears to take an oath or make an affirmation; and</w:t>
      </w:r>
    </w:p>
    <w:p>
      <w:pPr>
        <w:pStyle w:val="Indenta"/>
        <w:spacing w:before="60"/>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145" w:name="_Toc512323884"/>
      <w:r>
        <w:rPr>
          <w:rStyle w:val="CharSectno"/>
        </w:rPr>
        <w:t>61</w:t>
      </w:r>
      <w:r>
        <w:rPr>
          <w:snapToGrid w:val="0"/>
        </w:rPr>
        <w:t>.</w:t>
      </w:r>
      <w:r>
        <w:rPr>
          <w:snapToGrid w:val="0"/>
        </w:rPr>
        <w:tab/>
        <w:t>False statements</w:t>
      </w:r>
      <w:bookmarkEnd w:id="145"/>
    </w:p>
    <w:p>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or under section</w:t>
      </w:r>
      <w:r>
        <w:rPr>
          <w:snapToGrid w:val="0"/>
        </w:rPr>
        <w:t xml:space="preserve"> 45 or 56(3) that the person knows to be false or misleading in a material respect.</w:t>
      </w:r>
    </w:p>
    <w:p>
      <w:pPr>
        <w:pStyle w:val="Penstart"/>
        <w:rPr>
          <w:snapToGrid w:val="0"/>
        </w:rPr>
      </w:pPr>
      <w:r>
        <w:rPr>
          <w:snapToGrid w:val="0"/>
        </w:rPr>
        <w:tab/>
        <w:t>Penalty: $2 500.</w:t>
      </w:r>
    </w:p>
    <w:p>
      <w:pPr>
        <w:pStyle w:val="Footnotesection"/>
      </w:pPr>
      <w:r>
        <w:tab/>
        <w:t>[Section 61 amended by No. 33 of 2010 s. 27.]</w:t>
      </w:r>
    </w:p>
    <w:p>
      <w:pPr>
        <w:pStyle w:val="Heading5"/>
        <w:rPr>
          <w:snapToGrid w:val="0"/>
        </w:rPr>
      </w:pPr>
      <w:bookmarkStart w:id="146" w:name="_Toc512323885"/>
      <w:r>
        <w:rPr>
          <w:rStyle w:val="CharSectno"/>
        </w:rPr>
        <w:t>62</w:t>
      </w:r>
      <w:r>
        <w:rPr>
          <w:snapToGrid w:val="0"/>
        </w:rPr>
        <w:t>.</w:t>
      </w:r>
      <w:r>
        <w:rPr>
          <w:snapToGrid w:val="0"/>
        </w:rPr>
        <w:tab/>
        <w:t>Failure to attend, take oath etc.</w:t>
      </w:r>
      <w:bookmarkEnd w:id="146"/>
    </w:p>
    <w:p>
      <w:pPr>
        <w:pStyle w:val="Subsection"/>
        <w:keepNext/>
        <w:rPr>
          <w:snapToGrid w:val="0"/>
        </w:rPr>
      </w:pPr>
      <w:r>
        <w:rPr>
          <w:snapToGrid w:val="0"/>
        </w:rPr>
        <w:tab/>
        <w:t>(1)</w:t>
      </w:r>
      <w:r>
        <w:rPr>
          <w:snapToGrid w:val="0"/>
        </w:rPr>
        <w:tab/>
        <w:t>A person must not, without lawful excuse, refuse or fail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147" w:name="_Toc512323886"/>
      <w:r>
        <w:rPr>
          <w:rStyle w:val="CharSectno"/>
        </w:rPr>
        <w:t>63</w:t>
      </w:r>
      <w:r>
        <w:rPr>
          <w:snapToGrid w:val="0"/>
        </w:rPr>
        <w:t>.</w:t>
      </w:r>
      <w:r>
        <w:rPr>
          <w:snapToGrid w:val="0"/>
        </w:rPr>
        <w:tab/>
        <w:t>Application for warrant to enter premises etc.</w:t>
      </w:r>
      <w:bookmarkEnd w:id="147"/>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set out the grounds for seeking the warrant; and</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148" w:name="_Toc512323887"/>
      <w:r>
        <w:rPr>
          <w:rStyle w:val="CharSectno"/>
        </w:rPr>
        <w:t>64</w:t>
      </w:r>
      <w:r>
        <w:rPr>
          <w:snapToGrid w:val="0"/>
        </w:rPr>
        <w:t>.</w:t>
      </w:r>
      <w:r>
        <w:rPr>
          <w:snapToGrid w:val="0"/>
        </w:rPr>
        <w:tab/>
        <w:t>Issue of warrant</w:t>
      </w:r>
      <w:bookmarkEnd w:id="148"/>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pPr>
        <w:pStyle w:val="Indenta"/>
        <w:rPr>
          <w:snapToGrid w:val="0"/>
        </w:rPr>
      </w:pPr>
      <w:r>
        <w:rPr>
          <w:snapToGrid w:val="0"/>
        </w:rPr>
        <w:tab/>
        <w:t>(a)</w:t>
      </w:r>
      <w:r>
        <w:rPr>
          <w:snapToGrid w:val="0"/>
        </w:rPr>
        <w:tab/>
        <w:t>to enter and inspect premises named in the warrant; and</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take with him or her such persons as are necessary for exercising the powers conferred by this section; and</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 and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64 amended by No. 33 of 2010 s. 28.]</w:t>
      </w:r>
    </w:p>
    <w:p>
      <w:pPr>
        <w:pStyle w:val="Heading5"/>
        <w:rPr>
          <w:snapToGrid w:val="0"/>
        </w:rPr>
      </w:pPr>
      <w:bookmarkStart w:id="149" w:name="_Toc512323888"/>
      <w:r>
        <w:rPr>
          <w:rStyle w:val="CharSectno"/>
        </w:rPr>
        <w:t>65</w:t>
      </w:r>
      <w:r>
        <w:rPr>
          <w:snapToGrid w:val="0"/>
        </w:rPr>
        <w:t>.</w:t>
      </w:r>
      <w:r>
        <w:rPr>
          <w:snapToGrid w:val="0"/>
        </w:rPr>
        <w:tab/>
        <w:t>Execution of warrant</w:t>
      </w:r>
      <w:bookmarkEnd w:id="149"/>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 or</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5"/>
        <w:rPr>
          <w:snapToGrid w:val="0"/>
        </w:rPr>
      </w:pPr>
      <w:bookmarkStart w:id="150" w:name="_Toc512323889"/>
      <w:r>
        <w:rPr>
          <w:rStyle w:val="CharSectno"/>
        </w:rPr>
        <w:t>66</w:t>
      </w:r>
      <w:r>
        <w:rPr>
          <w:snapToGrid w:val="0"/>
        </w:rPr>
        <w:t>.</w:t>
      </w:r>
      <w:r>
        <w:rPr>
          <w:snapToGrid w:val="0"/>
        </w:rPr>
        <w:tab/>
        <w:t>Offences relating to warrants</w:t>
      </w:r>
      <w:bookmarkEnd w:id="150"/>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51" w:name="_Toc512323890"/>
      <w:r>
        <w:rPr>
          <w:rStyle w:val="CharSectno"/>
        </w:rPr>
        <w:t>67</w:t>
      </w:r>
      <w:r>
        <w:rPr>
          <w:snapToGrid w:val="0"/>
        </w:rPr>
        <w:t>.</w:t>
      </w:r>
      <w:r>
        <w:rPr>
          <w:snapToGrid w:val="0"/>
        </w:rPr>
        <w:tab/>
        <w:t>Information etc. that may be withheld</w:t>
      </w:r>
      <w:bookmarkEnd w:id="151"/>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 or</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w:t>
      </w:r>
    </w:p>
    <w:p>
      <w:pPr>
        <w:pStyle w:val="Defstart"/>
        <w:keepNext/>
      </w:pPr>
      <w:r>
        <w:rPr>
          <w:b/>
        </w:rPr>
        <w:tab/>
      </w:r>
      <w:r>
        <w:rPr>
          <w:rStyle w:val="CharDefText"/>
        </w:rPr>
        <w:t>person’s representative</w:t>
      </w:r>
      <w:r>
        <w:t xml:space="preserve"> means —</w:t>
      </w:r>
    </w:p>
    <w:p>
      <w:pPr>
        <w:pStyle w:val="Defpara"/>
      </w:pPr>
      <w:r>
        <w:tab/>
        <w:t>(a)</w:t>
      </w:r>
      <w:r>
        <w:tab/>
        <w:t>a representative recognized under section 20; or</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152" w:name="_Toc419461350"/>
      <w:bookmarkStart w:id="153" w:name="_Toc435776486"/>
      <w:bookmarkStart w:id="154" w:name="_Toc435776591"/>
      <w:bookmarkStart w:id="155" w:name="_Toc435776856"/>
      <w:bookmarkStart w:id="156" w:name="_Toc436059423"/>
      <w:bookmarkStart w:id="157" w:name="_Toc452545350"/>
      <w:bookmarkStart w:id="158" w:name="_Toc455413002"/>
      <w:bookmarkStart w:id="159" w:name="_Toc512323891"/>
      <w:r>
        <w:rPr>
          <w:rStyle w:val="CharPartNo"/>
        </w:rPr>
        <w:t>Part 5</w:t>
      </w:r>
      <w:r>
        <w:rPr>
          <w:rStyle w:val="CharDivNo"/>
        </w:rPr>
        <w:t> </w:t>
      </w:r>
      <w:r>
        <w:t>—</w:t>
      </w:r>
      <w:r>
        <w:rPr>
          <w:rStyle w:val="CharDivText"/>
        </w:rPr>
        <w:t> </w:t>
      </w:r>
      <w:r>
        <w:rPr>
          <w:rStyle w:val="CharPartText"/>
        </w:rPr>
        <w:t>General</w:t>
      </w:r>
      <w:bookmarkEnd w:id="152"/>
      <w:bookmarkEnd w:id="153"/>
      <w:bookmarkEnd w:id="154"/>
      <w:bookmarkEnd w:id="155"/>
      <w:bookmarkEnd w:id="156"/>
      <w:bookmarkEnd w:id="157"/>
      <w:bookmarkEnd w:id="158"/>
      <w:bookmarkEnd w:id="159"/>
    </w:p>
    <w:p>
      <w:pPr>
        <w:pStyle w:val="Heading5"/>
        <w:rPr>
          <w:snapToGrid w:val="0"/>
        </w:rPr>
      </w:pPr>
      <w:bookmarkStart w:id="160" w:name="_Toc512323892"/>
      <w:r>
        <w:rPr>
          <w:rStyle w:val="CharSectno"/>
        </w:rPr>
        <w:t>68</w:t>
      </w:r>
      <w:r>
        <w:rPr>
          <w:snapToGrid w:val="0"/>
        </w:rPr>
        <w:t>.</w:t>
      </w:r>
      <w:r>
        <w:rPr>
          <w:snapToGrid w:val="0"/>
        </w:rPr>
        <w:tab/>
        <w:t>Register of complaints</w:t>
      </w:r>
      <w:bookmarkEnd w:id="160"/>
    </w:p>
    <w:p>
      <w:pPr>
        <w:pStyle w:val="Subsection"/>
        <w:keepNext/>
        <w:rPr>
          <w:snapToGrid w:val="0"/>
        </w:rPr>
      </w:pPr>
      <w:r>
        <w:rPr>
          <w:snapToGrid w:val="0"/>
        </w:rPr>
        <w:tab/>
        <w:t>(1)</w:t>
      </w:r>
      <w:r>
        <w:rPr>
          <w:snapToGrid w:val="0"/>
        </w:rPr>
        <w:tab/>
        <w:t>The Director is to establish and maintain a register of —</w:t>
      </w:r>
    </w:p>
    <w:p>
      <w:pPr>
        <w:pStyle w:val="Indenta"/>
        <w:spacing w:before="60"/>
        <w:rPr>
          <w:snapToGrid w:val="0"/>
        </w:rPr>
      </w:pPr>
      <w:r>
        <w:rPr>
          <w:snapToGrid w:val="0"/>
        </w:rPr>
        <w:tab/>
        <w:t>(a)</w:t>
      </w:r>
      <w:r>
        <w:rPr>
          <w:snapToGrid w:val="0"/>
        </w:rPr>
        <w:tab/>
        <w:t>complaints made under Part 3; and</w:t>
      </w:r>
    </w:p>
    <w:p>
      <w:pPr>
        <w:pStyle w:val="Indenta"/>
        <w:spacing w:before="60"/>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w:t>
      </w:r>
    </w:p>
    <w:p>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pPr>
        <w:pStyle w:val="Indenti"/>
        <w:spacing w:before="60"/>
        <w:rPr>
          <w:snapToGrid w:val="0"/>
        </w:rPr>
      </w:pPr>
      <w:r>
        <w:rPr>
          <w:snapToGrid w:val="0"/>
        </w:rPr>
        <w:tab/>
        <w:t>(i)</w:t>
      </w:r>
      <w:r>
        <w:rPr>
          <w:snapToGrid w:val="0"/>
        </w:rPr>
        <w:tab/>
        <w:t>will remain in the form in which they were originally recorded or stored; and</w:t>
      </w:r>
    </w:p>
    <w:p>
      <w:pPr>
        <w:pStyle w:val="Indenti"/>
        <w:spacing w:before="60"/>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161" w:name="_Toc512323893"/>
      <w:r>
        <w:rPr>
          <w:rStyle w:val="CharSectno"/>
        </w:rPr>
        <w:t>69</w:t>
      </w:r>
      <w:r>
        <w:rPr>
          <w:snapToGrid w:val="0"/>
        </w:rPr>
        <w:t>.</w:t>
      </w:r>
      <w:r>
        <w:rPr>
          <w:snapToGrid w:val="0"/>
        </w:rPr>
        <w:tab/>
        <w:t>Protection of Director etc. from personal liability</w:t>
      </w:r>
      <w:bookmarkEnd w:id="161"/>
    </w:p>
    <w:p>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62" w:name="_Toc512323894"/>
      <w:r>
        <w:rPr>
          <w:rStyle w:val="CharSectno"/>
        </w:rPr>
        <w:t>70</w:t>
      </w:r>
      <w:r>
        <w:rPr>
          <w:snapToGrid w:val="0"/>
        </w:rPr>
        <w:t>.</w:t>
      </w:r>
      <w:r>
        <w:rPr>
          <w:snapToGrid w:val="0"/>
        </w:rPr>
        <w:tab/>
        <w:t>Protection of other persons</w:t>
      </w:r>
      <w:bookmarkEnd w:id="162"/>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163" w:name="_Toc512323895"/>
      <w:r>
        <w:rPr>
          <w:rStyle w:val="CharSectno"/>
        </w:rPr>
        <w:t>71</w:t>
      </w:r>
      <w:r>
        <w:rPr>
          <w:snapToGrid w:val="0"/>
        </w:rPr>
        <w:t>.</w:t>
      </w:r>
      <w:r>
        <w:rPr>
          <w:snapToGrid w:val="0"/>
        </w:rPr>
        <w:tab/>
        <w:t>Confidentiality</w:t>
      </w:r>
      <w:bookmarkEnd w:id="163"/>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law; or</w:t>
      </w:r>
    </w:p>
    <w:p>
      <w:pPr>
        <w:pStyle w:val="Indenta"/>
        <w:rPr>
          <w:snapToGrid w:val="0"/>
        </w:rPr>
      </w:pPr>
      <w:r>
        <w:rPr>
          <w:snapToGrid w:val="0"/>
        </w:rPr>
        <w:tab/>
        <w:t>(c)</w:t>
      </w:r>
      <w:r>
        <w:rPr>
          <w:snapToGrid w:val="0"/>
        </w:rPr>
        <w:tab/>
        <w:t>for the purpose of proceedings for an offence against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r>
        <w:tab/>
        <w:t>[Section 71 amended by No. 35 of 2010 s. 90.]</w:t>
      </w:r>
    </w:p>
    <w:p>
      <w:pPr>
        <w:pStyle w:val="Heading5"/>
        <w:rPr>
          <w:snapToGrid w:val="0"/>
        </w:rPr>
      </w:pPr>
      <w:bookmarkStart w:id="164" w:name="_Toc512323896"/>
      <w:r>
        <w:rPr>
          <w:rStyle w:val="CharSectno"/>
        </w:rPr>
        <w:t>72</w:t>
      </w:r>
      <w:r>
        <w:rPr>
          <w:snapToGrid w:val="0"/>
        </w:rPr>
        <w:t>.</w:t>
      </w:r>
      <w:r>
        <w:rPr>
          <w:snapToGrid w:val="0"/>
        </w:rPr>
        <w:tab/>
        <w:t>False statements</w:t>
      </w:r>
      <w:bookmarkEnd w:id="164"/>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65" w:name="_Toc512323897"/>
      <w:r>
        <w:rPr>
          <w:rStyle w:val="CharSectno"/>
        </w:rPr>
        <w:t>73</w:t>
      </w:r>
      <w:r>
        <w:rPr>
          <w:snapToGrid w:val="0"/>
        </w:rPr>
        <w:t>.</w:t>
      </w:r>
      <w:r>
        <w:rPr>
          <w:snapToGrid w:val="0"/>
        </w:rPr>
        <w:tab/>
        <w:t>Person not to be threatened etc. because of complaining to Director</w:t>
      </w:r>
      <w:bookmarkEnd w:id="165"/>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166" w:name="_Toc512323898"/>
      <w:r>
        <w:rPr>
          <w:rStyle w:val="CharSectno"/>
        </w:rPr>
        <w:t>74</w:t>
      </w:r>
      <w:r>
        <w:rPr>
          <w:snapToGrid w:val="0"/>
        </w:rPr>
        <w:t>.</w:t>
      </w:r>
      <w:r>
        <w:rPr>
          <w:snapToGrid w:val="0"/>
        </w:rPr>
        <w:tab/>
        <w:t xml:space="preserve">Application of </w:t>
      </w:r>
      <w:r>
        <w:rPr>
          <w:i/>
          <w:iCs/>
          <w:snapToGrid w:val="0"/>
        </w:rPr>
        <w:t>Parliamentary Commissioner Act 1971</w:t>
      </w:r>
      <w:bookmarkEnd w:id="166"/>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167" w:name="_Toc512323899"/>
      <w:r>
        <w:rPr>
          <w:rStyle w:val="CharSectno"/>
        </w:rPr>
        <w:t>75</w:t>
      </w:r>
      <w:r>
        <w:rPr>
          <w:snapToGrid w:val="0"/>
        </w:rPr>
        <w:t>.</w:t>
      </w:r>
      <w:r>
        <w:rPr>
          <w:snapToGrid w:val="0"/>
        </w:rPr>
        <w:tab/>
        <w:t>Prescribed provider must give certain information</w:t>
      </w:r>
      <w:bookmarkEnd w:id="167"/>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168" w:name="_Toc512323900"/>
      <w:r>
        <w:rPr>
          <w:rStyle w:val="CharSectno"/>
        </w:rPr>
        <w:t>76</w:t>
      </w:r>
      <w:r>
        <w:rPr>
          <w:snapToGrid w:val="0"/>
        </w:rPr>
        <w:t>.</w:t>
      </w:r>
      <w:r>
        <w:rPr>
          <w:snapToGrid w:val="0"/>
        </w:rPr>
        <w:tab/>
        <w:t>Prosecutions</w:t>
      </w:r>
      <w:bookmarkEnd w:id="168"/>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169" w:name="_Toc512323901"/>
      <w:r>
        <w:rPr>
          <w:rStyle w:val="CharSectno"/>
        </w:rPr>
        <w:t>77</w:t>
      </w:r>
      <w:r>
        <w:rPr>
          <w:snapToGrid w:val="0"/>
        </w:rPr>
        <w:t>.</w:t>
      </w:r>
      <w:r>
        <w:rPr>
          <w:snapToGrid w:val="0"/>
        </w:rPr>
        <w:tab/>
        <w:t>Regulations</w:t>
      </w:r>
      <w:bookmarkEnd w:id="169"/>
    </w:p>
    <w:p>
      <w:pPr>
        <w:pStyle w:val="Subsection"/>
        <w:keepNext/>
        <w:spacing w:before="120"/>
        <w:rPr>
          <w:snapToGrid w:val="0"/>
        </w:rPr>
      </w:pPr>
      <w:r>
        <w:rPr>
          <w:snapToGrid w:val="0"/>
        </w:rPr>
        <w:tab/>
      </w:r>
      <w:r>
        <w:rPr>
          <w:snapToGrid w:val="0"/>
        </w:rPr>
        <w:tab/>
        <w:t>The Governor may make regulations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170" w:name="_Toc512323902"/>
      <w:r>
        <w:rPr>
          <w:rStyle w:val="CharSectno"/>
        </w:rPr>
        <w:t>78</w:t>
      </w:r>
      <w:r>
        <w:rPr>
          <w:snapToGrid w:val="0"/>
        </w:rPr>
        <w:t>.</w:t>
      </w:r>
      <w:r>
        <w:rPr>
          <w:snapToGrid w:val="0"/>
        </w:rPr>
        <w:tab/>
        <w:t>Transitional provision</w:t>
      </w:r>
      <w:bookmarkEnd w:id="170"/>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171" w:name="_Toc512323903"/>
      <w:r>
        <w:rPr>
          <w:rStyle w:val="CharSectno"/>
        </w:rPr>
        <w:t>79</w:t>
      </w:r>
      <w:r>
        <w:t>.</w:t>
      </w:r>
      <w:r>
        <w:tab/>
        <w:t>Review of Act</w:t>
      </w:r>
      <w:bookmarkEnd w:id="171"/>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 by No. 33 of 2010 s. 29.]</w:t>
      </w:r>
    </w:p>
    <w:p>
      <w:pPr>
        <w:pStyle w:val="Heading5"/>
      </w:pPr>
      <w:bookmarkStart w:id="172" w:name="_Toc512323904"/>
      <w:r>
        <w:rPr>
          <w:rStyle w:val="CharSectno"/>
        </w:rPr>
        <w:t>80</w:t>
      </w:r>
      <w:r>
        <w:t>.</w:t>
      </w:r>
      <w:r>
        <w:tab/>
        <w:t>Transitional provisions</w:t>
      </w:r>
      <w:bookmarkEnd w:id="172"/>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 by No. 33 of 2010 s. 30.]</w:t>
      </w:r>
    </w:p>
    <w:p>
      <w:pPr>
        <w:rPr>
          <w:rStyle w:val="CharDivText"/>
        </w:rPr>
        <w:sectPr>
          <w:headerReference w:type="even" r:id="rId21"/>
          <w:headerReference w:type="default" r:id="rId22"/>
          <w:headerReference w:type="first" r:id="rId23"/>
          <w:pgSz w:w="11907" w:h="16840" w:code="9"/>
          <w:pgMar w:top="2376" w:right="2404" w:bottom="3544" w:left="2404" w:header="709" w:footer="3380" w:gutter="0"/>
          <w:pgNumType w:start="1"/>
          <w:cols w:space="720"/>
          <w:noEndnote/>
          <w:titlePg/>
          <w:docGrid w:linePitch="326"/>
        </w:sectPr>
      </w:pPr>
    </w:p>
    <w:p>
      <w:pPr>
        <w:pStyle w:val="yScheduleHeading"/>
      </w:pPr>
      <w:bookmarkStart w:id="173" w:name="_Toc419461364"/>
      <w:bookmarkStart w:id="174" w:name="_Toc435776500"/>
      <w:bookmarkStart w:id="175" w:name="_Toc435776605"/>
      <w:bookmarkStart w:id="176" w:name="_Toc435776870"/>
      <w:bookmarkStart w:id="177" w:name="_Toc436059437"/>
      <w:bookmarkStart w:id="178" w:name="_Toc452545364"/>
      <w:bookmarkStart w:id="179" w:name="_Toc455413016"/>
      <w:bookmarkStart w:id="180" w:name="_Toc512323905"/>
      <w:r>
        <w:rPr>
          <w:rStyle w:val="CharSchNo"/>
        </w:rPr>
        <w:t>Schedule 1</w:t>
      </w:r>
      <w:r>
        <w:t> — </w:t>
      </w:r>
      <w:r>
        <w:rPr>
          <w:rStyle w:val="CharSchText"/>
        </w:rPr>
        <w:t>Registration Boards</w:t>
      </w:r>
      <w:bookmarkEnd w:id="173"/>
      <w:bookmarkEnd w:id="174"/>
      <w:bookmarkEnd w:id="175"/>
      <w:bookmarkEnd w:id="176"/>
      <w:bookmarkEnd w:id="177"/>
      <w:bookmarkEnd w:id="178"/>
      <w:bookmarkEnd w:id="179"/>
      <w:bookmarkEnd w:id="180"/>
    </w:p>
    <w:p>
      <w:pPr>
        <w:pStyle w:val="yShoulderClause"/>
        <w:spacing w:before="60"/>
        <w:rPr>
          <w:snapToGrid w:val="0"/>
        </w:rPr>
      </w:pPr>
      <w:r>
        <w:rPr>
          <w:snapToGrid w:val="0"/>
        </w:rPr>
        <w:t>[s. 3]</w:t>
      </w:r>
    </w:p>
    <w:p>
      <w:pPr>
        <w:pStyle w:val="yFootnoteheading"/>
        <w:spacing w:before="80"/>
        <w:rPr>
          <w:snapToGrid w:val="0"/>
        </w:rPr>
      </w:pPr>
      <w:r>
        <w:tab/>
        <w:t>[Heading amended by No. 19 of 2010 s. 4; No. 35 of 2010 s. 91(1).]</w:t>
      </w:r>
    </w:p>
    <w:p>
      <w:pPr>
        <w:pStyle w:val="yNumberedItem"/>
      </w:pPr>
      <w:r>
        <w:t>1.</w:t>
      </w:r>
      <w:r>
        <w:tab/>
        <w:t xml:space="preserve">Chiropractor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1a.</w:t>
      </w:r>
      <w:r>
        <w:tab/>
        <w:t xml:space="preserve">Aboriginal and Torres Strait Islander Health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1b.</w:t>
      </w:r>
      <w:r>
        <w:tab/>
        <w:t xml:space="preserve">Chinese Medicine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2.</w:t>
      </w:r>
      <w:r>
        <w:tab/>
        <w:t xml:space="preserve">Dental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w:t>
      </w:r>
      <w:r>
        <w:tab/>
        <w:t xml:space="preserve">Medical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3a.</w:t>
      </w:r>
      <w:r>
        <w:tab/>
        <w:t xml:space="preserve">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4.</w:t>
      </w:r>
      <w:r>
        <w:tab/>
        <w:t xml:space="preserve">Nursing and Midwifery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5.</w:t>
      </w:r>
      <w:r>
        <w:tab/>
        <w:t xml:space="preserve">Occupational 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w:t>
      </w:r>
      <w:r>
        <w:tab/>
        <w:t xml:space="preserve">Optometry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6a.</w:t>
      </w:r>
      <w:r>
        <w:tab/>
        <w:t xml:space="preserve">Osteopathy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7.</w:t>
      </w:r>
      <w:r>
        <w:tab/>
        <w:t xml:space="preserve">Pharmacy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8.</w:t>
      </w:r>
      <w:r>
        <w:tab/>
        <w:t xml:space="preserve">Physiotherapy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9.</w:t>
      </w:r>
      <w:r>
        <w:tab/>
        <w:t xml:space="preserve">Podiatry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10.</w:t>
      </w:r>
      <w:r>
        <w:tab/>
        <w:t xml:space="preserve">Psychology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Footnotesection"/>
      </w:pPr>
      <w:r>
        <w:tab/>
        <w:t xml:space="preserve">[Schedule 1 amended by No. 58 of 1997 s. 97; No. 28 of 2005 </w:t>
      </w:r>
      <w:r>
        <w:rPr>
          <w:iCs/>
          <w:noProof/>
        </w:rPr>
        <w:t>Sch. 3 cl. 6</w:t>
      </w:r>
      <w:r>
        <w:t xml:space="preserve">; No. 29 of 2005 </w:t>
      </w:r>
      <w:r>
        <w:rPr>
          <w:iCs/>
          <w:noProof/>
        </w:rPr>
        <w:t>Sch. 3 cl. 4</w:t>
      </w:r>
      <w:r>
        <w:t xml:space="preserve">; No. 30 of 2005 </w:t>
      </w:r>
      <w:r>
        <w:rPr>
          <w:iCs/>
          <w:noProof/>
        </w:rPr>
        <w:t>Sch. 3 cl. 4</w:t>
      </w:r>
      <w:r>
        <w:t xml:space="preserve">; No. 31 of 2005 </w:t>
      </w:r>
      <w:r>
        <w:rPr>
          <w:iCs/>
          <w:noProof/>
        </w:rPr>
        <w:t>Sch. 3 cl. 4</w:t>
      </w:r>
      <w:r>
        <w:t xml:space="preserve">; No. 32 of 2005 </w:t>
      </w:r>
      <w:r>
        <w:rPr>
          <w:iCs/>
          <w:noProof/>
        </w:rPr>
        <w:t>Sch. 3 cl. 4</w:t>
      </w:r>
      <w:r>
        <w:t xml:space="preserve">; No. 33 of 2005 </w:t>
      </w:r>
      <w:r>
        <w:rPr>
          <w:iCs/>
          <w:noProof/>
        </w:rPr>
        <w:t>Sch. 3 cl. 4(5)</w:t>
      </w:r>
      <w:r>
        <w:t xml:space="preserve">; No. 42 of 2005 </w:t>
      </w:r>
      <w:r>
        <w:rPr>
          <w:iCs/>
          <w:noProof/>
        </w:rPr>
        <w:t>Sch. 3 cl. 4</w:t>
      </w:r>
      <w:r>
        <w:t xml:space="preserve">; No. 21 of 2006 </w:t>
      </w:r>
      <w:r>
        <w:rPr>
          <w:iCs/>
          <w:noProof/>
        </w:rPr>
        <w:t>Sch. 3 cl. 4</w:t>
      </w:r>
      <w:r>
        <w:t xml:space="preserve">; No. 50 of 2006 </w:t>
      </w:r>
      <w:r>
        <w:rPr>
          <w:iCs/>
          <w:noProof/>
        </w:rPr>
        <w:t>Sch. 3 cl. 11</w:t>
      </w:r>
      <w:r>
        <w:t>; No. 22 of 2008 Sch. 3 cl. 26; No. 35 of 2010 s. 91.]</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82" w:name="_Toc419461365"/>
      <w:bookmarkStart w:id="183" w:name="_Toc435776501"/>
      <w:bookmarkStart w:id="184" w:name="_Toc435776606"/>
      <w:bookmarkStart w:id="185" w:name="_Toc435776871"/>
      <w:bookmarkStart w:id="186" w:name="_Toc436059438"/>
      <w:bookmarkStart w:id="187" w:name="_Toc452545365"/>
      <w:bookmarkStart w:id="188" w:name="_Toc455413017"/>
      <w:bookmarkStart w:id="189" w:name="_Toc512323906"/>
      <w:r>
        <w:rPr>
          <w:rStyle w:val="CharSchNo"/>
        </w:rPr>
        <w:t>Schedule 2</w:t>
      </w:r>
      <w:r>
        <w:t> — </w:t>
      </w:r>
      <w:r>
        <w:rPr>
          <w:rStyle w:val="CharSchText"/>
        </w:rPr>
        <w:t>Tenure, salary, conditions of service, etc., of Director</w:t>
      </w:r>
      <w:bookmarkEnd w:id="182"/>
      <w:bookmarkEnd w:id="183"/>
      <w:bookmarkEnd w:id="184"/>
      <w:bookmarkEnd w:id="185"/>
      <w:bookmarkEnd w:id="186"/>
      <w:bookmarkEnd w:id="187"/>
      <w:bookmarkEnd w:id="188"/>
      <w:bookmarkEnd w:id="189"/>
    </w:p>
    <w:p>
      <w:pPr>
        <w:pStyle w:val="yShoulderClause"/>
        <w:rPr>
          <w:snapToGrid w:val="0"/>
        </w:rPr>
      </w:pPr>
      <w:r>
        <w:rPr>
          <w:snapToGrid w:val="0"/>
        </w:rPr>
        <w:t>[s. 8]</w:t>
      </w:r>
    </w:p>
    <w:p>
      <w:pPr>
        <w:pStyle w:val="yFootnoteheading"/>
      </w:pPr>
      <w:r>
        <w:tab/>
        <w:t>[Heading amended by No. 19 of 2010 s. 4.]</w:t>
      </w:r>
    </w:p>
    <w:p>
      <w:pPr>
        <w:pStyle w:val="yHeading5"/>
        <w:ind w:left="890" w:hanging="890"/>
        <w:outlineLvl w:val="9"/>
        <w:rPr>
          <w:snapToGrid w:val="0"/>
        </w:rPr>
      </w:pPr>
      <w:bookmarkStart w:id="190" w:name="_Toc512323907"/>
      <w:r>
        <w:rPr>
          <w:rStyle w:val="CharSClsNo"/>
        </w:rPr>
        <w:t>1</w:t>
      </w:r>
      <w:r>
        <w:rPr>
          <w:snapToGrid w:val="0"/>
        </w:rPr>
        <w:t>.</w:t>
      </w:r>
      <w:r>
        <w:rPr>
          <w:snapToGrid w:val="0"/>
        </w:rPr>
        <w:tab/>
        <w:t>Tenure of office</w:t>
      </w:r>
      <w:bookmarkEnd w:id="190"/>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191" w:name="_Toc512323908"/>
      <w:r>
        <w:rPr>
          <w:rStyle w:val="CharSClsNo"/>
        </w:rPr>
        <w:t>2</w:t>
      </w:r>
      <w:r>
        <w:rPr>
          <w:snapToGrid w:val="0"/>
        </w:rPr>
        <w:t>.</w:t>
      </w:r>
      <w:r>
        <w:rPr>
          <w:snapToGrid w:val="0"/>
        </w:rPr>
        <w:tab/>
        <w:t>Salary and entitlements</w:t>
      </w:r>
      <w:bookmarkEnd w:id="191"/>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Footnotesection"/>
      </w:pPr>
      <w:r>
        <w:tab/>
        <w:t>[Clause 2 amended by No. 39 of 2010 s. 89.]</w:t>
      </w:r>
    </w:p>
    <w:p>
      <w:pPr>
        <w:pStyle w:val="yHeading5"/>
        <w:ind w:left="890" w:hanging="890"/>
        <w:outlineLvl w:val="9"/>
        <w:rPr>
          <w:snapToGrid w:val="0"/>
        </w:rPr>
      </w:pPr>
      <w:bookmarkStart w:id="192" w:name="_Toc512323909"/>
      <w:r>
        <w:rPr>
          <w:rStyle w:val="CharSClsNo"/>
        </w:rPr>
        <w:t>3</w:t>
      </w:r>
      <w:r>
        <w:rPr>
          <w:snapToGrid w:val="0"/>
        </w:rPr>
        <w:t>.</w:t>
      </w:r>
      <w:r>
        <w:rPr>
          <w:snapToGrid w:val="0"/>
        </w:rPr>
        <w:tab/>
        <w:t>Superannuation</w:t>
      </w:r>
      <w:bookmarkEnd w:id="192"/>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pPr>
        <w:pStyle w:val="yHeading5"/>
        <w:ind w:left="890" w:hanging="890"/>
        <w:outlineLvl w:val="9"/>
        <w:rPr>
          <w:snapToGrid w:val="0"/>
        </w:rPr>
      </w:pPr>
      <w:bookmarkStart w:id="193" w:name="_Toc512323910"/>
      <w:r>
        <w:rPr>
          <w:rStyle w:val="CharSClsNo"/>
        </w:rPr>
        <w:t>4</w:t>
      </w:r>
      <w:r>
        <w:rPr>
          <w:snapToGrid w:val="0"/>
        </w:rPr>
        <w:t>.</w:t>
      </w:r>
      <w:r>
        <w:rPr>
          <w:snapToGrid w:val="0"/>
        </w:rPr>
        <w:tab/>
        <w:t>Appointment of public service officer</w:t>
      </w:r>
      <w:bookmarkEnd w:id="193"/>
    </w:p>
    <w:p>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194" w:name="_Toc512323911"/>
      <w:r>
        <w:rPr>
          <w:rStyle w:val="CharSClsNo"/>
        </w:rPr>
        <w:t>5</w:t>
      </w:r>
      <w:r>
        <w:rPr>
          <w:snapToGrid w:val="0"/>
        </w:rPr>
        <w:t>.</w:t>
      </w:r>
      <w:r>
        <w:rPr>
          <w:snapToGrid w:val="0"/>
        </w:rPr>
        <w:tab/>
        <w:t>Removal from office</w:t>
      </w:r>
      <w:bookmarkEnd w:id="194"/>
    </w:p>
    <w:p>
      <w:pPr>
        <w:pStyle w:val="ySubsection"/>
        <w:keepNext/>
        <w:rPr>
          <w:snapToGrid w:val="0"/>
        </w:rPr>
      </w:pPr>
      <w:r>
        <w:rPr>
          <w:snapToGrid w:val="0"/>
        </w:rPr>
        <w:tab/>
        <w:t>(1)</w:t>
      </w:r>
      <w:r>
        <w:rPr>
          <w:snapToGrid w:val="0"/>
        </w:rPr>
        <w:tab/>
        <w:t>The Governor may remove the Director from office —</w:t>
      </w:r>
    </w:p>
    <w:p>
      <w:pPr>
        <w:pStyle w:val="yIndenta"/>
        <w:keepNext/>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195" w:name="_Toc512323912"/>
      <w:r>
        <w:rPr>
          <w:rStyle w:val="CharSClsNo"/>
        </w:rPr>
        <w:t>6</w:t>
      </w:r>
      <w:r>
        <w:rPr>
          <w:snapToGrid w:val="0"/>
        </w:rPr>
        <w:t>.</w:t>
      </w:r>
      <w:r>
        <w:rPr>
          <w:snapToGrid w:val="0"/>
        </w:rPr>
        <w:tab/>
        <w:t>Other conditions of service</w:t>
      </w:r>
      <w:bookmarkEnd w:id="195"/>
    </w:p>
    <w:p>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pPr>
        <w:pStyle w:val="yFootnotesection"/>
      </w:pPr>
      <w:r>
        <w:tab/>
        <w:t>[Clause 6 amended by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196" w:name="_Toc419461372"/>
      <w:bookmarkStart w:id="197" w:name="_Toc435776508"/>
      <w:bookmarkStart w:id="198" w:name="_Toc435776613"/>
      <w:bookmarkStart w:id="199" w:name="_Toc435776878"/>
      <w:bookmarkStart w:id="200" w:name="_Toc436059445"/>
      <w:bookmarkStart w:id="201" w:name="_Toc452545372"/>
      <w:bookmarkStart w:id="202" w:name="_Toc455413024"/>
      <w:bookmarkStart w:id="203" w:name="_Toc512323913"/>
      <w:r>
        <w:t>Notes</w:t>
      </w:r>
      <w:bookmarkEnd w:id="196"/>
      <w:bookmarkEnd w:id="197"/>
      <w:bookmarkEnd w:id="198"/>
      <w:bookmarkEnd w:id="199"/>
      <w:bookmarkEnd w:id="200"/>
      <w:bookmarkEnd w:id="201"/>
      <w:bookmarkEnd w:id="202"/>
      <w:bookmarkEnd w:id="203"/>
    </w:p>
    <w:p>
      <w:pPr>
        <w:pStyle w:val="nSubsection"/>
        <w:rPr>
          <w:snapToGrid w:val="0"/>
        </w:rPr>
      </w:pPr>
      <w:r>
        <w:rPr>
          <w:snapToGrid w:val="0"/>
          <w:vertAlign w:val="superscript"/>
        </w:rPr>
        <w:t>1</w:t>
      </w:r>
      <w:r>
        <w:rPr>
          <w:snapToGrid w:val="0"/>
        </w:rPr>
        <w:tab/>
        <w:t xml:space="preserve">This is a compilation of the </w:t>
      </w:r>
      <w:r>
        <w:rPr>
          <w:i/>
          <w:noProof/>
          <w:snapToGrid w:val="0"/>
        </w:rPr>
        <w:t>Health and Disability Services (Complaints)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04" w:name="_Toc512323914"/>
      <w:r>
        <w:t>Compilation table</w:t>
      </w:r>
      <w:bookmarkEnd w:id="204"/>
    </w:p>
    <w:tbl>
      <w:tblPr>
        <w:tblW w:w="7109" w:type="dxa"/>
        <w:tblInd w:w="84" w:type="dxa"/>
        <w:tblLayout w:type="fixed"/>
        <w:tblCellMar>
          <w:left w:w="56" w:type="dxa"/>
          <w:right w:w="56" w:type="dxa"/>
        </w:tblCellMar>
        <w:tblLook w:val="0000" w:firstRow="0" w:lastRow="0" w:firstColumn="0" w:lastColumn="0" w:noHBand="0" w:noVBand="0"/>
      </w:tblPr>
      <w:tblGrid>
        <w:gridCol w:w="7"/>
        <w:gridCol w:w="2245"/>
        <w:gridCol w:w="9"/>
        <w:gridCol w:w="1125"/>
        <w:gridCol w:w="9"/>
        <w:gridCol w:w="1139"/>
        <w:gridCol w:w="2549"/>
        <w:gridCol w:w="26"/>
      </w:tblGrid>
      <w:tr>
        <w:trPr>
          <w:gridBefore w:val="1"/>
          <w:wBefore w:w="7" w:type="dxa"/>
          <w:cantSplit/>
          <w:tblHeader/>
        </w:trPr>
        <w:tc>
          <w:tcPr>
            <w:tcW w:w="2254" w:type="dxa"/>
            <w:gridSpan w:val="2"/>
            <w:tcBorders>
              <w:top w:val="single" w:sz="8" w:space="0" w:color="auto"/>
              <w:bottom w:val="single" w:sz="8" w:space="0" w:color="auto"/>
            </w:tcBorders>
          </w:tcPr>
          <w:p>
            <w:pPr>
              <w:pStyle w:val="nTable"/>
              <w:spacing w:before="26" w:after="24"/>
              <w:ind w:right="113"/>
              <w:rPr>
                <w:b/>
              </w:rPr>
            </w:pPr>
            <w:r>
              <w:rPr>
                <w:b/>
              </w:rPr>
              <w:t>Short title</w:t>
            </w:r>
          </w:p>
        </w:tc>
        <w:tc>
          <w:tcPr>
            <w:tcW w:w="1134" w:type="dxa"/>
            <w:gridSpan w:val="2"/>
            <w:tcBorders>
              <w:top w:val="single" w:sz="8" w:space="0" w:color="auto"/>
              <w:bottom w:val="single" w:sz="8" w:space="0" w:color="auto"/>
            </w:tcBorders>
          </w:tcPr>
          <w:p>
            <w:pPr>
              <w:pStyle w:val="nTable"/>
              <w:spacing w:before="26" w:after="24"/>
              <w:rPr>
                <w:b/>
              </w:rPr>
            </w:pPr>
            <w:r>
              <w:rPr>
                <w:b/>
              </w:rPr>
              <w:t>Number and year</w:t>
            </w:r>
          </w:p>
        </w:tc>
        <w:tc>
          <w:tcPr>
            <w:tcW w:w="1139" w:type="dxa"/>
            <w:tcBorders>
              <w:top w:val="single" w:sz="8" w:space="0" w:color="auto"/>
              <w:bottom w:val="single" w:sz="8" w:space="0" w:color="auto"/>
            </w:tcBorders>
          </w:tcPr>
          <w:p>
            <w:pPr>
              <w:pStyle w:val="nTable"/>
              <w:spacing w:before="26" w:after="24"/>
              <w:rPr>
                <w:b/>
              </w:rPr>
            </w:pPr>
            <w:r>
              <w:rPr>
                <w:b/>
              </w:rPr>
              <w:t>Assent</w:t>
            </w:r>
          </w:p>
        </w:tc>
        <w:tc>
          <w:tcPr>
            <w:tcW w:w="2575" w:type="dxa"/>
            <w:gridSpan w:val="2"/>
            <w:tcBorders>
              <w:top w:val="single" w:sz="8" w:space="0" w:color="auto"/>
              <w:bottom w:val="single" w:sz="8" w:space="0" w:color="auto"/>
            </w:tcBorders>
          </w:tcPr>
          <w:p>
            <w:pPr>
              <w:pStyle w:val="nTable"/>
              <w:spacing w:before="26" w:after="24"/>
              <w:rPr>
                <w:b/>
              </w:rPr>
            </w:pPr>
            <w:r>
              <w:rPr>
                <w:b/>
              </w:rPr>
              <w:t>Commencement</w:t>
            </w:r>
          </w:p>
        </w:tc>
      </w:tr>
      <w:tr>
        <w:trPr>
          <w:gridBefore w:val="1"/>
          <w:wBefore w:w="7" w:type="dxa"/>
          <w:cantSplit/>
          <w:trHeight w:val="1074"/>
        </w:trPr>
        <w:tc>
          <w:tcPr>
            <w:tcW w:w="2254" w:type="dxa"/>
            <w:gridSpan w:val="2"/>
            <w:tcBorders>
              <w:top w:val="single" w:sz="8" w:space="0" w:color="auto"/>
            </w:tcBorders>
          </w:tcPr>
          <w:p>
            <w:pPr>
              <w:pStyle w:val="nTable"/>
              <w:spacing w:before="26" w:after="24"/>
              <w:ind w:right="113"/>
              <w:rPr>
                <w:iCs/>
              </w:rPr>
            </w:pPr>
            <w:r>
              <w:rPr>
                <w:i/>
              </w:rPr>
              <w:t>Health Services (Conciliation and Review) Act 1995</w:t>
            </w:r>
            <w:r>
              <w:rPr>
                <w:iCs/>
                <w:vertAlign w:val="superscript"/>
              </w:rPr>
              <w:t> 3</w:t>
            </w:r>
          </w:p>
        </w:tc>
        <w:tc>
          <w:tcPr>
            <w:tcW w:w="1134" w:type="dxa"/>
            <w:gridSpan w:val="2"/>
            <w:tcBorders>
              <w:top w:val="single" w:sz="8" w:space="0" w:color="auto"/>
            </w:tcBorders>
          </w:tcPr>
          <w:p>
            <w:pPr>
              <w:pStyle w:val="nTable"/>
              <w:spacing w:before="26" w:after="24"/>
            </w:pPr>
            <w:r>
              <w:t>75 of 1995</w:t>
            </w:r>
          </w:p>
        </w:tc>
        <w:tc>
          <w:tcPr>
            <w:tcW w:w="1139" w:type="dxa"/>
            <w:tcBorders>
              <w:top w:val="single" w:sz="8" w:space="0" w:color="auto"/>
            </w:tcBorders>
          </w:tcPr>
          <w:p>
            <w:pPr>
              <w:pStyle w:val="nTable"/>
              <w:spacing w:before="26" w:after="24"/>
            </w:pPr>
            <w:r>
              <w:t>9 Jan 1996</w:t>
            </w:r>
          </w:p>
        </w:tc>
        <w:tc>
          <w:tcPr>
            <w:tcW w:w="2575" w:type="dxa"/>
            <w:gridSpan w:val="2"/>
            <w:tcBorders>
              <w:top w:val="single" w:sz="8" w:space="0" w:color="auto"/>
            </w:tcBorders>
          </w:tcPr>
          <w:p>
            <w:pPr>
              <w:pStyle w:val="nTable"/>
              <w:spacing w:before="26" w:after="24"/>
            </w:pPr>
            <w:r>
              <w:t>s. 1 and 2: 9 Jan 1996;</w:t>
            </w:r>
            <w:r>
              <w:br/>
              <w:t xml:space="preserve">Act other than s. 1 and 2, Pt. 3 and 4 and Sch. 1: 16 Aug 1996 (see s. 2 and </w:t>
            </w:r>
            <w:r>
              <w:rPr>
                <w:i/>
              </w:rPr>
              <w:t>Gazette</w:t>
            </w:r>
            <w:r>
              <w:t xml:space="preserve"> 16 Aug 1996 p. 4007);</w:t>
            </w:r>
            <w:r>
              <w:br/>
              <w:t xml:space="preserve">Pt. 3 and 4 and Sch. 1: 16 Sep 1996 (see s. 2 and </w:t>
            </w:r>
            <w:r>
              <w:rPr>
                <w:i/>
              </w:rPr>
              <w:t>Gazette</w:t>
            </w:r>
            <w:r>
              <w:t xml:space="preserve"> 16 Sep 1996 p. 4683)</w:t>
            </w:r>
          </w:p>
        </w:tc>
      </w:tr>
      <w:tr>
        <w:trPr>
          <w:gridBefore w:val="1"/>
          <w:wBefore w:w="7" w:type="dxa"/>
          <w:cantSplit/>
        </w:trPr>
        <w:tc>
          <w:tcPr>
            <w:tcW w:w="2254" w:type="dxa"/>
            <w:gridSpan w:val="2"/>
          </w:tcPr>
          <w:p>
            <w:pPr>
              <w:pStyle w:val="nTable"/>
              <w:spacing w:before="26" w:after="24"/>
              <w:ind w:right="113"/>
            </w:pPr>
            <w:r>
              <w:rPr>
                <w:i/>
              </w:rPr>
              <w:t xml:space="preserve">Statutes (Repeals and Minor Amendments) Act 1997 </w:t>
            </w:r>
            <w:r>
              <w:t>s. 70</w:t>
            </w:r>
          </w:p>
        </w:tc>
        <w:tc>
          <w:tcPr>
            <w:tcW w:w="1134" w:type="dxa"/>
            <w:gridSpan w:val="2"/>
          </w:tcPr>
          <w:p>
            <w:pPr>
              <w:pStyle w:val="nTable"/>
              <w:spacing w:before="26" w:after="24"/>
            </w:pPr>
            <w:r>
              <w:t>57 of 1997</w:t>
            </w:r>
          </w:p>
        </w:tc>
        <w:tc>
          <w:tcPr>
            <w:tcW w:w="1139" w:type="dxa"/>
          </w:tcPr>
          <w:p>
            <w:pPr>
              <w:pStyle w:val="nTable"/>
              <w:spacing w:before="26" w:after="24"/>
            </w:pPr>
            <w:r>
              <w:t>15 Dec 1997</w:t>
            </w:r>
          </w:p>
        </w:tc>
        <w:tc>
          <w:tcPr>
            <w:tcW w:w="2575" w:type="dxa"/>
            <w:gridSpan w:val="2"/>
          </w:tcPr>
          <w:p>
            <w:pPr>
              <w:pStyle w:val="nTable"/>
              <w:spacing w:before="26" w:after="24"/>
            </w:pPr>
            <w:r>
              <w:t>15 Dec 1997 (see s. 2(1))</w:t>
            </w:r>
          </w:p>
        </w:tc>
      </w:tr>
      <w:tr>
        <w:trPr>
          <w:gridBefore w:val="1"/>
          <w:wBefore w:w="7" w:type="dxa"/>
          <w:cantSplit/>
        </w:trPr>
        <w:tc>
          <w:tcPr>
            <w:tcW w:w="2254" w:type="dxa"/>
            <w:gridSpan w:val="2"/>
          </w:tcPr>
          <w:p>
            <w:pPr>
              <w:pStyle w:val="nTable"/>
              <w:spacing w:before="26" w:after="24"/>
              <w:ind w:right="113"/>
            </w:pPr>
            <w:r>
              <w:rPr>
                <w:i/>
              </w:rPr>
              <w:t>Osteopaths Act 1997</w:t>
            </w:r>
            <w:r>
              <w:t xml:space="preserve"> s. 97</w:t>
            </w:r>
          </w:p>
        </w:tc>
        <w:tc>
          <w:tcPr>
            <w:tcW w:w="1134" w:type="dxa"/>
            <w:gridSpan w:val="2"/>
          </w:tcPr>
          <w:p>
            <w:pPr>
              <w:pStyle w:val="nTable"/>
              <w:spacing w:before="26" w:after="24"/>
            </w:pPr>
            <w:r>
              <w:t>58 of 1997</w:t>
            </w:r>
          </w:p>
        </w:tc>
        <w:tc>
          <w:tcPr>
            <w:tcW w:w="1139" w:type="dxa"/>
          </w:tcPr>
          <w:p>
            <w:pPr>
              <w:pStyle w:val="nTable"/>
              <w:spacing w:before="26" w:after="24"/>
            </w:pPr>
            <w:r>
              <w:t>15 Dec 1997</w:t>
            </w:r>
          </w:p>
        </w:tc>
        <w:tc>
          <w:tcPr>
            <w:tcW w:w="2575" w:type="dxa"/>
            <w:gridSpan w:val="2"/>
          </w:tcPr>
          <w:p>
            <w:pPr>
              <w:pStyle w:val="nTable"/>
              <w:spacing w:before="26" w:after="24"/>
            </w:pPr>
            <w:r>
              <w:t xml:space="preserve">22 Dec 1999 (see s. 2 and </w:t>
            </w:r>
            <w:r>
              <w:rPr>
                <w:i/>
              </w:rPr>
              <w:t>Gazette</w:t>
            </w:r>
            <w:r>
              <w:t xml:space="preserve"> 21 Dec 1999 p. 6393)</w:t>
            </w:r>
          </w:p>
        </w:tc>
      </w:tr>
      <w:tr>
        <w:trPr>
          <w:gridBefore w:val="1"/>
          <w:wBefore w:w="7" w:type="dxa"/>
          <w:cantSplit/>
        </w:trPr>
        <w:tc>
          <w:tcPr>
            <w:tcW w:w="2254" w:type="dxa"/>
            <w:gridSpan w:val="2"/>
          </w:tcPr>
          <w:p>
            <w:pPr>
              <w:pStyle w:val="nTable"/>
              <w:spacing w:before="26" w:after="24"/>
              <w:ind w:right="113"/>
            </w:pPr>
            <w:r>
              <w:rPr>
                <w:i/>
              </w:rPr>
              <w:t>Disability Services Amendment Act 1999</w:t>
            </w:r>
            <w:r>
              <w:t xml:space="preserve"> s. 28(2)</w:t>
            </w:r>
          </w:p>
        </w:tc>
        <w:tc>
          <w:tcPr>
            <w:tcW w:w="1134" w:type="dxa"/>
            <w:gridSpan w:val="2"/>
          </w:tcPr>
          <w:p>
            <w:pPr>
              <w:pStyle w:val="nTable"/>
              <w:spacing w:before="26" w:after="24"/>
            </w:pPr>
            <w:r>
              <w:t>44 of 1999</w:t>
            </w:r>
          </w:p>
        </w:tc>
        <w:tc>
          <w:tcPr>
            <w:tcW w:w="1139" w:type="dxa"/>
          </w:tcPr>
          <w:p>
            <w:pPr>
              <w:pStyle w:val="nTable"/>
              <w:spacing w:before="26" w:after="24"/>
            </w:pPr>
            <w:r>
              <w:t>25 Nov 1999</w:t>
            </w:r>
          </w:p>
        </w:tc>
        <w:tc>
          <w:tcPr>
            <w:tcW w:w="2575" w:type="dxa"/>
            <w:gridSpan w:val="2"/>
          </w:tcPr>
          <w:p>
            <w:pPr>
              <w:pStyle w:val="nTable"/>
              <w:spacing w:before="26" w:after="24"/>
            </w:pPr>
            <w:r>
              <w:t>25 Nov 1999 (see s. 2)</w:t>
            </w:r>
          </w:p>
        </w:tc>
      </w:tr>
      <w:tr>
        <w:trPr>
          <w:gridBefore w:val="1"/>
          <w:wBefore w:w="7" w:type="dxa"/>
          <w:cantSplit/>
        </w:trPr>
        <w:tc>
          <w:tcPr>
            <w:tcW w:w="2254" w:type="dxa"/>
            <w:gridSpan w:val="2"/>
          </w:tcPr>
          <w:p>
            <w:pPr>
              <w:pStyle w:val="nTable"/>
              <w:spacing w:before="26" w:after="24"/>
              <w:ind w:right="113"/>
            </w:pPr>
            <w:r>
              <w:rPr>
                <w:i/>
              </w:rPr>
              <w:t>Statutes (Repeals and Minor Amendments) Act 2000</w:t>
            </w:r>
            <w:r>
              <w:t xml:space="preserve"> s. 17</w:t>
            </w:r>
          </w:p>
        </w:tc>
        <w:tc>
          <w:tcPr>
            <w:tcW w:w="1134" w:type="dxa"/>
            <w:gridSpan w:val="2"/>
          </w:tcPr>
          <w:p>
            <w:pPr>
              <w:pStyle w:val="nTable"/>
              <w:spacing w:before="26" w:after="24"/>
            </w:pPr>
            <w:r>
              <w:t>24 of 2000</w:t>
            </w:r>
          </w:p>
        </w:tc>
        <w:tc>
          <w:tcPr>
            <w:tcW w:w="1139" w:type="dxa"/>
          </w:tcPr>
          <w:p>
            <w:pPr>
              <w:pStyle w:val="nTable"/>
              <w:spacing w:before="26" w:after="24"/>
            </w:pPr>
            <w:r>
              <w:t>4 Jul 2000</w:t>
            </w:r>
          </w:p>
        </w:tc>
        <w:tc>
          <w:tcPr>
            <w:tcW w:w="2575" w:type="dxa"/>
            <w:gridSpan w:val="2"/>
          </w:tcPr>
          <w:p>
            <w:pPr>
              <w:pStyle w:val="nTable"/>
              <w:spacing w:before="26" w:after="24"/>
            </w:pPr>
            <w:r>
              <w:t>4 Jul 2000 (see s. 2)</w:t>
            </w:r>
          </w:p>
        </w:tc>
      </w:tr>
      <w:tr>
        <w:trPr>
          <w:gridBefore w:val="1"/>
          <w:wBefore w:w="7" w:type="dxa"/>
          <w:cantSplit/>
        </w:trPr>
        <w:tc>
          <w:tcPr>
            <w:tcW w:w="7102" w:type="dxa"/>
            <w:gridSpan w:val="7"/>
          </w:tcPr>
          <w:p>
            <w:pPr>
              <w:pStyle w:val="nTable"/>
              <w:spacing w:before="26" w:after="24"/>
            </w:pPr>
            <w:r>
              <w:rPr>
                <w:b/>
              </w:rPr>
              <w:t xml:space="preserve">Reprint of the </w:t>
            </w:r>
            <w:r>
              <w:rPr>
                <w:b/>
                <w:i/>
              </w:rPr>
              <w:t>Health Services (Conciliation and Review) Act 1995</w:t>
            </w:r>
            <w:r>
              <w:rPr>
                <w:b/>
              </w:rPr>
              <w:t xml:space="preserve"> as at 1 Jun 2001</w:t>
            </w:r>
            <w:r>
              <w:rPr>
                <w:b/>
              </w:rPr>
              <w:br/>
            </w:r>
            <w:r>
              <w:t>(includes amendments listed above)</w:t>
            </w:r>
          </w:p>
        </w:tc>
      </w:tr>
      <w:tr>
        <w:trPr>
          <w:gridBefore w:val="1"/>
          <w:wBefore w:w="7" w:type="dxa"/>
          <w:cantSplit/>
        </w:trPr>
        <w:tc>
          <w:tcPr>
            <w:tcW w:w="2254" w:type="dxa"/>
            <w:gridSpan w:val="2"/>
          </w:tcPr>
          <w:p>
            <w:pPr>
              <w:pStyle w:val="nTable"/>
              <w:spacing w:before="26" w:after="24"/>
              <w:ind w:right="113"/>
            </w:pPr>
            <w:r>
              <w:rPr>
                <w:i/>
              </w:rPr>
              <w:t>Acts Amendment (Equality of Status) Act 2003</w:t>
            </w:r>
            <w:r>
              <w:t xml:space="preserve"> Pt. 27</w:t>
            </w:r>
          </w:p>
        </w:tc>
        <w:tc>
          <w:tcPr>
            <w:tcW w:w="1134" w:type="dxa"/>
            <w:gridSpan w:val="2"/>
          </w:tcPr>
          <w:p>
            <w:pPr>
              <w:pStyle w:val="nTable"/>
              <w:spacing w:before="26" w:after="24"/>
            </w:pPr>
            <w:r>
              <w:t>28 of 2003</w:t>
            </w:r>
          </w:p>
        </w:tc>
        <w:tc>
          <w:tcPr>
            <w:tcW w:w="1139" w:type="dxa"/>
          </w:tcPr>
          <w:p>
            <w:pPr>
              <w:pStyle w:val="nTable"/>
              <w:spacing w:before="26" w:after="24"/>
            </w:pPr>
            <w:r>
              <w:t>22 May 2003</w:t>
            </w:r>
          </w:p>
        </w:tc>
        <w:tc>
          <w:tcPr>
            <w:tcW w:w="2575" w:type="dxa"/>
            <w:gridSpan w:val="2"/>
          </w:tcPr>
          <w:p>
            <w:pPr>
              <w:pStyle w:val="nTable"/>
              <w:spacing w:before="26" w:after="24"/>
            </w:pPr>
            <w:r>
              <w:t xml:space="preserve">1 Jul 2003 (see s. 2 and </w:t>
            </w:r>
            <w:r>
              <w:rPr>
                <w:i/>
              </w:rPr>
              <w:t xml:space="preserve">Gazette </w:t>
            </w:r>
            <w:r>
              <w:t>30 Jun 2003 p. 2579)</w:t>
            </w:r>
          </w:p>
        </w:tc>
      </w:tr>
      <w:tr>
        <w:trPr>
          <w:gridBefore w:val="1"/>
          <w:wBefore w:w="7" w:type="dxa"/>
          <w:cantSplit/>
        </w:trPr>
        <w:tc>
          <w:tcPr>
            <w:tcW w:w="2254" w:type="dxa"/>
            <w:gridSpan w:val="2"/>
          </w:tcPr>
          <w:p>
            <w:pPr>
              <w:pStyle w:val="nTable"/>
              <w:spacing w:before="26" w:after="24"/>
              <w:ind w:right="113"/>
            </w:pPr>
            <w:r>
              <w:rPr>
                <w:i/>
              </w:rPr>
              <w:t>Statutes (Repeals and Minor Amendments) Act 2003</w:t>
            </w:r>
            <w:r>
              <w:t xml:space="preserve"> s. 65</w:t>
            </w:r>
          </w:p>
        </w:tc>
        <w:tc>
          <w:tcPr>
            <w:tcW w:w="1134" w:type="dxa"/>
            <w:gridSpan w:val="2"/>
          </w:tcPr>
          <w:p>
            <w:pPr>
              <w:pStyle w:val="nTable"/>
              <w:spacing w:before="26" w:after="24"/>
            </w:pPr>
            <w:r>
              <w:t>74 of 2003</w:t>
            </w:r>
          </w:p>
        </w:tc>
        <w:tc>
          <w:tcPr>
            <w:tcW w:w="1139" w:type="dxa"/>
          </w:tcPr>
          <w:p>
            <w:pPr>
              <w:pStyle w:val="nTable"/>
              <w:spacing w:before="26" w:after="24"/>
            </w:pPr>
            <w:r>
              <w:t>15 Dec 2003</w:t>
            </w:r>
          </w:p>
        </w:tc>
        <w:tc>
          <w:tcPr>
            <w:tcW w:w="2575" w:type="dxa"/>
            <w:gridSpan w:val="2"/>
          </w:tcPr>
          <w:p>
            <w:pPr>
              <w:pStyle w:val="nTable"/>
              <w:spacing w:before="26" w:after="24"/>
            </w:pPr>
            <w:r>
              <w:rPr>
                <w:spacing w:val="-2"/>
              </w:rPr>
              <w:t>15 Dec 2003 (see s. 2)</w:t>
            </w:r>
          </w:p>
        </w:tc>
      </w:tr>
      <w:tr>
        <w:trPr>
          <w:gridBefore w:val="1"/>
          <w:wBefore w:w="7" w:type="dxa"/>
          <w:cantSplit/>
        </w:trPr>
        <w:tc>
          <w:tcPr>
            <w:tcW w:w="2254" w:type="dxa"/>
            <w:gridSpan w:val="2"/>
          </w:tcPr>
          <w:p>
            <w:pPr>
              <w:pStyle w:val="nTable"/>
              <w:spacing w:before="26" w:after="24"/>
              <w:ind w:right="113"/>
              <w:rPr>
                <w:iCs/>
              </w:rPr>
            </w:pPr>
            <w:r>
              <w:rPr>
                <w:i/>
              </w:rPr>
              <w:t>Carers Recognition Act 2004</w:t>
            </w:r>
            <w:r>
              <w:rPr>
                <w:iCs/>
              </w:rPr>
              <w:t xml:space="preserve"> Pt. 5 Div. 2</w:t>
            </w:r>
          </w:p>
        </w:tc>
        <w:tc>
          <w:tcPr>
            <w:tcW w:w="1134" w:type="dxa"/>
            <w:gridSpan w:val="2"/>
          </w:tcPr>
          <w:p>
            <w:pPr>
              <w:pStyle w:val="nTable"/>
              <w:spacing w:before="26" w:after="24"/>
            </w:pPr>
            <w:r>
              <w:t>37 of 2004</w:t>
            </w:r>
          </w:p>
        </w:tc>
        <w:tc>
          <w:tcPr>
            <w:tcW w:w="1139" w:type="dxa"/>
          </w:tcPr>
          <w:p>
            <w:pPr>
              <w:pStyle w:val="nTable"/>
              <w:spacing w:before="26" w:after="24"/>
            </w:pPr>
            <w:r>
              <w:t>28 Oct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7127)</w:t>
            </w:r>
          </w:p>
        </w:tc>
      </w:tr>
      <w:tr>
        <w:trPr>
          <w:gridBefore w:val="1"/>
          <w:wBefore w:w="7" w:type="dxa"/>
          <w:cantSplit/>
        </w:trPr>
        <w:tc>
          <w:tcPr>
            <w:tcW w:w="2254" w:type="dxa"/>
            <w:gridSpan w:val="2"/>
          </w:tcPr>
          <w:p>
            <w:pPr>
              <w:pStyle w:val="nTable"/>
              <w:spacing w:before="26" w:after="24"/>
              <w:ind w:right="113"/>
              <w:rPr>
                <w:iCs/>
              </w:rPr>
            </w:pPr>
            <w:r>
              <w:rPr>
                <w:i/>
              </w:rPr>
              <w:t>Disability Services Amendment Act 2004</w:t>
            </w:r>
            <w:r>
              <w:rPr>
                <w:iCs/>
              </w:rPr>
              <w:t xml:space="preserve"> s. 36</w:t>
            </w:r>
          </w:p>
        </w:tc>
        <w:tc>
          <w:tcPr>
            <w:tcW w:w="1134" w:type="dxa"/>
            <w:gridSpan w:val="2"/>
          </w:tcPr>
          <w:p>
            <w:pPr>
              <w:pStyle w:val="nTable"/>
              <w:spacing w:before="26" w:after="24"/>
            </w:pPr>
            <w:r>
              <w:t>57 of 2004</w:t>
            </w:r>
          </w:p>
        </w:tc>
        <w:tc>
          <w:tcPr>
            <w:tcW w:w="1139" w:type="dxa"/>
          </w:tcPr>
          <w:p>
            <w:pPr>
              <w:pStyle w:val="nTable"/>
              <w:spacing w:before="26" w:after="24"/>
            </w:pPr>
            <w:r>
              <w:t>18 Nov 2004</w:t>
            </w:r>
          </w:p>
        </w:tc>
        <w:tc>
          <w:tcPr>
            <w:tcW w:w="2575" w:type="dxa"/>
            <w:gridSpan w:val="2"/>
          </w:tcPr>
          <w:p>
            <w:pPr>
              <w:pStyle w:val="nTable"/>
              <w:spacing w:before="26" w:after="24"/>
              <w:rPr>
                <w:spacing w:val="-2"/>
              </w:rPr>
            </w:pPr>
            <w:r>
              <w:rPr>
                <w:spacing w:val="-2"/>
              </w:rPr>
              <w:t xml:space="preserve">15 Dec 2004 (see s. 2 and </w:t>
            </w:r>
            <w:r>
              <w:rPr>
                <w:i/>
                <w:iCs/>
                <w:spacing w:val="-2"/>
              </w:rPr>
              <w:t>Gazette</w:t>
            </w:r>
            <w:r>
              <w:rPr>
                <w:spacing w:val="-2"/>
              </w:rPr>
              <w:t xml:space="preserve"> 14 Dec 2004 p. 5999)</w:t>
            </w:r>
          </w:p>
        </w:tc>
      </w:tr>
      <w:tr>
        <w:trPr>
          <w:gridBefore w:val="1"/>
          <w:wBefore w:w="7" w:type="dxa"/>
          <w:cantSplit/>
        </w:trPr>
        <w:tc>
          <w:tcPr>
            <w:tcW w:w="2254" w:type="dxa"/>
            <w:gridSpan w:val="2"/>
          </w:tcPr>
          <w:p>
            <w:pPr>
              <w:pStyle w:val="nTable"/>
              <w:spacing w:before="26" w:after="24"/>
              <w:ind w:right="113"/>
              <w:rPr>
                <w:i/>
              </w:rPr>
            </w:pPr>
            <w:r>
              <w:rPr>
                <w:rFonts w:ascii="Times" w:hAnsi="Times"/>
                <w:i/>
                <w:iCs/>
              </w:rPr>
              <w:t>State Administrative Tribunal (Conferral of Jurisdiction) Amendment and Repeal Act 2004</w:t>
            </w:r>
            <w:r>
              <w:rPr>
                <w:rFonts w:ascii="Times" w:hAnsi="Times"/>
              </w:rPr>
              <w:t xml:space="preserve"> Pt. 2 Div. 59</w:t>
            </w:r>
            <w:r>
              <w:rPr>
                <w:rFonts w:ascii="Times" w:hAnsi="Times"/>
                <w:vertAlign w:val="superscript"/>
              </w:rPr>
              <w:t> 4</w:t>
            </w:r>
          </w:p>
        </w:tc>
        <w:tc>
          <w:tcPr>
            <w:tcW w:w="1134" w:type="dxa"/>
            <w:gridSpan w:val="2"/>
          </w:tcPr>
          <w:p>
            <w:pPr>
              <w:pStyle w:val="nTable"/>
              <w:spacing w:before="26" w:after="24"/>
            </w:pPr>
            <w:r>
              <w:rPr>
                <w:rFonts w:ascii="Times" w:hAnsi="Times"/>
              </w:rPr>
              <w:t>55 of 2004</w:t>
            </w:r>
          </w:p>
        </w:tc>
        <w:tc>
          <w:tcPr>
            <w:tcW w:w="1139" w:type="dxa"/>
          </w:tcPr>
          <w:p>
            <w:pPr>
              <w:pStyle w:val="nTable"/>
              <w:spacing w:before="26" w:after="24"/>
            </w:pPr>
            <w:r>
              <w:rPr>
                <w:rFonts w:ascii="Times" w:hAnsi="Times"/>
              </w:rPr>
              <w:t>24 Nov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7130)</w:t>
            </w:r>
          </w:p>
        </w:tc>
      </w:tr>
      <w:tr>
        <w:trPr>
          <w:gridBefore w:val="1"/>
          <w:wBefore w:w="7" w:type="dxa"/>
          <w:cantSplit/>
        </w:trPr>
        <w:tc>
          <w:tcPr>
            <w:tcW w:w="7102" w:type="dxa"/>
            <w:gridSpan w:val="7"/>
          </w:tcPr>
          <w:p>
            <w:pPr>
              <w:pStyle w:val="nTable"/>
              <w:spacing w:before="26" w:after="24"/>
              <w:rPr>
                <w:spacing w:val="-2"/>
              </w:rPr>
            </w:pPr>
            <w:r>
              <w:rPr>
                <w:b/>
              </w:rPr>
              <w:t xml:space="preserve">Reprint 2: The </w:t>
            </w:r>
            <w:r>
              <w:rPr>
                <w:b/>
                <w:i/>
              </w:rPr>
              <w:t>Health Services (Conciliation and Review) Act 1995</w:t>
            </w:r>
            <w:r>
              <w:rPr>
                <w:b/>
              </w:rPr>
              <w:t xml:space="preserve"> as at 18 Mar 2005</w:t>
            </w:r>
            <w:r>
              <w:rPr>
                <w:b/>
              </w:rPr>
              <w:br/>
            </w:r>
            <w:r>
              <w:t>(includes amendments listed above)</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Psychologists Act 2005</w:t>
            </w:r>
            <w:r>
              <w:rPr>
                <w:i/>
                <w:iCs/>
                <w:noProof/>
                <w:snapToGrid w:val="0"/>
              </w:rPr>
              <w:t xml:space="preserve"> </w:t>
            </w:r>
            <w:r>
              <w:rPr>
                <w:noProof/>
                <w:snapToGrid w:val="0"/>
              </w:rPr>
              <w:t>Sch. 3 cl. 6</w:t>
            </w:r>
          </w:p>
        </w:tc>
        <w:tc>
          <w:tcPr>
            <w:tcW w:w="1134" w:type="dxa"/>
            <w:gridSpan w:val="2"/>
          </w:tcPr>
          <w:p>
            <w:pPr>
              <w:pStyle w:val="nTable"/>
              <w:spacing w:before="26" w:after="24"/>
            </w:pPr>
            <w:r>
              <w:t>28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4 May 2007 (see s. 2 and </w:t>
            </w:r>
            <w:r>
              <w:rPr>
                <w:i/>
                <w:iCs/>
              </w:rPr>
              <w:t>Gazette</w:t>
            </w:r>
            <w:r>
              <w:t xml:space="preserve"> 4 May 2007 p. 1963)</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Optometrists </w:t>
            </w:r>
            <w:r>
              <w:rPr>
                <w:i/>
                <w:snapToGrid w:val="0"/>
              </w:rPr>
              <w:t>Act</w:t>
            </w:r>
            <w:r>
              <w:rPr>
                <w:i/>
                <w:noProof/>
                <w:snapToGrid w:val="0"/>
              </w:rPr>
              <w:t> 2005</w:t>
            </w:r>
            <w:r>
              <w:rPr>
                <w:iCs/>
                <w:noProof/>
                <w:snapToGrid w:val="0"/>
              </w:rPr>
              <w:t xml:space="preserve"> Sch. 3 cl. 4</w:t>
            </w:r>
          </w:p>
        </w:tc>
        <w:tc>
          <w:tcPr>
            <w:tcW w:w="1134" w:type="dxa"/>
            <w:gridSpan w:val="2"/>
          </w:tcPr>
          <w:p>
            <w:pPr>
              <w:pStyle w:val="nTable"/>
              <w:spacing w:before="26" w:after="24"/>
            </w:pPr>
            <w:r>
              <w:t xml:space="preserve">29 </w:t>
            </w:r>
            <w:r>
              <w:rPr>
                <w:snapToGrid w:val="0"/>
              </w:rPr>
              <w:t>of</w:t>
            </w:r>
            <w:r>
              <w:t xml:space="preserve"> 2005</w:t>
            </w:r>
          </w:p>
        </w:tc>
        <w:tc>
          <w:tcPr>
            <w:tcW w:w="1139" w:type="dxa"/>
          </w:tcPr>
          <w:p>
            <w:pPr>
              <w:pStyle w:val="nTable"/>
              <w:spacing w:before="26" w:after="24"/>
            </w:pPr>
            <w:r>
              <w:t>12 Dec 2005</w:t>
            </w:r>
          </w:p>
        </w:tc>
        <w:tc>
          <w:tcPr>
            <w:tcW w:w="2575" w:type="dxa"/>
            <w:gridSpan w:val="2"/>
          </w:tcPr>
          <w:p>
            <w:pPr>
              <w:pStyle w:val="nTable"/>
              <w:spacing w:before="26" w:after="24"/>
            </w:pPr>
            <w:r>
              <w:t xml:space="preserve">20 Apr 2007 (see s. 2 and </w:t>
            </w:r>
            <w:r>
              <w:rPr>
                <w:i/>
                <w:iCs/>
              </w:rPr>
              <w:t>Gazette</w:t>
            </w:r>
            <w:r>
              <w:t xml:space="preserve"> 30 Mar 2007 p. 1451)</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Podiatrists Act 2005</w:t>
            </w:r>
            <w:r>
              <w:rPr>
                <w:iCs/>
                <w:noProof/>
                <w:snapToGrid w:val="0"/>
              </w:rPr>
              <w:t xml:space="preserve"> Sch. 3 cl. 4</w:t>
            </w:r>
          </w:p>
        </w:tc>
        <w:tc>
          <w:tcPr>
            <w:tcW w:w="1134" w:type="dxa"/>
            <w:gridSpan w:val="2"/>
          </w:tcPr>
          <w:p>
            <w:pPr>
              <w:pStyle w:val="nTable"/>
              <w:spacing w:before="26" w:after="24"/>
            </w:pPr>
            <w:r>
              <w:t>30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Gazette</w:t>
            </w:r>
            <w:r>
              <w:t xml:space="preserve"> 29 May 2007 p. 2486)</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Chiropractors </w:t>
            </w:r>
            <w:r>
              <w:rPr>
                <w:i/>
                <w:snapToGrid w:val="0"/>
              </w:rPr>
              <w:t>Act</w:t>
            </w:r>
            <w:r>
              <w:rPr>
                <w:i/>
                <w:noProof/>
                <w:snapToGrid w:val="0"/>
              </w:rPr>
              <w:t xml:space="preserve"> 2005</w:t>
            </w:r>
            <w:r>
              <w:rPr>
                <w:noProof/>
                <w:snapToGrid w:val="0"/>
              </w:rPr>
              <w:t xml:space="preserve"> </w:t>
            </w:r>
            <w:r>
              <w:rPr>
                <w:iCs/>
                <w:noProof/>
                <w:snapToGrid w:val="0"/>
              </w:rPr>
              <w:t>Sch. 3 cl. 4</w:t>
            </w:r>
          </w:p>
        </w:tc>
        <w:tc>
          <w:tcPr>
            <w:tcW w:w="1134" w:type="dxa"/>
            <w:gridSpan w:val="2"/>
          </w:tcPr>
          <w:p>
            <w:pPr>
              <w:pStyle w:val="nTable"/>
              <w:spacing w:before="26" w:after="24"/>
            </w:pPr>
            <w:r>
              <w:t>31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4" w:type="dxa"/>
            <w:gridSpan w:val="2"/>
          </w:tcPr>
          <w:p>
            <w:pPr>
              <w:pStyle w:val="nTable"/>
              <w:spacing w:before="26" w:after="24"/>
              <w:ind w:right="113"/>
              <w:rPr>
                <w:i/>
                <w:snapToGrid w:val="0"/>
              </w:rPr>
            </w:pPr>
            <w:r>
              <w:rPr>
                <w:i/>
                <w:noProof/>
                <w:snapToGrid w:val="0"/>
              </w:rPr>
              <w:t>Physiotherapists Act 2005</w:t>
            </w:r>
            <w:r>
              <w:rPr>
                <w:iCs/>
                <w:noProof/>
                <w:snapToGrid w:val="0"/>
              </w:rPr>
              <w:t xml:space="preserve"> Sch. 3 cl. 4</w:t>
            </w:r>
          </w:p>
        </w:tc>
        <w:tc>
          <w:tcPr>
            <w:tcW w:w="1134" w:type="dxa"/>
            <w:gridSpan w:val="2"/>
          </w:tcPr>
          <w:p>
            <w:pPr>
              <w:pStyle w:val="nTable"/>
              <w:spacing w:before="26" w:after="24"/>
              <w:rPr>
                <w:snapToGrid w:val="0"/>
              </w:rPr>
            </w:pPr>
            <w:r>
              <w:t>32 of 2005</w:t>
            </w:r>
          </w:p>
        </w:tc>
        <w:tc>
          <w:tcPr>
            <w:tcW w:w="1139" w:type="dxa"/>
          </w:tcPr>
          <w:p>
            <w:pPr>
              <w:pStyle w:val="nTable"/>
              <w:spacing w:before="26" w:after="24"/>
              <w:rPr>
                <w:snapToGrid w:val="0"/>
              </w:rPr>
            </w:pPr>
            <w:r>
              <w:t>12 Dec 2005</w:t>
            </w:r>
          </w:p>
        </w:tc>
        <w:tc>
          <w:tcPr>
            <w:tcW w:w="2575" w:type="dxa"/>
            <w:gridSpan w:val="2"/>
          </w:tcPr>
          <w:p>
            <w:pPr>
              <w:pStyle w:val="nTable"/>
              <w:spacing w:before="26" w:after="24"/>
              <w:rPr>
                <w:snapToGrid w:val="0"/>
              </w:rPr>
            </w:pPr>
            <w:r>
              <w:t xml:space="preserve">23 Feb 2007 (see s. 2 and </w:t>
            </w:r>
            <w:r>
              <w:rPr>
                <w:i/>
                <w:iCs/>
              </w:rPr>
              <w:t xml:space="preserve">Gazette </w:t>
            </w:r>
            <w:r>
              <w:t>20 Feb 2007 p. 505)</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Osteopaths Act </w:t>
            </w:r>
            <w:r>
              <w:rPr>
                <w:i/>
                <w:snapToGrid w:val="0"/>
              </w:rPr>
              <w:t>2005</w:t>
            </w:r>
            <w:r>
              <w:rPr>
                <w:noProof/>
                <w:snapToGrid w:val="0"/>
              </w:rPr>
              <w:t xml:space="preserve"> </w:t>
            </w:r>
            <w:r>
              <w:rPr>
                <w:iCs/>
                <w:noProof/>
                <w:snapToGrid w:val="0"/>
              </w:rPr>
              <w:t>Sch. 3 cl. 4</w:t>
            </w:r>
          </w:p>
        </w:tc>
        <w:tc>
          <w:tcPr>
            <w:tcW w:w="1134" w:type="dxa"/>
            <w:gridSpan w:val="2"/>
          </w:tcPr>
          <w:p>
            <w:pPr>
              <w:pStyle w:val="nTable"/>
              <w:spacing w:before="26" w:after="24"/>
            </w:pPr>
            <w:r>
              <w:t>33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 xml:space="preserve">Gazette </w:t>
            </w:r>
            <w:r>
              <w:t>29 May 2007 p. 2486)</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Occupational Therapists Act 2005</w:t>
            </w:r>
            <w:r>
              <w:rPr>
                <w:iCs/>
                <w:noProof/>
                <w:snapToGrid w:val="0"/>
              </w:rPr>
              <w:t xml:space="preserve"> Sch. 3 cl. 4</w:t>
            </w:r>
          </w:p>
        </w:tc>
        <w:tc>
          <w:tcPr>
            <w:tcW w:w="1134" w:type="dxa"/>
            <w:gridSpan w:val="2"/>
          </w:tcPr>
          <w:p>
            <w:pPr>
              <w:pStyle w:val="nTable"/>
              <w:spacing w:before="26" w:after="24"/>
            </w:pPr>
            <w:r>
              <w:t>42 of 2005</w:t>
            </w:r>
          </w:p>
        </w:tc>
        <w:tc>
          <w:tcPr>
            <w:tcW w:w="1139" w:type="dxa"/>
          </w:tcPr>
          <w:p>
            <w:pPr>
              <w:pStyle w:val="nTable"/>
              <w:spacing w:before="26" w:after="24"/>
            </w:pPr>
            <w:r>
              <w:t>19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4" w:type="dxa"/>
            <w:gridSpan w:val="2"/>
          </w:tcPr>
          <w:p>
            <w:pPr>
              <w:pStyle w:val="nTable"/>
              <w:spacing w:before="26" w:after="24"/>
              <w:ind w:left="-28"/>
              <w:rPr>
                <w:i/>
                <w:noProof/>
                <w:snapToGrid w:val="0"/>
              </w:rPr>
            </w:pPr>
            <w:r>
              <w:rPr>
                <w:i/>
                <w:noProof/>
                <w:snapToGrid w:val="0"/>
              </w:rPr>
              <w:t xml:space="preserve">Medical </w:t>
            </w:r>
            <w:r>
              <w:rPr>
                <w:i/>
                <w:snapToGrid w:val="0"/>
              </w:rPr>
              <w:t>Radiation</w:t>
            </w:r>
            <w:r>
              <w:rPr>
                <w:i/>
                <w:noProof/>
                <w:snapToGrid w:val="0"/>
              </w:rPr>
              <w:t xml:space="preserve"> Technologists Act 2006</w:t>
            </w:r>
            <w:r>
              <w:rPr>
                <w:i/>
                <w:iCs/>
                <w:noProof/>
                <w:snapToGrid w:val="0"/>
              </w:rPr>
              <w:t xml:space="preserve"> </w:t>
            </w:r>
            <w:r>
              <w:rPr>
                <w:iCs/>
                <w:noProof/>
                <w:snapToGrid w:val="0"/>
              </w:rPr>
              <w:t>Sch. 3 cl. 4</w:t>
            </w:r>
          </w:p>
        </w:tc>
        <w:tc>
          <w:tcPr>
            <w:tcW w:w="1134" w:type="dxa"/>
            <w:gridSpan w:val="2"/>
          </w:tcPr>
          <w:p>
            <w:pPr>
              <w:pStyle w:val="nTable"/>
              <w:spacing w:before="26" w:after="24"/>
            </w:pPr>
            <w:r>
              <w:t>21 of 2006</w:t>
            </w:r>
          </w:p>
        </w:tc>
        <w:tc>
          <w:tcPr>
            <w:tcW w:w="1139" w:type="dxa"/>
          </w:tcPr>
          <w:p>
            <w:pPr>
              <w:pStyle w:val="nTable"/>
              <w:spacing w:before="26" w:after="24"/>
            </w:pPr>
            <w:r>
              <w:t>9 Jun 2006</w:t>
            </w:r>
          </w:p>
        </w:tc>
        <w:tc>
          <w:tcPr>
            <w:tcW w:w="2575" w:type="dxa"/>
            <w:gridSpan w:val="2"/>
          </w:tcPr>
          <w:p>
            <w:pPr>
              <w:pStyle w:val="nTable"/>
              <w:spacing w:before="26" w:after="24"/>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gridBefore w:val="1"/>
          <w:wBefore w:w="7" w:type="dxa"/>
          <w:cantSplit/>
        </w:trPr>
        <w:tc>
          <w:tcPr>
            <w:tcW w:w="2254" w:type="dxa"/>
            <w:gridSpan w:val="2"/>
          </w:tcPr>
          <w:p>
            <w:pPr>
              <w:pStyle w:val="nTable"/>
              <w:spacing w:before="26" w:after="24"/>
              <w:ind w:left="-28"/>
              <w:rPr>
                <w:iCs/>
                <w:snapToGrid w:val="0"/>
              </w:rPr>
            </w:pPr>
            <w:r>
              <w:rPr>
                <w:i/>
                <w:snapToGrid w:val="0"/>
              </w:rPr>
              <w:t>Machinery of Government (Miscellaneous Amendments) Act 2006</w:t>
            </w:r>
            <w:r>
              <w:rPr>
                <w:iCs/>
                <w:snapToGrid w:val="0"/>
              </w:rPr>
              <w:t xml:space="preserve"> Pt. 9 Div. 4 </w:t>
            </w:r>
            <w:r>
              <w:rPr>
                <w:iCs/>
                <w:snapToGrid w:val="0"/>
                <w:vertAlign w:val="superscript"/>
              </w:rPr>
              <w:t>5</w:t>
            </w:r>
          </w:p>
        </w:tc>
        <w:tc>
          <w:tcPr>
            <w:tcW w:w="1134" w:type="dxa"/>
            <w:gridSpan w:val="2"/>
          </w:tcPr>
          <w:p>
            <w:pPr>
              <w:pStyle w:val="nTable"/>
              <w:spacing w:before="26" w:after="24"/>
              <w:rPr>
                <w:snapToGrid w:val="0"/>
              </w:rPr>
            </w:pPr>
            <w:r>
              <w:rPr>
                <w:snapToGrid w:val="0"/>
              </w:rPr>
              <w:t>28 of 2006</w:t>
            </w:r>
          </w:p>
        </w:tc>
        <w:tc>
          <w:tcPr>
            <w:tcW w:w="1139" w:type="dxa"/>
          </w:tcPr>
          <w:p>
            <w:pPr>
              <w:pStyle w:val="nTable"/>
              <w:spacing w:before="26" w:after="24"/>
            </w:pPr>
            <w:r>
              <w:t>26 Jun 2006</w:t>
            </w:r>
          </w:p>
        </w:tc>
        <w:tc>
          <w:tcPr>
            <w:tcW w:w="2575" w:type="dxa"/>
            <w:gridSpan w:val="2"/>
          </w:tcPr>
          <w:p>
            <w:pPr>
              <w:pStyle w:val="nTable"/>
              <w:spacing w:before="26" w:after="24"/>
            </w:pPr>
            <w:r>
              <w:t xml:space="preserve">1 Jul 2006 (see s. 2 and </w:t>
            </w:r>
            <w:r>
              <w:rPr>
                <w:i/>
                <w:iCs/>
              </w:rPr>
              <w:t>Gazette</w:t>
            </w:r>
            <w:r>
              <w:t xml:space="preserve"> 27 Jun 2006 p. 2347)</w:t>
            </w:r>
          </w:p>
        </w:tc>
      </w:tr>
      <w:tr>
        <w:trPr>
          <w:gridBefore w:val="1"/>
          <w:wBefore w:w="7" w:type="dxa"/>
          <w:cantSplit/>
        </w:trPr>
        <w:tc>
          <w:tcPr>
            <w:tcW w:w="2254" w:type="dxa"/>
            <w:gridSpan w:val="2"/>
          </w:tcPr>
          <w:p>
            <w:pPr>
              <w:pStyle w:val="nTable"/>
              <w:spacing w:before="26" w:after="24"/>
              <w:ind w:left="-28"/>
              <w:rPr>
                <w:i/>
                <w:snapToGrid w:val="0"/>
              </w:rPr>
            </w:pPr>
            <w:r>
              <w:rPr>
                <w:i/>
                <w:snapToGrid w:val="0"/>
              </w:rPr>
              <w:t>Nurses and Midwives Act 2006</w:t>
            </w:r>
            <w:r>
              <w:rPr>
                <w:snapToGrid w:val="0"/>
              </w:rPr>
              <w:t xml:space="preserve"> Sch. 3 cl. 11</w:t>
            </w:r>
          </w:p>
        </w:tc>
        <w:tc>
          <w:tcPr>
            <w:tcW w:w="1134" w:type="dxa"/>
            <w:gridSpan w:val="2"/>
          </w:tcPr>
          <w:p>
            <w:pPr>
              <w:pStyle w:val="nTable"/>
              <w:spacing w:before="26" w:after="24"/>
              <w:rPr>
                <w:snapToGrid w:val="0"/>
              </w:rPr>
            </w:pPr>
            <w:r>
              <w:rPr>
                <w:snapToGrid w:val="0"/>
              </w:rPr>
              <w:t>50 of 2006</w:t>
            </w:r>
          </w:p>
        </w:tc>
        <w:tc>
          <w:tcPr>
            <w:tcW w:w="1139" w:type="dxa"/>
          </w:tcPr>
          <w:p>
            <w:pPr>
              <w:pStyle w:val="nTable"/>
              <w:spacing w:before="26" w:after="24"/>
            </w:pPr>
            <w:r>
              <w:t>6 Oct 2006</w:t>
            </w:r>
          </w:p>
        </w:tc>
        <w:tc>
          <w:tcPr>
            <w:tcW w:w="2575" w:type="dxa"/>
            <w:gridSpan w:val="2"/>
          </w:tcPr>
          <w:p>
            <w:pPr>
              <w:pStyle w:val="nTable"/>
              <w:spacing w:before="26" w:after="24"/>
            </w:pPr>
            <w:r>
              <w:t xml:space="preserve">19 Sep 2007 (see s. 2 and </w:t>
            </w:r>
            <w:r>
              <w:rPr>
                <w:i/>
                <w:iCs/>
              </w:rPr>
              <w:t>Gazette</w:t>
            </w:r>
            <w:r>
              <w:t xml:space="preserve"> 18 Sep 2007 p. 4711)</w:t>
            </w:r>
          </w:p>
        </w:tc>
      </w:tr>
      <w:tr>
        <w:trPr>
          <w:gridBefore w:val="1"/>
          <w:wBefore w:w="7" w:type="dxa"/>
          <w:cantSplit/>
        </w:trPr>
        <w:tc>
          <w:tcPr>
            <w:tcW w:w="2254" w:type="dxa"/>
            <w:gridSpan w:val="2"/>
          </w:tcPr>
          <w:p>
            <w:pPr>
              <w:pStyle w:val="nTable"/>
              <w:spacing w:before="26" w:after="24"/>
              <w:ind w:left="-28"/>
              <w:rPr>
                <w:i/>
                <w:snapToGrid w:val="0"/>
              </w:rPr>
            </w:pPr>
            <w:r>
              <w:rPr>
                <w:i/>
                <w:snapToGrid w:val="0"/>
              </w:rPr>
              <w:t xml:space="preserve">Financial Legislation Amendment and Repeal Act 2006 </w:t>
            </w:r>
            <w:r>
              <w:rPr>
                <w:iCs/>
                <w:snapToGrid w:val="0"/>
              </w:rPr>
              <w:t>Sch. 1 cl. 82</w:t>
            </w:r>
          </w:p>
        </w:tc>
        <w:tc>
          <w:tcPr>
            <w:tcW w:w="1134" w:type="dxa"/>
            <w:gridSpan w:val="2"/>
          </w:tcPr>
          <w:p>
            <w:pPr>
              <w:pStyle w:val="nTable"/>
              <w:spacing w:before="26" w:after="24"/>
              <w:rPr>
                <w:snapToGrid w:val="0"/>
              </w:rPr>
            </w:pPr>
            <w:r>
              <w:rPr>
                <w:snapToGrid w:val="0"/>
              </w:rPr>
              <w:t xml:space="preserve">77 of 2006 </w:t>
            </w:r>
          </w:p>
        </w:tc>
        <w:tc>
          <w:tcPr>
            <w:tcW w:w="1139" w:type="dxa"/>
          </w:tcPr>
          <w:p>
            <w:pPr>
              <w:pStyle w:val="nTable"/>
              <w:spacing w:before="26" w:after="24"/>
            </w:pPr>
            <w:r>
              <w:rPr>
                <w:snapToGrid w:val="0"/>
              </w:rPr>
              <w:t>21 Dec 2006</w:t>
            </w:r>
          </w:p>
        </w:tc>
        <w:tc>
          <w:tcPr>
            <w:tcW w:w="2575" w:type="dxa"/>
            <w:gridSpan w:val="2"/>
          </w:tcPr>
          <w:p>
            <w:pPr>
              <w:pStyle w:val="nTable"/>
              <w:spacing w:before="26" w:after="24"/>
            </w:pPr>
            <w:r>
              <w:rPr>
                <w:snapToGrid w:val="0"/>
              </w:rPr>
              <w:t xml:space="preserve">1 Feb 2007 (see s. 2(1) and </w:t>
            </w:r>
            <w:r>
              <w:rPr>
                <w:i/>
                <w:iCs/>
                <w:snapToGrid w:val="0"/>
              </w:rPr>
              <w:t>Gazette</w:t>
            </w:r>
            <w:r>
              <w:rPr>
                <w:snapToGrid w:val="0"/>
              </w:rPr>
              <w:t xml:space="preserve"> 19 Jan 2007 p. 137)</w:t>
            </w:r>
          </w:p>
        </w:tc>
      </w:tr>
      <w:tr>
        <w:trPr>
          <w:gridBefore w:val="1"/>
          <w:wBefore w:w="7" w:type="dxa"/>
          <w:cantSplit/>
        </w:trPr>
        <w:tc>
          <w:tcPr>
            <w:tcW w:w="7102" w:type="dxa"/>
            <w:gridSpan w:val="7"/>
          </w:tcPr>
          <w:p>
            <w:pPr>
              <w:pStyle w:val="nTable"/>
              <w:spacing w:before="26" w:after="24"/>
              <w:rPr>
                <w:snapToGrid w:val="0"/>
              </w:rPr>
            </w:pPr>
            <w:r>
              <w:rPr>
                <w:b/>
              </w:rPr>
              <w:t xml:space="preserve">Reprint 3: The </w:t>
            </w:r>
            <w:r>
              <w:rPr>
                <w:b/>
                <w:i/>
              </w:rPr>
              <w:t>Health Services (Conciliation and Review) Act 1995</w:t>
            </w:r>
            <w:r>
              <w:rPr>
                <w:b/>
              </w:rPr>
              <w:t xml:space="preserve"> as at 12 Oct 2007</w:t>
            </w:r>
            <w:r>
              <w:rPr>
                <w:b/>
              </w:rPr>
              <w:br/>
            </w:r>
            <w:r>
              <w:t>(includes amendments listed above)</w:t>
            </w:r>
          </w:p>
        </w:tc>
      </w:tr>
      <w:tr>
        <w:tblPrEx>
          <w:tblBorders>
            <w:top w:val="single" w:sz="8" w:space="0" w:color="auto"/>
            <w:bottom w:val="single" w:sz="8" w:space="0" w:color="auto"/>
            <w:insideH w:val="single" w:sz="8" w:space="0" w:color="auto"/>
          </w:tblBorders>
        </w:tblPrEx>
        <w:trPr>
          <w:gridBefore w:val="1"/>
          <w:wBefore w:w="7" w:type="dxa"/>
        </w:trPr>
        <w:tc>
          <w:tcPr>
            <w:tcW w:w="2254" w:type="dxa"/>
            <w:gridSpan w:val="2"/>
            <w:tcBorders>
              <w:top w:val="nil"/>
              <w:bottom w:val="nil"/>
            </w:tcBorders>
          </w:tcPr>
          <w:p>
            <w:pPr>
              <w:pStyle w:val="nTable"/>
              <w:spacing w:before="26" w:after="24"/>
            </w:pPr>
            <w:r>
              <w:rPr>
                <w:i/>
                <w:snapToGrid w:val="0"/>
              </w:rPr>
              <w:t>Medical Practitioners Act 2008</w:t>
            </w:r>
            <w:r>
              <w:t xml:space="preserve"> Sch. 3 cl. 26</w:t>
            </w:r>
          </w:p>
        </w:tc>
        <w:tc>
          <w:tcPr>
            <w:tcW w:w="1134" w:type="dxa"/>
            <w:gridSpan w:val="2"/>
            <w:tcBorders>
              <w:top w:val="nil"/>
              <w:bottom w:val="nil"/>
            </w:tcBorders>
          </w:tcPr>
          <w:p>
            <w:pPr>
              <w:pStyle w:val="nTable"/>
              <w:spacing w:before="26" w:after="24"/>
            </w:pPr>
            <w:r>
              <w:t>22 of 2008</w:t>
            </w:r>
          </w:p>
        </w:tc>
        <w:tc>
          <w:tcPr>
            <w:tcW w:w="1139" w:type="dxa"/>
            <w:tcBorders>
              <w:top w:val="nil"/>
              <w:bottom w:val="nil"/>
            </w:tcBorders>
          </w:tcPr>
          <w:p>
            <w:pPr>
              <w:pStyle w:val="nTable"/>
              <w:spacing w:before="26" w:after="24"/>
            </w:pPr>
            <w:r>
              <w:t>27 May 2008</w:t>
            </w:r>
          </w:p>
        </w:tc>
        <w:tc>
          <w:tcPr>
            <w:tcW w:w="2575" w:type="dxa"/>
            <w:gridSpan w:val="2"/>
            <w:tcBorders>
              <w:top w:val="nil"/>
              <w:bottom w:val="nil"/>
            </w:tcBorders>
          </w:tcPr>
          <w:p>
            <w:pPr>
              <w:pStyle w:val="nTable"/>
              <w:spacing w:before="26" w:after="24"/>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26" w:type="dxa"/>
          <w:cantSplit/>
        </w:trPr>
        <w:tc>
          <w:tcPr>
            <w:tcW w:w="2261" w:type="dxa"/>
            <w:gridSpan w:val="3"/>
          </w:tcPr>
          <w:p>
            <w:pPr>
              <w:pStyle w:val="nTable"/>
              <w:spacing w:before="26" w:after="24"/>
              <w:ind w:right="113"/>
              <w:rPr>
                <w:iCs/>
              </w:rPr>
            </w:pPr>
            <w:r>
              <w:rPr>
                <w:i/>
              </w:rPr>
              <w:t>Statutes (Repeals and Miscellaneous Amendments) Act 2009</w:t>
            </w:r>
            <w:r>
              <w:rPr>
                <w:iCs/>
              </w:rPr>
              <w:t xml:space="preserve"> s. 73</w:t>
            </w:r>
          </w:p>
        </w:tc>
        <w:tc>
          <w:tcPr>
            <w:tcW w:w="1134" w:type="dxa"/>
            <w:gridSpan w:val="2"/>
          </w:tcPr>
          <w:p>
            <w:pPr>
              <w:pStyle w:val="nTable"/>
              <w:spacing w:before="26" w:after="24"/>
            </w:pPr>
            <w:r>
              <w:t xml:space="preserve">8 of 2009 </w:t>
            </w:r>
          </w:p>
        </w:tc>
        <w:tc>
          <w:tcPr>
            <w:tcW w:w="1139" w:type="dxa"/>
          </w:tcPr>
          <w:p>
            <w:pPr>
              <w:pStyle w:val="nTable"/>
              <w:spacing w:before="26" w:after="24"/>
            </w:pPr>
            <w:r>
              <w:t>21 May 2009</w:t>
            </w:r>
          </w:p>
        </w:tc>
        <w:tc>
          <w:tcPr>
            <w:tcW w:w="2549" w:type="dxa"/>
          </w:tcPr>
          <w:p>
            <w:pPr>
              <w:pStyle w:val="nTable"/>
              <w:spacing w:before="26" w:after="24"/>
            </w:pPr>
            <w:r>
              <w:t>22 May 2009 (see s. 2(b))</w:t>
            </w:r>
          </w:p>
        </w:tc>
      </w:tr>
      <w:tr>
        <w:trPr>
          <w:gridAfter w:val="1"/>
          <w:wAfter w:w="26" w:type="dxa"/>
          <w:cantSplit/>
        </w:trPr>
        <w:tc>
          <w:tcPr>
            <w:tcW w:w="2261" w:type="dxa"/>
            <w:gridSpan w:val="3"/>
          </w:tcPr>
          <w:p>
            <w:pPr>
              <w:pStyle w:val="nTable"/>
              <w:spacing w:before="26" w:after="24"/>
              <w:rPr>
                <w:iCs/>
                <w:snapToGrid w:val="0"/>
              </w:rPr>
            </w:pPr>
            <w:r>
              <w:rPr>
                <w:i/>
                <w:snapToGrid w:val="0"/>
              </w:rPr>
              <w:t>Acts Amendment (Bankruptcy) Act 2009</w:t>
            </w:r>
            <w:r>
              <w:rPr>
                <w:iCs/>
                <w:snapToGrid w:val="0"/>
              </w:rPr>
              <w:t xml:space="preserve"> s. 40</w:t>
            </w:r>
          </w:p>
        </w:tc>
        <w:tc>
          <w:tcPr>
            <w:tcW w:w="1134" w:type="dxa"/>
            <w:gridSpan w:val="2"/>
          </w:tcPr>
          <w:p>
            <w:pPr>
              <w:pStyle w:val="nTable"/>
              <w:spacing w:before="26" w:after="24"/>
            </w:pPr>
            <w:r>
              <w:t>18 of 2009</w:t>
            </w:r>
          </w:p>
        </w:tc>
        <w:tc>
          <w:tcPr>
            <w:tcW w:w="1139" w:type="dxa"/>
          </w:tcPr>
          <w:p>
            <w:pPr>
              <w:pStyle w:val="nTable"/>
              <w:spacing w:before="26" w:after="24"/>
            </w:pPr>
            <w:r>
              <w:t>16 Sep 2009</w:t>
            </w:r>
          </w:p>
        </w:tc>
        <w:tc>
          <w:tcPr>
            <w:tcW w:w="2549" w:type="dxa"/>
          </w:tcPr>
          <w:p>
            <w:pPr>
              <w:pStyle w:val="nTable"/>
              <w:spacing w:before="26" w:after="24"/>
            </w:pPr>
            <w:r>
              <w:t>17 Sep 2009 (see s. 2(b))</w:t>
            </w:r>
          </w:p>
        </w:tc>
      </w:tr>
      <w:tr>
        <w:trPr>
          <w:gridAfter w:val="1"/>
          <w:wAfter w:w="26" w:type="dxa"/>
          <w:cantSplit/>
        </w:trPr>
        <w:tc>
          <w:tcPr>
            <w:tcW w:w="2261" w:type="dxa"/>
            <w:gridSpan w:val="3"/>
          </w:tcPr>
          <w:p>
            <w:pPr>
              <w:pStyle w:val="nTable"/>
              <w:spacing w:before="26" w:after="24"/>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26" w:after="24"/>
              <w:rPr>
                <w:snapToGrid w:val="0"/>
              </w:rPr>
            </w:pPr>
            <w:r>
              <w:rPr>
                <w:snapToGrid w:val="0"/>
              </w:rPr>
              <w:t>19 of 2010</w:t>
            </w:r>
          </w:p>
        </w:tc>
        <w:tc>
          <w:tcPr>
            <w:tcW w:w="1139" w:type="dxa"/>
          </w:tcPr>
          <w:p>
            <w:pPr>
              <w:pStyle w:val="nTable"/>
              <w:spacing w:before="26" w:after="24"/>
              <w:rPr>
                <w:snapToGrid w:val="0"/>
              </w:rPr>
            </w:pPr>
            <w:r>
              <w:rPr>
                <w:snapToGrid w:val="0"/>
              </w:rPr>
              <w:t>28 Jun 2010</w:t>
            </w:r>
          </w:p>
        </w:tc>
        <w:tc>
          <w:tcPr>
            <w:tcW w:w="2549" w:type="dxa"/>
          </w:tcPr>
          <w:p>
            <w:pPr>
              <w:pStyle w:val="nTable"/>
              <w:spacing w:before="26" w:after="24"/>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1" w:type="dxa"/>
            <w:gridSpan w:val="3"/>
          </w:tcPr>
          <w:p>
            <w:pPr>
              <w:pStyle w:val="nTable"/>
              <w:spacing w:before="26" w:after="24"/>
              <w:ind w:right="113"/>
              <w:rPr>
                <w:i/>
                <w:snapToGrid w:val="0"/>
              </w:rPr>
            </w:pPr>
            <w:r>
              <w:rPr>
                <w:i/>
                <w:snapToGrid w:val="0"/>
              </w:rPr>
              <w:t xml:space="preserve">Health and Disability Services Legislation Amendment Act 2010 </w:t>
            </w:r>
            <w:r>
              <w:rPr>
                <w:iCs/>
                <w:snapToGrid w:val="0"/>
              </w:rPr>
              <w:t>Pt. 2</w:t>
            </w:r>
          </w:p>
        </w:tc>
        <w:tc>
          <w:tcPr>
            <w:tcW w:w="1134" w:type="dxa"/>
            <w:gridSpan w:val="2"/>
          </w:tcPr>
          <w:p>
            <w:pPr>
              <w:pStyle w:val="nTable"/>
              <w:spacing w:before="26" w:after="24"/>
              <w:rPr>
                <w:snapToGrid w:val="0"/>
              </w:rPr>
            </w:pPr>
            <w:r>
              <w:rPr>
                <w:snapToGrid w:val="0"/>
              </w:rPr>
              <w:t>33 of 2010 (as amended by 35 of 2010 s. 83(3))</w:t>
            </w:r>
          </w:p>
        </w:tc>
        <w:tc>
          <w:tcPr>
            <w:tcW w:w="1139" w:type="dxa"/>
          </w:tcPr>
          <w:p>
            <w:pPr>
              <w:pStyle w:val="nTable"/>
              <w:spacing w:before="26" w:after="24"/>
              <w:rPr>
                <w:snapToGrid w:val="0"/>
              </w:rPr>
            </w:pPr>
            <w:r>
              <w:rPr>
                <w:snapToGrid w:val="0"/>
              </w:rPr>
              <w:t>30 Aug 2010</w:t>
            </w:r>
          </w:p>
        </w:tc>
        <w:tc>
          <w:tcPr>
            <w:tcW w:w="2549" w:type="dxa"/>
          </w:tcPr>
          <w:p>
            <w:pPr>
              <w:pStyle w:val="nTable"/>
              <w:spacing w:before="26" w:after="24"/>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6" w:type="dxa"/>
          <w:cantSplit/>
        </w:trPr>
        <w:tc>
          <w:tcPr>
            <w:tcW w:w="2261" w:type="dxa"/>
            <w:gridSpan w:val="3"/>
          </w:tcPr>
          <w:p>
            <w:pPr>
              <w:pStyle w:val="nTable"/>
              <w:spacing w:before="26" w:after="24"/>
              <w:ind w:right="113"/>
              <w:rPr>
                <w:i/>
                <w:snapToGrid w:val="0"/>
              </w:rPr>
            </w:pPr>
            <w:r>
              <w:rPr>
                <w:i/>
                <w:snapToGrid w:val="0"/>
              </w:rPr>
              <w:t>Health Practitioner Regulation National Law (WA) Act 2010</w:t>
            </w:r>
            <w:r>
              <w:rPr>
                <w:iCs/>
                <w:snapToGrid w:val="0"/>
              </w:rPr>
              <w:t xml:space="preserve"> Pt. 5 Div. 25</w:t>
            </w:r>
          </w:p>
        </w:tc>
        <w:tc>
          <w:tcPr>
            <w:tcW w:w="1134" w:type="dxa"/>
            <w:gridSpan w:val="2"/>
          </w:tcPr>
          <w:p>
            <w:pPr>
              <w:pStyle w:val="nTable"/>
              <w:spacing w:before="26" w:after="24"/>
              <w:rPr>
                <w:snapToGrid w:val="0"/>
              </w:rPr>
            </w:pPr>
            <w:r>
              <w:rPr>
                <w:snapToGrid w:val="0"/>
              </w:rPr>
              <w:t>35 of 2010</w:t>
            </w:r>
          </w:p>
        </w:tc>
        <w:tc>
          <w:tcPr>
            <w:tcW w:w="1139" w:type="dxa"/>
          </w:tcPr>
          <w:p>
            <w:pPr>
              <w:pStyle w:val="nTable"/>
              <w:spacing w:before="26" w:after="24"/>
              <w:rPr>
                <w:snapToGrid w:val="0"/>
              </w:rPr>
            </w:pPr>
            <w:r>
              <w:rPr>
                <w:snapToGrid w:val="0"/>
              </w:rPr>
              <w:t>30 Aug 2010</w:t>
            </w:r>
          </w:p>
        </w:tc>
        <w:tc>
          <w:tcPr>
            <w:tcW w:w="2549" w:type="dxa"/>
          </w:tcPr>
          <w:p>
            <w:pPr>
              <w:pStyle w:val="nTable"/>
              <w:spacing w:before="26" w:after="24"/>
              <w:rPr>
                <w:snapToGrid w:val="0"/>
              </w:rPr>
            </w:pPr>
            <w:r>
              <w:rPr>
                <w:snapToGrid w:val="0"/>
              </w:rPr>
              <w:t xml:space="preserve">s. 79-90 and 91(1)-(3): 18 Oct 2010 (see s. 2(b) and </w:t>
            </w:r>
            <w:r>
              <w:rPr>
                <w:i/>
                <w:snapToGrid w:val="0"/>
              </w:rPr>
              <w:t xml:space="preserve">Gazette </w:t>
            </w:r>
            <w:r>
              <w:rPr>
                <w:iCs/>
                <w:snapToGrid w:val="0"/>
              </w:rPr>
              <w:t>1 Oct 2010 p. 5075-6</w:t>
            </w:r>
            <w:r>
              <w:rPr>
                <w:snapToGrid w:val="0"/>
              </w:rPr>
              <w:t>);</w:t>
            </w:r>
            <w:r>
              <w:rPr>
                <w:snapToGrid w:val="0"/>
              </w:rPr>
              <w:br/>
              <w:t xml:space="preserve">s. 91(4) and (5): 1 Jul 2012 (see s. 2(b) and </w:t>
            </w:r>
            <w:r>
              <w:rPr>
                <w:i/>
                <w:snapToGrid w:val="0"/>
              </w:rPr>
              <w:t>Gazette</w:t>
            </w:r>
            <w:r>
              <w:rPr>
                <w:snapToGrid w:val="0"/>
              </w:rPr>
              <w:t xml:space="preserve"> 19 Jun 2012 p. 2631)</w:t>
            </w:r>
          </w:p>
        </w:tc>
      </w:tr>
      <w:tr>
        <w:trPr>
          <w:gridAfter w:val="1"/>
          <w:wAfter w:w="26" w:type="dxa"/>
          <w:cantSplit/>
        </w:trPr>
        <w:tc>
          <w:tcPr>
            <w:tcW w:w="2261" w:type="dxa"/>
            <w:gridSpan w:val="3"/>
          </w:tcPr>
          <w:p>
            <w:pPr>
              <w:pStyle w:val="nTable"/>
              <w:spacing w:before="26" w:after="24"/>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before="26" w:after="24"/>
              <w:rPr>
                <w:snapToGrid w:val="0"/>
              </w:rPr>
            </w:pPr>
            <w:r>
              <w:rPr>
                <w:snapToGrid w:val="0"/>
              </w:rPr>
              <w:t>39 of 2010</w:t>
            </w:r>
          </w:p>
        </w:tc>
        <w:tc>
          <w:tcPr>
            <w:tcW w:w="1139" w:type="dxa"/>
          </w:tcPr>
          <w:p>
            <w:pPr>
              <w:pStyle w:val="nTable"/>
              <w:spacing w:before="26" w:after="24"/>
              <w:rPr>
                <w:snapToGrid w:val="0"/>
              </w:rPr>
            </w:pPr>
            <w:r>
              <w:rPr>
                <w:snapToGrid w:val="0"/>
              </w:rPr>
              <w:t>1 Oct 2010</w:t>
            </w:r>
          </w:p>
        </w:tc>
        <w:tc>
          <w:tcPr>
            <w:tcW w:w="2549" w:type="dxa"/>
          </w:tcPr>
          <w:p>
            <w:pPr>
              <w:pStyle w:val="nTable"/>
              <w:spacing w:before="26" w:after="24"/>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6" w:type="dxa"/>
          <w:cantSplit/>
        </w:trPr>
        <w:tc>
          <w:tcPr>
            <w:tcW w:w="7083" w:type="dxa"/>
            <w:gridSpan w:val="7"/>
          </w:tcPr>
          <w:p>
            <w:pPr>
              <w:pStyle w:val="nTable"/>
              <w:spacing w:before="26" w:after="24"/>
              <w:rPr>
                <w:snapToGrid w:val="0"/>
              </w:rPr>
            </w:pPr>
            <w:r>
              <w:rPr>
                <w:b/>
              </w:rPr>
              <w:t xml:space="preserve">Reprint 4: The </w:t>
            </w:r>
            <w:r>
              <w:rPr>
                <w:b/>
                <w:i/>
              </w:rPr>
              <w:t>Health and Disability Services (Complaints) Act 1995</w:t>
            </w:r>
            <w:r>
              <w:rPr>
                <w:b/>
              </w:rPr>
              <w:t xml:space="preserve"> as at 7 Jan 2011</w:t>
            </w:r>
            <w:r>
              <w:rPr>
                <w:b/>
              </w:rPr>
              <w:br/>
            </w:r>
            <w:r>
              <w:t xml:space="preserve">(includes amendments listed above except those in the </w:t>
            </w:r>
            <w:r>
              <w:rPr>
                <w:i/>
                <w:snapToGrid w:val="0"/>
              </w:rPr>
              <w:t>Health Practitioner Regulation National Law (WA) Act 2010</w:t>
            </w:r>
            <w:r>
              <w:rPr>
                <w:snapToGrid w:val="0"/>
              </w:rPr>
              <w:t xml:space="preserve"> s. 91(4) and (5)</w:t>
            </w:r>
            <w:r>
              <w: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13</w:t>
            </w:r>
          </w:p>
        </w:tc>
        <w:tc>
          <w:tcPr>
            <w:tcW w:w="1134" w:type="dxa"/>
            <w:gridSpan w:val="2"/>
            <w:tcBorders>
              <w:top w:val="nil"/>
              <w:bottom w:val="nil"/>
            </w:tcBorders>
          </w:tcPr>
          <w:p>
            <w:pPr>
              <w:pStyle w:val="nTable"/>
              <w:spacing w:after="40"/>
              <w:rPr>
                <w:snapToGrid w:val="0"/>
                <w:lang w:val="en-US"/>
              </w:rPr>
            </w:pPr>
            <w:r>
              <w:rPr>
                <w:snapToGrid w:val="0"/>
                <w:lang w:val="en-US"/>
              </w:rPr>
              <w:t>25 of 2014</w:t>
            </w:r>
          </w:p>
        </w:tc>
        <w:tc>
          <w:tcPr>
            <w:tcW w:w="1148" w:type="dxa"/>
            <w:gridSpan w:val="2"/>
            <w:tcBorders>
              <w:top w:val="nil"/>
              <w:bottom w:val="nil"/>
            </w:tcBorders>
          </w:tcPr>
          <w:p>
            <w:pPr>
              <w:pStyle w:val="nTable"/>
              <w:spacing w:after="40"/>
              <w:rPr>
                <w:snapToGrid w:val="0"/>
                <w:lang w:val="en-US"/>
              </w:rPr>
            </w:pPr>
            <w:r>
              <w:t>3 Nov 2014</w:t>
            </w:r>
          </w:p>
        </w:tc>
        <w:tc>
          <w:tcPr>
            <w:tcW w:w="2549" w:type="dxa"/>
            <w:tcBorders>
              <w:top w:val="nil"/>
              <w:bottom w:val="nil"/>
            </w:tcBorders>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single" w:sz="4" w:space="0" w:color="auto"/>
            </w:tcBorders>
          </w:tcPr>
          <w:p>
            <w:pPr>
              <w:pStyle w:val="nTable"/>
              <w:spacing w:after="40"/>
              <w:rPr>
                <w:i/>
              </w:rPr>
            </w:pPr>
            <w:r>
              <w:rPr>
                <w:i/>
                <w:snapToGrid w:val="0"/>
              </w:rPr>
              <w:t>Health Services Act 2016</w:t>
            </w:r>
            <w:r>
              <w:rPr>
                <w:snapToGrid w:val="0"/>
              </w:rPr>
              <w:t xml:space="preserve"> s. 292</w:t>
            </w:r>
          </w:p>
        </w:tc>
        <w:tc>
          <w:tcPr>
            <w:tcW w:w="1134" w:type="dxa"/>
            <w:gridSpan w:val="2"/>
            <w:tcBorders>
              <w:top w:val="nil"/>
              <w:bottom w:val="single" w:sz="4" w:space="0" w:color="auto"/>
            </w:tcBorders>
          </w:tcPr>
          <w:p>
            <w:pPr>
              <w:pStyle w:val="nTable"/>
              <w:spacing w:after="40"/>
              <w:rPr>
                <w:snapToGrid w:val="0"/>
                <w:lang w:val="en-US"/>
              </w:rPr>
            </w:pPr>
            <w:r>
              <w:t>11 of 2016</w:t>
            </w:r>
          </w:p>
        </w:tc>
        <w:tc>
          <w:tcPr>
            <w:tcW w:w="1148" w:type="dxa"/>
            <w:gridSpan w:val="2"/>
            <w:tcBorders>
              <w:top w:val="nil"/>
              <w:bottom w:val="single" w:sz="4" w:space="0" w:color="auto"/>
            </w:tcBorders>
          </w:tcPr>
          <w:p>
            <w:pPr>
              <w:pStyle w:val="nTable"/>
              <w:spacing w:after="40"/>
            </w:pPr>
            <w:r>
              <w:t>26 May 2016</w:t>
            </w:r>
          </w:p>
        </w:tc>
        <w:tc>
          <w:tcPr>
            <w:tcW w:w="2549" w:type="dxa"/>
            <w:tcBorders>
              <w:top w:val="nil"/>
              <w:bottom w:val="single" w:sz="4" w:space="0" w:color="auto"/>
            </w:tcBorders>
          </w:tcPr>
          <w:p>
            <w:pPr>
              <w:pStyle w:val="nTable"/>
              <w:spacing w:after="40"/>
              <w:rPr>
                <w:snapToGrid w:val="0"/>
                <w:lang w:val="en-US"/>
              </w:rPr>
            </w:pPr>
            <w:r>
              <w:rPr>
                <w:snapToGrid w:val="0"/>
                <w:lang w:val="en-US"/>
              </w:rPr>
              <w:t xml:space="preserve">1 Jul 2016 (see s. 2(b) and </w:t>
            </w:r>
            <w:r>
              <w:rPr>
                <w:i/>
                <w:snapToGrid w:val="0"/>
                <w:lang w:val="en-US"/>
              </w:rPr>
              <w:t>Gazette</w:t>
            </w:r>
            <w:r>
              <w:rPr>
                <w:snapToGrid w:val="0"/>
                <w:lang w:val="en-US"/>
              </w:rPr>
              <w:t xml:space="preserve"> 24 Jun 2016 p. 2291)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5" w:name="_Toc512323915"/>
      <w:r>
        <w:rPr>
          <w:snapToGrid w:val="0"/>
        </w:rPr>
        <w:t>Provisions that have not come into operation</w:t>
      </w:r>
      <w:bookmarkEnd w:id="205"/>
    </w:p>
    <w:tbl>
      <w:tblPr>
        <w:tblW w:w="7087" w:type="dxa"/>
        <w:tblInd w:w="56" w:type="dxa"/>
        <w:tblLayout w:type="fixed"/>
        <w:tblCellMar>
          <w:left w:w="56" w:type="dxa"/>
          <w:right w:w="56" w:type="dxa"/>
        </w:tblCellMar>
        <w:tblLook w:val="0000" w:firstRow="0" w:lastRow="0" w:firstColumn="0" w:lastColumn="0" w:noHBand="0" w:noVBand="0"/>
      </w:tblPr>
      <w:tblGrid>
        <w:gridCol w:w="2267"/>
        <w:gridCol w:w="1135"/>
        <w:gridCol w:w="1135"/>
        <w:gridCol w:w="2550"/>
      </w:tblGrid>
      <w:tr>
        <w:trPr>
          <w:cantSplit/>
          <w:tblHeader/>
        </w:trPr>
        <w:tc>
          <w:tcPr>
            <w:tcW w:w="2267" w:type="dxa"/>
            <w:tcBorders>
              <w:top w:val="single" w:sz="8" w:space="0" w:color="auto"/>
              <w:bottom w:val="single" w:sz="4" w:space="0" w:color="auto"/>
            </w:tcBorders>
          </w:tcPr>
          <w:p>
            <w:pPr>
              <w:pStyle w:val="nTable"/>
              <w:spacing w:after="40"/>
              <w:ind w:right="113"/>
              <w:rPr>
                <w:b/>
              </w:rPr>
            </w:pPr>
            <w:r>
              <w:rPr>
                <w:b/>
              </w:rPr>
              <w:t>Short title</w:t>
            </w:r>
          </w:p>
        </w:tc>
        <w:tc>
          <w:tcPr>
            <w:tcW w:w="1135" w:type="dxa"/>
            <w:tcBorders>
              <w:top w:val="single" w:sz="8" w:space="0" w:color="auto"/>
              <w:bottom w:val="single" w:sz="4" w:space="0" w:color="auto"/>
            </w:tcBorders>
          </w:tcPr>
          <w:p>
            <w:pPr>
              <w:pStyle w:val="nTable"/>
              <w:spacing w:after="40"/>
              <w:rPr>
                <w:b/>
              </w:rPr>
            </w:pPr>
            <w:r>
              <w:rPr>
                <w:b/>
              </w:rPr>
              <w:t>Number and year</w:t>
            </w:r>
          </w:p>
        </w:tc>
        <w:tc>
          <w:tcPr>
            <w:tcW w:w="1135" w:type="dxa"/>
            <w:tcBorders>
              <w:top w:val="single" w:sz="8" w:space="0" w:color="auto"/>
              <w:bottom w:val="single" w:sz="4" w:space="0" w:color="auto"/>
            </w:tcBorders>
          </w:tcPr>
          <w:p>
            <w:pPr>
              <w:pStyle w:val="nTable"/>
              <w:spacing w:after="40"/>
              <w:rPr>
                <w:b/>
              </w:rPr>
            </w:pPr>
            <w:r>
              <w:rPr>
                <w:b/>
              </w:rPr>
              <w:t>Assent</w:t>
            </w:r>
          </w:p>
        </w:tc>
        <w:tc>
          <w:tcPr>
            <w:tcW w:w="2550" w:type="dxa"/>
            <w:tcBorders>
              <w:top w:val="single" w:sz="8" w:space="0" w:color="auto"/>
              <w:bottom w:val="single" w:sz="4" w:space="0" w:color="auto"/>
            </w:tcBorders>
          </w:tcPr>
          <w:p>
            <w:pPr>
              <w:pStyle w:val="nTable"/>
              <w:spacing w:after="40"/>
              <w:rPr>
                <w:b/>
              </w:rPr>
            </w:pPr>
            <w:r>
              <w:rPr>
                <w:b/>
              </w:rPr>
              <w:t>Commencement</w:t>
            </w:r>
          </w:p>
        </w:tc>
      </w:tr>
      <w:tr>
        <w:trPr>
          <w:cantSplit/>
        </w:trPr>
        <w:tc>
          <w:tcPr>
            <w:tcW w:w="2267" w:type="dxa"/>
            <w:tcBorders>
              <w:top w:val="single" w:sz="4" w:space="0" w:color="auto"/>
            </w:tcBorders>
          </w:tcPr>
          <w:p>
            <w:pPr>
              <w:pStyle w:val="nTable"/>
              <w:spacing w:after="40"/>
              <w:ind w:left="-28"/>
              <w:rPr>
                <w:i/>
              </w:rPr>
            </w:pPr>
            <w:r>
              <w:rPr>
                <w:i/>
              </w:rPr>
              <w:t xml:space="preserve">State </w:t>
            </w:r>
            <w:r>
              <w:rPr>
                <w:i/>
                <w:snapToGrid w:val="0"/>
              </w:rPr>
              <w:t>Superannuation</w:t>
            </w:r>
            <w:r>
              <w:rPr>
                <w:i/>
              </w:rPr>
              <w:t xml:space="preserve"> (Transitional and Consequential Provisions) Act 2000</w:t>
            </w:r>
            <w:r>
              <w:t xml:space="preserve"> s. 75 </w:t>
            </w:r>
            <w:r>
              <w:rPr>
                <w:vertAlign w:val="superscript"/>
              </w:rPr>
              <w:t>6</w:t>
            </w:r>
          </w:p>
        </w:tc>
        <w:tc>
          <w:tcPr>
            <w:tcW w:w="1135" w:type="dxa"/>
            <w:tcBorders>
              <w:top w:val="single" w:sz="4" w:space="0" w:color="auto"/>
            </w:tcBorders>
          </w:tcPr>
          <w:p>
            <w:pPr>
              <w:pStyle w:val="nTable"/>
              <w:spacing w:after="40"/>
            </w:pPr>
            <w:r>
              <w:t>43 of 2000</w:t>
            </w:r>
          </w:p>
        </w:tc>
        <w:tc>
          <w:tcPr>
            <w:tcW w:w="1135" w:type="dxa"/>
            <w:tcBorders>
              <w:top w:val="single" w:sz="4" w:space="0" w:color="auto"/>
            </w:tcBorders>
          </w:tcPr>
          <w:p>
            <w:pPr>
              <w:pStyle w:val="nTable"/>
              <w:spacing w:after="40"/>
            </w:pPr>
            <w:r>
              <w:t>2 Nov 2000</w:t>
            </w:r>
          </w:p>
        </w:tc>
        <w:tc>
          <w:tcPr>
            <w:tcW w:w="2550" w:type="dxa"/>
            <w:tcBorders>
              <w:top w:val="single" w:sz="4" w:space="0" w:color="auto"/>
            </w:tcBorders>
          </w:tcPr>
          <w:p>
            <w:pPr>
              <w:pStyle w:val="nTable"/>
              <w:spacing w:after="40"/>
            </w:pPr>
            <w:r>
              <w:t>To be proclaimed (see s. 2(2))</w:t>
            </w:r>
          </w:p>
        </w:tc>
      </w:tr>
      <w:tr>
        <w:tc>
          <w:tcPr>
            <w:tcW w:w="2267" w:type="dxa"/>
            <w:tcBorders>
              <w:bottom w:val="single" w:sz="4" w:space="0" w:color="auto"/>
            </w:tcBorders>
          </w:tcPr>
          <w:p>
            <w:pPr>
              <w:pStyle w:val="nTable"/>
              <w:keepNext/>
              <w:spacing w:after="40"/>
            </w:pPr>
            <w:r>
              <w:rPr>
                <w:i/>
              </w:rPr>
              <w:t>Health Practitioner Regulation National Law (WA) Amendment Act 2018</w:t>
            </w:r>
            <w:r>
              <w:t xml:space="preserve"> s. 112 </w:t>
            </w:r>
            <w:r>
              <w:rPr>
                <w:vertAlign w:val="superscript"/>
              </w:rPr>
              <w:t>7</w:t>
            </w:r>
          </w:p>
        </w:tc>
        <w:tc>
          <w:tcPr>
            <w:tcW w:w="1135" w:type="dxa"/>
            <w:tcBorders>
              <w:bottom w:val="single" w:sz="4" w:space="0" w:color="auto"/>
            </w:tcBorders>
          </w:tcPr>
          <w:p>
            <w:pPr>
              <w:pStyle w:val="nTable"/>
              <w:keepNext/>
              <w:spacing w:after="40"/>
            </w:pPr>
            <w:r>
              <w:t>4 of 2018</w:t>
            </w:r>
          </w:p>
        </w:tc>
        <w:tc>
          <w:tcPr>
            <w:tcW w:w="1135" w:type="dxa"/>
            <w:tcBorders>
              <w:bottom w:val="single" w:sz="4" w:space="0" w:color="auto"/>
            </w:tcBorders>
          </w:tcPr>
          <w:p>
            <w:pPr>
              <w:pStyle w:val="nTable"/>
              <w:keepNext/>
              <w:spacing w:after="40"/>
            </w:pPr>
            <w:r>
              <w:t>19 Apr 2018</w:t>
            </w:r>
          </w:p>
        </w:tc>
        <w:tc>
          <w:tcPr>
            <w:tcW w:w="2550" w:type="dxa"/>
            <w:tcBorders>
              <w:bottom w:val="single" w:sz="4" w:space="0" w:color="auto"/>
            </w:tcBorders>
          </w:tcPr>
          <w:p>
            <w:pPr>
              <w:pStyle w:val="nTable"/>
              <w:keepNext/>
              <w:spacing w:after="40"/>
            </w:pPr>
            <w:r>
              <w:t xml:space="preserve">1 Dec 2018 (see s. 2(d) and </w:t>
            </w:r>
            <w:r>
              <w:rPr>
                <w:i/>
              </w:rPr>
              <w:t>Gazette</w:t>
            </w:r>
            <w:r>
              <w:t xml:space="preserve"> 13 Nov 2018 p. 4427</w:t>
            </w:r>
            <w:r>
              <w:noBreakHyphen/>
              <w:t>8)</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Now known as the </w:t>
      </w:r>
      <w:r>
        <w:rPr>
          <w:i/>
          <w:iCs/>
          <w:snapToGrid w:val="0"/>
        </w:rPr>
        <w:t>Health and Disability Services (Complaints) Act 1995</w:t>
      </w:r>
      <w:r>
        <w:rPr>
          <w:snapToGrid w:val="0"/>
        </w:rPr>
        <w:t>; short title changed (see note under s. 1).</w:t>
      </w:r>
    </w:p>
    <w:p>
      <w:pPr>
        <w:pStyle w:val="nSubsection"/>
        <w:keepNext/>
        <w:keepLines/>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rPr>
          <w:vertAlign w:val="superscript"/>
        </w:rPr>
        <w:tab/>
      </w:r>
      <w:r>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In this section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keepNext/>
        <w:rPr>
          <w:snapToGrid w:val="0"/>
        </w:rPr>
      </w:pPr>
      <w:r>
        <w:rPr>
          <w:snapToGrid w:val="0"/>
          <w:vertAlign w:val="superscript"/>
        </w:rPr>
        <w:t>6</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BlankOpen"/>
        <w:rPr>
          <w:snapToGrid w:val="0"/>
        </w:rPr>
      </w:pP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BlankClose"/>
        <w:rPr>
          <w:snapToGrid w:val="0"/>
        </w:rPr>
      </w:pP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112 </w:t>
      </w:r>
      <w:r>
        <w:rPr>
          <w:snapToGrid w:val="0"/>
        </w:rPr>
        <w:t>had not come into operation.  It reads as follows:</w:t>
      </w:r>
    </w:p>
    <w:p>
      <w:pPr>
        <w:pStyle w:val="BlankOpen"/>
      </w:pPr>
    </w:p>
    <w:p>
      <w:pPr>
        <w:pStyle w:val="nzHeading5"/>
      </w:pPr>
      <w:bookmarkStart w:id="206" w:name="_Toc511216819"/>
      <w:bookmarkStart w:id="207" w:name="_Toc511995444"/>
      <w:r>
        <w:rPr>
          <w:rStyle w:val="CharSectno"/>
        </w:rPr>
        <w:t>112</w:t>
      </w:r>
      <w:r>
        <w:t>.</w:t>
      </w:r>
      <w:r>
        <w:tab/>
      </w:r>
      <w:r>
        <w:rPr>
          <w:i/>
        </w:rPr>
        <w:t>Health and Disability Services (Complaints) Act 1995</w:t>
      </w:r>
      <w:r>
        <w:t xml:space="preserve"> amended</w:t>
      </w:r>
      <w:bookmarkEnd w:id="206"/>
      <w:bookmarkEnd w:id="207"/>
    </w:p>
    <w:p>
      <w:pPr>
        <w:pStyle w:val="nzSubsection"/>
      </w:pPr>
      <w:r>
        <w:tab/>
        <w:t>(1)</w:t>
      </w:r>
      <w:r>
        <w:tab/>
        <w:t xml:space="preserve">This section amends the </w:t>
      </w:r>
      <w:r>
        <w:rPr>
          <w:i/>
        </w:rPr>
        <w:t>Health and Disability Services (Complaints) Act 1995</w:t>
      </w:r>
      <w:r>
        <w:t>.</w:t>
      </w:r>
    </w:p>
    <w:p>
      <w:pPr>
        <w:pStyle w:val="nzSubsection"/>
      </w:pPr>
      <w:r>
        <w:tab/>
        <w:t>(2)</w:t>
      </w:r>
      <w:r>
        <w:tab/>
        <w:t xml:space="preserve">In section 3(1) delete the definition of </w:t>
      </w:r>
      <w:r>
        <w:rPr>
          <w:b/>
          <w:i/>
        </w:rPr>
        <w:t>registration board</w:t>
      </w:r>
      <w:r>
        <w:t xml:space="preserve"> and insert:</w:t>
      </w:r>
    </w:p>
    <w:p>
      <w:pPr>
        <w:pStyle w:val="BlankOpen"/>
      </w:pPr>
    </w:p>
    <w:p>
      <w:pPr>
        <w:pStyle w:val="nzDefstart"/>
      </w:pPr>
      <w:r>
        <w:tab/>
      </w:r>
      <w:r>
        <w:rPr>
          <w:rStyle w:val="CharDefText"/>
        </w:rPr>
        <w:t>registration board</w:t>
      </w:r>
      <w:r>
        <w:t xml:space="preserve"> means a National Health Practitioner Board established under the </w:t>
      </w:r>
      <w:r>
        <w:rPr>
          <w:i/>
        </w:rPr>
        <w:t>Health Practitioner Regulation National Law (Western Australia)</w:t>
      </w:r>
      <w:r>
        <w:t>;</w:t>
      </w:r>
    </w:p>
    <w:p>
      <w:pPr>
        <w:pStyle w:val="BlankClose"/>
      </w:pPr>
    </w:p>
    <w:p>
      <w:pPr>
        <w:pStyle w:val="nzSubsection"/>
      </w:pPr>
      <w:r>
        <w:tab/>
        <w:t>(3)</w:t>
      </w:r>
      <w:r>
        <w:tab/>
        <w:t>Delete Schedule 1.</w:t>
      </w:r>
    </w:p>
    <w:p>
      <w:pPr>
        <w:pStyle w:val="BlankClose"/>
        <w:rPr>
          <w:snapToGrid w:val="0"/>
        </w:rPr>
      </w:pPr>
    </w:p>
    <w:p>
      <w:pPr>
        <w:pStyle w:val="BlankClose"/>
        <w:rPr>
          <w:snapToGrid w:val="0"/>
        </w:rPr>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209" w:name="_Toc435776511"/>
      <w:bookmarkStart w:id="210" w:name="_Toc435776616"/>
      <w:bookmarkStart w:id="211" w:name="_Toc435776881"/>
      <w:bookmarkStart w:id="212" w:name="_Toc436059448"/>
      <w:bookmarkStart w:id="213" w:name="_Toc452545375"/>
      <w:bookmarkStart w:id="214" w:name="_Toc455413027"/>
      <w:bookmarkStart w:id="215" w:name="_Toc512323916"/>
      <w:r>
        <w:rPr>
          <w:sz w:val="28"/>
        </w:rPr>
        <w:t>Defined terms</w:t>
      </w:r>
      <w:bookmarkEnd w:id="209"/>
      <w:bookmarkEnd w:id="210"/>
      <w:bookmarkEnd w:id="211"/>
      <w:bookmarkEnd w:id="212"/>
      <w:bookmarkEnd w:id="213"/>
      <w:bookmarkEnd w:id="214"/>
      <w:bookmarkEnd w:id="2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carer</w:t>
      </w:r>
      <w:r>
        <w:tab/>
        <w:t>3(1)</w:t>
      </w:r>
    </w:p>
    <w:p>
      <w:pPr>
        <w:pStyle w:val="DefinedTerms"/>
      </w:pPr>
      <w:r>
        <w:t>conciliator</w:t>
      </w:r>
      <w:r>
        <w:tab/>
        <w:t>3(1)</w:t>
      </w:r>
    </w:p>
    <w:p>
      <w:pPr>
        <w:pStyle w:val="DefinedTerms"/>
      </w:pPr>
      <w:r>
        <w:t>Director</w:t>
      </w:r>
      <w:r>
        <w:tab/>
        <w:t>3(1)</w:t>
      </w:r>
    </w:p>
    <w:p>
      <w:pPr>
        <w:pStyle w:val="DefinedTerms"/>
      </w:pPr>
      <w:r>
        <w:t>document</w:t>
      </w:r>
      <w:r>
        <w:tab/>
        <w:t>12(5)</w:t>
      </w:r>
    </w:p>
    <w:p>
      <w:pPr>
        <w:pStyle w:val="DefinedTerms"/>
      </w:pPr>
      <w:r>
        <w:t>excluded service</w:t>
      </w:r>
      <w:r>
        <w:tab/>
        <w:t>3(1)</w:t>
      </w:r>
    </w:p>
    <w:p>
      <w:pPr>
        <w:pStyle w:val="DefinedTerms"/>
      </w:pPr>
      <w:r>
        <w:t>functions of the Director</w:t>
      </w:r>
      <w:r>
        <w:tab/>
        <w:t>11(4)</w:t>
      </w:r>
    </w:p>
    <w:p>
      <w:pPr>
        <w:pStyle w:val="DefinedTerms"/>
      </w:pPr>
      <w:r>
        <w:t>Health Department</w:t>
      </w:r>
      <w:r>
        <w:tab/>
        <w:t>3(1)</w:t>
      </w:r>
    </w:p>
    <w:p>
      <w:pPr>
        <w:pStyle w:val="DefinedTerms"/>
      </w:pPr>
      <w:r>
        <w:t>health service</w:t>
      </w:r>
      <w:r>
        <w:tab/>
        <w:t>3(1)</w:t>
      </w:r>
    </w:p>
    <w:p>
      <w:pPr>
        <w:pStyle w:val="DefinedTerms"/>
      </w:pPr>
      <w:r>
        <w:t>industrial tribunal</w:t>
      </w:r>
      <w:r>
        <w:tab/>
        <w:t>3(1)</w:t>
      </w:r>
    </w:p>
    <w:p>
      <w:pPr>
        <w:pStyle w:val="DefinedTerms"/>
      </w:pPr>
      <w:r>
        <w:t>information</w:t>
      </w:r>
      <w:r>
        <w:tab/>
        <w:t>12(5)</w:t>
      </w:r>
    </w:p>
    <w:p>
      <w:pPr>
        <w:pStyle w:val="DefinedTerms"/>
      </w:pPr>
      <w:r>
        <w:t>manager</w:t>
      </w:r>
      <w:r>
        <w:tab/>
        <w:t>25(2)</w:t>
      </w:r>
    </w:p>
    <w:p>
      <w:pPr>
        <w:pStyle w:val="DefinedTerms"/>
      </w:pPr>
      <w:r>
        <w:t xml:space="preserve">member of the staff </w:t>
      </w:r>
      <w:r>
        <w:tab/>
        <w:t>3(1)</w:t>
      </w:r>
    </w:p>
    <w:p>
      <w:pPr>
        <w:pStyle w:val="DefinedTerms"/>
      </w:pPr>
      <w:r>
        <w:t>misbehaviour</w:t>
      </w:r>
      <w:r>
        <w:tab/>
        <w:t>Sch. 2 cl. 5(2)</w:t>
      </w:r>
    </w:p>
    <w:p>
      <w:pPr>
        <w:pStyle w:val="DefinedTerms"/>
      </w:pPr>
      <w:r>
        <w:t>Office</w:t>
      </w:r>
      <w:r>
        <w:tab/>
        <w:t>3(1)</w:t>
      </w:r>
    </w:p>
    <w:p>
      <w:pPr>
        <w:pStyle w:val="DefinedTerms"/>
      </w:pPr>
      <w:r>
        <w:t>person’s representative</w:t>
      </w:r>
      <w:r>
        <w:tab/>
        <w:t>67(2)</w:t>
      </w:r>
    </w:p>
    <w:p>
      <w:pPr>
        <w:pStyle w:val="DefinedTerms"/>
      </w:pPr>
      <w:r>
        <w:t>provide</w:t>
      </w:r>
      <w:r>
        <w:tab/>
        <w:t>3(1)</w:t>
      </w:r>
    </w:p>
    <w:p>
      <w:pPr>
        <w:pStyle w:val="DefinedTerms"/>
      </w:pPr>
      <w:r>
        <w:t>provider</w:t>
      </w:r>
      <w:r>
        <w:tab/>
        <w:t>3(1)</w:t>
      </w:r>
    </w:p>
    <w:p>
      <w:pPr>
        <w:pStyle w:val="DefinedTerms"/>
      </w:pPr>
      <w:r>
        <w:t>public provider</w:t>
      </w:r>
      <w:r>
        <w:tab/>
        <w:t>3(1)</w:t>
      </w:r>
    </w:p>
    <w:p>
      <w:pPr>
        <w:pStyle w:val="DefinedTerms"/>
      </w:pPr>
      <w:r>
        <w:t>registered provider</w:t>
      </w:r>
      <w:r>
        <w:tab/>
        <w:t>3(1)</w:t>
      </w:r>
    </w:p>
    <w:p>
      <w:pPr>
        <w:pStyle w:val="DefinedTerms"/>
      </w:pPr>
      <w:r>
        <w:t>registration board</w:t>
      </w:r>
      <w:r>
        <w:tab/>
        <w:t>3(1)</w:t>
      </w:r>
    </w:p>
    <w:p>
      <w:pPr>
        <w:pStyle w:val="DefinedTerms"/>
      </w:pPr>
      <w:r>
        <w:t>relative</w:t>
      </w:r>
      <w:r>
        <w:tab/>
        <w:t>20(4)</w:t>
      </w:r>
    </w:p>
    <w:p>
      <w:pPr>
        <w:pStyle w:val="DefinedTerms"/>
      </w:pPr>
      <w:r>
        <w:t>user</w:t>
      </w:r>
      <w:r>
        <w:tab/>
        <w:t>3(1)</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rPr>
          <w:i/>
        </w:rPr>
      </w:pPr>
    </w:p>
    <w:p/>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Health and Disability Services (Complaints) Act 1995</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1" w:name="Schedule"/>
    <w:bookmarkEnd w:id="1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Registration Boards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Registration Boards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6" w:name="DefinedTerms"/>
    <w:bookmarkEnd w:id="21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7" w:name="Coversheet"/>
    <w:bookmarkEnd w:id="2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lvlText w:val="%1."/>
      <w:lvlJc w:val="left"/>
      <w:pPr>
        <w:tabs>
          <w:tab w:val="num" w:pos="1492"/>
        </w:tabs>
        <w:ind w:left="1492" w:hanging="360"/>
      </w:pPr>
    </w:lvl>
  </w:abstractNum>
  <w:abstractNum w:abstractNumId="1">
    <w:nsid w:val="FFFFFF7D"/>
    <w:multiLevelType w:val="singleLevel"/>
    <w:tmpl w:val="CC3EFB9A"/>
    <w:lvl w:ilvl="0">
      <w:start w:val="1"/>
      <w:numFmt w:val="decimal"/>
      <w:lvlText w:val="%1."/>
      <w:lvlJc w:val="left"/>
      <w:pPr>
        <w:tabs>
          <w:tab w:val="num" w:pos="1209"/>
        </w:tabs>
        <w:ind w:left="1209" w:hanging="360"/>
      </w:pPr>
    </w:lvl>
  </w:abstractNum>
  <w:abstractNum w:abstractNumId="2">
    <w:nsid w:val="FFFFFF7E"/>
    <w:multiLevelType w:val="singleLevel"/>
    <w:tmpl w:val="7D0E226C"/>
    <w:lvl w:ilvl="0">
      <w:start w:val="1"/>
      <w:numFmt w:val="decimal"/>
      <w:lvlText w:val="%1."/>
      <w:lvlJc w:val="left"/>
      <w:pPr>
        <w:tabs>
          <w:tab w:val="num" w:pos="926"/>
        </w:tabs>
        <w:ind w:left="926" w:hanging="360"/>
      </w:pPr>
    </w:lvl>
  </w:abstractNum>
  <w:abstractNum w:abstractNumId="3">
    <w:nsid w:val="FFFFFF7F"/>
    <w:multiLevelType w:val="singleLevel"/>
    <w:tmpl w:val="D124E5E8"/>
    <w:lvl w:ilvl="0">
      <w:start w:val="1"/>
      <w:numFmt w:val="decimal"/>
      <w:lvlText w:val="%1."/>
      <w:lvlJc w:val="left"/>
      <w:pPr>
        <w:tabs>
          <w:tab w:val="num" w:pos="643"/>
        </w:tabs>
        <w:ind w:left="643" w:hanging="360"/>
      </w:pPr>
    </w:lvl>
  </w:abstractNum>
  <w:abstractNum w:abstractNumId="4">
    <w:nsid w:val="FFFFFF80"/>
    <w:multiLevelType w:val="singleLevel"/>
    <w:tmpl w:val="E03613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lvlText w:val="%1."/>
      <w:lvlJc w:val="left"/>
      <w:pPr>
        <w:tabs>
          <w:tab w:val="num" w:pos="360"/>
        </w:tabs>
        <w:ind w:left="360" w:hanging="360"/>
      </w:pPr>
    </w:lvl>
  </w:abstractNum>
  <w:abstractNum w:abstractNumId="9">
    <w:nsid w:val="FFFFFF89"/>
    <w:multiLevelType w:val="singleLevel"/>
    <w:tmpl w:val="CEA40C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D72E6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837"/>
    <w:docVar w:name="WAFER_20141104172507" w:val="RemoveTocBookmarks,RemoveUnusedBookmarks,RemoveLanguageTags,UsedStyles,ResetPageSize,UpdateArrangement"/>
    <w:docVar w:name="WAFER_20141104172507_GUID" w:val="771f2690-c46f-4d58-8528-f4283360695b"/>
    <w:docVar w:name="WAFER_20141104172523" w:val="RemoveTocBookmarks,RemoveUnusedBookmarks,RemoveLanguageTags,UsedStyles,ResetPageSize,UpdateArrangement"/>
    <w:docVar w:name="WAFER_20141104172523_GUID" w:val="02c55d8f-18ab-41ca-b585-cad14efffe39"/>
    <w:docVar w:name="WAFER_20150515104137" w:val="ResetPageSize,UpdateArrangement,UpdateNTable"/>
    <w:docVar w:name="WAFER_20150515104137_GUID" w:val="b486fc97-d35b-4721-82d2-edab5af87b42"/>
    <w:docVar w:name="WAFER_20151105132837" w:val="UpdateStyles,UsedStyles"/>
    <w:docVar w:name="WAFER_20151105132837_GUID" w:val="d34af7fa-990c-40d8-8031-b7b558ae79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14326</Words>
  <Characters>68053</Characters>
  <Application>Microsoft Office Word</Application>
  <DocSecurity>0</DocSecurity>
  <Lines>1944</Lines>
  <Paragraphs>1248</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81131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1995 - 04-g0-03</dc:title>
  <dc:subject/>
  <dc:creator/>
  <cp:keywords/>
  <dc:description/>
  <cp:lastModifiedBy>svcMRProcess</cp:lastModifiedBy>
  <cp:revision>4</cp:revision>
  <cp:lastPrinted>2011-01-11T00:45:00Z</cp:lastPrinted>
  <dcterms:created xsi:type="dcterms:W3CDTF">2018-11-13T06:28:00Z</dcterms:created>
  <dcterms:modified xsi:type="dcterms:W3CDTF">2018-11-13T06:28:00Z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DocumentType">
    <vt:lpwstr>Act</vt:lpwstr>
  </property>
  <property fmtid="{D5CDD505-2E9C-101B-9397-08002B2CF9AE}" pid="4" name="OwlsUID">
    <vt:i4>345</vt:i4>
  </property>
  <property fmtid="{D5CDD505-2E9C-101B-9397-08002B2CF9AE}" pid="5" name="ReprintNo">
    <vt:lpwstr>4</vt:lpwstr>
  </property>
  <property fmtid="{D5CDD505-2E9C-101B-9397-08002B2CF9AE}" pid="6" name="ReprintedAsAt">
    <vt:filetime>2011-01-06T16:00:00Z</vt:filetime>
  </property>
  <property fmtid="{D5CDD505-2E9C-101B-9397-08002B2CF9AE}" pid="7" name="CommencementDate">
    <vt:lpwstr>20180419</vt:lpwstr>
  </property>
  <property fmtid="{D5CDD505-2E9C-101B-9397-08002B2CF9AE}" pid="8" name="AsAtDate">
    <vt:lpwstr>19 Apr 2018</vt:lpwstr>
  </property>
  <property fmtid="{D5CDD505-2E9C-101B-9397-08002B2CF9AE}" pid="9" name="Suffix">
    <vt:lpwstr>04-g0-03</vt:lpwstr>
  </property>
</Properties>
</file>