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434"/>
        <w:outlineLvl w:val="0"/>
      </w:pPr>
      <w:r>
        <w:fldChar w:fldCharType="begin"/>
      </w:r>
      <w:r>
        <w:instrText xml:space="preserve"> STYLEREF "Name Of Act/Reg"</w:instrText>
      </w:r>
      <w:r>
        <w:fldChar w:fldCharType="separate"/>
      </w:r>
      <w:r>
        <w:rPr>
          <w:noProof/>
        </w:rPr>
        <w:t>Mandatory Testing (Infectious Diseases)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Mandatory Testing (Infectious Diseases)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_Toc512323961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_Toc512323962 \h </w:instrText>
      </w:r>
      <w:r>
        <w:fldChar w:fldCharType="separate"/>
      </w:r>
      <w:r>
        <w:t>1</w:t>
      </w:r>
      <w:r>
        <w:fldChar w:fldCharType="end"/>
      </w:r>
    </w:p>
    <w:p>
      <w:pPr>
        <w:pStyle w:val="TOC8"/>
        <w:rPr>
          <w:rFonts w:asciiTheme="minorHAnsi" w:eastAsiaTheme="minorEastAsia" w:hAnsiTheme="minorHAnsi" w:cstheme="minorBidi"/>
          <w:szCs w:val="22"/>
        </w:rPr>
      </w:pPr>
      <w:r>
        <w:t>3.</w:t>
      </w:r>
      <w:r>
        <w:tab/>
        <w:t>Purpose of Act</w:t>
      </w:r>
      <w:r>
        <w:tab/>
      </w:r>
      <w:r>
        <w:fldChar w:fldCharType="begin"/>
      </w:r>
      <w:r>
        <w:instrText xml:space="preserve"> PAGEREF _Toc512323963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_Toc512323964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i/>
        </w:rPr>
        <w:t>Freedom of Information Act 1992</w:t>
      </w:r>
      <w:r>
        <w:t xml:space="preserve"> does not apply to this Act</w:t>
      </w:r>
      <w:r>
        <w:tab/>
      </w:r>
      <w:r>
        <w:fldChar w:fldCharType="begin"/>
      </w:r>
      <w:r>
        <w:instrText xml:space="preserve"> PAGEREF _Toc512323965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Disease test approvals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Purpose of Part</w:t>
      </w:r>
      <w:r>
        <w:tab/>
      </w:r>
      <w:r>
        <w:fldChar w:fldCharType="begin"/>
      </w:r>
      <w:r>
        <w:instrText xml:space="preserve"> PAGEREF _Toc512323968 \h </w:instrText>
      </w:r>
      <w:r>
        <w:fldChar w:fldCharType="separate"/>
      </w:r>
      <w:r>
        <w:t>6</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_Toc512323969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8.</w:t>
      </w:r>
      <w:r>
        <w:tab/>
        <w:t>Application for a disease test approval</w:t>
      </w:r>
      <w:r>
        <w:tab/>
      </w:r>
      <w:r>
        <w:fldChar w:fldCharType="begin"/>
      </w:r>
      <w:r>
        <w:instrText xml:space="preserve"> PAGEREF _Toc512323971 \h </w:instrText>
      </w:r>
      <w:r>
        <w:fldChar w:fldCharType="separate"/>
      </w:r>
      <w:r>
        <w:t>6</w:t>
      </w:r>
      <w:r>
        <w:fldChar w:fldCharType="end"/>
      </w:r>
    </w:p>
    <w:p>
      <w:pPr>
        <w:pStyle w:val="TOC8"/>
        <w:rPr>
          <w:rFonts w:asciiTheme="minorHAnsi" w:eastAsiaTheme="minorEastAsia" w:hAnsiTheme="minorHAnsi" w:cstheme="minorBidi"/>
          <w:szCs w:val="22"/>
        </w:rPr>
      </w:pPr>
      <w:r>
        <w:t>9.</w:t>
      </w:r>
      <w:r>
        <w:tab/>
        <w:t>Detention of suspected transferor pending application</w:t>
      </w:r>
      <w:r>
        <w:tab/>
      </w:r>
      <w:r>
        <w:fldChar w:fldCharType="begin"/>
      </w:r>
      <w:r>
        <w:instrText xml:space="preserve"> PAGEREF _Toc512323972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Disease test approval</w:t>
      </w:r>
    </w:p>
    <w:p>
      <w:pPr>
        <w:pStyle w:val="TOC8"/>
        <w:rPr>
          <w:rFonts w:asciiTheme="minorHAnsi" w:eastAsiaTheme="minorEastAsia" w:hAnsiTheme="minorHAnsi" w:cstheme="minorBidi"/>
          <w:szCs w:val="22"/>
        </w:rPr>
      </w:pPr>
      <w:r>
        <w:t>10.</w:t>
      </w:r>
      <w:r>
        <w:tab/>
        <w:t>Giving of disease test approval</w:t>
      </w:r>
      <w:r>
        <w:tab/>
      </w:r>
      <w:r>
        <w:fldChar w:fldCharType="begin"/>
      </w:r>
      <w:r>
        <w:instrText xml:space="preserve"> PAGEREF _Toc512323974 \h </w:instrText>
      </w:r>
      <w:r>
        <w:fldChar w:fldCharType="separate"/>
      </w:r>
      <w:r>
        <w:t>8</w:t>
      </w:r>
      <w:r>
        <w:fldChar w:fldCharType="end"/>
      </w:r>
    </w:p>
    <w:p>
      <w:pPr>
        <w:pStyle w:val="TOC8"/>
        <w:rPr>
          <w:rFonts w:asciiTheme="minorHAnsi" w:eastAsiaTheme="minorEastAsia" w:hAnsiTheme="minorHAnsi" w:cstheme="minorBidi"/>
          <w:szCs w:val="22"/>
        </w:rPr>
      </w:pPr>
      <w:r>
        <w:t>11.</w:t>
      </w:r>
      <w:r>
        <w:tab/>
        <w:t>Copy of disease test approval to be served</w:t>
      </w:r>
      <w:r>
        <w:tab/>
      </w:r>
      <w:r>
        <w:fldChar w:fldCharType="begin"/>
      </w:r>
      <w:r>
        <w:instrText xml:space="preserve"> PAGEREF _Toc512323975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approvals</w:t>
      </w:r>
    </w:p>
    <w:p>
      <w:pPr>
        <w:pStyle w:val="TOC8"/>
        <w:rPr>
          <w:rFonts w:asciiTheme="minorHAnsi" w:eastAsiaTheme="minorEastAsia" w:hAnsiTheme="minorHAnsi" w:cstheme="minorBidi"/>
          <w:szCs w:val="22"/>
        </w:rPr>
      </w:pPr>
      <w:r>
        <w:t>12.</w:t>
      </w:r>
      <w:r>
        <w:tab/>
        <w:t>Effect of disease test approval</w:t>
      </w:r>
      <w:r>
        <w:tab/>
      </w:r>
      <w:r>
        <w:fldChar w:fldCharType="begin"/>
      </w:r>
      <w:r>
        <w:instrText xml:space="preserve"> PAGEREF _Toc512323977 \h </w:instrText>
      </w:r>
      <w:r>
        <w:fldChar w:fldCharType="separate"/>
      </w:r>
      <w:r>
        <w:t>9</w:t>
      </w:r>
      <w:r>
        <w:fldChar w:fldCharType="end"/>
      </w:r>
    </w:p>
    <w:p>
      <w:pPr>
        <w:pStyle w:val="TOC8"/>
        <w:rPr>
          <w:rFonts w:asciiTheme="minorHAnsi" w:eastAsiaTheme="minorEastAsia" w:hAnsiTheme="minorHAnsi" w:cstheme="minorBidi"/>
          <w:szCs w:val="22"/>
        </w:rPr>
      </w:pPr>
      <w:r>
        <w:t>13.</w:t>
      </w:r>
      <w:r>
        <w:tab/>
        <w:t>Offences of failing to comply with requirement under disease test approval</w:t>
      </w:r>
      <w:r>
        <w:tab/>
      </w:r>
      <w:r>
        <w:fldChar w:fldCharType="begin"/>
      </w:r>
      <w:r>
        <w:instrText xml:space="preserve"> PAGEREF _Toc512323978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Disease test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w:t>
      </w:r>
      <w:r>
        <w:tab/>
        <w:t>Purpose of Part</w:t>
      </w:r>
      <w:r>
        <w:tab/>
      </w:r>
      <w:r>
        <w:fldChar w:fldCharType="begin"/>
      </w:r>
      <w:r>
        <w:instrText xml:space="preserve"> PAGEREF _Toc512323981 \h </w:instrText>
      </w:r>
      <w:r>
        <w:fldChar w:fldCharType="separate"/>
      </w:r>
      <w:r>
        <w:t>10</w:t>
      </w:r>
      <w:r>
        <w:fldChar w:fldCharType="end"/>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_Toc512323982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Applications</w:t>
      </w:r>
    </w:p>
    <w:p>
      <w:pPr>
        <w:pStyle w:val="TOC8"/>
        <w:rPr>
          <w:rFonts w:asciiTheme="minorHAnsi" w:eastAsiaTheme="minorEastAsia" w:hAnsiTheme="minorHAnsi" w:cstheme="minorBidi"/>
          <w:szCs w:val="22"/>
        </w:rPr>
      </w:pPr>
      <w:r>
        <w:t>16.</w:t>
      </w:r>
      <w:r>
        <w:tab/>
        <w:t>Application for order for blood testing of suspected transferor</w:t>
      </w:r>
      <w:r>
        <w:tab/>
      </w:r>
      <w:r>
        <w:fldChar w:fldCharType="begin"/>
      </w:r>
      <w:r>
        <w:instrText xml:space="preserve"> PAGEREF _Toc512323984 \h </w:instrText>
      </w:r>
      <w:r>
        <w:fldChar w:fldCharType="separate"/>
      </w:r>
      <w:r>
        <w:t>10</w:t>
      </w:r>
      <w:r>
        <w:fldChar w:fldCharType="end"/>
      </w:r>
    </w:p>
    <w:p>
      <w:pPr>
        <w:pStyle w:val="TOC8"/>
        <w:rPr>
          <w:rFonts w:asciiTheme="minorHAnsi" w:eastAsiaTheme="minorEastAsia" w:hAnsiTheme="minorHAnsi" w:cstheme="minorBidi"/>
          <w:szCs w:val="22"/>
        </w:rPr>
      </w:pPr>
      <w:r>
        <w:t>17.</w:t>
      </w:r>
      <w:r>
        <w:tab/>
        <w:t>Copy of application to be served</w:t>
      </w:r>
      <w:r>
        <w:tab/>
      </w:r>
      <w:r>
        <w:fldChar w:fldCharType="begin"/>
      </w:r>
      <w:r>
        <w:instrText xml:space="preserve"> PAGEREF _Toc512323985 \h </w:instrText>
      </w:r>
      <w:r>
        <w:fldChar w:fldCharType="separate"/>
      </w:r>
      <w:r>
        <w:t>11</w:t>
      </w:r>
      <w:r>
        <w:fldChar w:fldCharType="end"/>
      </w:r>
    </w:p>
    <w:p>
      <w:pPr>
        <w:pStyle w:val="TOC8"/>
        <w:rPr>
          <w:rFonts w:asciiTheme="minorHAnsi" w:eastAsiaTheme="minorEastAsia" w:hAnsiTheme="minorHAnsi" w:cstheme="minorBidi"/>
          <w:szCs w:val="22"/>
        </w:rPr>
      </w:pPr>
      <w:r>
        <w:t>18.</w:t>
      </w:r>
      <w:r>
        <w:tab/>
        <w:t>Hearing an application</w:t>
      </w:r>
      <w:r>
        <w:tab/>
      </w:r>
      <w:r>
        <w:fldChar w:fldCharType="begin"/>
      </w:r>
      <w:r>
        <w:instrText xml:space="preserve"> PAGEREF _Toc512323986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Disease test orders</w:t>
      </w:r>
    </w:p>
    <w:p>
      <w:pPr>
        <w:pStyle w:val="TOC8"/>
        <w:rPr>
          <w:rFonts w:asciiTheme="minorHAnsi" w:eastAsiaTheme="minorEastAsia" w:hAnsiTheme="minorHAnsi" w:cstheme="minorBidi"/>
          <w:szCs w:val="22"/>
        </w:rPr>
      </w:pPr>
      <w:r>
        <w:t>19.</w:t>
      </w:r>
      <w:r>
        <w:tab/>
        <w:t>Making of disease test order</w:t>
      </w:r>
      <w:r>
        <w:tab/>
      </w:r>
      <w:r>
        <w:fldChar w:fldCharType="begin"/>
      </w:r>
      <w:r>
        <w:instrText xml:space="preserve"> PAGEREF _Toc512323988 \h </w:instrText>
      </w:r>
      <w:r>
        <w:fldChar w:fldCharType="separate"/>
      </w:r>
      <w:r>
        <w:t>11</w:t>
      </w:r>
      <w:r>
        <w:fldChar w:fldCharType="end"/>
      </w:r>
    </w:p>
    <w:p>
      <w:pPr>
        <w:pStyle w:val="TOC8"/>
        <w:rPr>
          <w:rFonts w:asciiTheme="minorHAnsi" w:eastAsiaTheme="minorEastAsia" w:hAnsiTheme="minorHAnsi" w:cstheme="minorBidi"/>
          <w:szCs w:val="22"/>
        </w:rPr>
      </w:pPr>
      <w:r>
        <w:t>20.</w:t>
      </w:r>
      <w:r>
        <w:tab/>
        <w:t>Explanation of disease test order</w:t>
      </w:r>
      <w:r>
        <w:tab/>
      </w:r>
      <w:r>
        <w:fldChar w:fldCharType="begin"/>
      </w:r>
      <w:r>
        <w:instrText xml:space="preserve"> PAGEREF _Toc512323989 \h </w:instrText>
      </w:r>
      <w:r>
        <w:fldChar w:fldCharType="separate"/>
      </w:r>
      <w:r>
        <w:t>12</w:t>
      </w:r>
      <w:r>
        <w:fldChar w:fldCharType="end"/>
      </w:r>
    </w:p>
    <w:p>
      <w:pPr>
        <w:pStyle w:val="TOC8"/>
        <w:rPr>
          <w:rFonts w:asciiTheme="minorHAnsi" w:eastAsiaTheme="minorEastAsia" w:hAnsiTheme="minorHAnsi" w:cstheme="minorBidi"/>
          <w:szCs w:val="22"/>
        </w:rPr>
      </w:pPr>
      <w:r>
        <w:t>21.</w:t>
      </w:r>
      <w:r>
        <w:tab/>
        <w:t>Copy of disease test order to be served</w:t>
      </w:r>
      <w:r>
        <w:tab/>
      </w:r>
      <w:r>
        <w:fldChar w:fldCharType="begin"/>
      </w:r>
      <w:r>
        <w:instrText xml:space="preserve"> PAGEREF _Toc512323990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Consequences of issuing disease test orders</w:t>
      </w:r>
    </w:p>
    <w:p>
      <w:pPr>
        <w:pStyle w:val="TOC8"/>
        <w:rPr>
          <w:rFonts w:asciiTheme="minorHAnsi" w:eastAsiaTheme="minorEastAsia" w:hAnsiTheme="minorHAnsi" w:cstheme="minorBidi"/>
          <w:szCs w:val="22"/>
        </w:rPr>
      </w:pPr>
      <w:r>
        <w:t>22.</w:t>
      </w:r>
      <w:r>
        <w:tab/>
        <w:t>Effect of disease test order</w:t>
      </w:r>
      <w:r>
        <w:tab/>
      </w:r>
      <w:r>
        <w:fldChar w:fldCharType="begin"/>
      </w:r>
      <w:r>
        <w:instrText xml:space="preserve"> PAGEREF _Toc512323992 \h </w:instrText>
      </w:r>
      <w:r>
        <w:fldChar w:fldCharType="separate"/>
      </w:r>
      <w:r>
        <w:t>13</w:t>
      </w:r>
      <w:r>
        <w:fldChar w:fldCharType="end"/>
      </w:r>
    </w:p>
    <w:p>
      <w:pPr>
        <w:pStyle w:val="TOC8"/>
        <w:rPr>
          <w:rFonts w:asciiTheme="minorHAnsi" w:eastAsiaTheme="minorEastAsia" w:hAnsiTheme="minorHAnsi" w:cstheme="minorBidi"/>
          <w:szCs w:val="22"/>
        </w:rPr>
      </w:pPr>
      <w:r>
        <w:t>23.</w:t>
      </w:r>
      <w:r>
        <w:tab/>
        <w:t>Offence of failing to comply with disease test order</w:t>
      </w:r>
      <w:r>
        <w:tab/>
      </w:r>
      <w:r>
        <w:fldChar w:fldCharType="begin"/>
      </w:r>
      <w:r>
        <w:instrText xml:space="preserve"> PAGEREF _Toc512323993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Appeals</w:t>
      </w:r>
    </w:p>
    <w:p>
      <w:pPr>
        <w:pStyle w:val="TOC8"/>
        <w:rPr>
          <w:rFonts w:asciiTheme="minorHAnsi" w:eastAsiaTheme="minorEastAsia" w:hAnsiTheme="minorHAnsi" w:cstheme="minorBidi"/>
          <w:szCs w:val="22"/>
        </w:rPr>
      </w:pPr>
      <w:r>
        <w:t>24.</w:t>
      </w:r>
      <w:r>
        <w:tab/>
        <w:t>Appeal against disease test order</w:t>
      </w:r>
      <w:r>
        <w:tab/>
      </w:r>
      <w:r>
        <w:fldChar w:fldCharType="begin"/>
      </w:r>
      <w:r>
        <w:instrText xml:space="preserve"> PAGEREF _Toc512323995 \h </w:instrText>
      </w:r>
      <w:r>
        <w:fldChar w:fldCharType="separate"/>
      </w:r>
      <w:r>
        <w:t>14</w:t>
      </w:r>
      <w:r>
        <w:fldChar w:fldCharType="end"/>
      </w:r>
    </w:p>
    <w:p>
      <w:pPr>
        <w:pStyle w:val="TOC8"/>
        <w:rPr>
          <w:rFonts w:asciiTheme="minorHAnsi" w:eastAsiaTheme="minorEastAsia" w:hAnsiTheme="minorHAnsi" w:cstheme="minorBidi"/>
          <w:szCs w:val="22"/>
        </w:rPr>
      </w:pPr>
      <w:r>
        <w:t>25.</w:t>
      </w:r>
      <w:r>
        <w:tab/>
        <w:t>Appeal by public officer</w:t>
      </w:r>
      <w:r>
        <w:tab/>
      </w:r>
      <w:r>
        <w:fldChar w:fldCharType="begin"/>
      </w:r>
      <w:r>
        <w:instrText xml:space="preserve"> PAGEREF _Toc512323996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26.</w:t>
      </w:r>
      <w:r>
        <w:tab/>
        <w:t>Taking blood samples under disease test authorisation</w:t>
      </w:r>
      <w:r>
        <w:tab/>
      </w:r>
      <w:r>
        <w:fldChar w:fldCharType="begin"/>
      </w:r>
      <w:r>
        <w:instrText xml:space="preserve"> PAGEREF _Toc512323998 \h </w:instrText>
      </w:r>
      <w:r>
        <w:fldChar w:fldCharType="separate"/>
      </w:r>
      <w:r>
        <w:t>15</w:t>
      </w:r>
      <w:r>
        <w:fldChar w:fldCharType="end"/>
      </w:r>
    </w:p>
    <w:p>
      <w:pPr>
        <w:pStyle w:val="TOC8"/>
        <w:rPr>
          <w:rFonts w:asciiTheme="minorHAnsi" w:eastAsiaTheme="minorEastAsia" w:hAnsiTheme="minorHAnsi" w:cstheme="minorBidi"/>
          <w:szCs w:val="22"/>
        </w:rPr>
      </w:pPr>
      <w:r>
        <w:t>27.</w:t>
      </w:r>
      <w:r>
        <w:tab/>
        <w:t>Analysis of blood samples</w:t>
      </w:r>
      <w:r>
        <w:tab/>
      </w:r>
      <w:r>
        <w:fldChar w:fldCharType="begin"/>
      </w:r>
      <w:r>
        <w:instrText xml:space="preserve"> PAGEREF _Toc512323999 \h </w:instrText>
      </w:r>
      <w:r>
        <w:fldChar w:fldCharType="separate"/>
      </w:r>
      <w:r>
        <w:t>15</w:t>
      </w:r>
      <w:r>
        <w:fldChar w:fldCharType="end"/>
      </w:r>
    </w:p>
    <w:p>
      <w:pPr>
        <w:pStyle w:val="TOC8"/>
        <w:rPr>
          <w:rFonts w:asciiTheme="minorHAnsi" w:eastAsiaTheme="minorEastAsia" w:hAnsiTheme="minorHAnsi" w:cstheme="minorBidi"/>
          <w:szCs w:val="22"/>
        </w:rPr>
      </w:pPr>
      <w:r>
        <w:t>28.</w:t>
      </w:r>
      <w:r>
        <w:tab/>
        <w:t>No payment may be required in relation to taking or testing under disease test authorisation</w:t>
      </w:r>
      <w:r>
        <w:tab/>
      </w:r>
      <w:r>
        <w:fldChar w:fldCharType="begin"/>
      </w:r>
      <w:r>
        <w:instrText xml:space="preserve"> PAGEREF _Toc512324000 \h </w:instrText>
      </w:r>
      <w:r>
        <w:fldChar w:fldCharType="separate"/>
      </w:r>
      <w:r>
        <w:t>16</w:t>
      </w:r>
      <w:r>
        <w:fldChar w:fldCharType="end"/>
      </w:r>
    </w:p>
    <w:p>
      <w:pPr>
        <w:pStyle w:val="TOC8"/>
        <w:rPr>
          <w:rFonts w:asciiTheme="minorHAnsi" w:eastAsiaTheme="minorEastAsia" w:hAnsiTheme="minorHAnsi" w:cstheme="minorBidi"/>
          <w:szCs w:val="22"/>
        </w:rPr>
      </w:pPr>
      <w:r>
        <w:t>29.</w:t>
      </w:r>
      <w:r>
        <w:tab/>
        <w:t>Restriction on disclosure of results of analysis</w:t>
      </w:r>
      <w:r>
        <w:tab/>
      </w:r>
      <w:r>
        <w:fldChar w:fldCharType="begin"/>
      </w:r>
      <w:r>
        <w:instrText xml:space="preserve"> PAGEREF _Toc512324001 \h </w:instrText>
      </w:r>
      <w:r>
        <w:fldChar w:fldCharType="separate"/>
      </w:r>
      <w:r>
        <w:t>16</w:t>
      </w:r>
      <w:r>
        <w:fldChar w:fldCharType="end"/>
      </w:r>
    </w:p>
    <w:p>
      <w:pPr>
        <w:pStyle w:val="TOC8"/>
        <w:rPr>
          <w:rFonts w:asciiTheme="minorHAnsi" w:eastAsiaTheme="minorEastAsia" w:hAnsiTheme="minorHAnsi" w:cstheme="minorBidi"/>
          <w:szCs w:val="22"/>
        </w:rPr>
      </w:pPr>
      <w:r>
        <w:t>30.</w:t>
      </w:r>
      <w:r>
        <w:tab/>
        <w:t>Prohibition on use of blood samples for other purposes</w:t>
      </w:r>
      <w:r>
        <w:tab/>
      </w:r>
      <w:r>
        <w:fldChar w:fldCharType="begin"/>
      </w:r>
      <w:r>
        <w:instrText xml:space="preserve"> PAGEREF _Toc512324002 \h </w:instrText>
      </w:r>
      <w:r>
        <w:fldChar w:fldCharType="separate"/>
      </w:r>
      <w:r>
        <w:t>18</w:t>
      </w:r>
      <w:r>
        <w:fldChar w:fldCharType="end"/>
      </w:r>
    </w:p>
    <w:p>
      <w:pPr>
        <w:pStyle w:val="TOC8"/>
        <w:rPr>
          <w:rFonts w:asciiTheme="minorHAnsi" w:eastAsiaTheme="minorEastAsia" w:hAnsiTheme="minorHAnsi" w:cstheme="minorBidi"/>
          <w:szCs w:val="22"/>
        </w:rPr>
      </w:pPr>
      <w:r>
        <w:t>31.</w:t>
      </w:r>
      <w:r>
        <w:tab/>
        <w:t>Certain evidence inadmissible</w:t>
      </w:r>
      <w:r>
        <w:tab/>
      </w:r>
      <w:r>
        <w:fldChar w:fldCharType="begin"/>
      </w:r>
      <w:r>
        <w:instrText xml:space="preserve"> PAGEREF _Toc512324003 \h </w:instrText>
      </w:r>
      <w:r>
        <w:fldChar w:fldCharType="separate"/>
      </w:r>
      <w:r>
        <w:t>18</w:t>
      </w:r>
      <w:r>
        <w:fldChar w:fldCharType="end"/>
      </w:r>
    </w:p>
    <w:p>
      <w:pPr>
        <w:pStyle w:val="TOC8"/>
        <w:rPr>
          <w:rFonts w:asciiTheme="minorHAnsi" w:eastAsiaTheme="minorEastAsia" w:hAnsiTheme="minorHAnsi" w:cstheme="minorBidi"/>
          <w:szCs w:val="22"/>
        </w:rPr>
      </w:pPr>
      <w:r>
        <w:t>32.</w:t>
      </w:r>
      <w:r>
        <w:tab/>
        <w:t>Protection from liability</w:t>
      </w:r>
      <w:r>
        <w:tab/>
      </w:r>
      <w:r>
        <w:fldChar w:fldCharType="begin"/>
      </w:r>
      <w:r>
        <w:instrText xml:space="preserve"> PAGEREF _Toc512324004 \h </w:instrText>
      </w:r>
      <w:r>
        <w:fldChar w:fldCharType="separate"/>
      </w:r>
      <w:r>
        <w:t>18</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_Toc512324005 \h </w:instrText>
      </w:r>
      <w:r>
        <w:fldChar w:fldCharType="separate"/>
      </w:r>
      <w:r>
        <w:t>19</w:t>
      </w:r>
      <w:r>
        <w:fldChar w:fldCharType="end"/>
      </w:r>
    </w:p>
    <w:p>
      <w:pPr>
        <w:pStyle w:val="TOC8"/>
        <w:rPr>
          <w:rFonts w:asciiTheme="minorHAnsi" w:eastAsiaTheme="minorEastAsia" w:hAnsiTheme="minorHAnsi" w:cstheme="minorBidi"/>
          <w:szCs w:val="22"/>
        </w:rPr>
      </w:pPr>
      <w:r>
        <w:t>34.</w:t>
      </w:r>
      <w:r>
        <w:tab/>
        <w:t>Review of this Act after 5 years</w:t>
      </w:r>
      <w:r>
        <w:tab/>
      </w:r>
      <w:r>
        <w:fldChar w:fldCharType="begin"/>
      </w:r>
      <w:r>
        <w:instrText xml:space="preserve"> PAGEREF _Toc512324006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rPr>
          <w:snapToGrid w:val="0"/>
        </w:rPr>
        <w:tab/>
        <w:t>Compilation table</w:t>
      </w:r>
      <w:r>
        <w:tab/>
      </w:r>
      <w:r>
        <w:fldChar w:fldCharType="begin"/>
      </w:r>
      <w:r>
        <w:instrText xml:space="preserve"> PAGEREF _Toc512324008 \h </w:instrText>
      </w:r>
      <w:r>
        <w:fldChar w:fldCharType="separate"/>
      </w:r>
      <w:r>
        <w:t>20</w:t>
      </w:r>
      <w:r>
        <w:fldChar w:fldCharType="end"/>
      </w:r>
    </w:p>
    <w:p>
      <w:pPr>
        <w:pStyle w:val="TOC8"/>
        <w:keepNext/>
        <w:rPr>
          <w:rFonts w:asciiTheme="minorHAnsi" w:eastAsiaTheme="minorEastAsia" w:hAnsiTheme="minorHAnsi" w:cstheme="minorBidi"/>
          <w:szCs w:val="22"/>
        </w:rPr>
      </w:pPr>
      <w:r>
        <w:tab/>
        <w:t>Provisions that have not come into operation</w:t>
      </w:r>
      <w:r>
        <w:tab/>
      </w:r>
      <w:r>
        <w:fldChar w:fldCharType="begin"/>
      </w:r>
      <w:r>
        <w:instrText xml:space="preserve"> PAGEREF _Toc512324009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Mandatory Testing (Infectious Diseases) Act 2014</w:t>
      </w:r>
    </w:p>
    <w:p>
      <w:pPr>
        <w:pStyle w:val="LongTitle"/>
        <w:suppressLineNumbers/>
      </w:pPr>
      <w:bookmarkStart w:id="3" w:name="BillCited"/>
      <w:bookmarkEnd w:id="3"/>
      <w:r>
        <w:rPr>
          <w:snapToGrid w:val="0"/>
        </w:rPr>
        <w:t>An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07634295"/>
      <w:bookmarkStart w:id="5" w:name="_Toc407692654"/>
      <w:bookmarkStart w:id="6" w:name="_Toc421106762"/>
      <w:bookmarkStart w:id="7" w:name="_Toc421106811"/>
      <w:bookmarkStart w:id="8" w:name="_Toc512323960"/>
      <w:r>
        <w:rPr>
          <w:rStyle w:val="CharPartNo"/>
        </w:rPr>
        <w:t>Part 1</w:t>
      </w:r>
      <w:r>
        <w:t> —</w:t>
      </w:r>
      <w:r>
        <w:rPr>
          <w:rStyle w:val="CharDivText"/>
        </w:rPr>
        <w:t> </w:t>
      </w:r>
      <w:r>
        <w:rPr>
          <w:rStyle w:val="CharPartText"/>
        </w:rPr>
        <w:t>Preliminary</w:t>
      </w:r>
      <w:bookmarkEnd w:id="4"/>
      <w:bookmarkEnd w:id="5"/>
      <w:bookmarkEnd w:id="6"/>
      <w:bookmarkEnd w:id="7"/>
      <w:bookmarkEnd w:id="8"/>
    </w:p>
    <w:p>
      <w:pPr>
        <w:pStyle w:val="Heading5"/>
      </w:pPr>
      <w:bookmarkStart w:id="9" w:name="_Toc407692655"/>
      <w:bookmarkStart w:id="10" w:name="_Toc512323961"/>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11" w:name="_Toc407692656"/>
      <w:bookmarkStart w:id="12" w:name="_Toc512323962"/>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387835876"/>
      <w:bookmarkStart w:id="14" w:name="_Toc407633731"/>
      <w:bookmarkStart w:id="15" w:name="_Toc407692657"/>
      <w:bookmarkStart w:id="16" w:name="_Toc512323963"/>
      <w:r>
        <w:rPr>
          <w:rStyle w:val="CharSectno"/>
        </w:rPr>
        <w:t>3</w:t>
      </w:r>
      <w:r>
        <w:t>.</w:t>
      </w:r>
      <w:r>
        <w:tab/>
        <w:t>Purpose of Act</w:t>
      </w:r>
      <w:bookmarkEnd w:id="13"/>
      <w:bookmarkEnd w:id="14"/>
      <w:bookmarkEnd w:id="15"/>
      <w:bookmarkEnd w:id="16"/>
    </w:p>
    <w:p>
      <w:pPr>
        <w:pStyle w:val="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Indenta"/>
      </w:pPr>
      <w:r>
        <w:tab/>
        <w:t>(a)</w:t>
      </w:r>
      <w:r>
        <w:tab/>
        <w:t>the taking of a blood sample from a person who, if carrying an infectious disease, might have transmitted it to the officer; and</w:t>
      </w:r>
    </w:p>
    <w:p>
      <w:pPr>
        <w:pStyle w:val="Indenta"/>
      </w:pPr>
      <w:r>
        <w:tab/>
        <w:t>(b)</w:t>
      </w:r>
      <w:r>
        <w:tab/>
        <w:t>the analysis of the blood sample to find out whether the person is carrying the infectious disease.</w:t>
      </w:r>
    </w:p>
    <w:p>
      <w:pPr>
        <w:pStyle w:val="Heading5"/>
      </w:pPr>
      <w:bookmarkStart w:id="17" w:name="_Toc387835877"/>
      <w:bookmarkStart w:id="18" w:name="_Toc407633732"/>
      <w:bookmarkStart w:id="19" w:name="_Toc407692658"/>
      <w:bookmarkStart w:id="20" w:name="_Toc512323964"/>
      <w:r>
        <w:rPr>
          <w:rStyle w:val="CharSectno"/>
        </w:rPr>
        <w:t>4</w:t>
      </w:r>
      <w:r>
        <w:t>.</w:t>
      </w:r>
      <w:r>
        <w:tab/>
        <w:t>Terms used</w:t>
      </w:r>
      <w:bookmarkEnd w:id="17"/>
      <w:bookmarkEnd w:id="18"/>
      <w:bookmarkEnd w:id="19"/>
      <w:bookmarkEnd w:id="20"/>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affected public officer</w:t>
      </w:r>
      <w:r>
        <w:t xml:space="preserve"> means a public officer in relation to whom there are reasonable grounds for disease testing;</w:t>
      </w:r>
    </w:p>
    <w:p>
      <w:pPr>
        <w:pStyle w:val="Defstart"/>
      </w:pPr>
      <w:r>
        <w:tab/>
      </w:r>
      <w:r>
        <w:rPr>
          <w:rStyle w:val="CharDefText"/>
        </w:rPr>
        <w:t>bodily fluid</w:t>
      </w:r>
      <w:r>
        <w:t xml:space="preserve"> includes semen, blood and saliva;</w:t>
      </w:r>
    </w:p>
    <w:p>
      <w:pPr>
        <w:pStyle w:val="Defstart"/>
      </w:pPr>
      <w:r>
        <w:tab/>
      </w:r>
      <w:r>
        <w:rPr>
          <w:rStyle w:val="CharDefText"/>
        </w:rPr>
        <w:t>child</w:t>
      </w:r>
      <w:r>
        <w:t xml:space="preserve"> means a person who is under 18 years of age;</w:t>
      </w:r>
    </w:p>
    <w:p>
      <w:pPr>
        <w:pStyle w:val="Defstart"/>
      </w:pPr>
      <w:r>
        <w:tab/>
      </w:r>
      <w:r>
        <w:rPr>
          <w:rStyle w:val="CharDefText"/>
        </w:rPr>
        <w:t>Commissioner</w:t>
      </w:r>
      <w:r>
        <w:t xml:space="preserve"> means the Commissioner of Police;</w:t>
      </w:r>
    </w:p>
    <w:p>
      <w:pPr>
        <w:pStyle w:val="Defstart"/>
      </w:pPr>
      <w:r>
        <w:tab/>
      </w:r>
      <w:r>
        <w:rPr>
          <w:rStyle w:val="CharDefText"/>
        </w:rPr>
        <w:t>disease test authorisation</w:t>
      </w:r>
      <w:r>
        <w:t xml:space="preserve"> means — </w:t>
      </w:r>
    </w:p>
    <w:p>
      <w:pPr>
        <w:pStyle w:val="Defpara"/>
      </w:pPr>
      <w:r>
        <w:tab/>
        <w:t>(a)</w:t>
      </w:r>
      <w:r>
        <w:tab/>
        <w:t>a disease test approval as defined in section 7(1); or</w:t>
      </w:r>
    </w:p>
    <w:p>
      <w:pPr>
        <w:pStyle w:val="Defpara"/>
      </w:pPr>
      <w:r>
        <w:tab/>
        <w:t>(b)</w:t>
      </w:r>
      <w:r>
        <w:tab/>
        <w:t>a disease test order as defined in section 15;</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incapable person</w:t>
      </w:r>
      <w:r>
        <w:t xml:space="preserve"> means a person who is not a child and — </w:t>
      </w:r>
    </w:p>
    <w:p>
      <w:pPr>
        <w:pStyle w:val="Defpara"/>
      </w:pPr>
      <w:r>
        <w:tab/>
        <w:t>(a)</w:t>
      </w:r>
      <w:r>
        <w:tab/>
        <w:t>who for any reason is unable to give consent to being tested for an infectious disease; or</w:t>
      </w:r>
    </w:p>
    <w:p>
      <w:pPr>
        <w:pStyle w:val="Defpara"/>
      </w:pPr>
      <w:r>
        <w:tab/>
        <w:t>(b)</w:t>
      </w:r>
      <w:r>
        <w:tab/>
        <w:t>who is unconscious, deceased or otherwise unable —</w:t>
      </w:r>
    </w:p>
    <w:p>
      <w:pPr>
        <w:pStyle w:val="Defsubpara"/>
      </w:pPr>
      <w:r>
        <w:tab/>
        <w:t>(i)</w:t>
      </w:r>
      <w:r>
        <w:tab/>
        <w:t>to understand a request made to give consent to being tested for an infectious disease; or</w:t>
      </w:r>
    </w:p>
    <w:p>
      <w:pPr>
        <w:pStyle w:val="Defsubpara"/>
      </w:pPr>
      <w:r>
        <w:tab/>
        <w:t>(ii)</w:t>
      </w:r>
      <w:r>
        <w:tab/>
        <w:t>to communicate whether or not he or she consents to being tested for an infectious disease;</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the Register of Nurses kept under that Law;</w:t>
      </w:r>
    </w:p>
    <w:p>
      <w:pPr>
        <w:pStyle w:val="Defstart"/>
      </w:pPr>
      <w:r>
        <w:tab/>
      </w:r>
      <w:r>
        <w:rPr>
          <w:rStyle w:val="CharDefText"/>
        </w:rPr>
        <w:t>police officer</w:t>
      </w:r>
      <w:r>
        <w:t xml:space="preserve"> means a police officer acting in the course of duty;</w:t>
      </w:r>
    </w:p>
    <w:p>
      <w:pPr>
        <w:pStyle w:val="Defstart"/>
      </w:pPr>
      <w:r>
        <w:tab/>
      </w:r>
      <w:r>
        <w:rPr>
          <w:rStyle w:val="CharDefText"/>
        </w:rPr>
        <w:t>police</w:t>
      </w:r>
      <w:r>
        <w:rPr>
          <w:rStyle w:val="CharDefText"/>
        </w:rPr>
        <w:noBreakHyphen/>
        <w:t>related officer</w:t>
      </w:r>
      <w:r>
        <w:t xml:space="preserve"> means any of the following acting in the course of duty — </w:t>
      </w:r>
    </w:p>
    <w:p>
      <w:pPr>
        <w:pStyle w:val="Defpara"/>
      </w:pPr>
      <w:r>
        <w:tab/>
        <w:t>(a)</w:t>
      </w:r>
      <w:r>
        <w:tab/>
        <w:t xml:space="preserve">a person appointed under the </w:t>
      </w:r>
      <w:r>
        <w:rPr>
          <w:i/>
        </w:rPr>
        <w:t>Police Act 1892</w:t>
      </w:r>
      <w:r>
        <w:t xml:space="preserve"> Part III to be a special constable;</w:t>
      </w:r>
    </w:p>
    <w:p>
      <w:pPr>
        <w:pStyle w:val="Defpara"/>
      </w:pPr>
      <w:r>
        <w:tab/>
        <w:t>(b)</w:t>
      </w:r>
      <w:r>
        <w:tab/>
        <w:t xml:space="preserve">a person appointed under the </w:t>
      </w:r>
      <w:r>
        <w:rPr>
          <w:i/>
        </w:rPr>
        <w:t>Police Act 1892</w:t>
      </w:r>
      <w:r>
        <w:t xml:space="preserve"> Part IIIA to be an Aboriginal police liaison officer;</w:t>
      </w:r>
    </w:p>
    <w:p>
      <w:pPr>
        <w:pStyle w:val="Defpara"/>
      </w:pPr>
      <w:r>
        <w:tab/>
        <w:t>(c)</w:t>
      </w:r>
      <w:r>
        <w:tab/>
        <w:t xml:space="preserve">a person appointed under the </w:t>
      </w:r>
      <w:r>
        <w:rPr>
          <w:i/>
        </w:rPr>
        <w:t>Police Act 1892</w:t>
      </w:r>
      <w:r>
        <w:t xml:space="preserve"> Part IIIB to be a police auxiliary officer;</w:t>
      </w:r>
    </w:p>
    <w:p>
      <w:pPr>
        <w:pStyle w:val="Defpara"/>
      </w:pPr>
      <w:r>
        <w:tab/>
        <w:t>(d)</w:t>
      </w:r>
      <w:r>
        <w:tab/>
        <w:t xml:space="preserve">a police cadet within the meaning of the </w:t>
      </w:r>
      <w:r>
        <w:rPr>
          <w:i/>
        </w:rPr>
        <w:t>Police Act 1892</w:t>
      </w:r>
      <w:r>
        <w:t>;</w:t>
      </w:r>
    </w:p>
    <w:p>
      <w:pPr>
        <w:pStyle w:val="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Defstart"/>
      </w:pPr>
      <w:r>
        <w:tab/>
      </w:r>
      <w:r>
        <w:rPr>
          <w:rStyle w:val="CharDefText"/>
        </w:rPr>
        <w:t>prescribed</w:t>
      </w:r>
      <w:r>
        <w:t xml:space="preserve"> means prescribed in regulations under this Act;</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public officer</w:t>
      </w:r>
      <w:r>
        <w:t xml:space="preserve"> means any of the following — </w:t>
      </w:r>
    </w:p>
    <w:p>
      <w:pPr>
        <w:pStyle w:val="Defpara"/>
      </w:pPr>
      <w:r>
        <w:tab/>
        <w:t>(a)</w:t>
      </w:r>
      <w:r>
        <w:tab/>
        <w:t>a police officer;</w:t>
      </w:r>
    </w:p>
    <w:p>
      <w:pPr>
        <w:pStyle w:val="Defpara"/>
      </w:pPr>
      <w:r>
        <w:tab/>
        <w:t>(b)</w:t>
      </w:r>
      <w:r>
        <w:tab/>
        <w:t>a police</w:t>
      </w:r>
      <w:r>
        <w:noBreakHyphen/>
        <w:t>related officer;</w:t>
      </w:r>
    </w:p>
    <w:p>
      <w:pPr>
        <w:pStyle w:val="Defpara"/>
      </w:pPr>
      <w:r>
        <w:tab/>
        <w:t>(c)</w:t>
      </w:r>
      <w:r>
        <w:tab/>
        <w:t>a police service employee;</w:t>
      </w:r>
    </w:p>
    <w:p>
      <w:pPr>
        <w:pStyle w:val="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Defpara"/>
      </w:pPr>
      <w:r>
        <w:tab/>
        <w:t>(a)</w:t>
      </w:r>
      <w:r>
        <w:tab/>
        <w:t>an assault by the suspected transferor against the public officer; or</w:t>
      </w:r>
    </w:p>
    <w:p>
      <w:pPr>
        <w:pStyle w:val="Defpara"/>
      </w:pPr>
      <w:r>
        <w:tab/>
        <w:t>(b)</w:t>
      </w:r>
      <w:r>
        <w:tab/>
        <w:t>the lawful apprehension or detention of the suspected transferor by the public officer; or</w:t>
      </w:r>
    </w:p>
    <w:p>
      <w:pPr>
        <w:pStyle w:val="Defpara"/>
      </w:pPr>
      <w:r>
        <w:tab/>
        <w:t>(c)</w:t>
      </w:r>
      <w:r>
        <w:tab/>
        <w:t>any other prescribed circumstance involving the suspected transferor and the public officer;</w:t>
      </w:r>
    </w:p>
    <w:p>
      <w:pPr>
        <w:pStyle w:val="Defstart"/>
        <w:keepNext/>
      </w:pPr>
      <w:r>
        <w:tab/>
      </w:r>
      <w:r>
        <w:rPr>
          <w:rStyle w:val="CharDefText"/>
        </w:rPr>
        <w:t>responsible person</w:t>
      </w:r>
      <w:r>
        <w:t xml:space="preserve"> — </w:t>
      </w:r>
    </w:p>
    <w:p>
      <w:pPr>
        <w:pStyle w:val="Defpara"/>
      </w:pPr>
      <w:r>
        <w:tab/>
        <w:t>(a)</w:t>
      </w:r>
      <w:r>
        <w:tab/>
        <w:t xml:space="preserve">in relation to a suspected transferor who is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adult person who has responsibility for the day</w:t>
      </w:r>
      <w:r>
        <w:noBreakHyphen/>
        <w:t>to</w:t>
      </w:r>
      <w:r>
        <w:noBreakHyphen/>
        <w:t>day care of the child;</w:t>
      </w:r>
    </w:p>
    <w:p>
      <w:pPr>
        <w:pStyle w:val="Defsubpara"/>
      </w:pPr>
      <w:r>
        <w:tab/>
        <w:t>(iv)</w:t>
      </w:r>
      <w:r>
        <w:tab/>
        <w:t>if no person mentioned in another subparagraph of this paragraph is available, a prescribed person, or a person in a prescribed class of persons;</w:t>
      </w:r>
    </w:p>
    <w:p>
      <w:pPr>
        <w:pStyle w:val="Defpara"/>
      </w:pPr>
      <w:r>
        <w:tab/>
        <w:t>(b)</w:t>
      </w:r>
      <w:r>
        <w:tab/>
        <w:t xml:space="preserve">in relation to a suspected transferor who is an incapable person other than a deceased person, means any of the following persons — </w:t>
      </w:r>
    </w:p>
    <w:p>
      <w:pPr>
        <w:pStyle w:val="Defsubpara"/>
      </w:pPr>
      <w:r>
        <w:tab/>
        <w:t>(i)</w:t>
      </w:r>
      <w:r>
        <w:tab/>
        <w:t>an adult relative of the incapable person;</w:t>
      </w:r>
    </w:p>
    <w:p>
      <w:pPr>
        <w:pStyle w:val="Defsubpara"/>
      </w:pPr>
      <w:r>
        <w:tab/>
        <w:t>(ii)</w:t>
      </w:r>
      <w:r>
        <w:tab/>
        <w:t xml:space="preserve">a person who is a guardian of the incapable person under the </w:t>
      </w:r>
      <w:r>
        <w:rPr>
          <w:i/>
        </w:rPr>
        <w:t>Guardianship and Administration Act 1990</w:t>
      </w:r>
      <w: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Defsubpara"/>
      </w:pPr>
      <w:r>
        <w:tab/>
        <w:t>(iv)</w:t>
      </w:r>
      <w:r>
        <w:tab/>
        <w:t xml:space="preserve">a person recognised as the incapable person’s advocate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prescribed person, or a person in a prescribed class of persons;</w:t>
      </w:r>
    </w:p>
    <w:p>
      <w:pPr>
        <w:pStyle w:val="Defpara"/>
      </w:pPr>
      <w:r>
        <w:tab/>
        <w:t>(c)</w:t>
      </w:r>
      <w:r>
        <w:tab/>
        <w:t>in relation to a suspected transferor who is a deceased person, the person who has lawful custody of the suspected transferor’s body;</w:t>
      </w:r>
    </w:p>
    <w:p>
      <w:pPr>
        <w:pStyle w:val="Defstart"/>
      </w:pPr>
      <w:r>
        <w:tab/>
      </w:r>
      <w:r>
        <w:rPr>
          <w:rStyle w:val="CharDefText"/>
        </w:rPr>
        <w:t>suspected transferor</w:t>
      </w:r>
      <w:r>
        <w:t>, where there are reasonable grounds for disease testing, means the person from whom it is suspected the bodily fluid was transferred;</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Heading5"/>
      </w:pPr>
      <w:bookmarkStart w:id="21" w:name="_Toc387835878"/>
      <w:bookmarkStart w:id="22" w:name="_Toc407633733"/>
      <w:bookmarkStart w:id="23" w:name="_Toc407692659"/>
      <w:bookmarkStart w:id="24" w:name="_Toc512323965"/>
      <w:r>
        <w:rPr>
          <w:rStyle w:val="CharSectno"/>
        </w:rPr>
        <w:t>5</w:t>
      </w:r>
      <w:r>
        <w:t>.</w:t>
      </w:r>
      <w:r>
        <w:tab/>
      </w:r>
      <w:r>
        <w:rPr>
          <w:i/>
        </w:rPr>
        <w:t>Freedom of Information Act 1992</w:t>
      </w:r>
      <w:r>
        <w:t xml:space="preserve"> does not apply to this Act</w:t>
      </w:r>
      <w:bookmarkEnd w:id="21"/>
      <w:bookmarkEnd w:id="22"/>
      <w:bookmarkEnd w:id="23"/>
      <w:bookmarkEnd w:id="24"/>
    </w:p>
    <w:p>
      <w:pPr>
        <w:pStyle w:val="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Indenta"/>
      </w:pPr>
      <w:r>
        <w:tab/>
        <w:t>(a)</w:t>
      </w:r>
      <w:r>
        <w:tab/>
        <w:t>a suspected transferor; or</w:t>
      </w:r>
    </w:p>
    <w:p>
      <w:pPr>
        <w:pStyle w:val="Indenta"/>
      </w:pPr>
      <w:r>
        <w:tab/>
        <w:t>(b)</w:t>
      </w:r>
      <w:r>
        <w:tab/>
        <w:t>an affected public officer.</w:t>
      </w:r>
    </w:p>
    <w:p>
      <w:pPr>
        <w:pStyle w:val="Heading2"/>
      </w:pPr>
      <w:bookmarkStart w:id="25" w:name="_Toc387747861"/>
      <w:bookmarkStart w:id="26" w:name="_Toc387747908"/>
      <w:bookmarkStart w:id="27" w:name="_Toc387754508"/>
      <w:bookmarkStart w:id="28" w:name="_Toc387754555"/>
      <w:bookmarkStart w:id="29" w:name="_Toc387757786"/>
      <w:bookmarkStart w:id="30" w:name="_Toc387759820"/>
      <w:bookmarkStart w:id="31" w:name="_Toc387759868"/>
      <w:bookmarkStart w:id="32" w:name="_Toc387759915"/>
      <w:bookmarkStart w:id="33" w:name="_Toc387821090"/>
      <w:bookmarkStart w:id="34" w:name="_Toc387821137"/>
      <w:bookmarkStart w:id="35" w:name="_Toc387822957"/>
      <w:bookmarkStart w:id="36" w:name="_Toc387835879"/>
      <w:bookmarkStart w:id="37" w:name="_Toc407633734"/>
      <w:bookmarkStart w:id="38" w:name="_Toc407634301"/>
      <w:bookmarkStart w:id="39" w:name="_Toc407692660"/>
      <w:bookmarkStart w:id="40" w:name="_Toc421106768"/>
      <w:bookmarkStart w:id="41" w:name="_Toc421106817"/>
      <w:bookmarkStart w:id="42" w:name="_Toc512323966"/>
      <w:r>
        <w:rPr>
          <w:rStyle w:val="CharPartNo"/>
        </w:rPr>
        <w:t>Part 2</w:t>
      </w:r>
      <w:r>
        <w:t> — </w:t>
      </w:r>
      <w:r>
        <w:rPr>
          <w:rStyle w:val="CharPartText"/>
        </w:rPr>
        <w:t>Disease test approvals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387747862"/>
      <w:bookmarkStart w:id="44" w:name="_Toc387747909"/>
      <w:bookmarkStart w:id="45" w:name="_Toc387754509"/>
      <w:bookmarkStart w:id="46" w:name="_Toc387754556"/>
      <w:bookmarkStart w:id="47" w:name="_Toc387757787"/>
      <w:bookmarkStart w:id="48" w:name="_Toc387759821"/>
      <w:bookmarkStart w:id="49" w:name="_Toc387759869"/>
      <w:bookmarkStart w:id="50" w:name="_Toc387759916"/>
      <w:bookmarkStart w:id="51" w:name="_Toc387821091"/>
      <w:bookmarkStart w:id="52" w:name="_Toc387821138"/>
      <w:bookmarkStart w:id="53" w:name="_Toc387822958"/>
      <w:bookmarkStart w:id="54" w:name="_Toc387835880"/>
      <w:bookmarkStart w:id="55" w:name="_Toc407633735"/>
      <w:bookmarkStart w:id="56" w:name="_Toc407634302"/>
      <w:bookmarkStart w:id="57" w:name="_Toc407692661"/>
      <w:bookmarkStart w:id="58" w:name="_Toc421106769"/>
      <w:bookmarkStart w:id="59" w:name="_Toc421106818"/>
      <w:bookmarkStart w:id="60" w:name="_Toc512323967"/>
      <w:r>
        <w:rPr>
          <w:rStyle w:val="CharDivNo"/>
        </w:rPr>
        <w:t>Division 1</w:t>
      </w:r>
      <w:r>
        <w:t> — </w:t>
      </w:r>
      <w:r>
        <w:rPr>
          <w:rStyle w:val="CharDivText"/>
        </w:rPr>
        <w:t>Preliminary</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387835881"/>
      <w:bookmarkStart w:id="62" w:name="_Toc407633736"/>
      <w:bookmarkStart w:id="63" w:name="_Toc407692662"/>
      <w:bookmarkStart w:id="64" w:name="_Toc512323968"/>
      <w:r>
        <w:rPr>
          <w:rStyle w:val="CharSectno"/>
        </w:rPr>
        <w:t>6</w:t>
      </w:r>
      <w:r>
        <w:t>.</w:t>
      </w:r>
      <w:r>
        <w:tab/>
        <w:t>Purpose of Part</w:t>
      </w:r>
      <w:bookmarkEnd w:id="61"/>
      <w:bookmarkEnd w:id="62"/>
      <w:bookmarkEnd w:id="63"/>
      <w:bookmarkEnd w:id="64"/>
    </w:p>
    <w:p>
      <w:pPr>
        <w:pStyle w:val="Subsection"/>
      </w:pPr>
      <w:r>
        <w:tab/>
      </w:r>
      <w:r>
        <w:tab/>
        <w:t>The purpose of this Part is to provide for the mandatory testing of a suspected transferor who is not a protected person.</w:t>
      </w:r>
    </w:p>
    <w:p>
      <w:pPr>
        <w:pStyle w:val="Heading5"/>
      </w:pPr>
      <w:bookmarkStart w:id="65" w:name="_Toc387835882"/>
      <w:bookmarkStart w:id="66" w:name="_Toc407633737"/>
      <w:bookmarkStart w:id="67" w:name="_Toc407692663"/>
      <w:bookmarkStart w:id="68" w:name="_Toc512323969"/>
      <w:r>
        <w:rPr>
          <w:rStyle w:val="CharSectno"/>
        </w:rPr>
        <w:t>7</w:t>
      </w:r>
      <w:r>
        <w:t>.</w:t>
      </w:r>
      <w:r>
        <w:tab/>
        <w:t>Terms used</w:t>
      </w:r>
      <w:bookmarkEnd w:id="65"/>
      <w:bookmarkEnd w:id="66"/>
      <w:bookmarkEnd w:id="67"/>
      <w:bookmarkEnd w:id="68"/>
    </w:p>
    <w:p>
      <w:pPr>
        <w:pStyle w:val="Subsection"/>
      </w:pPr>
      <w:r>
        <w:tab/>
        <w:t>(1)</w:t>
      </w:r>
      <w:r>
        <w:tab/>
        <w:t xml:space="preserve">In this Part — </w:t>
      </w:r>
    </w:p>
    <w:p>
      <w:pPr>
        <w:pStyle w:val="Defstart"/>
      </w:pPr>
      <w:r>
        <w:tab/>
      </w:r>
      <w:r>
        <w:rPr>
          <w:rStyle w:val="CharDefText"/>
        </w:rPr>
        <w:t>application</w:t>
      </w:r>
      <w:r>
        <w:t xml:space="preserve"> means an application under section 8;</w:t>
      </w:r>
    </w:p>
    <w:p>
      <w:pPr>
        <w:pStyle w:val="Defstart"/>
      </w:pPr>
      <w:r>
        <w:tab/>
      </w:r>
      <w:r>
        <w:rPr>
          <w:rStyle w:val="CharDefText"/>
        </w:rPr>
        <w:t>approved form</w:t>
      </w:r>
      <w:r>
        <w:t xml:space="preserve"> means a written form approved by the Commissioner;</w:t>
      </w:r>
    </w:p>
    <w:p>
      <w:pPr>
        <w:pStyle w:val="Defstart"/>
      </w:pPr>
      <w:r>
        <w:tab/>
      </w:r>
      <w:r>
        <w:rPr>
          <w:rStyle w:val="CharDefText"/>
        </w:rPr>
        <w:t>disease test approval</w:t>
      </w:r>
      <w:r>
        <w:t xml:space="preserve"> means an approval under this Part for the taking and testing of a blood sample from a suspected transferor;</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senior police officer</w:t>
      </w:r>
      <w:r>
        <w:t>, in relation to an application, means a police officer who is an inspector or an officer of a rank more senior than an inspector.</w:t>
      </w:r>
    </w:p>
    <w:p>
      <w:pPr>
        <w:pStyle w:val="Subsection"/>
      </w:pPr>
      <w:r>
        <w:tab/>
        <w:t>(2)</w:t>
      </w:r>
      <w:r>
        <w:tab/>
        <w:t>A reference in this Part to making an application includes a reference to giving information in support of the application.</w:t>
      </w:r>
    </w:p>
    <w:p>
      <w:pPr>
        <w:pStyle w:val="Heading3"/>
      </w:pPr>
      <w:bookmarkStart w:id="69" w:name="_Toc387747865"/>
      <w:bookmarkStart w:id="70" w:name="_Toc387747912"/>
      <w:bookmarkStart w:id="71" w:name="_Toc387754512"/>
      <w:bookmarkStart w:id="72" w:name="_Toc387754559"/>
      <w:bookmarkStart w:id="73" w:name="_Toc387757790"/>
      <w:bookmarkStart w:id="74" w:name="_Toc387759824"/>
      <w:bookmarkStart w:id="75" w:name="_Toc387759872"/>
      <w:bookmarkStart w:id="76" w:name="_Toc387759919"/>
      <w:bookmarkStart w:id="77" w:name="_Toc387821094"/>
      <w:bookmarkStart w:id="78" w:name="_Toc387821141"/>
      <w:bookmarkStart w:id="79" w:name="_Toc387822961"/>
      <w:bookmarkStart w:id="80" w:name="_Toc387835883"/>
      <w:bookmarkStart w:id="81" w:name="_Toc407633738"/>
      <w:bookmarkStart w:id="82" w:name="_Toc407634305"/>
      <w:bookmarkStart w:id="83" w:name="_Toc407692664"/>
      <w:bookmarkStart w:id="84" w:name="_Toc421106772"/>
      <w:bookmarkStart w:id="85" w:name="_Toc421106821"/>
      <w:bookmarkStart w:id="86" w:name="_Toc512323970"/>
      <w:r>
        <w:rPr>
          <w:rStyle w:val="CharDivNo"/>
        </w:rPr>
        <w:t>Division 2</w:t>
      </w:r>
      <w:r>
        <w:t> — </w:t>
      </w:r>
      <w:r>
        <w:rPr>
          <w:rStyle w:val="CharDivText"/>
        </w:rPr>
        <w:t>Applications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387835884"/>
      <w:bookmarkStart w:id="88" w:name="_Toc407633739"/>
      <w:bookmarkStart w:id="89" w:name="_Toc407692665"/>
      <w:bookmarkStart w:id="90" w:name="_Toc512323971"/>
      <w:r>
        <w:rPr>
          <w:rStyle w:val="CharSectno"/>
        </w:rPr>
        <w:t>8</w:t>
      </w:r>
      <w:r>
        <w:t>.</w:t>
      </w:r>
      <w:r>
        <w:tab/>
        <w:t>Application for a disease test approval</w:t>
      </w:r>
      <w:bookmarkEnd w:id="87"/>
      <w:bookmarkEnd w:id="88"/>
      <w:bookmarkEnd w:id="89"/>
      <w:bookmarkEnd w:id="90"/>
    </w:p>
    <w:p>
      <w:pPr>
        <w:pStyle w:val="Subsection"/>
      </w:pPr>
      <w:r>
        <w:tab/>
        <w:t>(1)</w:t>
      </w:r>
      <w:r>
        <w:tab/>
        <w:t xml:space="preserve">A public officer may apply to a senior police officer for a disease test approval if — </w:t>
      </w:r>
    </w:p>
    <w:p>
      <w:pPr>
        <w:pStyle w:val="Indenta"/>
      </w:pPr>
      <w:r>
        <w:tab/>
        <w:t>(a)</w:t>
      </w:r>
      <w:r>
        <w:tab/>
        <w:t>there are reasonable grounds for disease testing; and</w:t>
      </w:r>
    </w:p>
    <w:p>
      <w:pPr>
        <w:pStyle w:val="Indenta"/>
      </w:pPr>
      <w:r>
        <w:tab/>
        <w:t>(b)</w:t>
      </w:r>
      <w:r>
        <w:tab/>
        <w:t>the suspected transferor is not a protected person; and</w:t>
      </w:r>
    </w:p>
    <w:p>
      <w:pPr>
        <w:pStyle w:val="Indenta"/>
      </w:pPr>
      <w:r>
        <w:tab/>
        <w:t>(c)</w:t>
      </w:r>
      <w:r>
        <w:tab/>
        <w:t>the senior police officer is not involved in the investigation of any suspected offence to which the proposed disease test approval relates.</w:t>
      </w:r>
    </w:p>
    <w:p>
      <w:pPr>
        <w:pStyle w:val="Subsection"/>
      </w:pPr>
      <w:r>
        <w:tab/>
        <w:t>(2)</w:t>
      </w:r>
      <w:r>
        <w:tab/>
        <w:t>The application may be made by remote communication.</w:t>
      </w:r>
    </w:p>
    <w:p>
      <w:pPr>
        <w:pStyle w:val="Subsection"/>
      </w:pPr>
      <w:r>
        <w:tab/>
        <w:t>(3)</w:t>
      </w:r>
      <w:r>
        <w:tab/>
        <w:t xml:space="preserve">The application must — </w:t>
      </w:r>
    </w:p>
    <w:p>
      <w:pPr>
        <w:pStyle w:val="Indenta"/>
      </w:pPr>
      <w:r>
        <w:tab/>
        <w:t>(a)</w:t>
      </w:r>
      <w:r>
        <w:tab/>
        <w:t>if practicable be in writing; and</w:t>
      </w:r>
    </w:p>
    <w:p>
      <w:pPr>
        <w:pStyle w:val="Indenta"/>
      </w:pPr>
      <w:r>
        <w:tab/>
        <w:t>(b)</w:t>
      </w:r>
      <w:r>
        <w:tab/>
        <w:t>state the full name and official details of the applicant; and</w:t>
      </w:r>
    </w:p>
    <w:p>
      <w:pPr>
        <w:pStyle w:val="Indenta"/>
      </w:pPr>
      <w:r>
        <w:tab/>
        <w:t>(c)</w:t>
      </w:r>
      <w:r>
        <w:tab/>
        <w:t>state the full name and official details of the affected public officer; and</w:t>
      </w:r>
    </w:p>
    <w:p>
      <w:pPr>
        <w:pStyle w:val="Indenta"/>
      </w:pPr>
      <w:r>
        <w:tab/>
        <w:t>(d)</w:t>
      </w:r>
      <w:r>
        <w:tab/>
        <w:t>state the full name and address of the suspected transferor; and</w:t>
      </w:r>
    </w:p>
    <w:p>
      <w:pPr>
        <w:pStyle w:val="Indenta"/>
      </w:pPr>
      <w:r>
        <w:tab/>
        <w:t>(e)</w:t>
      </w:r>
      <w:r>
        <w:tab/>
        <w:t>state the grounds for suspecting that there has been a transfer of bodily fluid from the suspected transferor to the affected public officer; and</w:t>
      </w:r>
    </w:p>
    <w:p>
      <w:pPr>
        <w:pStyle w:val="Indenta"/>
      </w:pPr>
      <w:r>
        <w:tab/>
        <w:t>(f)</w:t>
      </w:r>
      <w:r>
        <w:tab/>
        <w:t>include any other information that is prescribed for the purposes of this subsection.</w:t>
      </w:r>
    </w:p>
    <w:p>
      <w:pPr>
        <w:pStyle w:val="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Subsection"/>
      </w:pPr>
      <w:r>
        <w:tab/>
        <w:t>(5)</w:t>
      </w:r>
      <w:r>
        <w:tab/>
        <w:t xml:space="preserve">If the suspected transferor is being detained under section 9, the application must be made — </w:t>
      </w:r>
    </w:p>
    <w:p>
      <w:pPr>
        <w:pStyle w:val="Indenta"/>
      </w:pPr>
      <w:r>
        <w:tab/>
        <w:t>(a)</w:t>
      </w:r>
      <w:r>
        <w:tab/>
        <w:t>as soon as practicable; and</w:t>
      </w:r>
    </w:p>
    <w:p>
      <w:pPr>
        <w:pStyle w:val="Indenta"/>
      </w:pPr>
      <w:r>
        <w:tab/>
        <w:t>(b)</w:t>
      </w:r>
      <w:r>
        <w:tab/>
        <w:t>in a manner that ensures the determination of the application as soon as practicable,</w:t>
      </w:r>
    </w:p>
    <w:p>
      <w:pPr>
        <w:pStyle w:val="Subsection"/>
      </w:pPr>
      <w:r>
        <w:tab/>
      </w:r>
      <w:r>
        <w:tab/>
        <w:t>after the apprehension of the suspected transferor.</w:t>
      </w:r>
    </w:p>
    <w:p>
      <w:pPr>
        <w:pStyle w:val="Heading5"/>
        <w:keepLines w:val="0"/>
        <w:widowControl w:val="0"/>
      </w:pPr>
      <w:bookmarkStart w:id="91" w:name="_Toc387835885"/>
      <w:bookmarkStart w:id="92" w:name="_Toc407633740"/>
      <w:bookmarkStart w:id="93" w:name="_Toc407692666"/>
      <w:bookmarkStart w:id="94" w:name="_Toc512323972"/>
      <w:r>
        <w:rPr>
          <w:rStyle w:val="CharSectno"/>
        </w:rPr>
        <w:t>9</w:t>
      </w:r>
      <w:r>
        <w:t>.</w:t>
      </w:r>
      <w:r>
        <w:tab/>
        <w:t>Detention of suspected transferor pending application</w:t>
      </w:r>
      <w:bookmarkEnd w:id="91"/>
      <w:bookmarkEnd w:id="92"/>
      <w:bookmarkEnd w:id="93"/>
      <w:bookmarkEnd w:id="94"/>
    </w:p>
    <w:p>
      <w:pPr>
        <w:pStyle w:val="Subsection"/>
        <w:keepNext/>
      </w:pPr>
      <w:r>
        <w:tab/>
      </w:r>
      <w:r>
        <w:tab/>
        <w:t>A police officer may apprehend and detain the suspected transferor for as long as is reasonably necessary to enable the determination of the application.</w:t>
      </w:r>
    </w:p>
    <w:p>
      <w:pPr>
        <w:pStyle w:val="Heading3"/>
        <w:keepNext w:val="0"/>
        <w:pageBreakBefore/>
        <w:widowControl w:val="0"/>
      </w:pPr>
      <w:bookmarkStart w:id="95" w:name="_Toc387747868"/>
      <w:bookmarkStart w:id="96" w:name="_Toc387747915"/>
      <w:bookmarkStart w:id="97" w:name="_Toc387754515"/>
      <w:bookmarkStart w:id="98" w:name="_Toc387754562"/>
      <w:bookmarkStart w:id="99" w:name="_Toc387757793"/>
      <w:bookmarkStart w:id="100" w:name="_Toc387759827"/>
      <w:bookmarkStart w:id="101" w:name="_Toc387759875"/>
      <w:bookmarkStart w:id="102" w:name="_Toc387759922"/>
      <w:bookmarkStart w:id="103" w:name="_Toc387821097"/>
      <w:bookmarkStart w:id="104" w:name="_Toc387821144"/>
      <w:bookmarkStart w:id="105" w:name="_Toc387822964"/>
      <w:bookmarkStart w:id="106" w:name="_Toc387835886"/>
      <w:bookmarkStart w:id="107" w:name="_Toc407633741"/>
      <w:bookmarkStart w:id="108" w:name="_Toc407634308"/>
      <w:bookmarkStart w:id="109" w:name="_Toc407692667"/>
      <w:bookmarkStart w:id="110" w:name="_Toc421106775"/>
      <w:bookmarkStart w:id="111" w:name="_Toc421106824"/>
      <w:bookmarkStart w:id="112" w:name="_Toc512323973"/>
      <w:r>
        <w:rPr>
          <w:rStyle w:val="CharDivNo"/>
        </w:rPr>
        <w:t>Division 3</w:t>
      </w:r>
      <w:r>
        <w:t> — </w:t>
      </w:r>
      <w:r>
        <w:rPr>
          <w:rStyle w:val="CharDivText"/>
        </w:rPr>
        <w:t>Disease test approval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387835887"/>
      <w:bookmarkStart w:id="114" w:name="_Toc407633742"/>
      <w:bookmarkStart w:id="115" w:name="_Toc407692668"/>
      <w:bookmarkStart w:id="116" w:name="_Toc512323974"/>
      <w:r>
        <w:rPr>
          <w:rStyle w:val="CharSectno"/>
        </w:rPr>
        <w:t>10</w:t>
      </w:r>
      <w:r>
        <w:t>.</w:t>
      </w:r>
      <w:r>
        <w:tab/>
        <w:t>Giving of disease test approval</w:t>
      </w:r>
      <w:bookmarkEnd w:id="113"/>
      <w:bookmarkEnd w:id="114"/>
      <w:bookmarkEnd w:id="115"/>
      <w:bookmarkEnd w:id="116"/>
    </w:p>
    <w:p>
      <w:pPr>
        <w:pStyle w:val="Subsection"/>
      </w:pPr>
      <w:r>
        <w:tab/>
        <w:t>(1)</w:t>
      </w:r>
      <w:r>
        <w:tab/>
        <w:t>On an application, a senior police officer may give a disease test approval if satisfied —</w:t>
      </w:r>
    </w:p>
    <w:p>
      <w:pPr>
        <w:pStyle w:val="Indenta"/>
      </w:pPr>
      <w:r>
        <w:tab/>
        <w:t>(a)</w:t>
      </w:r>
      <w:r>
        <w:tab/>
        <w:t>there are reasonable grounds for disease testing; and</w:t>
      </w:r>
    </w:p>
    <w:p>
      <w:pPr>
        <w:pStyle w:val="Indenta"/>
      </w:pPr>
      <w:r>
        <w:tab/>
        <w:t>(b)</w:t>
      </w:r>
      <w:r>
        <w:tab/>
        <w:t>the suspected transferor is not a protected person.</w:t>
      </w:r>
    </w:p>
    <w:p>
      <w:pPr>
        <w:pStyle w:val="Subsection"/>
      </w:pPr>
      <w:r>
        <w:tab/>
        <w:t>(2)</w:t>
      </w:r>
      <w:r>
        <w:tab/>
        <w:t xml:space="preserve">The disease test approval must be in an approved form and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approval may be given subject to any reasonable conditions that the senior police officer considers appropriate and specifies in the approval.</w:t>
      </w:r>
    </w:p>
    <w:p>
      <w:pPr>
        <w:pStyle w:val="Subsection"/>
      </w:pPr>
      <w:r>
        <w:tab/>
        <w:t>(4)</w:t>
      </w:r>
      <w:r>
        <w:tab/>
        <w:t>The disease test approval may be given by remote communication.</w:t>
      </w:r>
    </w:p>
    <w:p>
      <w:pPr>
        <w:pStyle w:val="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Heading5"/>
      </w:pPr>
      <w:bookmarkStart w:id="117" w:name="_Toc387835888"/>
      <w:bookmarkStart w:id="118" w:name="_Toc407633743"/>
      <w:bookmarkStart w:id="119" w:name="_Toc407692669"/>
      <w:bookmarkStart w:id="120" w:name="_Toc512323975"/>
      <w:r>
        <w:rPr>
          <w:rStyle w:val="CharSectno"/>
        </w:rPr>
        <w:t>11</w:t>
      </w:r>
      <w:r>
        <w:t>.</w:t>
      </w:r>
      <w:r>
        <w:tab/>
        <w:t>Copy of disease test approval to be served</w:t>
      </w:r>
      <w:bookmarkEnd w:id="117"/>
      <w:bookmarkEnd w:id="118"/>
      <w:bookmarkEnd w:id="119"/>
      <w:bookmarkEnd w:id="120"/>
    </w:p>
    <w:p>
      <w:pPr>
        <w:pStyle w:val="Subsection"/>
      </w:pPr>
      <w:r>
        <w:tab/>
        <w:t>(1)</w:t>
      </w:r>
      <w:r>
        <w:tab/>
        <w:t>A copy of the disease test approval must be served personally on the suspected transferor.</w:t>
      </w:r>
    </w:p>
    <w:p>
      <w:pPr>
        <w:pStyle w:val="Subsection"/>
      </w:pPr>
      <w:r>
        <w:tab/>
        <w:t>(2)</w:t>
      </w:r>
      <w:r>
        <w:tab/>
        <w:t xml:space="preserve">The copy of the disease test approval must contain an explanation, in an approved form — </w:t>
      </w:r>
    </w:p>
    <w:p>
      <w:pPr>
        <w:pStyle w:val="Indenta"/>
      </w:pPr>
      <w:r>
        <w:tab/>
        <w:t>(a)</w:t>
      </w:r>
      <w:r>
        <w:tab/>
        <w:t>of the purpose and effect of the approval; and</w:t>
      </w:r>
    </w:p>
    <w:p>
      <w:pPr>
        <w:pStyle w:val="Indenta"/>
      </w:pPr>
      <w:r>
        <w:tab/>
        <w:t>(b)</w:t>
      </w:r>
      <w:r>
        <w:tab/>
        <w:t>that force may be used to enforce the approval; and</w:t>
      </w:r>
    </w:p>
    <w:p>
      <w:pPr>
        <w:pStyle w:val="Indenta"/>
      </w:pPr>
      <w:r>
        <w:tab/>
        <w:t>(c)</w:t>
      </w:r>
      <w:r>
        <w:tab/>
        <w:t>that failure to comply with a requirement made under the approval is an offence.</w:t>
      </w:r>
    </w:p>
    <w:p>
      <w:pPr>
        <w:pStyle w:val="Subsection"/>
      </w:pPr>
      <w:r>
        <w:tab/>
        <w:t>(3)</w:t>
      </w:r>
      <w:r>
        <w:tab/>
        <w:t>A disease test approval does not take effect until a copy of it is served in accordance with this section.</w:t>
      </w:r>
    </w:p>
    <w:p>
      <w:pPr>
        <w:pStyle w:val="Heading3"/>
      </w:pPr>
      <w:bookmarkStart w:id="121" w:name="_Toc387747871"/>
      <w:bookmarkStart w:id="122" w:name="_Toc387747918"/>
      <w:bookmarkStart w:id="123" w:name="_Toc387754518"/>
      <w:bookmarkStart w:id="124" w:name="_Toc387754565"/>
      <w:bookmarkStart w:id="125" w:name="_Toc387757796"/>
      <w:bookmarkStart w:id="126" w:name="_Toc387759830"/>
      <w:bookmarkStart w:id="127" w:name="_Toc387759878"/>
      <w:bookmarkStart w:id="128" w:name="_Toc387759925"/>
      <w:bookmarkStart w:id="129" w:name="_Toc387821100"/>
      <w:bookmarkStart w:id="130" w:name="_Toc387821147"/>
      <w:bookmarkStart w:id="131" w:name="_Toc387822967"/>
      <w:bookmarkStart w:id="132" w:name="_Toc387835889"/>
      <w:bookmarkStart w:id="133" w:name="_Toc407633744"/>
      <w:bookmarkStart w:id="134" w:name="_Toc407634311"/>
      <w:bookmarkStart w:id="135" w:name="_Toc407692670"/>
      <w:bookmarkStart w:id="136" w:name="_Toc421106778"/>
      <w:bookmarkStart w:id="137" w:name="_Toc421106827"/>
      <w:bookmarkStart w:id="138" w:name="_Toc512323976"/>
      <w:r>
        <w:rPr>
          <w:rStyle w:val="CharDivNo"/>
        </w:rPr>
        <w:t>Division 4</w:t>
      </w:r>
      <w:r>
        <w:t> — </w:t>
      </w:r>
      <w:r>
        <w:rPr>
          <w:rStyle w:val="CharDivText"/>
        </w:rPr>
        <w:t>Consequences of issuing disease test approvals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387835890"/>
      <w:bookmarkStart w:id="140" w:name="_Toc407633745"/>
      <w:bookmarkStart w:id="141" w:name="_Toc407692671"/>
      <w:bookmarkStart w:id="142" w:name="_Toc512323977"/>
      <w:r>
        <w:rPr>
          <w:rStyle w:val="CharSectno"/>
        </w:rPr>
        <w:t>12</w:t>
      </w:r>
      <w:r>
        <w:t>.</w:t>
      </w:r>
      <w:r>
        <w:tab/>
        <w:t>Effect of disease test approval</w:t>
      </w:r>
      <w:bookmarkEnd w:id="139"/>
      <w:bookmarkEnd w:id="140"/>
      <w:bookmarkEnd w:id="141"/>
      <w:bookmarkEnd w:id="142"/>
    </w:p>
    <w:p>
      <w:pPr>
        <w:pStyle w:val="Subsection"/>
      </w:pPr>
      <w:r>
        <w:tab/>
        <w:t>(1)</w:t>
      </w:r>
      <w:r>
        <w:tab/>
        <w:t>A disease test approval confers the powers referred to in section 10(2)(b), (c) and (d).</w:t>
      </w:r>
    </w:p>
    <w:p>
      <w:pPr>
        <w:pStyle w:val="Subsection"/>
      </w:pPr>
      <w:r>
        <w:tab/>
        <w:t>(2)</w:t>
      </w:r>
      <w:r>
        <w:tab/>
        <w:t xml:space="preserve">A disease test approval relating to a suspected transferor — </w:t>
      </w:r>
    </w:p>
    <w:p>
      <w:pPr>
        <w:pStyle w:val="Indenta"/>
      </w:pPr>
      <w:r>
        <w:tab/>
        <w:t>(a)</w:t>
      </w:r>
      <w:r>
        <w:tab/>
        <w:t>authorises a blood sample to be taken from the suspected transferor in accordance with the approval; and</w:t>
      </w:r>
    </w:p>
    <w:p>
      <w:pPr>
        <w:pStyle w:val="Indenta"/>
      </w:pPr>
      <w:r>
        <w:tab/>
        <w:t>(b)</w:t>
      </w:r>
      <w:r>
        <w:tab/>
        <w:t>authorises a police officer to require the suspected transferor to submit to the taking of the blood sample in accordance with the approval.</w:t>
      </w:r>
    </w:p>
    <w:p>
      <w:pPr>
        <w:pStyle w:val="Subsection"/>
      </w:pPr>
      <w:r>
        <w:tab/>
        <w:t>(3)</w:t>
      </w:r>
      <w:r>
        <w:tab/>
        <w:t>A disease test approval also authorises the blood sample to be tested for an infectious disease.</w:t>
      </w:r>
    </w:p>
    <w:p>
      <w:pPr>
        <w:pStyle w:val="Heading5"/>
      </w:pPr>
      <w:bookmarkStart w:id="143" w:name="_Toc387835891"/>
      <w:bookmarkStart w:id="144" w:name="_Toc407633746"/>
      <w:bookmarkStart w:id="145" w:name="_Toc407692672"/>
      <w:bookmarkStart w:id="146" w:name="_Toc512323978"/>
      <w:r>
        <w:rPr>
          <w:rStyle w:val="CharSectno"/>
        </w:rPr>
        <w:t>13</w:t>
      </w:r>
      <w:r>
        <w:t>.</w:t>
      </w:r>
      <w:r>
        <w:tab/>
        <w:t>Offences of failing to comply with requirement under disease test approval</w:t>
      </w:r>
      <w:bookmarkEnd w:id="143"/>
      <w:bookmarkEnd w:id="144"/>
      <w:bookmarkEnd w:id="145"/>
      <w:bookmarkEnd w:id="146"/>
    </w:p>
    <w:p>
      <w:pPr>
        <w:pStyle w:val="Subsection"/>
      </w:pPr>
      <w:r>
        <w:tab/>
      </w:r>
      <w:r>
        <w:tab/>
        <w:t>A suspected transferor commits an offence if the suspected transferor, without reasonable excuse, fails to comply with a requirement made under section 12(2)(b).</w:t>
      </w:r>
    </w:p>
    <w:p>
      <w:pPr>
        <w:pStyle w:val="Penstart"/>
      </w:pPr>
      <w:r>
        <w:tab/>
        <w:t>Penalty: a fine of $12 000 and imprisonment for 12 months.</w:t>
      </w:r>
    </w:p>
    <w:p>
      <w:pPr>
        <w:pStyle w:val="Heading2"/>
      </w:pPr>
      <w:bookmarkStart w:id="147" w:name="_Toc387747874"/>
      <w:bookmarkStart w:id="148" w:name="_Toc387747921"/>
      <w:bookmarkStart w:id="149" w:name="_Toc387754521"/>
      <w:bookmarkStart w:id="150" w:name="_Toc387754568"/>
      <w:bookmarkStart w:id="151" w:name="_Toc387757799"/>
      <w:bookmarkStart w:id="152" w:name="_Toc387759833"/>
      <w:bookmarkStart w:id="153" w:name="_Toc387759881"/>
      <w:bookmarkStart w:id="154" w:name="_Toc387759928"/>
      <w:bookmarkStart w:id="155" w:name="_Toc387821103"/>
      <w:bookmarkStart w:id="156" w:name="_Toc387821150"/>
      <w:bookmarkStart w:id="157" w:name="_Toc387822970"/>
      <w:bookmarkStart w:id="158" w:name="_Toc387835892"/>
      <w:bookmarkStart w:id="159" w:name="_Toc407633747"/>
      <w:bookmarkStart w:id="160" w:name="_Toc407634314"/>
      <w:bookmarkStart w:id="161" w:name="_Toc407692673"/>
      <w:bookmarkStart w:id="162" w:name="_Toc421106781"/>
      <w:bookmarkStart w:id="163" w:name="_Toc421106830"/>
      <w:bookmarkStart w:id="164" w:name="_Toc512323979"/>
      <w:r>
        <w:rPr>
          <w:rStyle w:val="CharPartNo"/>
        </w:rPr>
        <w:t>Part 3</w:t>
      </w:r>
      <w:r>
        <w:t> — </w:t>
      </w:r>
      <w:r>
        <w:rPr>
          <w:rStyle w:val="CharPartText"/>
        </w:rPr>
        <w:t>Disease test orders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3"/>
      </w:pPr>
      <w:bookmarkStart w:id="165" w:name="_Toc387747875"/>
      <w:bookmarkStart w:id="166" w:name="_Toc387747922"/>
      <w:bookmarkStart w:id="167" w:name="_Toc387754522"/>
      <w:bookmarkStart w:id="168" w:name="_Toc387754569"/>
      <w:bookmarkStart w:id="169" w:name="_Toc387757800"/>
      <w:bookmarkStart w:id="170" w:name="_Toc387759834"/>
      <w:bookmarkStart w:id="171" w:name="_Toc387759882"/>
      <w:bookmarkStart w:id="172" w:name="_Toc387759929"/>
      <w:bookmarkStart w:id="173" w:name="_Toc387821104"/>
      <w:bookmarkStart w:id="174" w:name="_Toc387821151"/>
      <w:bookmarkStart w:id="175" w:name="_Toc387822971"/>
      <w:bookmarkStart w:id="176" w:name="_Toc387835893"/>
      <w:bookmarkStart w:id="177" w:name="_Toc407633748"/>
      <w:bookmarkStart w:id="178" w:name="_Toc407634315"/>
      <w:bookmarkStart w:id="179" w:name="_Toc407692674"/>
      <w:bookmarkStart w:id="180" w:name="_Toc421106782"/>
      <w:bookmarkStart w:id="181" w:name="_Toc421106831"/>
      <w:bookmarkStart w:id="182" w:name="_Toc512323980"/>
      <w:r>
        <w:rPr>
          <w:rStyle w:val="CharDivNo"/>
        </w:rPr>
        <w:t>Division 1</w:t>
      </w:r>
      <w:r>
        <w:t> — </w:t>
      </w:r>
      <w:r>
        <w:rPr>
          <w:rStyle w:val="CharDivText"/>
        </w:rPr>
        <w:t>Preliminary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387835894"/>
      <w:bookmarkStart w:id="184" w:name="_Toc407633749"/>
      <w:bookmarkStart w:id="185" w:name="_Toc407692675"/>
      <w:bookmarkStart w:id="186" w:name="_Toc512323981"/>
      <w:r>
        <w:rPr>
          <w:rStyle w:val="CharSectno"/>
        </w:rPr>
        <w:t>14</w:t>
      </w:r>
      <w:r>
        <w:t>.</w:t>
      </w:r>
      <w:r>
        <w:tab/>
        <w:t>Purpose of Part</w:t>
      </w:r>
      <w:bookmarkEnd w:id="183"/>
      <w:bookmarkEnd w:id="184"/>
      <w:bookmarkEnd w:id="185"/>
      <w:bookmarkEnd w:id="186"/>
    </w:p>
    <w:p>
      <w:pPr>
        <w:pStyle w:val="Subsection"/>
      </w:pPr>
      <w:r>
        <w:tab/>
      </w:r>
      <w:r>
        <w:tab/>
        <w:t>The purpose of this Part is to provide for the mandatory testing of a suspected transferor who is a protected person.</w:t>
      </w:r>
    </w:p>
    <w:p>
      <w:pPr>
        <w:pStyle w:val="Heading5"/>
      </w:pPr>
      <w:bookmarkStart w:id="187" w:name="_Toc387835895"/>
      <w:bookmarkStart w:id="188" w:name="_Toc407633750"/>
      <w:bookmarkStart w:id="189" w:name="_Toc407692676"/>
      <w:bookmarkStart w:id="190" w:name="_Toc512323982"/>
      <w:r>
        <w:rPr>
          <w:rStyle w:val="CharSectno"/>
        </w:rPr>
        <w:t>15</w:t>
      </w:r>
      <w:r>
        <w:t>.</w:t>
      </w:r>
      <w:r>
        <w:tab/>
        <w:t>Terms used</w:t>
      </w:r>
      <w:bookmarkEnd w:id="187"/>
      <w:bookmarkEnd w:id="188"/>
      <w:bookmarkEnd w:id="189"/>
      <w:bookmarkEnd w:id="190"/>
    </w:p>
    <w:p>
      <w:pPr>
        <w:pStyle w:val="Subsection"/>
      </w:pPr>
      <w:r>
        <w:tab/>
      </w:r>
      <w:r>
        <w:tab/>
        <w:t xml:space="preserve">In this Part — </w:t>
      </w:r>
    </w:p>
    <w:p>
      <w:pPr>
        <w:pStyle w:val="Defstart"/>
      </w:pPr>
      <w:r>
        <w:tab/>
      </w:r>
      <w:r>
        <w:rPr>
          <w:rStyle w:val="CharDefText"/>
        </w:rPr>
        <w:t>application</w:t>
      </w:r>
      <w:r>
        <w:t xml:space="preserve"> means an application under section 16;</w:t>
      </w:r>
    </w:p>
    <w:p>
      <w:pPr>
        <w:pStyle w:val="Defstart"/>
      </w:pPr>
      <w:r>
        <w:tab/>
      </w:r>
      <w:r>
        <w:rPr>
          <w:rStyle w:val="CharDefText"/>
        </w:rPr>
        <w:t>court</w:t>
      </w:r>
      <w:r>
        <w:t xml:space="preserve"> means — </w:t>
      </w:r>
    </w:p>
    <w:p>
      <w:pPr>
        <w:pStyle w:val="Defpara"/>
      </w:pPr>
      <w:r>
        <w:tab/>
        <w:t>(a)</w:t>
      </w:r>
      <w:r>
        <w:tab/>
        <w:t>in relation to a suspected transferor who is a child — the Children’s Court;</w:t>
      </w:r>
    </w:p>
    <w:p>
      <w:pPr>
        <w:pStyle w:val="Defpara"/>
      </w:pPr>
      <w:r>
        <w:tab/>
        <w:t>(b)</w:t>
      </w:r>
      <w:r>
        <w:tab/>
        <w:t>in relation to a suspected transferor who is not a child — the Magistrates Court;</w:t>
      </w:r>
    </w:p>
    <w:p>
      <w:pPr>
        <w:pStyle w:val="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third party</w:t>
      </w:r>
      <w:r>
        <w:t>, in relation to an application, has the meaning given in section 17(2).</w:t>
      </w:r>
    </w:p>
    <w:p>
      <w:pPr>
        <w:pStyle w:val="Heading3"/>
      </w:pPr>
      <w:bookmarkStart w:id="191" w:name="_Toc387747878"/>
      <w:bookmarkStart w:id="192" w:name="_Toc387747925"/>
      <w:bookmarkStart w:id="193" w:name="_Toc387754525"/>
      <w:bookmarkStart w:id="194" w:name="_Toc387754572"/>
      <w:bookmarkStart w:id="195" w:name="_Toc387757803"/>
      <w:bookmarkStart w:id="196" w:name="_Toc387759837"/>
      <w:bookmarkStart w:id="197" w:name="_Toc387759885"/>
      <w:bookmarkStart w:id="198" w:name="_Toc387759932"/>
      <w:bookmarkStart w:id="199" w:name="_Toc387821107"/>
      <w:bookmarkStart w:id="200" w:name="_Toc387821154"/>
      <w:bookmarkStart w:id="201" w:name="_Toc387822974"/>
      <w:bookmarkStart w:id="202" w:name="_Toc387835896"/>
      <w:bookmarkStart w:id="203" w:name="_Toc407633751"/>
      <w:bookmarkStart w:id="204" w:name="_Toc407634318"/>
      <w:bookmarkStart w:id="205" w:name="_Toc407692677"/>
      <w:bookmarkStart w:id="206" w:name="_Toc421106785"/>
      <w:bookmarkStart w:id="207" w:name="_Toc421106834"/>
      <w:bookmarkStart w:id="208" w:name="_Toc512323983"/>
      <w:r>
        <w:rPr>
          <w:rStyle w:val="CharDivNo"/>
        </w:rPr>
        <w:t>Division 2</w:t>
      </w:r>
      <w:r>
        <w:t> — </w:t>
      </w:r>
      <w:r>
        <w:rPr>
          <w:rStyle w:val="CharDivText"/>
        </w:rPr>
        <w:t>Applications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387835897"/>
      <w:bookmarkStart w:id="210" w:name="_Toc407633752"/>
      <w:bookmarkStart w:id="211" w:name="_Toc407692678"/>
      <w:bookmarkStart w:id="212" w:name="_Toc512323984"/>
      <w:r>
        <w:rPr>
          <w:rStyle w:val="CharSectno"/>
        </w:rPr>
        <w:t>16</w:t>
      </w:r>
      <w:r>
        <w:t>.</w:t>
      </w:r>
      <w:r>
        <w:tab/>
        <w:t>Application for order for blood testing of suspected transferor</w:t>
      </w:r>
      <w:bookmarkEnd w:id="209"/>
      <w:bookmarkEnd w:id="210"/>
      <w:bookmarkEnd w:id="211"/>
      <w:bookmarkEnd w:id="212"/>
    </w:p>
    <w:p>
      <w:pPr>
        <w:pStyle w:val="Subsection"/>
      </w:pPr>
      <w:r>
        <w:tab/>
      </w:r>
      <w:r>
        <w:tab/>
        <w:t>A public officer may apply to a court for a disease test order if —</w:t>
      </w:r>
    </w:p>
    <w:p>
      <w:pPr>
        <w:pStyle w:val="Indenta"/>
      </w:pPr>
      <w:r>
        <w:tab/>
        <w:t>(a)</w:t>
      </w:r>
      <w:r>
        <w:tab/>
        <w:t>there are reasonable grounds for disease testing; and</w:t>
      </w:r>
    </w:p>
    <w:p>
      <w:pPr>
        <w:pStyle w:val="Indenta"/>
      </w:pPr>
      <w:r>
        <w:tab/>
        <w:t>(b)</w:t>
      </w:r>
      <w:r>
        <w:tab/>
        <w:t>the suspected transferor is a protected person.</w:t>
      </w:r>
    </w:p>
    <w:p>
      <w:pPr>
        <w:pStyle w:val="Heading5"/>
      </w:pPr>
      <w:bookmarkStart w:id="213" w:name="_Toc387835898"/>
      <w:bookmarkStart w:id="214" w:name="_Toc407633753"/>
      <w:bookmarkStart w:id="215" w:name="_Toc407692679"/>
      <w:bookmarkStart w:id="216" w:name="_Toc512323985"/>
      <w:r>
        <w:rPr>
          <w:rStyle w:val="CharSectno"/>
        </w:rPr>
        <w:t>17</w:t>
      </w:r>
      <w:r>
        <w:t>.</w:t>
      </w:r>
      <w:r>
        <w:tab/>
        <w:t>Copy of application to be served</w:t>
      </w:r>
      <w:bookmarkEnd w:id="213"/>
      <w:bookmarkEnd w:id="214"/>
      <w:bookmarkEnd w:id="215"/>
      <w:bookmarkEnd w:id="216"/>
    </w:p>
    <w:p>
      <w:pPr>
        <w:pStyle w:val="Subsection"/>
      </w:pPr>
      <w:r>
        <w:tab/>
        <w:t>(1)</w:t>
      </w:r>
      <w:r>
        <w:tab/>
        <w:t>The applicant must serve a copy of the application personally on a responsible person.</w:t>
      </w:r>
    </w:p>
    <w:p>
      <w:pPr>
        <w:pStyle w:val="Subsection"/>
      </w:pPr>
      <w:r>
        <w:tab/>
        <w:t>(2)</w:t>
      </w:r>
      <w:r>
        <w:tab/>
        <w:t xml:space="preserve">A person served under subsection (1) is a </w:t>
      </w:r>
      <w:r>
        <w:rPr>
          <w:rStyle w:val="CharDefText"/>
        </w:rPr>
        <w:t>third party</w:t>
      </w:r>
      <w:r>
        <w:t xml:space="preserve"> to the application.</w:t>
      </w:r>
    </w:p>
    <w:p>
      <w:pPr>
        <w:pStyle w:val="Heading5"/>
      </w:pPr>
      <w:bookmarkStart w:id="217" w:name="_Toc387835899"/>
      <w:bookmarkStart w:id="218" w:name="_Toc407633754"/>
      <w:bookmarkStart w:id="219" w:name="_Toc407692680"/>
      <w:bookmarkStart w:id="220" w:name="_Toc512323986"/>
      <w:r>
        <w:rPr>
          <w:rStyle w:val="CharSectno"/>
        </w:rPr>
        <w:t>18</w:t>
      </w:r>
      <w:r>
        <w:t>.</w:t>
      </w:r>
      <w:r>
        <w:tab/>
        <w:t>Hearing an application</w:t>
      </w:r>
      <w:bookmarkEnd w:id="217"/>
      <w:bookmarkEnd w:id="218"/>
      <w:bookmarkEnd w:id="219"/>
      <w:bookmarkEnd w:id="220"/>
    </w:p>
    <w:p>
      <w:pPr>
        <w:pStyle w:val="Subsection"/>
      </w:pPr>
      <w:r>
        <w:tab/>
        <w:t>(1)</w:t>
      </w:r>
      <w:r>
        <w:tab/>
        <w:t xml:space="preserve">The court — </w:t>
      </w:r>
    </w:p>
    <w:p>
      <w:pPr>
        <w:pStyle w:val="Indenta"/>
      </w:pPr>
      <w:r>
        <w:tab/>
        <w:t>(a)</w:t>
      </w:r>
      <w:r>
        <w:tab/>
        <w:t>must hear and decide an application with as little delay as possible and in the absence of the public; and</w:t>
      </w:r>
    </w:p>
    <w:p>
      <w:pPr>
        <w:pStyle w:val="Indenta"/>
      </w:pPr>
      <w:r>
        <w:tab/>
        <w:t>(b)</w:t>
      </w:r>
      <w:r>
        <w:tab/>
        <w:t>may, in extraordinary circumstances, adjourn the application for no more than 24 hours to allow further evidence to be put before the court; and</w:t>
      </w:r>
    </w:p>
    <w:p>
      <w:pPr>
        <w:pStyle w:val="Indenta"/>
      </w:pPr>
      <w:r>
        <w:tab/>
        <w:t>(c)</w:t>
      </w:r>
      <w:r>
        <w:tab/>
        <w:t xml:space="preserve">must ensure that all of the following persons are afforded the right to be represented by a lawyer at the hearing — </w:t>
      </w:r>
    </w:p>
    <w:p>
      <w:pPr>
        <w:pStyle w:val="Indenti"/>
      </w:pPr>
      <w:r>
        <w:tab/>
        <w:t>(i)</w:t>
      </w:r>
      <w:r>
        <w:tab/>
        <w:t>the suspected transferor; and</w:t>
      </w:r>
    </w:p>
    <w:p>
      <w:pPr>
        <w:pStyle w:val="Indenti"/>
      </w:pPr>
      <w:r>
        <w:tab/>
        <w:t>(ii)</w:t>
      </w:r>
      <w:r>
        <w:tab/>
        <w:t>a third party.</w:t>
      </w:r>
    </w:p>
    <w:p>
      <w:pPr>
        <w:pStyle w:val="Subsection"/>
      </w:pPr>
      <w:r>
        <w:tab/>
        <w:t>(2)</w:t>
      </w:r>
      <w:r>
        <w:tab/>
        <w:t>An affected public officer cannot be compelled to give evidence at the hearing.</w:t>
      </w:r>
    </w:p>
    <w:p>
      <w:pPr>
        <w:pStyle w:val="Heading3"/>
      </w:pPr>
      <w:bookmarkStart w:id="221" w:name="_Toc387747882"/>
      <w:bookmarkStart w:id="222" w:name="_Toc387747929"/>
      <w:bookmarkStart w:id="223" w:name="_Toc387754529"/>
      <w:bookmarkStart w:id="224" w:name="_Toc387754576"/>
      <w:bookmarkStart w:id="225" w:name="_Toc387757807"/>
      <w:bookmarkStart w:id="226" w:name="_Toc387759841"/>
      <w:bookmarkStart w:id="227" w:name="_Toc387759889"/>
      <w:bookmarkStart w:id="228" w:name="_Toc387759936"/>
      <w:bookmarkStart w:id="229" w:name="_Toc387821111"/>
      <w:bookmarkStart w:id="230" w:name="_Toc387821158"/>
      <w:bookmarkStart w:id="231" w:name="_Toc387822978"/>
      <w:bookmarkStart w:id="232" w:name="_Toc387835900"/>
      <w:bookmarkStart w:id="233" w:name="_Toc407633755"/>
      <w:bookmarkStart w:id="234" w:name="_Toc407634322"/>
      <w:bookmarkStart w:id="235" w:name="_Toc407692681"/>
      <w:bookmarkStart w:id="236" w:name="_Toc421106789"/>
      <w:bookmarkStart w:id="237" w:name="_Toc421106838"/>
      <w:bookmarkStart w:id="238" w:name="_Toc512323987"/>
      <w:r>
        <w:rPr>
          <w:rStyle w:val="CharDivNo"/>
        </w:rPr>
        <w:t>Division 3</w:t>
      </w:r>
      <w:r>
        <w:t> — </w:t>
      </w:r>
      <w:r>
        <w:rPr>
          <w:rStyle w:val="CharDivText"/>
        </w:rPr>
        <w:t>Disease test orders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387835901"/>
      <w:bookmarkStart w:id="240" w:name="_Toc407633756"/>
      <w:bookmarkStart w:id="241" w:name="_Toc407692682"/>
      <w:bookmarkStart w:id="242" w:name="_Toc512323988"/>
      <w:r>
        <w:rPr>
          <w:rStyle w:val="CharSectno"/>
        </w:rPr>
        <w:t>19</w:t>
      </w:r>
      <w:r>
        <w:t>.</w:t>
      </w:r>
      <w:r>
        <w:tab/>
        <w:t>Making of disease test order</w:t>
      </w:r>
      <w:bookmarkEnd w:id="239"/>
      <w:bookmarkEnd w:id="240"/>
      <w:bookmarkEnd w:id="241"/>
      <w:bookmarkEnd w:id="242"/>
    </w:p>
    <w:p>
      <w:pPr>
        <w:pStyle w:val="Subsection"/>
      </w:pPr>
      <w:r>
        <w:tab/>
        <w:t>(1)</w:t>
      </w:r>
      <w:r>
        <w:tab/>
        <w:t xml:space="preserve">The court may make a disease test order in relation to the suspected transferor if the court is satisfied that — </w:t>
      </w:r>
    </w:p>
    <w:p>
      <w:pPr>
        <w:pStyle w:val="Indenta"/>
      </w:pPr>
      <w:r>
        <w:tab/>
        <w:t>(a)</w:t>
      </w:r>
      <w:r>
        <w:tab/>
        <w:t>there are reasonable grounds for disease testing; and</w:t>
      </w:r>
    </w:p>
    <w:p>
      <w:pPr>
        <w:pStyle w:val="Indenta"/>
      </w:pPr>
      <w:r>
        <w:tab/>
        <w:t>(b)</w:t>
      </w:r>
      <w:r>
        <w:tab/>
        <w:t>in the circumstances, a blood sample should be taken from the suspected transferor.</w:t>
      </w:r>
    </w:p>
    <w:p>
      <w:pPr>
        <w:pStyle w:val="Subsection"/>
      </w:pPr>
      <w:r>
        <w:tab/>
        <w:t>(2)</w:t>
      </w:r>
      <w:r>
        <w:tab/>
        <w:t xml:space="preserve">The disease test order must include a statement of all of the following — </w:t>
      </w:r>
    </w:p>
    <w:p>
      <w:pPr>
        <w:pStyle w:val="Indenta"/>
      </w:pPr>
      <w:r>
        <w:tab/>
        <w:t>(a)</w:t>
      </w:r>
      <w:r>
        <w:tab/>
        <w:t>the full name and address of the suspected transferor;</w:t>
      </w:r>
    </w:p>
    <w:p>
      <w:pPr>
        <w:pStyle w:val="Indenta"/>
      </w:pPr>
      <w:r>
        <w:tab/>
        <w:t>(b)</w:t>
      </w:r>
      <w:r>
        <w:tab/>
        <w:t>that a police officer may apprehend the suspected transferor and detain him or her for as long as is reasonably necessary to enable the taking of a sample of the suspected transferor’s blood;</w:t>
      </w:r>
    </w:p>
    <w:p>
      <w:pPr>
        <w:pStyle w:val="Indenta"/>
      </w:pPr>
      <w:r>
        <w:tab/>
        <w:t>(c)</w:t>
      </w:r>
      <w:r>
        <w:tab/>
        <w:t>that, for the purposes of paragraph (b), a police officer may enter any place where the police officer suspects on reasonable grounds the suspected transferor might be located;</w:t>
      </w:r>
    </w:p>
    <w:p>
      <w:pPr>
        <w:pStyle w:val="Indenta"/>
      </w:pPr>
      <w:r>
        <w:tab/>
        <w:t>(d)</w:t>
      </w:r>
      <w:r>
        <w:tab/>
        <w:t>that a police officer may take the suspected transferor to a place the police officer considers has appropriate facilities for taking the blood sample;</w:t>
      </w:r>
    </w:p>
    <w:p>
      <w:pPr>
        <w:pStyle w:val="Indenta"/>
      </w:pPr>
      <w:r>
        <w:tab/>
        <w:t>(e)</w:t>
      </w:r>
      <w:r>
        <w:tab/>
        <w:t>that a doctor, nurse or qualified person may take a blood sample from the suspected transferor.</w:t>
      </w:r>
    </w:p>
    <w:p>
      <w:pPr>
        <w:pStyle w:val="Subsection"/>
      </w:pPr>
      <w:r>
        <w:tab/>
        <w:t>(3)</w:t>
      </w:r>
      <w:r>
        <w:tab/>
        <w:t>The disease test order may be made subject to any reasonable conditions that the court considers appropriate and specifies in the order.</w:t>
      </w:r>
    </w:p>
    <w:p>
      <w:pPr>
        <w:pStyle w:val="Subsection"/>
      </w:pPr>
      <w:r>
        <w:tab/>
        <w:t>(4)</w:t>
      </w:r>
      <w:r>
        <w:tab/>
        <w:t>The court may, by further order, vary or revoke a disease test order.</w:t>
      </w:r>
    </w:p>
    <w:p>
      <w:pPr>
        <w:pStyle w:val="Heading5"/>
      </w:pPr>
      <w:bookmarkStart w:id="243" w:name="_Toc387835902"/>
      <w:bookmarkStart w:id="244" w:name="_Toc407633757"/>
      <w:bookmarkStart w:id="245" w:name="_Toc407692683"/>
      <w:bookmarkStart w:id="246" w:name="_Toc512323989"/>
      <w:r>
        <w:rPr>
          <w:rStyle w:val="CharSectno"/>
        </w:rPr>
        <w:t>20</w:t>
      </w:r>
      <w:r>
        <w:t>.</w:t>
      </w:r>
      <w:r>
        <w:tab/>
        <w:t>Explanation of disease test order</w:t>
      </w:r>
      <w:bookmarkEnd w:id="243"/>
      <w:bookmarkEnd w:id="244"/>
      <w:bookmarkEnd w:id="245"/>
      <w:bookmarkEnd w:id="246"/>
    </w:p>
    <w:p>
      <w:pPr>
        <w:pStyle w:val="Subsection"/>
      </w:pPr>
      <w:r>
        <w:tab/>
        <w:t>(1)</w:t>
      </w:r>
      <w:r>
        <w:tab/>
        <w:t xml:space="preserve">A court making a disease test order must ensure that the suspected transferor and third party are informed — </w:t>
      </w:r>
    </w:p>
    <w:p>
      <w:pPr>
        <w:pStyle w:val="Indenta"/>
      </w:pPr>
      <w:r>
        <w:tab/>
        <w:t>(a)</w:t>
      </w:r>
      <w:r>
        <w:tab/>
        <w:t>of the suspected transferor’s right under section 24 to appeal to the District Court against the disease test order; and</w:t>
      </w:r>
    </w:p>
    <w:p>
      <w:pPr>
        <w:pStyle w:val="Indenta"/>
      </w:pPr>
      <w:r>
        <w:tab/>
        <w:t>(b)</w:t>
      </w:r>
      <w:r>
        <w:tab/>
        <w:t>that the suspected transferor has a right to obtain legal advice and to communicate with a lawyer; and</w:t>
      </w:r>
    </w:p>
    <w:p>
      <w:pPr>
        <w:pStyle w:val="Indenta"/>
      </w:pPr>
      <w:r>
        <w:tab/>
        <w:t>(c)</w:t>
      </w:r>
      <w:r>
        <w:tab/>
        <w:t>about the purpose and effect of the order; and</w:t>
      </w:r>
    </w:p>
    <w:p>
      <w:pPr>
        <w:pStyle w:val="Indenta"/>
      </w:pPr>
      <w:r>
        <w:tab/>
        <w:t>(d)</w:t>
      </w:r>
      <w:r>
        <w:tab/>
        <w:t>that force may be used to enforce the order; and</w:t>
      </w:r>
    </w:p>
    <w:p>
      <w:pPr>
        <w:pStyle w:val="Indenta"/>
      </w:pPr>
      <w:r>
        <w:tab/>
        <w:t>(e)</w:t>
      </w:r>
      <w:r>
        <w:tab/>
        <w:t>that failure to comply with the order is an offence.</w:t>
      </w:r>
    </w:p>
    <w:p>
      <w:pPr>
        <w:pStyle w:val="Subsection"/>
      </w:pPr>
      <w:r>
        <w:tab/>
        <w:t>(2)</w:t>
      </w:r>
      <w:r>
        <w:tab/>
        <w:t>The court must take all reasonable steps to ensure that the explanation provided to the suspected transferor is expressed in a language and manner that the suspected transferor is likely to understand.</w:t>
      </w:r>
    </w:p>
    <w:p>
      <w:pPr>
        <w:pStyle w:val="Subsection"/>
      </w:pPr>
      <w:r>
        <w:tab/>
        <w:t>(3)</w:t>
      </w:r>
      <w:r>
        <w:tab/>
        <w:t>A failure by the court to comply with this section does not invalidate the disease test order.</w:t>
      </w:r>
    </w:p>
    <w:p>
      <w:pPr>
        <w:pStyle w:val="Heading5"/>
      </w:pPr>
      <w:bookmarkStart w:id="247" w:name="_Toc387835903"/>
      <w:bookmarkStart w:id="248" w:name="_Toc407633758"/>
      <w:bookmarkStart w:id="249" w:name="_Toc407692684"/>
      <w:bookmarkStart w:id="250" w:name="_Toc512323990"/>
      <w:r>
        <w:rPr>
          <w:rStyle w:val="CharSectno"/>
        </w:rPr>
        <w:t>21</w:t>
      </w:r>
      <w:r>
        <w:t>.</w:t>
      </w:r>
      <w:r>
        <w:tab/>
        <w:t>Copy of disease test order to be served</w:t>
      </w:r>
      <w:bookmarkEnd w:id="247"/>
      <w:bookmarkEnd w:id="248"/>
      <w:bookmarkEnd w:id="249"/>
      <w:bookmarkEnd w:id="250"/>
    </w:p>
    <w:p>
      <w:pPr>
        <w:pStyle w:val="Subsection"/>
      </w:pPr>
      <w:r>
        <w:tab/>
        <w:t>(1)</w:t>
      </w:r>
      <w:r>
        <w:tab/>
        <w:t>A copy of a disease test order must be served personally on a third party.</w:t>
      </w:r>
    </w:p>
    <w:p>
      <w:pPr>
        <w:pStyle w:val="Subsection"/>
      </w:pPr>
      <w:r>
        <w:tab/>
        <w:t>(2)</w:t>
      </w:r>
      <w:r>
        <w:tab/>
        <w:t>A disease test order does not take effect until a copy of it is served in accordance with this section.</w:t>
      </w:r>
    </w:p>
    <w:p>
      <w:pPr>
        <w:pStyle w:val="Heading3"/>
      </w:pPr>
      <w:bookmarkStart w:id="251" w:name="_Toc387747886"/>
      <w:bookmarkStart w:id="252" w:name="_Toc387747933"/>
      <w:bookmarkStart w:id="253" w:name="_Toc387754533"/>
      <w:bookmarkStart w:id="254" w:name="_Toc387754580"/>
      <w:bookmarkStart w:id="255" w:name="_Toc387757811"/>
      <w:bookmarkStart w:id="256" w:name="_Toc387759845"/>
      <w:bookmarkStart w:id="257" w:name="_Toc387759893"/>
      <w:bookmarkStart w:id="258" w:name="_Toc387759940"/>
      <w:bookmarkStart w:id="259" w:name="_Toc387821115"/>
      <w:bookmarkStart w:id="260" w:name="_Toc387821162"/>
      <w:bookmarkStart w:id="261" w:name="_Toc387822982"/>
      <w:bookmarkStart w:id="262" w:name="_Toc387835904"/>
      <w:bookmarkStart w:id="263" w:name="_Toc407633759"/>
      <w:bookmarkStart w:id="264" w:name="_Toc407634326"/>
      <w:bookmarkStart w:id="265" w:name="_Toc407692685"/>
      <w:bookmarkStart w:id="266" w:name="_Toc421106793"/>
      <w:bookmarkStart w:id="267" w:name="_Toc421106842"/>
      <w:bookmarkStart w:id="268" w:name="_Toc512323991"/>
      <w:r>
        <w:rPr>
          <w:rStyle w:val="CharDivNo"/>
        </w:rPr>
        <w:t>Division 4</w:t>
      </w:r>
      <w:r>
        <w:t> — </w:t>
      </w:r>
      <w:r>
        <w:rPr>
          <w:rStyle w:val="CharDivText"/>
        </w:rPr>
        <w:t>Consequences of issuing disease test orders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387835905"/>
      <w:bookmarkStart w:id="270" w:name="_Toc407633760"/>
      <w:bookmarkStart w:id="271" w:name="_Toc407692686"/>
      <w:bookmarkStart w:id="272" w:name="_Toc512323992"/>
      <w:r>
        <w:rPr>
          <w:rStyle w:val="CharSectno"/>
        </w:rPr>
        <w:t>22</w:t>
      </w:r>
      <w:r>
        <w:t>.</w:t>
      </w:r>
      <w:r>
        <w:tab/>
        <w:t>Effect of disease test order</w:t>
      </w:r>
      <w:bookmarkEnd w:id="269"/>
      <w:bookmarkEnd w:id="270"/>
      <w:bookmarkEnd w:id="271"/>
      <w:bookmarkEnd w:id="272"/>
    </w:p>
    <w:p>
      <w:pPr>
        <w:pStyle w:val="Subsection"/>
      </w:pPr>
      <w:r>
        <w:tab/>
        <w:t>(1)</w:t>
      </w:r>
      <w:r>
        <w:tab/>
        <w:t>A disease test order confers the powers referred to in section 19(2)(b), (c) and (d).</w:t>
      </w:r>
    </w:p>
    <w:p>
      <w:pPr>
        <w:pStyle w:val="Subsection"/>
      </w:pPr>
      <w:r>
        <w:tab/>
        <w:t>(2)</w:t>
      </w:r>
      <w:r>
        <w:tab/>
        <w:t xml:space="preserve">A disease test order — </w:t>
      </w:r>
    </w:p>
    <w:p>
      <w:pPr>
        <w:pStyle w:val="Indenta"/>
      </w:pPr>
      <w:r>
        <w:tab/>
        <w:t>(a)</w:t>
      </w:r>
      <w:r>
        <w:tab/>
        <w:t>authorises a blood sample to be taken from the suspected transferor in accordance with the order; and</w:t>
      </w:r>
    </w:p>
    <w:p>
      <w:pPr>
        <w:pStyle w:val="Indenta"/>
      </w:pPr>
      <w:r>
        <w:tab/>
        <w:t>(b)</w:t>
      </w:r>
      <w:r>
        <w:tab/>
        <w:t>requires a responsible person who is a third party to take all reasonable steps to enable that blood sample to be taken in accordance with the order.</w:t>
      </w:r>
    </w:p>
    <w:p>
      <w:pPr>
        <w:pStyle w:val="Subsection"/>
      </w:pPr>
      <w:r>
        <w:tab/>
        <w:t>(3)</w:t>
      </w:r>
      <w:r>
        <w:tab/>
        <w:t>A disease test order also authorises the blood sample to be tested for an infectious disease.</w:t>
      </w:r>
    </w:p>
    <w:p>
      <w:pPr>
        <w:pStyle w:val="Heading5"/>
      </w:pPr>
      <w:bookmarkStart w:id="273" w:name="_Toc387835906"/>
      <w:bookmarkStart w:id="274" w:name="_Toc407633761"/>
      <w:bookmarkStart w:id="275" w:name="_Toc407692687"/>
      <w:bookmarkStart w:id="276" w:name="_Toc512323993"/>
      <w:r>
        <w:rPr>
          <w:rStyle w:val="CharSectno"/>
        </w:rPr>
        <w:t>23</w:t>
      </w:r>
      <w:r>
        <w:t>.</w:t>
      </w:r>
      <w:r>
        <w:tab/>
        <w:t>Offence of failing to comply with disease test order</w:t>
      </w:r>
      <w:bookmarkEnd w:id="273"/>
      <w:bookmarkEnd w:id="274"/>
      <w:bookmarkEnd w:id="275"/>
      <w:bookmarkEnd w:id="276"/>
    </w:p>
    <w:p>
      <w:pPr>
        <w:pStyle w:val="Subsection"/>
      </w:pPr>
      <w:r>
        <w:tab/>
      </w:r>
      <w:r>
        <w:tab/>
        <w:t>A responsible person who is a third party commits an offence if the responsible person, without reasonable excuse, fails to comply with a requirement referred to in section 22(2)(b).</w:t>
      </w:r>
    </w:p>
    <w:p>
      <w:pPr>
        <w:pStyle w:val="Penstart"/>
      </w:pPr>
      <w:r>
        <w:tab/>
        <w:t>Penalty: a fine of $12 000 and imprisonment for 12 months.</w:t>
      </w:r>
    </w:p>
    <w:p>
      <w:pPr>
        <w:pStyle w:val="Heading3"/>
      </w:pPr>
      <w:bookmarkStart w:id="277" w:name="_Toc387747889"/>
      <w:bookmarkStart w:id="278" w:name="_Toc387747936"/>
      <w:bookmarkStart w:id="279" w:name="_Toc387754536"/>
      <w:bookmarkStart w:id="280" w:name="_Toc387754583"/>
      <w:bookmarkStart w:id="281" w:name="_Toc387757814"/>
      <w:bookmarkStart w:id="282" w:name="_Toc387759848"/>
      <w:bookmarkStart w:id="283" w:name="_Toc387759896"/>
      <w:bookmarkStart w:id="284" w:name="_Toc387759943"/>
      <w:bookmarkStart w:id="285" w:name="_Toc387821118"/>
      <w:bookmarkStart w:id="286" w:name="_Toc387821165"/>
      <w:bookmarkStart w:id="287" w:name="_Toc387822985"/>
      <w:bookmarkStart w:id="288" w:name="_Toc387835907"/>
      <w:bookmarkStart w:id="289" w:name="_Toc407633762"/>
      <w:bookmarkStart w:id="290" w:name="_Toc407634329"/>
      <w:bookmarkStart w:id="291" w:name="_Toc407692688"/>
      <w:bookmarkStart w:id="292" w:name="_Toc421106796"/>
      <w:bookmarkStart w:id="293" w:name="_Toc421106845"/>
      <w:bookmarkStart w:id="294" w:name="_Toc512323994"/>
      <w:r>
        <w:rPr>
          <w:rStyle w:val="CharDivNo"/>
        </w:rPr>
        <w:t>Division 5</w:t>
      </w:r>
      <w:r>
        <w:t> — </w:t>
      </w:r>
      <w:r>
        <w:rPr>
          <w:rStyle w:val="CharDivText"/>
        </w:rPr>
        <w:t>Appeals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87835908"/>
      <w:bookmarkStart w:id="296" w:name="_Toc407633763"/>
      <w:bookmarkStart w:id="297" w:name="_Toc407692689"/>
      <w:bookmarkStart w:id="298" w:name="_Toc512323995"/>
      <w:r>
        <w:rPr>
          <w:rStyle w:val="CharSectno"/>
        </w:rPr>
        <w:t>24</w:t>
      </w:r>
      <w:r>
        <w:t>.</w:t>
      </w:r>
      <w:r>
        <w:tab/>
        <w:t>Appeal against disease test order</w:t>
      </w:r>
      <w:bookmarkEnd w:id="295"/>
      <w:bookmarkEnd w:id="296"/>
      <w:bookmarkEnd w:id="297"/>
      <w:bookmarkEnd w:id="298"/>
    </w:p>
    <w:p>
      <w:pPr>
        <w:pStyle w:val="Subsection"/>
      </w:pPr>
      <w:r>
        <w:tab/>
        <w:t>(1)</w:t>
      </w:r>
      <w:r>
        <w:tab/>
        <w:t>A third party may, on behalf of the suspected transferor, appeal against a disease test order to the District Court.</w:t>
      </w:r>
    </w:p>
    <w:p>
      <w:pPr>
        <w:pStyle w:val="Subsection"/>
      </w:pPr>
      <w:r>
        <w:tab/>
        <w:t>(2)</w:t>
      </w:r>
      <w:r>
        <w:tab/>
        <w:t xml:space="preserve">Unless the District Court otherwise orders, the appeal — </w:t>
      </w:r>
    </w:p>
    <w:p>
      <w:pPr>
        <w:pStyle w:val="Indenta"/>
      </w:pPr>
      <w:r>
        <w:tab/>
        <w:t>(a)</w:t>
      </w:r>
      <w:r>
        <w:tab/>
        <w:t>must be filed without delay; and</w:t>
      </w:r>
    </w:p>
    <w:p>
      <w:pPr>
        <w:pStyle w:val="Indenta"/>
      </w:pPr>
      <w:r>
        <w:tab/>
        <w:t>(b)</w:t>
      </w:r>
      <w:r>
        <w:tab/>
        <w:t>does not stay the operation of the disease test order.</w:t>
      </w:r>
    </w:p>
    <w:p>
      <w:pPr>
        <w:pStyle w:val="Subsection"/>
      </w:pPr>
      <w:r>
        <w:tab/>
        <w:t>(3)</w:t>
      </w:r>
      <w:r>
        <w:tab/>
        <w:t>The District Court cannot order a stay of a disease test order of more than 48 hours from the time the disease test order is made.</w:t>
      </w:r>
    </w:p>
    <w:p>
      <w:pPr>
        <w:pStyle w:val="Subsection"/>
      </w:pPr>
      <w:r>
        <w:tab/>
        <w:t>(4)</w:t>
      </w:r>
      <w:r>
        <w:tab/>
        <w:t xml:space="preserve">The District Court must hear and decide the appeal — </w:t>
      </w:r>
    </w:p>
    <w:p>
      <w:pPr>
        <w:pStyle w:val="Indenta"/>
      </w:pPr>
      <w:r>
        <w:tab/>
        <w:t>(a)</w:t>
      </w:r>
      <w:r>
        <w:tab/>
        <w:t>within 48 hours after the disease test order is made; and</w:t>
      </w:r>
    </w:p>
    <w:p>
      <w:pPr>
        <w:pStyle w:val="Indenta"/>
      </w:pPr>
      <w:r>
        <w:tab/>
        <w:t>(b)</w:t>
      </w:r>
      <w:r>
        <w:tab/>
        <w:t>in the absence of the public; and</w:t>
      </w:r>
    </w:p>
    <w:p>
      <w:pPr>
        <w:pStyle w:val="Indenta"/>
      </w:pPr>
      <w:r>
        <w:tab/>
        <w:t>(c)</w:t>
      </w:r>
      <w:r>
        <w:tab/>
        <w:t>without adjourning the appeal.</w:t>
      </w:r>
    </w:p>
    <w:p>
      <w:pPr>
        <w:pStyle w:val="Subsection"/>
      </w:pPr>
      <w:r>
        <w:tab/>
        <w:t>(5)</w:t>
      </w:r>
      <w:r>
        <w:tab/>
        <w:t>The District Court may allow or refuse to allow the appeal.</w:t>
      </w:r>
    </w:p>
    <w:p>
      <w:pPr>
        <w:pStyle w:val="Heading5"/>
      </w:pPr>
      <w:bookmarkStart w:id="299" w:name="_Toc387835909"/>
      <w:bookmarkStart w:id="300" w:name="_Toc407633764"/>
      <w:bookmarkStart w:id="301" w:name="_Toc407692690"/>
      <w:bookmarkStart w:id="302" w:name="_Toc512323996"/>
      <w:r>
        <w:rPr>
          <w:rStyle w:val="CharSectno"/>
        </w:rPr>
        <w:t>25</w:t>
      </w:r>
      <w:r>
        <w:t>.</w:t>
      </w:r>
      <w:r>
        <w:tab/>
        <w:t>Appeal by public officer</w:t>
      </w:r>
      <w:bookmarkEnd w:id="299"/>
      <w:bookmarkEnd w:id="300"/>
      <w:bookmarkEnd w:id="301"/>
      <w:bookmarkEnd w:id="302"/>
    </w:p>
    <w:p>
      <w:pPr>
        <w:pStyle w:val="Subsection"/>
      </w:pPr>
      <w:r>
        <w:tab/>
        <w:t>(1)</w:t>
      </w:r>
      <w:r>
        <w:tab/>
        <w:t>If a court decides not to make a disease test order under section 19, the public officer who applied for the order may appeal to the District Court against the decision.</w:t>
      </w:r>
    </w:p>
    <w:p>
      <w:pPr>
        <w:pStyle w:val="Subsection"/>
      </w:pPr>
      <w:r>
        <w:tab/>
        <w:t>(2)</w:t>
      </w:r>
      <w:r>
        <w:tab/>
        <w:t>Unless the District Court otherwise orders, the appeal must be filed without delay.</w:t>
      </w:r>
    </w:p>
    <w:p>
      <w:pPr>
        <w:pStyle w:val="Subsection"/>
      </w:pPr>
      <w:r>
        <w:tab/>
        <w:t>(3)</w:t>
      </w:r>
      <w:r>
        <w:tab/>
        <w:t xml:space="preserve">The District Court must hear and decide the appeal — </w:t>
      </w:r>
    </w:p>
    <w:p>
      <w:pPr>
        <w:pStyle w:val="Indenta"/>
      </w:pPr>
      <w:r>
        <w:tab/>
        <w:t>(a)</w:t>
      </w:r>
      <w:r>
        <w:tab/>
        <w:t>within 48 hours after the decision not to make a disease test order; and</w:t>
      </w:r>
    </w:p>
    <w:p>
      <w:pPr>
        <w:pStyle w:val="Indenta"/>
      </w:pPr>
      <w:r>
        <w:tab/>
        <w:t>(b)</w:t>
      </w:r>
      <w:r>
        <w:tab/>
        <w:t>in the absence of the public; and</w:t>
      </w:r>
    </w:p>
    <w:p>
      <w:pPr>
        <w:pStyle w:val="Indenta"/>
      </w:pPr>
      <w:r>
        <w:tab/>
        <w:t>(c)</w:t>
      </w:r>
      <w:r>
        <w:tab/>
        <w:t>without adjourning the appeal.</w:t>
      </w:r>
    </w:p>
    <w:p>
      <w:pPr>
        <w:pStyle w:val="Subsection"/>
      </w:pPr>
      <w:r>
        <w:tab/>
        <w:t>(4)</w:t>
      </w:r>
      <w:r>
        <w:tab/>
        <w:t>The District Court may allow or refuse to allow the appeal.</w:t>
      </w:r>
    </w:p>
    <w:p>
      <w:pPr>
        <w:pStyle w:val="Heading2"/>
      </w:pPr>
      <w:bookmarkStart w:id="303" w:name="_Toc387747892"/>
      <w:bookmarkStart w:id="304" w:name="_Toc387747939"/>
      <w:bookmarkStart w:id="305" w:name="_Toc387754539"/>
      <w:bookmarkStart w:id="306" w:name="_Toc387754586"/>
      <w:bookmarkStart w:id="307" w:name="_Toc387757817"/>
      <w:bookmarkStart w:id="308" w:name="_Toc387759851"/>
      <w:bookmarkStart w:id="309" w:name="_Toc387759899"/>
      <w:bookmarkStart w:id="310" w:name="_Toc387759946"/>
      <w:bookmarkStart w:id="311" w:name="_Toc387821121"/>
      <w:bookmarkStart w:id="312" w:name="_Toc387821168"/>
      <w:bookmarkStart w:id="313" w:name="_Toc387822988"/>
      <w:bookmarkStart w:id="314" w:name="_Toc387835910"/>
      <w:bookmarkStart w:id="315" w:name="_Toc407633765"/>
      <w:bookmarkStart w:id="316" w:name="_Toc407634332"/>
      <w:bookmarkStart w:id="317" w:name="_Toc407692691"/>
      <w:bookmarkStart w:id="318" w:name="_Toc421106799"/>
      <w:bookmarkStart w:id="319" w:name="_Toc421106848"/>
      <w:bookmarkStart w:id="320" w:name="_Toc512323997"/>
      <w:r>
        <w:rPr>
          <w:rStyle w:val="CharPartNo"/>
        </w:rPr>
        <w:t>Part 4</w:t>
      </w:r>
      <w:r>
        <w:rPr>
          <w:rStyle w:val="CharDivNo"/>
        </w:rPr>
        <w:t> </w:t>
      </w:r>
      <w:r>
        <w:t>—</w:t>
      </w:r>
      <w:r>
        <w:rPr>
          <w:rStyle w:val="CharDivText"/>
        </w:rPr>
        <w:t> </w:t>
      </w:r>
      <w:r>
        <w:rPr>
          <w:rStyle w:val="CharPartText"/>
        </w:rPr>
        <w:t>General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387835911"/>
      <w:bookmarkStart w:id="322" w:name="_Toc407633766"/>
      <w:bookmarkStart w:id="323" w:name="_Toc407692692"/>
      <w:bookmarkStart w:id="324" w:name="_Toc512323998"/>
      <w:r>
        <w:rPr>
          <w:rStyle w:val="CharSectno"/>
        </w:rPr>
        <w:t>26</w:t>
      </w:r>
      <w:r>
        <w:t>.</w:t>
      </w:r>
      <w:r>
        <w:tab/>
        <w:t>Taking blood samples under disease test authorisation</w:t>
      </w:r>
      <w:bookmarkEnd w:id="321"/>
      <w:bookmarkEnd w:id="322"/>
      <w:bookmarkEnd w:id="323"/>
      <w:bookmarkEnd w:id="324"/>
    </w:p>
    <w:p>
      <w:pPr>
        <w:pStyle w:val="Subsection"/>
      </w:pPr>
      <w:r>
        <w:tab/>
        <w:t>(1)</w:t>
      </w:r>
      <w:r>
        <w:tab/>
        <w:t>A police officer executing a disease test authorisation in relation to a suspected transferor may ask a doctor, nurse or qualified person to take a blood sample from the suspected transferor.</w:t>
      </w:r>
    </w:p>
    <w:p>
      <w:pPr>
        <w:pStyle w:val="Subsection"/>
      </w:pPr>
      <w:r>
        <w:tab/>
        <w:t>(2)</w:t>
      </w:r>
      <w:r>
        <w:tab/>
        <w:t>When asking the doctor, nurse or qualified person to take the blood sample, the police officer must produce for the doctor’s, nurse’s or qualified person’s inspection a copy of the disease test authorisation.</w:t>
      </w:r>
    </w:p>
    <w:p>
      <w:pPr>
        <w:pStyle w:val="Subsection"/>
      </w:pPr>
      <w:r>
        <w:tab/>
        <w:t>(3)</w:t>
      </w:r>
      <w:r>
        <w:tab/>
        <w:t>The doctor, nurse or qualified person may take a blood sample from the suspected transferor in accordance with the disease test authorisation.</w:t>
      </w:r>
    </w:p>
    <w:p>
      <w:pPr>
        <w:pStyle w:val="Subsection"/>
      </w:pPr>
      <w:r>
        <w:tab/>
        <w:t>(4)</w:t>
      </w:r>
      <w:r>
        <w:tab/>
        <w:t>If help is needed for taking a blood sample, the doctor, nurse or qualified person may ask another person to give any reasonably necessary help.</w:t>
      </w:r>
    </w:p>
    <w:p>
      <w:pPr>
        <w:pStyle w:val="Subsection"/>
      </w:pPr>
      <w:r>
        <w:tab/>
        <w:t>(5)</w:t>
      </w:r>
      <w:r>
        <w:tab/>
        <w:t>The doctor, nurse or qualified person, and a person helping the doctor, nurse or qualified person, may use any reasonably necessary force for taking the blood sample.</w:t>
      </w:r>
    </w:p>
    <w:p>
      <w:pPr>
        <w:pStyle w:val="Subsection"/>
      </w:pPr>
      <w:r>
        <w:tab/>
        <w:t>(6)</w:t>
      </w:r>
      <w:r>
        <w:tab/>
        <w:t>The doctor, nurse or qualified person must immediately send the sample to a pathology laboratory with appropriate facilities for testing the sample for infectious diseases.</w:t>
      </w:r>
    </w:p>
    <w:p>
      <w:pPr>
        <w:pStyle w:val="Heading5"/>
      </w:pPr>
      <w:bookmarkStart w:id="325" w:name="_Toc387835912"/>
      <w:bookmarkStart w:id="326" w:name="_Toc407633767"/>
      <w:bookmarkStart w:id="327" w:name="_Toc407692693"/>
      <w:bookmarkStart w:id="328" w:name="_Toc512323999"/>
      <w:r>
        <w:rPr>
          <w:rStyle w:val="CharSectno"/>
        </w:rPr>
        <w:t>27</w:t>
      </w:r>
      <w:r>
        <w:t>.</w:t>
      </w:r>
      <w:r>
        <w:tab/>
        <w:t>Analysis of blood samples</w:t>
      </w:r>
      <w:bookmarkEnd w:id="325"/>
      <w:bookmarkEnd w:id="326"/>
      <w:bookmarkEnd w:id="327"/>
      <w:bookmarkEnd w:id="328"/>
    </w:p>
    <w:p>
      <w:pPr>
        <w:pStyle w:val="Subsection"/>
      </w:pPr>
      <w:r>
        <w:tab/>
        <w:t>(1)</w:t>
      </w:r>
      <w:r>
        <w:tab/>
        <w:t>An officer of a pathology laboratory may analyse, or arrange for someone else to analyse, a blood sample sent to the pathology laboratory under section 26.</w:t>
      </w:r>
    </w:p>
    <w:p>
      <w:pPr>
        <w:pStyle w:val="Subsection"/>
      </w:pPr>
      <w:r>
        <w:tab/>
        <w:t>(2)</w:t>
      </w:r>
      <w:r>
        <w:tab/>
        <w:t xml:space="preserve">An officer of the pathology laboratory may destroy a blood sample, or any part of the sample — </w:t>
      </w:r>
    </w:p>
    <w:p>
      <w:pPr>
        <w:pStyle w:val="Indenta"/>
      </w:pPr>
      <w:r>
        <w:tab/>
        <w:t>(a)</w:t>
      </w:r>
      <w:r>
        <w:tab/>
        <w:t>before it has been used for the analysis or a further analysis — if it is not required for any analysis or further analysis;</w:t>
      </w:r>
    </w:p>
    <w:p>
      <w:pPr>
        <w:pStyle w:val="Indenta"/>
      </w:pPr>
      <w:r>
        <w:tab/>
        <w:t>(b)</w:t>
      </w:r>
      <w:r>
        <w:tab/>
        <w:t>after it has been used for the analysis or a further analysis — if it is not required for any further analysis.</w:t>
      </w:r>
    </w:p>
    <w:p>
      <w:pPr>
        <w:pStyle w:val="Heading5"/>
      </w:pPr>
      <w:bookmarkStart w:id="329" w:name="_Toc387835913"/>
      <w:bookmarkStart w:id="330" w:name="_Toc407633768"/>
      <w:bookmarkStart w:id="331" w:name="_Toc407692694"/>
      <w:bookmarkStart w:id="332" w:name="_Toc512324000"/>
      <w:r>
        <w:rPr>
          <w:rStyle w:val="CharSectno"/>
        </w:rPr>
        <w:t>28</w:t>
      </w:r>
      <w:r>
        <w:t>.</w:t>
      </w:r>
      <w:r>
        <w:tab/>
        <w:t>No payment may be required in relation to taking or testing under disease test authorisation</w:t>
      </w:r>
      <w:bookmarkEnd w:id="329"/>
      <w:bookmarkEnd w:id="330"/>
      <w:bookmarkEnd w:id="331"/>
      <w:bookmarkEnd w:id="332"/>
    </w:p>
    <w:p>
      <w:pPr>
        <w:pStyle w:val="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Indenta"/>
      </w:pPr>
      <w:r>
        <w:tab/>
        <w:t>(a)</w:t>
      </w:r>
      <w:r>
        <w:tab/>
        <w:t>the suspected transferor;</w:t>
      </w:r>
    </w:p>
    <w:p>
      <w:pPr>
        <w:pStyle w:val="Indenta"/>
      </w:pPr>
      <w:r>
        <w:tab/>
        <w:t>(b)</w:t>
      </w:r>
      <w:r>
        <w:tab/>
        <w:t>if the suspected transferor is a protected person — a responsible person, whether or not the responsible person is a third party to the application, as those terms are defined in section 15;</w:t>
      </w:r>
    </w:p>
    <w:p>
      <w:pPr>
        <w:pStyle w:val="Indenta"/>
      </w:pPr>
      <w:r>
        <w:tab/>
        <w:t>(c)</w:t>
      </w:r>
      <w:r>
        <w:tab/>
        <w:t>if the suspected transferor is a deceased person, the person who has lawful possession of the suspected transferor’s estate.</w:t>
      </w:r>
    </w:p>
    <w:p>
      <w:pPr>
        <w:pStyle w:val="Heading5"/>
      </w:pPr>
      <w:bookmarkStart w:id="333" w:name="_Toc387835914"/>
      <w:bookmarkStart w:id="334" w:name="_Toc407633769"/>
      <w:bookmarkStart w:id="335" w:name="_Toc407692695"/>
      <w:bookmarkStart w:id="336" w:name="_Toc512324001"/>
      <w:r>
        <w:rPr>
          <w:rStyle w:val="CharSectno"/>
        </w:rPr>
        <w:t>29</w:t>
      </w:r>
      <w:r>
        <w:t>.</w:t>
      </w:r>
      <w:r>
        <w:tab/>
        <w:t>Restriction on disclosure of results of analysis</w:t>
      </w:r>
      <w:bookmarkEnd w:id="333"/>
      <w:bookmarkEnd w:id="334"/>
      <w:bookmarkEnd w:id="335"/>
      <w:bookmarkEnd w:id="336"/>
    </w:p>
    <w:p>
      <w:pPr>
        <w:pStyle w:val="Subsection"/>
      </w:pPr>
      <w:r>
        <w:tab/>
        <w:t>(1)</w:t>
      </w:r>
      <w:r>
        <w:tab/>
        <w:t xml:space="preserve">In this section — </w:t>
      </w:r>
    </w:p>
    <w:p>
      <w:pPr>
        <w:pStyle w:val="Defstart"/>
      </w:pPr>
      <w:r>
        <w:tab/>
      </w:r>
      <w:r>
        <w:rPr>
          <w:rStyle w:val="CharDefText"/>
        </w:rPr>
        <w:t>health professional</w:t>
      </w:r>
      <w:r>
        <w:t xml:space="preserve"> has the meaning given in the </w:t>
      </w:r>
      <w:r>
        <w:rPr>
          <w:i/>
        </w:rPr>
        <w:t>Civil Liability Act 2002</w:t>
      </w:r>
      <w:r>
        <w:t xml:space="preserve"> section 5PA;</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Subsection"/>
      </w:pPr>
      <w:r>
        <w:tab/>
        <w:t>(2)</w:t>
      </w:r>
      <w:r>
        <w:tab/>
        <w:t xml:space="preserve">A person who conducts an analysis of a blood sample under this Act must not disclose the results of the analysis to any person other than one or more of the following — </w:t>
      </w:r>
    </w:p>
    <w:p>
      <w:pPr>
        <w:pStyle w:val="Indenta"/>
      </w:pPr>
      <w:r>
        <w:tab/>
        <w:t>(a)</w:t>
      </w:r>
      <w:r>
        <w:tab/>
        <w:t>an affected public officer;</w:t>
      </w:r>
    </w:p>
    <w:p>
      <w:pPr>
        <w:pStyle w:val="Indenta"/>
      </w:pPr>
      <w:r>
        <w:tab/>
        <w:t>(b)</w:t>
      </w:r>
      <w:r>
        <w:tab/>
        <w:t>the Commissioner or any other public officer acting in the course of duty;</w:t>
      </w:r>
    </w:p>
    <w:p>
      <w:pPr>
        <w:pStyle w:val="Indenta"/>
      </w:pPr>
      <w:r>
        <w:tab/>
        <w:t>(c)</w:t>
      </w:r>
      <w:r>
        <w:tab/>
        <w:t>the suspected transferor;</w:t>
      </w:r>
    </w:p>
    <w:p>
      <w:pPr>
        <w:pStyle w:val="Indenta"/>
      </w:pPr>
      <w:r>
        <w:tab/>
        <w:t>(d)</w:t>
      </w:r>
      <w:r>
        <w:tab/>
        <w:t>if the suspected transferor is a protected person — a responsible person;</w:t>
      </w:r>
    </w:p>
    <w:p>
      <w:pPr>
        <w:pStyle w:val="Indenta"/>
      </w:pPr>
      <w:r>
        <w:tab/>
        <w:t>(e)</w:t>
      </w:r>
      <w:r>
        <w:tab/>
        <w:t>if the suspected transferor is a deceased person, the senior next of kin of the suspected transferor;</w:t>
      </w:r>
    </w:p>
    <w:p>
      <w:pPr>
        <w:pStyle w:val="Indenta"/>
      </w:pPr>
      <w:r>
        <w:tab/>
        <w:t>(f)</w:t>
      </w:r>
      <w:r>
        <w:tab/>
        <w:t>a doctor, nurse or other health professional involved in treating or providing care for an affected public officer or the suspected transferor;</w:t>
      </w:r>
    </w:p>
    <w:p>
      <w:pPr>
        <w:pStyle w:val="Indenta"/>
      </w:pPr>
      <w:r>
        <w:tab/>
        <w:t>(g)</w:t>
      </w:r>
      <w:r>
        <w:tab/>
        <w:t>a psychiatrist, psychologist or social worker providing counselling for an affected public officer or the suspected transferor;</w:t>
      </w:r>
    </w:p>
    <w:p>
      <w:pPr>
        <w:pStyle w:val="Indenta"/>
      </w:pPr>
      <w:r>
        <w:tab/>
        <w:t>(h)</w:t>
      </w:r>
      <w:r>
        <w:tab/>
        <w:t>a person to whom the disclosure is authorised or required to be made under a written law;</w:t>
      </w:r>
    </w:p>
    <w:p>
      <w:pPr>
        <w:pStyle w:val="Indenta"/>
      </w:pPr>
      <w:r>
        <w:tab/>
        <w:t>(i)</w:t>
      </w:r>
      <w:r>
        <w:tab/>
        <w:t>a prescribed person, or a person in a prescribed class of persons.</w:t>
      </w:r>
    </w:p>
    <w:p>
      <w:pPr>
        <w:pStyle w:val="Penstart"/>
      </w:pPr>
      <w:r>
        <w:tab/>
        <w:t>Penalty: a fine of $9 000 and imprisonment for 9 months.</w:t>
      </w:r>
    </w:p>
    <w:p>
      <w:pPr>
        <w:pStyle w:val="Subsection"/>
      </w:pPr>
      <w:r>
        <w:tab/>
        <w:t>(3)</w:t>
      </w:r>
      <w:r>
        <w:tab/>
        <w:t>A person referred to in subsection (2) to whom information is disclosed under this section must not disclose the information except to another person referred to in subsection (2).</w:t>
      </w:r>
    </w:p>
    <w:p>
      <w:pPr>
        <w:pStyle w:val="Penstart"/>
      </w:pPr>
      <w:r>
        <w:tab/>
        <w:t>Penalty: a fine of $9 000 and imprisonment for 9 months.</w:t>
      </w:r>
    </w:p>
    <w:p>
      <w:pPr>
        <w:pStyle w:val="Subsection"/>
      </w:pPr>
      <w:r>
        <w:tab/>
        <w:t>(4)</w:t>
      </w:r>
      <w:r>
        <w:tab/>
        <w:t xml:space="preserve">Subsection (3) does not apply to an affected public officer unless the disclosure is done — </w:t>
      </w:r>
    </w:p>
    <w:p>
      <w:pPr>
        <w:pStyle w:val="Indenta"/>
      </w:pPr>
      <w:r>
        <w:tab/>
        <w:t>(a)</w:t>
      </w:r>
      <w:r>
        <w:tab/>
        <w:t>by way of a public disclosure through the mass media by the affected public officer of the results of the analysis; and</w:t>
      </w:r>
    </w:p>
    <w:p>
      <w:pPr>
        <w:pStyle w:val="Indenta"/>
      </w:pPr>
      <w:r>
        <w:tab/>
        <w:t>(b)</w:t>
      </w:r>
      <w:r>
        <w:tab/>
        <w:t>in such a way as to reveal the identity of the suspected transferor.</w:t>
      </w:r>
    </w:p>
    <w:p>
      <w:pPr>
        <w:pStyle w:val="Subsection"/>
      </w:pPr>
      <w:r>
        <w:tab/>
        <w:t>(5)</w:t>
      </w:r>
      <w:r>
        <w:tab/>
        <w:t xml:space="preserve">Subsection (3) does not apply to the suspected transferor unless the disclosure is done — </w:t>
      </w:r>
    </w:p>
    <w:p>
      <w:pPr>
        <w:pStyle w:val="Indenta"/>
      </w:pPr>
      <w:r>
        <w:tab/>
        <w:t>(a)</w:t>
      </w:r>
      <w:r>
        <w:tab/>
        <w:t>by way of a public disclosure through the mass media by the suspected transferor of the results of the analysis; and</w:t>
      </w:r>
    </w:p>
    <w:p>
      <w:pPr>
        <w:pStyle w:val="Indenta"/>
      </w:pPr>
      <w:r>
        <w:tab/>
        <w:t>(b)</w:t>
      </w:r>
      <w:r>
        <w:tab/>
        <w:t>in such a way as to reveal the identity of the affected public officer.</w:t>
      </w:r>
    </w:p>
    <w:p>
      <w:pPr>
        <w:pStyle w:val="Heading5"/>
      </w:pPr>
      <w:bookmarkStart w:id="337" w:name="_Toc387835915"/>
      <w:bookmarkStart w:id="338" w:name="_Toc407633770"/>
      <w:bookmarkStart w:id="339" w:name="_Toc407692696"/>
      <w:bookmarkStart w:id="340" w:name="_Toc512324002"/>
      <w:r>
        <w:rPr>
          <w:rStyle w:val="CharSectno"/>
        </w:rPr>
        <w:t>30</w:t>
      </w:r>
      <w:r>
        <w:t>.</w:t>
      </w:r>
      <w:r>
        <w:tab/>
        <w:t>Prohibition on use of blood samples for other purposes</w:t>
      </w:r>
      <w:bookmarkEnd w:id="337"/>
      <w:bookmarkEnd w:id="338"/>
      <w:bookmarkEnd w:id="339"/>
      <w:bookmarkEnd w:id="340"/>
    </w:p>
    <w:p>
      <w:pPr>
        <w:pStyle w:val="Subsection"/>
      </w:pPr>
      <w:r>
        <w:tab/>
      </w:r>
      <w:r>
        <w:tab/>
        <w:t>A person must not use a blood sample taken under this Act for any purpose other than analysis under this Act.</w:t>
      </w:r>
    </w:p>
    <w:p>
      <w:pPr>
        <w:pStyle w:val="Penstart"/>
      </w:pPr>
      <w:r>
        <w:tab/>
        <w:t>Penalty: a fine of $9 000 and imprisonment for 9 months.</w:t>
      </w:r>
    </w:p>
    <w:p>
      <w:pPr>
        <w:pStyle w:val="Heading5"/>
      </w:pPr>
      <w:bookmarkStart w:id="341" w:name="_Toc387835916"/>
      <w:bookmarkStart w:id="342" w:name="_Toc407633771"/>
      <w:bookmarkStart w:id="343" w:name="_Toc407692697"/>
      <w:bookmarkStart w:id="344" w:name="_Toc512324003"/>
      <w:r>
        <w:rPr>
          <w:rStyle w:val="CharSectno"/>
        </w:rPr>
        <w:t>31</w:t>
      </w:r>
      <w:r>
        <w:t>.</w:t>
      </w:r>
      <w:r>
        <w:tab/>
        <w:t>Certain evidence inadmissible</w:t>
      </w:r>
      <w:bookmarkEnd w:id="341"/>
      <w:bookmarkEnd w:id="342"/>
      <w:bookmarkEnd w:id="343"/>
      <w:bookmarkEnd w:id="344"/>
    </w:p>
    <w:p>
      <w:pPr>
        <w:pStyle w:val="Subsection"/>
      </w:pPr>
      <w:r>
        <w:tab/>
        <w:t>(1)</w:t>
      </w:r>
      <w:r>
        <w:tab/>
        <w:t xml:space="preserve">In this section — </w:t>
      </w:r>
    </w:p>
    <w:p>
      <w:pPr>
        <w:pStyle w:val="Defstart"/>
      </w:pPr>
      <w:r>
        <w:tab/>
      </w:r>
      <w:r>
        <w:rPr>
          <w:rStyle w:val="CharDefText"/>
        </w:rPr>
        <w:t>proceeding</w:t>
      </w:r>
      <w:r>
        <w:t xml:space="preserve"> means a legal or other action or proceeding, other than an action or proceeding under this Act.</w:t>
      </w:r>
    </w:p>
    <w:p>
      <w:pPr>
        <w:pStyle w:val="Subsection"/>
      </w:pPr>
      <w:r>
        <w:tab/>
        <w:t>(2)</w:t>
      </w:r>
      <w:r>
        <w:tab/>
        <w:t xml:space="preserve">In a proceeding all of the following are not admissible in evidence — </w:t>
      </w:r>
    </w:p>
    <w:p>
      <w:pPr>
        <w:pStyle w:val="Indenta"/>
      </w:pPr>
      <w:r>
        <w:tab/>
        <w:t>(a)</w:t>
      </w:r>
      <w:r>
        <w:tab/>
        <w:t>the making of an application for a disease test authorisation;</w:t>
      </w:r>
    </w:p>
    <w:p>
      <w:pPr>
        <w:pStyle w:val="Indenta"/>
      </w:pPr>
      <w:r>
        <w:tab/>
        <w:t>(b)</w:t>
      </w:r>
      <w:r>
        <w:tab/>
        <w:t>the giving of a disease test authorisation;</w:t>
      </w:r>
    </w:p>
    <w:p>
      <w:pPr>
        <w:pStyle w:val="Indenta"/>
      </w:pPr>
      <w:r>
        <w:tab/>
        <w:t>(c)</w:t>
      </w:r>
      <w:r>
        <w:tab/>
        <w:t>the results of an analysis of a blood sample under this Act.</w:t>
      </w:r>
    </w:p>
    <w:p>
      <w:pPr>
        <w:pStyle w:val="Heading5"/>
      </w:pPr>
      <w:bookmarkStart w:id="345" w:name="_Toc387835917"/>
      <w:bookmarkStart w:id="346" w:name="_Toc407633772"/>
      <w:bookmarkStart w:id="347" w:name="_Toc407692698"/>
      <w:bookmarkStart w:id="348" w:name="_Toc512324004"/>
      <w:r>
        <w:rPr>
          <w:rStyle w:val="CharSectno"/>
        </w:rPr>
        <w:t>32</w:t>
      </w:r>
      <w:r>
        <w:t>.</w:t>
      </w:r>
      <w:r>
        <w:tab/>
        <w:t>Protection from liability</w:t>
      </w:r>
      <w:bookmarkEnd w:id="345"/>
      <w:bookmarkEnd w:id="346"/>
      <w:bookmarkEnd w:id="347"/>
      <w:bookmarkEnd w:id="348"/>
    </w:p>
    <w:p>
      <w:pPr>
        <w:pStyle w:val="Subsection"/>
      </w:pPr>
      <w:r>
        <w:tab/>
        <w:t>(1)</w:t>
      </w:r>
      <w:r>
        <w:tab/>
        <w:t>No civil or criminal liability attaches to a person for the performance, or purported performance, in good faith, of a function under this Act.</w:t>
      </w:r>
    </w:p>
    <w:p>
      <w:pPr>
        <w:pStyle w:val="Subsection"/>
      </w:pPr>
      <w:r>
        <w:tab/>
        <w:t>(2)</w:t>
      </w:r>
      <w:r>
        <w:tab/>
        <w:t xml:space="preserve">If a person conducting an analysis of a blood sample under this Act discloses the results of the analysis to a person referred to in section 29(2), the disclosure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349" w:name="_Toc387835918"/>
      <w:bookmarkStart w:id="350" w:name="_Toc407633773"/>
      <w:bookmarkStart w:id="351" w:name="_Toc407692699"/>
      <w:bookmarkStart w:id="352" w:name="_Toc512324005"/>
      <w:r>
        <w:rPr>
          <w:rStyle w:val="CharSectno"/>
        </w:rPr>
        <w:t>33</w:t>
      </w:r>
      <w:r>
        <w:t>.</w:t>
      </w:r>
      <w:r>
        <w:tab/>
        <w:t>Regulations</w:t>
      </w:r>
      <w:bookmarkEnd w:id="349"/>
      <w:bookmarkEnd w:id="350"/>
      <w:bookmarkEnd w:id="351"/>
      <w:bookmarkEnd w:id="3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3" w:name="_Toc387835919"/>
      <w:bookmarkStart w:id="354" w:name="_Toc407633774"/>
      <w:bookmarkStart w:id="355" w:name="_Toc407692700"/>
      <w:bookmarkStart w:id="356" w:name="_Toc512324006"/>
      <w:r>
        <w:rPr>
          <w:rStyle w:val="CharSectno"/>
        </w:rPr>
        <w:t>34</w:t>
      </w:r>
      <w:r>
        <w:t>.</w:t>
      </w:r>
      <w:r>
        <w:tab/>
        <w:t>Review of this Act after 5 years</w:t>
      </w:r>
      <w:bookmarkEnd w:id="353"/>
      <w:bookmarkEnd w:id="354"/>
      <w:bookmarkEnd w:id="355"/>
      <w:bookmarkEnd w:id="356"/>
    </w:p>
    <w:p>
      <w:pPr>
        <w:pStyle w:val="Subsection"/>
      </w:pPr>
      <w:r>
        <w:tab/>
        <w:t>(1)</w:t>
      </w:r>
      <w:r>
        <w:tab/>
        <w:t>The Minister must review the operation and effectiveness of this Act as soon as practicable after the expiry of 5 years from the commencement of section 3.</w:t>
      </w:r>
    </w:p>
    <w:p>
      <w:pPr>
        <w:pStyle w:val="Subsection"/>
      </w:pPr>
      <w:r>
        <w:tab/>
        <w:t>(2)</w:t>
      </w:r>
      <w:r>
        <w:tab/>
        <w:t>The Minister must, as soon as practicable —</w:t>
      </w:r>
    </w:p>
    <w:p>
      <w:pPr>
        <w:pStyle w:val="Indenta"/>
      </w:pPr>
      <w:r>
        <w:tab/>
        <w:t>(a)</w:t>
      </w:r>
      <w:r>
        <w:tab/>
        <w:t>prepare a report about the outcome of the review; and</w:t>
      </w:r>
    </w:p>
    <w:p>
      <w:pPr>
        <w:pStyle w:val="Indenta"/>
      </w:pPr>
      <w:r>
        <w:tab/>
        <w:t>(b)</w:t>
      </w:r>
      <w:r>
        <w:tab/>
        <w:t>cause a copy of the report to be laid before each House of Parliament.</w:t>
      </w:r>
    </w:p>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pPr>
        <w:pStyle w:val="nHeading2"/>
      </w:pPr>
      <w:bookmarkStart w:id="357" w:name="_Toc407634342"/>
      <w:bookmarkStart w:id="358" w:name="_Toc407692701"/>
      <w:bookmarkStart w:id="359" w:name="_Toc421106809"/>
      <w:bookmarkStart w:id="360" w:name="_Toc421106858"/>
      <w:bookmarkStart w:id="361" w:name="_Toc512324007"/>
      <w:r>
        <w:t>Notes</w:t>
      </w:r>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Mandatory Testing (Infectious Diseases) Act 2014</w:t>
      </w:r>
      <w:r>
        <w:rPr>
          <w:snapToGrid w:val="0"/>
        </w:rPr>
        <w:t>.  The following table contains information about that Act </w:t>
      </w:r>
      <w:r>
        <w:rPr>
          <w:noProof/>
          <w:snapToGrid w:val="0"/>
          <w:vertAlign w:val="superscript"/>
        </w:rPr>
        <w:t>1a</w:t>
      </w:r>
      <w:r>
        <w:rPr>
          <w:snapToGrid w:val="0"/>
        </w:rPr>
        <w:t xml:space="preserve">. </w:t>
      </w:r>
    </w:p>
    <w:p>
      <w:pPr>
        <w:pStyle w:val="nHeading3"/>
        <w:rPr>
          <w:snapToGrid w:val="0"/>
        </w:rPr>
      </w:pPr>
      <w:bookmarkStart w:id="362" w:name="_Toc407692702"/>
      <w:bookmarkStart w:id="363" w:name="_Toc512324008"/>
      <w:r>
        <w:rPr>
          <w:snapToGrid w:val="0"/>
        </w:rPr>
        <w:t>Compilation table</w:t>
      </w:r>
      <w:bookmarkEnd w:id="362"/>
      <w:bookmarkEnd w:id="36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rPr>
              <w:t>Mandatory Testing (Infectious Diseases) Act 2014</w:t>
            </w:r>
            <w:r>
              <w:rPr>
                <w:rFonts w:ascii="Times New Roman" w:hAnsi="Times New Roman"/>
              </w:rPr>
              <w:t xml:space="preserve"> </w:t>
            </w:r>
          </w:p>
        </w:tc>
        <w:tc>
          <w:tcPr>
            <w:tcW w:w="1134" w:type="dxa"/>
          </w:tcPr>
          <w:p>
            <w:pPr>
              <w:pStyle w:val="nTable"/>
              <w:spacing w:after="40"/>
              <w:rPr>
                <w:rFonts w:ascii="Times New Roman" w:hAnsi="Times New Roman"/>
              </w:rPr>
            </w:pPr>
            <w:r>
              <w:rPr>
                <w:rFonts w:ascii="Times New Roman" w:hAnsi="Times New Roman"/>
              </w:rPr>
              <w:t>26 of 2014</w:t>
            </w:r>
          </w:p>
        </w:tc>
        <w:tc>
          <w:tcPr>
            <w:tcW w:w="1134" w:type="dxa"/>
          </w:tcPr>
          <w:p>
            <w:pPr>
              <w:pStyle w:val="nTable"/>
              <w:spacing w:after="40"/>
              <w:rPr>
                <w:rFonts w:ascii="Times New Roman" w:hAnsi="Times New Roman"/>
              </w:rPr>
            </w:pPr>
            <w:r>
              <w:rPr>
                <w:rFonts w:ascii="Times New Roman" w:hAnsi="Times New Roman"/>
              </w:rPr>
              <w:t>3 Nov 2014</w:t>
            </w:r>
          </w:p>
        </w:tc>
        <w:tc>
          <w:tcPr>
            <w:tcW w:w="2552" w:type="dxa"/>
          </w:tcPr>
          <w:p>
            <w:pPr>
              <w:pStyle w:val="nTable"/>
              <w:spacing w:after="40"/>
              <w:rPr>
                <w:rFonts w:ascii="Times New Roman" w:hAnsi="Times New Roman"/>
              </w:rPr>
            </w:pPr>
            <w:r>
              <w:rPr>
                <w:rFonts w:ascii="Times New Roman" w:hAnsi="Times New Roman"/>
                <w:snapToGrid w:val="0"/>
              </w:rPr>
              <w:t>s. 1 and 2: 3 Nov 2014 (see s. 2(a));</w:t>
            </w:r>
            <w:r>
              <w:rPr>
                <w:rFonts w:ascii="Times New Roman" w:hAnsi="Times New Roman"/>
                <w:snapToGrid w:val="0"/>
              </w:rPr>
              <w:br/>
              <w:t xml:space="preserve">Act other than s. 1 and 2: 1 Jan 2015 (see s. 2(b) and </w:t>
            </w:r>
            <w:r>
              <w:rPr>
                <w:rFonts w:ascii="Times New Roman" w:hAnsi="Times New Roman"/>
                <w:i/>
                <w:snapToGrid w:val="0"/>
              </w:rPr>
              <w:t xml:space="preserve">Gazette </w:t>
            </w:r>
            <w:r>
              <w:rPr>
                <w:rFonts w:ascii="Times New Roman" w:hAnsi="Times New Roman"/>
                <w:snapToGrid w:val="0"/>
              </w:rPr>
              <w:t>30 Dec 2014 p. 5498)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4" w:name="_Toc512324009"/>
      <w:r>
        <w:t>Provisions that have not come into operation</w:t>
      </w:r>
      <w:bookmarkEnd w:id="36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i/>
              </w:rPr>
              <w:t>Health Practitioner Regulation National Law (WA) Amendment Act 2018</w:t>
            </w:r>
            <w:r>
              <w:rPr>
                <w:rFonts w:ascii="Times New Roman" w:hAnsi="Times New Roman"/>
              </w:rPr>
              <w:t xml:space="preserve"> s. 113 </w:t>
            </w:r>
            <w:r>
              <w:rPr>
                <w:rFonts w:ascii="Times New Roman" w:hAnsi="Times New Roman"/>
                <w:vertAlign w:val="superscript"/>
              </w:rPr>
              <w:t>2</w:t>
            </w:r>
          </w:p>
        </w:tc>
        <w:tc>
          <w:tcPr>
            <w:tcW w:w="1134"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rPr>
              <w:t>4 of 2018</w:t>
            </w:r>
          </w:p>
        </w:tc>
        <w:tc>
          <w:tcPr>
            <w:tcW w:w="1134"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top w:val="single" w:sz="8" w:space="0" w:color="auto"/>
              <w:bottom w:val="single" w:sz="4" w:space="0" w:color="auto"/>
            </w:tcBorders>
          </w:tcPr>
          <w:p>
            <w:pPr>
              <w:pStyle w:val="nTable"/>
              <w:spacing w:after="40"/>
              <w:rPr>
                <w:rFonts w:ascii="Times New Roman" w:hAnsi="Times New Roman"/>
              </w:rPr>
            </w:pPr>
            <w:r>
              <w:rPr>
                <w:rFonts w:ascii="Times New Roman" w:hAnsi="Times New Roman"/>
              </w:rPr>
              <w:t xml:space="preserve">1 Dec 2018 (see s. 2(d) and </w:t>
            </w:r>
            <w:r>
              <w:rPr>
                <w:rFonts w:ascii="Times New Roman" w:hAnsi="Times New Roman"/>
                <w:i/>
              </w:rPr>
              <w:t>Gazette</w:t>
            </w:r>
            <w:r>
              <w:rPr>
                <w:rFonts w:ascii="Times New Roman" w:hAnsi="Times New Roman"/>
              </w:rPr>
              <w:t xml:space="preserve"> 13 Nov 2018 p. 4427</w:t>
            </w:r>
            <w:r>
              <w:rPr>
                <w:rFonts w:ascii="Times New Roman" w:hAnsi="Times New Roman"/>
              </w:rPr>
              <w:noBreakHyphen/>
              <w:t>8)</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113 </w:t>
      </w:r>
      <w:r>
        <w:rPr>
          <w:snapToGrid w:val="0"/>
        </w:rPr>
        <w:t>had not come into operation.  It reads as follows:</w:t>
      </w:r>
    </w:p>
    <w:p>
      <w:pPr>
        <w:pStyle w:val="BlankOpen"/>
      </w:pPr>
    </w:p>
    <w:p>
      <w:pPr>
        <w:pStyle w:val="nzHeading5"/>
      </w:pPr>
      <w:bookmarkStart w:id="365" w:name="_Toc511216820"/>
      <w:bookmarkStart w:id="366" w:name="_Toc511995445"/>
      <w:r>
        <w:rPr>
          <w:rStyle w:val="CharSectno"/>
        </w:rPr>
        <w:t>113</w:t>
      </w:r>
      <w:r>
        <w:t>.</w:t>
      </w:r>
      <w:r>
        <w:tab/>
      </w:r>
      <w:r>
        <w:rPr>
          <w:i/>
        </w:rPr>
        <w:t>Mandatory Testing (Infectious Diseases) Act 2014</w:t>
      </w:r>
      <w:r>
        <w:t xml:space="preserve"> amended</w:t>
      </w:r>
      <w:bookmarkEnd w:id="365"/>
      <w:bookmarkEnd w:id="366"/>
    </w:p>
    <w:p>
      <w:pPr>
        <w:pStyle w:val="nzSubsection"/>
      </w:pPr>
      <w:r>
        <w:tab/>
        <w:t>(1)</w:t>
      </w:r>
      <w:r>
        <w:tab/>
        <w:t xml:space="preserve">This section amends the </w:t>
      </w:r>
      <w:r>
        <w:rPr>
          <w:i/>
        </w:rPr>
        <w:t>Mandatory Testing (Infectious Diseases) Act 2014</w:t>
      </w:r>
      <w:r>
        <w:t>.</w:t>
      </w:r>
    </w:p>
    <w:p>
      <w:pPr>
        <w:pStyle w:val="nzSubsection"/>
        <w:keepNext/>
      </w:pPr>
      <w:r>
        <w:tab/>
        <w:t>(2)</w:t>
      </w:r>
      <w:r>
        <w:tab/>
        <w:t xml:space="preserve">In section 4 in the definition of </w:t>
      </w:r>
      <w:r>
        <w:rPr>
          <w:b/>
          <w:i/>
        </w:rPr>
        <w:t>nurse</w:t>
      </w:r>
      <w:r>
        <w:t xml:space="preserve"> delete “and midwifery profession whose name is entered on the Register of Nurses kept under that Law;” and insert:</w:t>
      </w:r>
    </w:p>
    <w:p>
      <w:pPr>
        <w:pStyle w:val="BlankOpen"/>
      </w:pPr>
    </w:p>
    <w:p>
      <w:pPr>
        <w:pStyle w:val="nzSubsection"/>
      </w:pPr>
      <w:r>
        <w:tab/>
      </w:r>
      <w:r>
        <w:tab/>
        <w:t>profession;</w:t>
      </w:r>
    </w:p>
    <w:p>
      <w:pPr>
        <w:pStyle w:val="BlankClose"/>
      </w:pPr>
    </w:p>
    <w:p>
      <w:pPr>
        <w:pStyle w:val="BlankOpen"/>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368" w:name="_Toc421106860"/>
      <w:bookmarkStart w:id="369" w:name="_Toc512324010"/>
      <w:r>
        <w:rPr>
          <w:sz w:val="28"/>
        </w:rPr>
        <w:t>Defined terms</w:t>
      </w:r>
      <w:bookmarkEnd w:id="368"/>
      <w:bookmarkEnd w:id="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affected public officer</w:t>
      </w:r>
      <w:r>
        <w:tab/>
        <w:t>4</w:t>
      </w:r>
    </w:p>
    <w:p>
      <w:pPr>
        <w:pStyle w:val="DefinedTerms"/>
      </w:pPr>
      <w:r>
        <w:t>application</w:t>
      </w:r>
      <w:r>
        <w:tab/>
        <w:t>7(1), 15</w:t>
      </w:r>
    </w:p>
    <w:p>
      <w:pPr>
        <w:pStyle w:val="DefinedTerms"/>
      </w:pPr>
      <w:r>
        <w:t>approved form</w:t>
      </w:r>
      <w:r>
        <w:tab/>
        <w:t>7(1)</w:t>
      </w:r>
    </w:p>
    <w:p>
      <w:pPr>
        <w:pStyle w:val="DefinedTerms"/>
      </w:pPr>
      <w:r>
        <w:t>bodily fluid</w:t>
      </w:r>
      <w:r>
        <w:tab/>
        <w:t>4</w:t>
      </w:r>
    </w:p>
    <w:p>
      <w:pPr>
        <w:pStyle w:val="DefinedTerms"/>
      </w:pPr>
      <w:r>
        <w:t>child</w:t>
      </w:r>
      <w:r>
        <w:tab/>
        <w:t>4</w:t>
      </w:r>
    </w:p>
    <w:p>
      <w:pPr>
        <w:pStyle w:val="DefinedTerms"/>
      </w:pPr>
      <w:r>
        <w:t>Commissioner</w:t>
      </w:r>
      <w:r>
        <w:tab/>
        <w:t>4</w:t>
      </w:r>
    </w:p>
    <w:p>
      <w:pPr>
        <w:pStyle w:val="DefinedTerms"/>
      </w:pPr>
      <w:r>
        <w:t>court</w:t>
      </w:r>
      <w:r>
        <w:tab/>
        <w:t>15</w:t>
      </w:r>
    </w:p>
    <w:p>
      <w:pPr>
        <w:pStyle w:val="DefinedTerms"/>
      </w:pPr>
      <w:r>
        <w:t>disease test approval</w:t>
      </w:r>
      <w:r>
        <w:tab/>
        <w:t>7(1)</w:t>
      </w:r>
    </w:p>
    <w:p>
      <w:pPr>
        <w:pStyle w:val="DefinedTerms"/>
      </w:pPr>
      <w:r>
        <w:t>disease test authorisation</w:t>
      </w:r>
      <w:r>
        <w:tab/>
        <w:t>4</w:t>
      </w:r>
    </w:p>
    <w:p>
      <w:pPr>
        <w:pStyle w:val="DefinedTerms"/>
      </w:pPr>
      <w:r>
        <w:t>disease test order</w:t>
      </w:r>
      <w:r>
        <w:tab/>
        <w:t>15</w:t>
      </w:r>
    </w:p>
    <w:p>
      <w:pPr>
        <w:pStyle w:val="DefinedTerms"/>
      </w:pPr>
      <w:r>
        <w:t>doctor</w:t>
      </w:r>
      <w:r>
        <w:tab/>
        <w:t>4</w:t>
      </w:r>
    </w:p>
    <w:p>
      <w:pPr>
        <w:pStyle w:val="DefinedTerms"/>
      </w:pPr>
      <w:r>
        <w:t>FOI Act</w:t>
      </w:r>
      <w:r>
        <w:tab/>
        <w:t>5</w:t>
      </w:r>
    </w:p>
    <w:p>
      <w:pPr>
        <w:pStyle w:val="DefinedTerms"/>
      </w:pPr>
      <w:r>
        <w:t>health professional</w:t>
      </w:r>
      <w:r>
        <w:tab/>
        <w:t>29(1)</w:t>
      </w:r>
    </w:p>
    <w:p>
      <w:pPr>
        <w:pStyle w:val="DefinedTerms"/>
      </w:pPr>
      <w:r>
        <w:t>incapable person</w:t>
      </w:r>
      <w:r>
        <w:tab/>
        <w:t>4</w:t>
      </w:r>
    </w:p>
    <w:p>
      <w:pPr>
        <w:pStyle w:val="DefinedTerms"/>
      </w:pPr>
      <w:r>
        <w:t>infectious disease</w:t>
      </w:r>
      <w:r>
        <w:tab/>
        <w:t>4</w:t>
      </w:r>
    </w:p>
    <w:p>
      <w:pPr>
        <w:pStyle w:val="DefinedTerms"/>
      </w:pPr>
      <w:r>
        <w:t>lawyer</w:t>
      </w:r>
      <w:r>
        <w:tab/>
        <w:t>15</w:t>
      </w:r>
    </w:p>
    <w:p>
      <w:pPr>
        <w:pStyle w:val="DefinedTerms"/>
      </w:pPr>
      <w:r>
        <w:t>nurse</w:t>
      </w:r>
      <w:r>
        <w:tab/>
        <w:t>4</w:t>
      </w:r>
    </w:p>
    <w:p>
      <w:pPr>
        <w:pStyle w:val="DefinedTerms"/>
      </w:pPr>
      <w:r>
        <w:t>police officer</w:t>
      </w:r>
      <w:r>
        <w:tab/>
        <w:t>4</w:t>
      </w:r>
    </w:p>
    <w:p>
      <w:pPr>
        <w:pStyle w:val="DefinedTerms"/>
      </w:pPr>
      <w:r>
        <w:t>police service employee</w:t>
      </w:r>
      <w:r>
        <w:tab/>
        <w:t>4</w:t>
      </w:r>
    </w:p>
    <w:p>
      <w:pPr>
        <w:pStyle w:val="DefinedTerms"/>
      </w:pPr>
      <w:r>
        <w:t>police</w:t>
      </w:r>
      <w:r>
        <w:noBreakHyphen/>
        <w:t>related officer</w:t>
      </w:r>
      <w:r>
        <w:tab/>
        <w:t>4</w:t>
      </w:r>
    </w:p>
    <w:p>
      <w:pPr>
        <w:pStyle w:val="DefinedTerms"/>
      </w:pPr>
      <w:r>
        <w:t>prescribed</w:t>
      </w:r>
      <w:r>
        <w:tab/>
        <w:t>4</w:t>
      </w:r>
    </w:p>
    <w:p>
      <w:pPr>
        <w:pStyle w:val="DefinedTerms"/>
      </w:pPr>
      <w:r>
        <w:t>proceeding</w:t>
      </w:r>
      <w:r>
        <w:tab/>
        <w:t>31(1)</w:t>
      </w:r>
    </w:p>
    <w:p>
      <w:pPr>
        <w:pStyle w:val="DefinedTerms"/>
      </w:pPr>
      <w:r>
        <w:t>protected person</w:t>
      </w:r>
      <w:r>
        <w:tab/>
        <w:t>4</w:t>
      </w:r>
    </w:p>
    <w:p>
      <w:pPr>
        <w:pStyle w:val="DefinedTerms"/>
      </w:pPr>
      <w:r>
        <w:t>public officer</w:t>
      </w:r>
      <w:r>
        <w:tab/>
        <w:t>4</w:t>
      </w:r>
    </w:p>
    <w:p>
      <w:pPr>
        <w:pStyle w:val="DefinedTerms"/>
      </w:pPr>
      <w:r>
        <w:t>qualified person</w:t>
      </w:r>
      <w:r>
        <w:tab/>
        <w:t>4</w:t>
      </w:r>
    </w:p>
    <w:p>
      <w:pPr>
        <w:pStyle w:val="DefinedTerms"/>
      </w:pPr>
      <w:r>
        <w:t>reasonable grounds for disease testing</w:t>
      </w:r>
      <w:r>
        <w:tab/>
        <w:t>4</w:t>
      </w:r>
    </w:p>
    <w:p>
      <w:pPr>
        <w:pStyle w:val="DefinedTerms"/>
      </w:pPr>
      <w:r>
        <w:t>remote communication</w:t>
      </w:r>
      <w:r>
        <w:tab/>
        <w:t>7(1)</w:t>
      </w:r>
    </w:p>
    <w:p>
      <w:pPr>
        <w:pStyle w:val="DefinedTerms"/>
      </w:pPr>
      <w:r>
        <w:t>responsible person</w:t>
      </w:r>
      <w:r>
        <w:tab/>
        <w:t>4</w:t>
      </w:r>
    </w:p>
    <w:p>
      <w:pPr>
        <w:pStyle w:val="DefinedTerms"/>
      </w:pPr>
      <w:r>
        <w:t>senior next of kin</w:t>
      </w:r>
      <w:r>
        <w:tab/>
        <w:t>29(1)</w:t>
      </w:r>
    </w:p>
    <w:p>
      <w:pPr>
        <w:pStyle w:val="DefinedTerms"/>
      </w:pPr>
      <w:r>
        <w:t>senior police officer</w:t>
      </w:r>
      <w:r>
        <w:tab/>
        <w:t>7(1)</w:t>
      </w:r>
    </w:p>
    <w:p>
      <w:pPr>
        <w:pStyle w:val="DefinedTerms"/>
      </w:pPr>
      <w:r>
        <w:t>suspected transferor</w:t>
      </w:r>
      <w:r>
        <w:tab/>
        <w:t>4</w:t>
      </w:r>
    </w:p>
    <w:p>
      <w:pPr>
        <w:pStyle w:val="DefinedTerms"/>
      </w:pPr>
      <w:r>
        <w:t>third party</w:t>
      </w:r>
      <w:r>
        <w:tab/>
        <w:t>15, 17(2)</w:t>
      </w:r>
    </w:p>
    <w:p>
      <w:pPr>
        <w:pStyle w:val="DefinedTerms"/>
      </w:pPr>
      <w:r>
        <w:t>transfer of bodily fluid</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Mandatory Testing (Infectious Diseases)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Mandatory Testing (Infectious Diseases)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0" w:name="DefinedTerms"/>
    <w:bookmarkEnd w:id="37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1" w:name="Coversheet"/>
    <w:bookmarkEnd w:id="3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734"/>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 w:name="WAFER_20141229162744" w:val="RemoveTocBookmarks,RemoveUnusedBookmarks,RemoveLanguageTags,UsedStyles,ResetPageSize,UpdateArrangement"/>
    <w:docVar w:name="WAFER_20141229162744_GUID" w:val="b334cd27-765a-4bc7-9f2d-0048fbb1e4ca"/>
    <w:docVar w:name="WAFER_20150603143616" w:val="ResetPageSize,UpdateArrangement,UpdateNTable"/>
    <w:docVar w:name="WAFER_20150603143616_GUID" w:val="ce4a588a-b892-4259-b7b5-e041dbfaa4a0"/>
    <w:docVar w:name="WAFER_20151106160734" w:val="UpdateStyles,UsedStyles"/>
    <w:docVar w:name="WAFER_20151106160734_GUID" w:val="d83c6dff-c381-428b-9613-0cfd2108a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82EF8-8C9D-405F-B02F-7BD63C03B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5231</Words>
  <Characters>25687</Characters>
  <Application>Microsoft Office Word</Application>
  <DocSecurity>0</DocSecurity>
  <Lines>755</Lines>
  <Paragraphs>515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30403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2014 - 00-c0-03</dc:title>
  <dc:subject/>
  <dc:creator/>
  <cp:keywords/>
  <dc:description/>
  <cp:lastModifiedBy>svcMRProcess</cp:lastModifiedBy>
  <cp:revision>4</cp:revision>
  <cp:lastPrinted>2014-11-04T01:39:00Z</cp:lastPrinted>
  <dcterms:created xsi:type="dcterms:W3CDTF">2018-11-13T06:46:00Z</dcterms:created>
  <dcterms:modified xsi:type="dcterms:W3CDTF">2018-11-13T06:46:00Z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BillID">
    <vt:lpwstr>2277</vt:lpwstr>
  </property>
  <property fmtid="{D5CDD505-2E9C-101B-9397-08002B2CF9AE}" pid="4" name="DocumentType">
    <vt:lpwstr>Act</vt:lpwstr>
  </property>
  <property fmtid="{D5CDD505-2E9C-101B-9397-08002B2CF9AE}" pid="5" name="CommencementDate">
    <vt:lpwstr>20180419</vt:lpwstr>
  </property>
  <property fmtid="{D5CDD505-2E9C-101B-9397-08002B2CF9AE}" pid="6" name="AsAtDate">
    <vt:lpwstr>19 Apr 2018</vt:lpwstr>
  </property>
  <property fmtid="{D5CDD505-2E9C-101B-9397-08002B2CF9AE}" pid="7" name="Suffix">
    <vt:lpwstr>00-c0-03</vt:lpwstr>
  </property>
</Properties>
</file>