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(Country Taxi-car)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_Toc514927943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_Toc514927944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_Toc514927945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_Toc514927946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_Toc514927947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_Toc514927948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_Toc514927950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_Toc514927951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_Toc514927952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_Toc514927953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_Toc514927954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_Toc514927955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_Toc514927956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_Toc514927957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_Toc514927958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_Toc514927960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_Toc514927961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_Toc514927962 \h </w:instrText>
      </w:r>
      <w:r>
        <w:fldChar w:fldCharType="separate"/>
      </w:r>
      <w:r>
        <w:t>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_Toc514927963 \h </w:instrText>
      </w:r>
      <w:r>
        <w:fldChar w:fldCharType="separate"/>
      </w:r>
      <w:r>
        <w:t>10</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_Toc514927964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Shortest route</w:t>
      </w:r>
      <w:r>
        <w:tab/>
      </w:r>
      <w:r>
        <w:fldChar w:fldCharType="begin"/>
      </w:r>
      <w:r>
        <w:instrText xml:space="preserve"> PAGEREF _Toc514927965 \h </w:instrText>
      </w:r>
      <w:r>
        <w:fldChar w:fldCharType="separate"/>
      </w:r>
      <w:r>
        <w:t>11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_Toc514927966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_Toc514927968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_Toc514927969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_Toc514927971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_Toc514927972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_Toc514927973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_Toc514927974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_Toc514927975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_Toc514927976 \h </w:instrText>
      </w:r>
      <w:r>
        <w:fldChar w:fldCharType="separate"/>
      </w:r>
      <w:r>
        <w:t>17</w:t>
      </w:r>
      <w:r>
        <w:fldChar w:fldCharType="end"/>
      </w:r>
    </w:p>
    <w:p>
      <w:pPr>
        <w:pStyle w:val="TOC8"/>
        <w:rPr>
          <w:rFonts w:asciiTheme="minorHAnsi" w:eastAsiaTheme="minorEastAsia" w:hAnsiTheme="minorHAnsi" w:cstheme="minorBidi"/>
          <w:szCs w:val="22"/>
        </w:rPr>
      </w:pPr>
      <w:r>
        <w:t>39.</w:t>
      </w:r>
      <w:r>
        <w:tab/>
        <w:t xml:space="preserve">Hire </w:t>
      </w:r>
      <w:r>
        <w:rPr>
          <w:snapToGrid w:val="0"/>
        </w:rPr>
        <w:t>period and operation of taximeter</w:t>
      </w:r>
      <w:r>
        <w:tab/>
      </w:r>
      <w:r>
        <w:fldChar w:fldCharType="begin"/>
      </w:r>
      <w:r>
        <w:instrText xml:space="preserve"> PAGEREF _Toc514927977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_Toc514927979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_Toc514927980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_Toc514927981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_Toc514927982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_Toc514927984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_Toc514927985 \h </w:instrText>
      </w:r>
      <w:r>
        <w:fldChar w:fldCharType="separate"/>
      </w:r>
      <w:r>
        <w:t>22</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_Toc514927986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_Toc514927988 \h </w:instrText>
      </w:r>
      <w:r>
        <w:fldChar w:fldCharType="separate"/>
      </w:r>
      <w:r>
        <w:t>23</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_Toc514927989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_Toc514927994 \h </w:instrText>
      </w:r>
      <w:r>
        <w:fldChar w:fldCharType="separate"/>
      </w:r>
      <w:r>
        <w:t>32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_Toc514927995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489006578"/>
      <w:bookmarkStart w:id="4" w:name="_Toc489007048"/>
      <w:bookmarkStart w:id="5" w:name="_Toc492304439"/>
      <w:bookmarkStart w:id="6" w:name="_Toc496108199"/>
      <w:bookmarkStart w:id="7" w:name="_Toc51492794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514927943"/>
      <w:r>
        <w:rPr>
          <w:rStyle w:val="CharSectno"/>
        </w:rPr>
        <w:t>1</w:t>
      </w:r>
      <w:r>
        <w:rPr>
          <w:snapToGrid w:val="0"/>
        </w:rPr>
        <w:t>.</w:t>
      </w:r>
      <w:r>
        <w:rPr>
          <w:snapToGrid w:val="0"/>
        </w:rPr>
        <w:tab/>
        <w:t>Citation</w:t>
      </w:r>
      <w:bookmarkEnd w:id="8"/>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9" w:name="_Toc514927944"/>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0" w:name="_Toc514927945"/>
      <w:r>
        <w:rPr>
          <w:rStyle w:val="CharSectno"/>
        </w:rPr>
        <w:t>3</w:t>
      </w:r>
      <w:r>
        <w:rPr>
          <w:snapToGrid w:val="0"/>
        </w:rPr>
        <w:t>.</w:t>
      </w:r>
      <w:r>
        <w:rPr>
          <w:snapToGrid w:val="0"/>
        </w:rPr>
        <w:tab/>
        <w:t>Application</w:t>
      </w:r>
      <w:bookmarkEnd w:id="10"/>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1" w:name="_Toc514927946"/>
      <w:r>
        <w:rPr>
          <w:rStyle w:val="CharSectno"/>
        </w:rPr>
        <w:t>4</w:t>
      </w:r>
      <w:r>
        <w:rPr>
          <w:snapToGrid w:val="0"/>
        </w:rPr>
        <w:t>.</w:t>
      </w:r>
      <w:r>
        <w:rPr>
          <w:snapToGrid w:val="0"/>
        </w:rPr>
        <w:tab/>
        <w:t>Terms used</w:t>
      </w:r>
      <w:bookmarkEnd w:id="1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2" w:name="_Toc514927947"/>
      <w:r>
        <w:rPr>
          <w:rStyle w:val="CharSectno"/>
        </w:rPr>
        <w:t>5</w:t>
      </w:r>
      <w:r>
        <w:rPr>
          <w:snapToGrid w:val="0"/>
        </w:rPr>
        <w:t>.</w:t>
      </w:r>
      <w:r>
        <w:rPr>
          <w:snapToGrid w:val="0"/>
        </w:rPr>
        <w:tab/>
        <w:t>Fees</w:t>
      </w:r>
      <w:bookmarkEnd w:id="12"/>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3" w:name="_Toc514927948"/>
      <w:r>
        <w:rPr>
          <w:rStyle w:val="CharSectno"/>
        </w:rPr>
        <w:t>7</w:t>
      </w:r>
      <w:r>
        <w:rPr>
          <w:snapToGrid w:val="0"/>
        </w:rPr>
        <w:t>.</w:t>
      </w:r>
      <w:r>
        <w:rPr>
          <w:snapToGrid w:val="0"/>
        </w:rPr>
        <w:tab/>
        <w:t>Conditions of licensing</w:t>
      </w:r>
      <w:bookmarkEnd w:id="13"/>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4" w:name="_Toc489006585"/>
      <w:bookmarkStart w:id="15" w:name="_Toc489007055"/>
      <w:bookmarkStart w:id="16" w:name="_Toc492304446"/>
      <w:bookmarkStart w:id="17" w:name="_Toc496108206"/>
      <w:bookmarkStart w:id="18" w:name="_Toc514927949"/>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4"/>
      <w:bookmarkEnd w:id="15"/>
      <w:bookmarkEnd w:id="16"/>
      <w:bookmarkEnd w:id="17"/>
      <w:bookmarkEnd w:id="18"/>
    </w:p>
    <w:p>
      <w:pPr>
        <w:pStyle w:val="Heading5"/>
        <w:rPr>
          <w:snapToGrid w:val="0"/>
        </w:rPr>
      </w:pPr>
      <w:bookmarkStart w:id="19" w:name="_Toc514927950"/>
      <w:r>
        <w:rPr>
          <w:rStyle w:val="CharSectno"/>
        </w:rPr>
        <w:t>8</w:t>
      </w:r>
      <w:r>
        <w:rPr>
          <w:snapToGrid w:val="0"/>
        </w:rPr>
        <w:t>.</w:t>
      </w:r>
      <w:r>
        <w:rPr>
          <w:snapToGrid w:val="0"/>
        </w:rPr>
        <w:tab/>
        <w:t>Application for licence</w:t>
      </w:r>
      <w:bookmarkEnd w:id="19"/>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20" w:name="_Toc514927951"/>
      <w:r>
        <w:rPr>
          <w:rStyle w:val="CharSectno"/>
        </w:rPr>
        <w:t>9</w:t>
      </w:r>
      <w:r>
        <w:rPr>
          <w:snapToGrid w:val="0"/>
        </w:rPr>
        <w:t>.</w:t>
      </w:r>
      <w:r>
        <w:rPr>
          <w:snapToGrid w:val="0"/>
        </w:rPr>
        <w:tab/>
        <w:t>Licences valid for 12 months</w:t>
      </w:r>
      <w:bookmarkEnd w:id="20"/>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21" w:name="_Toc514927952"/>
      <w:r>
        <w:rPr>
          <w:rStyle w:val="CharSectno"/>
        </w:rPr>
        <w:t>10</w:t>
      </w:r>
      <w:r>
        <w:rPr>
          <w:snapToGrid w:val="0"/>
        </w:rPr>
        <w:t>.</w:t>
      </w:r>
      <w:r>
        <w:rPr>
          <w:snapToGrid w:val="0"/>
        </w:rPr>
        <w:tab/>
        <w:t>Renewal of licence</w:t>
      </w:r>
      <w:bookmarkEnd w:id="21"/>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22" w:name="_Toc514927953"/>
      <w:r>
        <w:rPr>
          <w:rStyle w:val="CharSectno"/>
        </w:rPr>
        <w:t>11</w:t>
      </w:r>
      <w:r>
        <w:rPr>
          <w:snapToGrid w:val="0"/>
        </w:rPr>
        <w:t>.</w:t>
      </w:r>
      <w:r>
        <w:rPr>
          <w:snapToGrid w:val="0"/>
        </w:rPr>
        <w:tab/>
        <w:t>Change of owner and transfer of licence</w:t>
      </w:r>
      <w:bookmarkEnd w:id="22"/>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23" w:name="_Toc514927954"/>
      <w:r>
        <w:rPr>
          <w:rStyle w:val="CharSectno"/>
        </w:rPr>
        <w:t>12</w:t>
      </w:r>
      <w:r>
        <w:rPr>
          <w:snapToGrid w:val="0"/>
        </w:rPr>
        <w:t>.</w:t>
      </w:r>
      <w:r>
        <w:rPr>
          <w:snapToGrid w:val="0"/>
        </w:rPr>
        <w:tab/>
        <w:t>Vehicle to be approved</w:t>
      </w:r>
      <w:bookmarkEnd w:id="23"/>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24" w:name="_Toc514927955"/>
      <w:r>
        <w:rPr>
          <w:rStyle w:val="CharSectno"/>
        </w:rPr>
        <w:t>14</w:t>
      </w:r>
      <w:r>
        <w:rPr>
          <w:snapToGrid w:val="0"/>
        </w:rPr>
        <w:t>.</w:t>
      </w:r>
      <w:r>
        <w:rPr>
          <w:snapToGrid w:val="0"/>
        </w:rPr>
        <w:tab/>
        <w:t>Number plates</w:t>
      </w:r>
      <w:bookmarkEnd w:id="24"/>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25" w:name="_Toc514927956"/>
      <w:r>
        <w:rPr>
          <w:rStyle w:val="CharSectno"/>
        </w:rPr>
        <w:t>15</w:t>
      </w:r>
      <w:r>
        <w:rPr>
          <w:snapToGrid w:val="0"/>
        </w:rPr>
        <w:t>.</w:t>
      </w:r>
      <w:r>
        <w:rPr>
          <w:snapToGrid w:val="0"/>
        </w:rPr>
        <w:tab/>
        <w:t>Replacement of taxi</w:t>
      </w:r>
      <w:r>
        <w:rPr>
          <w:snapToGrid w:val="0"/>
        </w:rPr>
        <w:noBreakHyphen/>
        <w:t>car</w:t>
      </w:r>
      <w:bookmarkEnd w:id="25"/>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26" w:name="_Toc514927957"/>
      <w:r>
        <w:rPr>
          <w:rStyle w:val="CharSectno"/>
        </w:rPr>
        <w:t>16</w:t>
      </w:r>
      <w:r>
        <w:rPr>
          <w:snapToGrid w:val="0"/>
        </w:rPr>
        <w:t>.</w:t>
      </w:r>
      <w:r>
        <w:rPr>
          <w:snapToGrid w:val="0"/>
        </w:rPr>
        <w:tab/>
        <w:t>Removal of vehicle from district</w:t>
      </w:r>
      <w:bookmarkEnd w:id="26"/>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27" w:name="_Toc514927958"/>
      <w:r>
        <w:rPr>
          <w:rStyle w:val="CharSectno"/>
        </w:rPr>
        <w:t>17</w:t>
      </w:r>
      <w:r>
        <w:rPr>
          <w:snapToGrid w:val="0"/>
        </w:rPr>
        <w:t>.</w:t>
      </w:r>
      <w:r>
        <w:rPr>
          <w:snapToGrid w:val="0"/>
        </w:rPr>
        <w:tab/>
        <w:t>Substitution of taxi</w:t>
      </w:r>
      <w:r>
        <w:rPr>
          <w:snapToGrid w:val="0"/>
        </w:rPr>
        <w:noBreakHyphen/>
        <w:t>car under repair</w:t>
      </w:r>
      <w:bookmarkEnd w:id="27"/>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28" w:name="_Toc489006595"/>
      <w:bookmarkStart w:id="29" w:name="_Toc489007065"/>
      <w:bookmarkStart w:id="30" w:name="_Toc492304456"/>
      <w:bookmarkStart w:id="31" w:name="_Toc496108216"/>
      <w:bookmarkStart w:id="32" w:name="_Toc514927959"/>
      <w:r>
        <w:rPr>
          <w:rStyle w:val="CharPartNo"/>
        </w:rPr>
        <w:t>Part IV</w:t>
      </w:r>
      <w:r>
        <w:rPr>
          <w:rStyle w:val="CharDivNo"/>
        </w:rPr>
        <w:t> </w:t>
      </w:r>
      <w:r>
        <w:t>—</w:t>
      </w:r>
      <w:r>
        <w:rPr>
          <w:rStyle w:val="CharDivText"/>
        </w:rPr>
        <w:t> </w:t>
      </w:r>
      <w:r>
        <w:rPr>
          <w:rStyle w:val="CharPartText"/>
        </w:rPr>
        <w:t>Conduct of drivers</w:t>
      </w:r>
      <w:bookmarkEnd w:id="28"/>
      <w:bookmarkEnd w:id="29"/>
      <w:bookmarkEnd w:id="30"/>
      <w:bookmarkEnd w:id="31"/>
      <w:bookmarkEnd w:id="32"/>
    </w:p>
    <w:p>
      <w:pPr>
        <w:pStyle w:val="Heading5"/>
        <w:rPr>
          <w:snapToGrid w:val="0"/>
        </w:rPr>
      </w:pPr>
      <w:bookmarkStart w:id="33" w:name="_Toc514927960"/>
      <w:r>
        <w:rPr>
          <w:rStyle w:val="CharSectno"/>
        </w:rPr>
        <w:t>24</w:t>
      </w:r>
      <w:r>
        <w:rPr>
          <w:snapToGrid w:val="0"/>
        </w:rPr>
        <w:t>.</w:t>
      </w:r>
      <w:r>
        <w:rPr>
          <w:snapToGrid w:val="0"/>
        </w:rPr>
        <w:tab/>
        <w:t>Drivers to be clean and neat</w:t>
      </w:r>
      <w:bookmarkEnd w:id="33"/>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34" w:name="_Toc514927961"/>
      <w:r>
        <w:rPr>
          <w:rStyle w:val="CharSectno"/>
        </w:rPr>
        <w:t>25</w:t>
      </w:r>
      <w:r>
        <w:rPr>
          <w:snapToGrid w:val="0"/>
        </w:rPr>
        <w:t>.</w:t>
      </w:r>
      <w:r>
        <w:rPr>
          <w:snapToGrid w:val="0"/>
        </w:rPr>
        <w:tab/>
        <w:t>Conduct of driver</w:t>
      </w:r>
      <w:bookmarkEnd w:id="34"/>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35" w:name="_Toc514927962"/>
      <w:r>
        <w:rPr>
          <w:rStyle w:val="CharSectno"/>
        </w:rPr>
        <w:t>26</w:t>
      </w:r>
      <w:r>
        <w:rPr>
          <w:snapToGrid w:val="0"/>
        </w:rPr>
        <w:t>.</w:t>
      </w:r>
      <w:r>
        <w:rPr>
          <w:snapToGrid w:val="0"/>
        </w:rPr>
        <w:tab/>
        <w:t>Obligation on driver</w:t>
      </w:r>
      <w:bookmarkEnd w:id="35"/>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 or</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 or</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r>
      <w:r>
        <w:tab/>
        <w:t>or</w:t>
      </w:r>
    </w:p>
    <w:p>
      <w:pPr>
        <w:pStyle w:val="Indenta"/>
      </w:pPr>
      <w:r>
        <w:tab/>
        <w:t>(c)</w:t>
      </w:r>
      <w:r>
        <w:tab/>
        <w:t xml:space="preserve">the driver requires the intending hirer to pay a deposit under the </w:t>
      </w:r>
      <w:r>
        <w:rPr>
          <w:i/>
        </w:rPr>
        <w:t>Transport (Country Taxi</w:t>
      </w:r>
      <w:r>
        <w:rPr>
          <w:i/>
        </w:rPr>
        <w:noBreakHyphen/>
        <w:t>cars Fares)</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 and</w:t>
      </w:r>
    </w:p>
    <w:p>
      <w:pPr>
        <w:pStyle w:val="Indenta"/>
      </w:pPr>
      <w:r>
        <w:tab/>
        <w:t>(b)</w:t>
      </w:r>
      <w:r>
        <w:tab/>
        <w:t>the driver or an authorised officer may request all passengers to alight from the taxi</w:t>
      </w:r>
      <w:r>
        <w:noBreakHyphen/>
        <w:t>car; and</w:t>
      </w:r>
    </w:p>
    <w:p>
      <w:pPr>
        <w:pStyle w:val="Indenta"/>
        <w:keepNext/>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costs of cleaning mentioned in the </w:t>
      </w:r>
      <w:r>
        <w:rPr>
          <w:i/>
        </w:rPr>
        <w:t>Transport (Country Taxi</w:t>
      </w:r>
      <w:r>
        <w:rPr>
          <w:i/>
        </w:rPr>
        <w:noBreakHyphen/>
        <w:t>cars Fares)</w:t>
      </w:r>
      <w:r>
        <w:rPr>
          <w:i/>
          <w:iCs/>
        </w:rPr>
        <w:t xml:space="preserve"> Regulations 1991 </w:t>
      </w:r>
      <w:r>
        <w:rPr>
          <w:iCs/>
        </w:rPr>
        <w:t>regulation 3AB(3).</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 28 Jun 2016 p. 2690.]</w:t>
      </w:r>
    </w:p>
    <w:p>
      <w:pPr>
        <w:pStyle w:val="Heading5"/>
        <w:rPr>
          <w:snapToGrid w:val="0"/>
        </w:rPr>
      </w:pPr>
      <w:bookmarkStart w:id="36" w:name="_Toc514927963"/>
      <w:r>
        <w:rPr>
          <w:rStyle w:val="CharSectno"/>
        </w:rPr>
        <w:t>26A</w:t>
      </w:r>
      <w:r>
        <w:rPr>
          <w:snapToGrid w:val="0"/>
        </w:rPr>
        <w:t>.</w:t>
      </w:r>
      <w:r>
        <w:rPr>
          <w:snapToGrid w:val="0"/>
        </w:rPr>
        <w:tab/>
        <w:t>Passengers not to exceed licensed number</w:t>
      </w:r>
      <w:bookmarkEnd w:id="36"/>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37" w:name="_Toc514927964"/>
      <w:r>
        <w:rPr>
          <w:rStyle w:val="CharSectno"/>
        </w:rPr>
        <w:t>26B</w:t>
      </w:r>
      <w:r>
        <w:t>.</w:t>
      </w:r>
      <w:r>
        <w:tab/>
        <w:t>Requirement to carry guide dogs</w:t>
      </w:r>
      <w:bookmarkEnd w:id="37"/>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38" w:name="_Toc514927965"/>
      <w:r>
        <w:rPr>
          <w:rStyle w:val="CharSectno"/>
        </w:rPr>
        <w:t>27</w:t>
      </w:r>
      <w:r>
        <w:rPr>
          <w:snapToGrid w:val="0"/>
        </w:rPr>
        <w:t>.</w:t>
      </w:r>
      <w:r>
        <w:rPr>
          <w:snapToGrid w:val="0"/>
        </w:rPr>
        <w:tab/>
        <w:t>Shortest route</w:t>
      </w:r>
      <w:bookmarkEnd w:id="38"/>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39" w:name="_Toc514927966"/>
      <w:r>
        <w:rPr>
          <w:rStyle w:val="CharSectno"/>
        </w:rPr>
        <w:t>27A</w:t>
      </w:r>
      <w:r>
        <w:rPr>
          <w:snapToGrid w:val="0"/>
        </w:rPr>
        <w:t>.</w:t>
      </w:r>
      <w:r>
        <w:rPr>
          <w:snapToGrid w:val="0"/>
        </w:rPr>
        <w:tab/>
        <w:t>Display of driver identification</w:t>
      </w:r>
      <w:bookmarkEnd w:id="39"/>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40" w:name="_Toc489006603"/>
      <w:bookmarkStart w:id="41" w:name="_Toc489007073"/>
      <w:bookmarkStart w:id="42" w:name="_Toc492304464"/>
      <w:bookmarkStart w:id="43" w:name="_Toc496108224"/>
      <w:bookmarkStart w:id="44" w:name="_Toc514927967"/>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40"/>
      <w:bookmarkEnd w:id="41"/>
      <w:bookmarkEnd w:id="42"/>
      <w:bookmarkEnd w:id="43"/>
      <w:bookmarkEnd w:id="44"/>
    </w:p>
    <w:p>
      <w:pPr>
        <w:pStyle w:val="Heading5"/>
        <w:rPr>
          <w:snapToGrid w:val="0"/>
        </w:rPr>
      </w:pPr>
      <w:bookmarkStart w:id="45" w:name="_Toc514927968"/>
      <w:r>
        <w:rPr>
          <w:rStyle w:val="CharSectno"/>
        </w:rPr>
        <w:t>28</w:t>
      </w:r>
      <w:r>
        <w:rPr>
          <w:snapToGrid w:val="0"/>
        </w:rPr>
        <w:t>.</w:t>
      </w:r>
      <w:r>
        <w:rPr>
          <w:snapToGrid w:val="0"/>
        </w:rPr>
        <w:tab/>
        <w:t>Condition of vehicle</w:t>
      </w:r>
      <w:bookmarkEnd w:id="45"/>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46" w:name="_Toc514927969"/>
      <w:r>
        <w:rPr>
          <w:rStyle w:val="CharSectno"/>
        </w:rPr>
        <w:t>29</w:t>
      </w:r>
      <w:r>
        <w:rPr>
          <w:snapToGrid w:val="0"/>
        </w:rPr>
        <w:t>.</w:t>
      </w:r>
      <w:r>
        <w:rPr>
          <w:snapToGrid w:val="0"/>
        </w:rPr>
        <w:tab/>
        <w:t>Signs on taxi</w:t>
      </w:r>
      <w:r>
        <w:rPr>
          <w:snapToGrid w:val="0"/>
        </w:rPr>
        <w:noBreakHyphen/>
        <w:t>cars</w:t>
      </w:r>
      <w:bookmarkEnd w:id="46"/>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47" w:name="_Toc489006606"/>
      <w:bookmarkStart w:id="48" w:name="_Toc489007076"/>
      <w:bookmarkStart w:id="49" w:name="_Toc492304467"/>
      <w:bookmarkStart w:id="50" w:name="_Toc496108227"/>
      <w:bookmarkStart w:id="51" w:name="_Toc514927970"/>
      <w:r>
        <w:rPr>
          <w:rStyle w:val="CharPartNo"/>
        </w:rPr>
        <w:t>Part VII</w:t>
      </w:r>
      <w:r>
        <w:rPr>
          <w:rStyle w:val="CharDivNo"/>
        </w:rPr>
        <w:t> </w:t>
      </w:r>
      <w:r>
        <w:t>—</w:t>
      </w:r>
      <w:r>
        <w:rPr>
          <w:rStyle w:val="CharDivText"/>
        </w:rPr>
        <w:t> </w:t>
      </w:r>
      <w:r>
        <w:rPr>
          <w:rStyle w:val="CharPartText"/>
        </w:rPr>
        <w:t>Taximeters</w:t>
      </w:r>
      <w:bookmarkEnd w:id="47"/>
      <w:bookmarkEnd w:id="48"/>
      <w:bookmarkEnd w:id="49"/>
      <w:bookmarkEnd w:id="50"/>
      <w:bookmarkEnd w:id="51"/>
    </w:p>
    <w:p>
      <w:pPr>
        <w:pStyle w:val="Heading5"/>
        <w:rPr>
          <w:snapToGrid w:val="0"/>
        </w:rPr>
      </w:pPr>
      <w:bookmarkStart w:id="52" w:name="_Toc514927971"/>
      <w:r>
        <w:rPr>
          <w:rStyle w:val="CharSectno"/>
        </w:rPr>
        <w:t>33</w:t>
      </w:r>
      <w:r>
        <w:rPr>
          <w:snapToGrid w:val="0"/>
        </w:rPr>
        <w:t>.</w:t>
      </w:r>
      <w:r>
        <w:rPr>
          <w:snapToGrid w:val="0"/>
        </w:rPr>
        <w:tab/>
        <w:t>Requirements in relation to taximeters</w:t>
      </w:r>
      <w:bookmarkEnd w:id="52"/>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 and</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53" w:name="_Toc514927972"/>
      <w:r>
        <w:rPr>
          <w:rStyle w:val="CharSectno"/>
        </w:rPr>
        <w:t>34</w:t>
      </w:r>
      <w:r>
        <w:rPr>
          <w:snapToGrid w:val="0"/>
        </w:rPr>
        <w:t>.</w:t>
      </w:r>
      <w:r>
        <w:rPr>
          <w:snapToGrid w:val="0"/>
        </w:rPr>
        <w:tab/>
        <w:t>Director General may direct fitting of taximeter</w:t>
      </w:r>
      <w:bookmarkEnd w:id="53"/>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r>
        <w:rPr>
          <w:i/>
        </w:rPr>
        <w:t>Transport (Country Taxi</w:t>
      </w:r>
      <w:r>
        <w:rPr>
          <w:i/>
        </w:rPr>
        <w:noBreakHyphen/>
        <w:t>cars Fares)</w:t>
      </w:r>
      <w:r>
        <w:rPr>
          <w:i/>
          <w:iCs/>
        </w:rPr>
        <w:t xml:space="preserve"> Regulations 1991 </w:t>
      </w:r>
      <w:r>
        <w:rPr>
          <w:iCs/>
        </w:rPr>
        <w:t xml:space="preserve">regulation 3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 28 Jun 2016 p. 2690.]</w:t>
      </w:r>
    </w:p>
    <w:p>
      <w:pPr>
        <w:pStyle w:val="Heading5"/>
        <w:rPr>
          <w:snapToGrid w:val="0"/>
        </w:rPr>
      </w:pPr>
      <w:bookmarkStart w:id="54" w:name="_Toc514927973"/>
      <w:r>
        <w:rPr>
          <w:rStyle w:val="CharSectno"/>
        </w:rPr>
        <w:t>35</w:t>
      </w:r>
      <w:r>
        <w:rPr>
          <w:snapToGrid w:val="0"/>
        </w:rPr>
        <w:t>.</w:t>
      </w:r>
      <w:r>
        <w:rPr>
          <w:snapToGrid w:val="0"/>
        </w:rPr>
        <w:tab/>
        <w:t>Inspection before use</w:t>
      </w:r>
      <w:bookmarkEnd w:id="54"/>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r>
        <w:t xml:space="preserve">components of the Schedule 1 fare, as defined in the </w:t>
      </w:r>
      <w:r>
        <w:rPr>
          <w:i/>
        </w:rPr>
        <w:t>Transport (Country Taxi</w:t>
      </w:r>
      <w:r>
        <w:rPr>
          <w:i/>
        </w:rPr>
        <w:noBreakHyphen/>
        <w:t>cars Fares)</w:t>
      </w:r>
      <w:r>
        <w:rPr>
          <w:i/>
          <w:iCs/>
        </w:rPr>
        <w:t xml:space="preserve"> Regulations 1991 </w:t>
      </w:r>
      <w:r>
        <w:rPr>
          <w:iCs/>
        </w:rPr>
        <w:t>regulation 2A, that can be recorded on the taximeter; and</w:t>
      </w:r>
      <w:r>
        <w:rPr>
          <w:snapToGrid w:val="0"/>
        </w:rPr>
        <w:t xml:space="preserve"> </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 28 Jun 2016 p. 2691.]</w:t>
      </w:r>
    </w:p>
    <w:p>
      <w:pPr>
        <w:pStyle w:val="Heading5"/>
        <w:rPr>
          <w:snapToGrid w:val="0"/>
        </w:rPr>
      </w:pPr>
      <w:bookmarkStart w:id="55" w:name="_Toc514927974"/>
      <w:r>
        <w:rPr>
          <w:rStyle w:val="CharSectno"/>
        </w:rPr>
        <w:t>36</w:t>
      </w:r>
      <w:r>
        <w:rPr>
          <w:snapToGrid w:val="0"/>
        </w:rPr>
        <w:t>.</w:t>
      </w:r>
      <w:r>
        <w:rPr>
          <w:snapToGrid w:val="0"/>
        </w:rPr>
        <w:tab/>
        <w:t>Obligations upon the owner of a taximeter</w:t>
      </w:r>
      <w:bookmarkEnd w:id="55"/>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 and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 and</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 and</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 and</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56" w:name="_Toc514927975"/>
      <w:r>
        <w:rPr>
          <w:rStyle w:val="CharSectno"/>
        </w:rPr>
        <w:t>37</w:t>
      </w:r>
      <w:r>
        <w:rPr>
          <w:snapToGrid w:val="0"/>
        </w:rPr>
        <w:t>.</w:t>
      </w:r>
      <w:r>
        <w:rPr>
          <w:snapToGrid w:val="0"/>
        </w:rPr>
        <w:tab/>
        <w:t>Fare chart</w:t>
      </w:r>
      <w:bookmarkEnd w:id="56"/>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57" w:name="_Toc514927976"/>
      <w:r>
        <w:rPr>
          <w:rStyle w:val="CharSectno"/>
        </w:rPr>
        <w:t>38</w:t>
      </w:r>
      <w:r>
        <w:rPr>
          <w:snapToGrid w:val="0"/>
        </w:rPr>
        <w:t>.</w:t>
      </w:r>
      <w:r>
        <w:rPr>
          <w:snapToGrid w:val="0"/>
        </w:rPr>
        <w:tab/>
        <w:t>Taximeter not to be manipulated</w:t>
      </w:r>
      <w:bookmarkEnd w:id="57"/>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pPr>
      <w:bookmarkStart w:id="58" w:name="_Toc514927977"/>
      <w:r>
        <w:rPr>
          <w:rStyle w:val="CharSectno"/>
        </w:rPr>
        <w:t>39</w:t>
      </w:r>
      <w:r>
        <w:t>.</w:t>
      </w:r>
      <w:r>
        <w:tab/>
        <w:t xml:space="preserve">Hire </w:t>
      </w:r>
      <w:r>
        <w:rPr>
          <w:snapToGrid w:val="0"/>
        </w:rPr>
        <w:t>period and operation of taximeter</w:t>
      </w:r>
      <w:bookmarkEnd w:id="58"/>
    </w:p>
    <w:p>
      <w:pPr>
        <w:pStyle w:val="Subsection"/>
        <w:rPr>
          <w:snapToGrid w:val="0"/>
        </w:rPr>
      </w:pPr>
      <w:r>
        <w:rPr>
          <w:snapToGrid w:val="0"/>
        </w:rPr>
        <w:tab/>
        <w:t>(1)</w:t>
      </w:r>
      <w:r>
        <w:rPr>
          <w:snapToGrid w:val="0"/>
        </w:rPr>
        <w:tab/>
        <w:t>A period of hiring of a taxi</w:t>
      </w:r>
      <w:r>
        <w:rPr>
          <w:snapToGrid w:val="0"/>
        </w:rPr>
        <w:noBreakHyphen/>
        <w:t>car commences — </w:t>
      </w:r>
    </w:p>
    <w:p>
      <w:pPr>
        <w:pStyle w:val="Indenta"/>
        <w:rPr>
          <w:snapToGrid w:val="0"/>
        </w:rPr>
      </w:pPr>
      <w:r>
        <w:rPr>
          <w:snapToGrid w:val="0"/>
        </w:rPr>
        <w:tab/>
        <w:t>(a)</w:t>
      </w:r>
      <w:r>
        <w:rPr>
          <w:snapToGrid w:val="0"/>
        </w:rPr>
        <w:tab/>
        <w:t>if the taxi</w:t>
      </w:r>
      <w:r>
        <w:rPr>
          <w:snapToGrid w:val="0"/>
        </w:rPr>
        <w:noBreakHyphen/>
        <w:t>car is engaged at a taxi</w:t>
      </w:r>
      <w:r>
        <w:rPr>
          <w:snapToGrid w:val="0"/>
        </w:rPr>
        <w:noBreakHyphen/>
        <w:t>stand or as a result of being hailed, upon the entry into the taxi</w:t>
      </w:r>
      <w:r>
        <w:rPr>
          <w:snapToGrid w:val="0"/>
        </w:rPr>
        <w:noBreakHyphen/>
        <w:t>car of the hirer, or a person accompanying the hirer; or</w:t>
      </w:r>
    </w:p>
    <w:p>
      <w:pPr>
        <w:pStyle w:val="Indenta"/>
        <w:rPr>
          <w:snapToGrid w:val="0"/>
        </w:rPr>
      </w:pPr>
      <w:r>
        <w:rPr>
          <w:snapToGrid w:val="0"/>
        </w:rPr>
        <w:tab/>
        <w:t>(b)</w:t>
      </w:r>
      <w:r>
        <w:rPr>
          <w:snapToGrid w:val="0"/>
        </w:rPr>
        <w:tab/>
        <w:t>if the taxi</w:t>
      </w:r>
      <w:r>
        <w:rPr>
          <w:snapToGrid w:val="0"/>
        </w:rPr>
        <w:noBreakHyphen/>
        <w:t>car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if the taxi</w:t>
      </w:r>
      <w:r>
        <w:rPr>
          <w:snapToGrid w:val="0"/>
        </w:rPr>
        <w:noBreakHyphen/>
        <w:t>car is engaged to commence the hiring at a specified place and at a specified time, on arrival of the taxi</w:t>
      </w:r>
      <w:r>
        <w:rPr>
          <w:snapToGrid w:val="0"/>
        </w:rPr>
        <w:noBreakHyphen/>
        <w:t>car at that place at, or after, that time.</w:t>
      </w:r>
    </w:p>
    <w:p>
      <w:pPr>
        <w:pStyle w:val="Subsection"/>
      </w:pPr>
      <w:r>
        <w:tab/>
        <w:t>(2)</w:t>
      </w:r>
      <w:r>
        <w:tab/>
        <w:t>A period of hiring of a taxi</w:t>
      </w:r>
      <w:r>
        <w:noBreakHyphen/>
        <w:t>car</w:t>
      </w:r>
      <w:r>
        <w:rPr>
          <w:snapToGrid w:val="0"/>
        </w:rPr>
        <w:t xml:space="preserve"> terminates when the taxi</w:t>
      </w:r>
      <w:r>
        <w:rPr>
          <w:snapToGrid w:val="0"/>
        </w:rPr>
        <w:noBreakHyphen/>
        <w:t>car is free to resume plying for hire.</w:t>
      </w:r>
    </w:p>
    <w:p>
      <w:pPr>
        <w:pStyle w:val="Subsection"/>
        <w:rPr>
          <w:snapToGrid w:val="0"/>
        </w:rPr>
      </w:pPr>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p>
    <w:p>
      <w:pPr>
        <w:pStyle w:val="Subsection"/>
        <w:rPr>
          <w:snapToGrid w:val="0"/>
        </w:rPr>
      </w:pPr>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car, consult a road directory or for some other purpose not requested by the hirer, the driver must pause the taximeter until the journey is recommenced.</w:t>
      </w:r>
    </w:p>
    <w:p>
      <w:pPr>
        <w:pStyle w:val="Subsection"/>
      </w:pPr>
      <w:r>
        <w:tab/>
        <w:t>(5)</w:t>
      </w:r>
      <w:r>
        <w:tab/>
        <w:t xml:space="preserve">This regulation does not apply if — </w:t>
      </w:r>
    </w:p>
    <w:p>
      <w:pPr>
        <w:pStyle w:val="Indenta"/>
      </w:pPr>
      <w:r>
        <w:tab/>
        <w:t>(a)</w:t>
      </w:r>
      <w:r>
        <w:tab/>
        <w:t>the taxi</w:t>
      </w:r>
      <w:r>
        <w:noBreakHyphen/>
        <w:t xml:space="preserve">car is hired for a contract fare under the </w:t>
      </w:r>
      <w:r>
        <w:rPr>
          <w:i/>
        </w:rPr>
        <w:t>Transport (Country Taxi</w:t>
      </w:r>
      <w:r>
        <w:rPr>
          <w:i/>
        </w:rPr>
        <w:noBreakHyphen/>
        <w:t>cars Fares) Regulations 1991</w:t>
      </w:r>
      <w:r>
        <w:t xml:space="preserve"> regulation 3AA; or</w:t>
      </w:r>
    </w:p>
    <w:p>
      <w:pPr>
        <w:pStyle w:val="Indenta"/>
        <w:keepNext/>
      </w:pPr>
      <w:r>
        <w:tab/>
        <w:t>(b)</w:t>
      </w:r>
      <w:r>
        <w:tab/>
        <w:t>an off meter rate set out in Schedule 1 of those regulations applies to the journey.</w:t>
      </w:r>
    </w:p>
    <w:p>
      <w:pPr>
        <w:pStyle w:val="Footnotesection"/>
      </w:pPr>
      <w:r>
        <w:tab/>
        <w:t>[Regulation 39 inserted in Gazette 28 Jun 2016 p. 2691</w:t>
      </w:r>
      <w:r>
        <w:noBreakHyphen/>
        <w:t>2.]</w:t>
      </w:r>
    </w:p>
    <w:p>
      <w:pPr>
        <w:pStyle w:val="Ednotesection"/>
      </w:pPr>
      <w:r>
        <w:t>[</w:t>
      </w:r>
      <w:r>
        <w:rPr>
          <w:b/>
        </w:rPr>
        <w:t>39A</w:t>
      </w:r>
      <w:r>
        <w:rPr>
          <w:b/>
          <w:bCs/>
        </w:rPr>
        <w:t>.</w:t>
      </w:r>
      <w:r>
        <w:tab/>
        <w:t>Deleted in Gazette 28 Jun 2016 p. 2691</w:t>
      </w:r>
      <w:r>
        <w:noBreakHyphen/>
        <w:t>2.]</w:t>
      </w:r>
    </w:p>
    <w:p>
      <w:pPr>
        <w:pStyle w:val="Heading2"/>
      </w:pPr>
      <w:bookmarkStart w:id="59" w:name="_Toc489006614"/>
      <w:bookmarkStart w:id="60" w:name="_Toc489007084"/>
      <w:bookmarkStart w:id="61" w:name="_Toc492304475"/>
      <w:bookmarkStart w:id="62" w:name="_Toc496108235"/>
      <w:bookmarkStart w:id="63" w:name="_Toc514927978"/>
      <w:r>
        <w:rPr>
          <w:rStyle w:val="CharPartNo"/>
        </w:rPr>
        <w:t>Part VIII</w:t>
      </w:r>
      <w:r>
        <w:rPr>
          <w:rStyle w:val="CharDivNo"/>
        </w:rPr>
        <w:t> </w:t>
      </w:r>
      <w:r>
        <w:t>—</w:t>
      </w:r>
      <w:r>
        <w:rPr>
          <w:rStyle w:val="CharDivText"/>
        </w:rPr>
        <w:t> </w:t>
      </w:r>
      <w:r>
        <w:rPr>
          <w:rStyle w:val="CharPartText"/>
        </w:rPr>
        <w:t>Powers of authorised officers and the Director General</w:t>
      </w:r>
      <w:bookmarkEnd w:id="59"/>
      <w:bookmarkEnd w:id="60"/>
      <w:bookmarkEnd w:id="61"/>
      <w:bookmarkEnd w:id="62"/>
      <w:bookmarkEnd w:id="63"/>
    </w:p>
    <w:p>
      <w:pPr>
        <w:pStyle w:val="Footnoteheading"/>
      </w:pPr>
      <w:r>
        <w:tab/>
        <w:t>[Heading amended in Gazette 20 Dec 1985 p. 4856.]</w:t>
      </w:r>
    </w:p>
    <w:p>
      <w:pPr>
        <w:pStyle w:val="Heading5"/>
        <w:rPr>
          <w:snapToGrid w:val="0"/>
        </w:rPr>
      </w:pPr>
      <w:bookmarkStart w:id="64" w:name="_Toc514927979"/>
      <w:r>
        <w:rPr>
          <w:rStyle w:val="CharSectno"/>
        </w:rPr>
        <w:t>40</w:t>
      </w:r>
      <w:r>
        <w:rPr>
          <w:snapToGrid w:val="0"/>
        </w:rPr>
        <w:t>.</w:t>
      </w:r>
      <w:r>
        <w:rPr>
          <w:snapToGrid w:val="0"/>
        </w:rPr>
        <w:tab/>
        <w:t>Directions of an authorised officer to be obeyed</w:t>
      </w:r>
      <w:bookmarkEnd w:id="64"/>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 or</w:t>
      </w:r>
    </w:p>
    <w:p>
      <w:pPr>
        <w:pStyle w:val="Indenta"/>
        <w:rPr>
          <w:snapToGrid w:val="0"/>
        </w:rPr>
      </w:pPr>
      <w:r>
        <w:rPr>
          <w:snapToGrid w:val="0"/>
        </w:rPr>
        <w:tab/>
        <w:t>(b)</w:t>
      </w:r>
      <w:r>
        <w:rPr>
          <w:snapToGrid w:val="0"/>
        </w:rPr>
        <w:tab/>
        <w:t>direct an operator, hirer or passenger to answer any question relating to the operation of the vehicle; or</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65" w:name="_Toc514927980"/>
      <w:r>
        <w:rPr>
          <w:rStyle w:val="CharSectno"/>
        </w:rPr>
        <w:t>41</w:t>
      </w:r>
      <w:r>
        <w:rPr>
          <w:snapToGrid w:val="0"/>
        </w:rPr>
        <w:t>.</w:t>
      </w:r>
      <w:r>
        <w:rPr>
          <w:snapToGrid w:val="0"/>
        </w:rPr>
        <w:tab/>
        <w:t>Notice of inspection</w:t>
      </w:r>
      <w:bookmarkEnd w:id="65"/>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66" w:name="_Toc514927981"/>
      <w:r>
        <w:rPr>
          <w:rStyle w:val="CharSectno"/>
        </w:rPr>
        <w:t>42</w:t>
      </w:r>
      <w:r>
        <w:rPr>
          <w:snapToGrid w:val="0"/>
        </w:rPr>
        <w:t>.</w:t>
      </w:r>
      <w:r>
        <w:rPr>
          <w:snapToGrid w:val="0"/>
        </w:rPr>
        <w:tab/>
        <w:t>Owner or operator may be directed to attend</w:t>
      </w:r>
      <w:bookmarkEnd w:id="66"/>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67" w:name="_Toc514927982"/>
      <w:r>
        <w:rPr>
          <w:rStyle w:val="CharSectno"/>
        </w:rPr>
        <w:t>43</w:t>
      </w:r>
      <w:r>
        <w:rPr>
          <w:snapToGrid w:val="0"/>
        </w:rPr>
        <w:t>.</w:t>
      </w:r>
      <w:r>
        <w:rPr>
          <w:snapToGrid w:val="0"/>
        </w:rPr>
        <w:tab/>
        <w:t>Statistics may be required</w:t>
      </w:r>
      <w:bookmarkEnd w:id="67"/>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68" w:name="_Toc489006619"/>
      <w:bookmarkStart w:id="69" w:name="_Toc489007089"/>
      <w:bookmarkStart w:id="70" w:name="_Toc492304480"/>
      <w:bookmarkStart w:id="71" w:name="_Toc496108240"/>
      <w:bookmarkStart w:id="72" w:name="_Toc514927983"/>
      <w:r>
        <w:rPr>
          <w:rStyle w:val="CharPartNo"/>
        </w:rPr>
        <w:t>Part IX</w:t>
      </w:r>
      <w:r>
        <w:rPr>
          <w:rStyle w:val="CharDivNo"/>
        </w:rPr>
        <w:t> </w:t>
      </w:r>
      <w:r>
        <w:t>—</w:t>
      </w:r>
      <w:r>
        <w:rPr>
          <w:rStyle w:val="CharDivText"/>
        </w:rPr>
        <w:t> </w:t>
      </w:r>
      <w:r>
        <w:rPr>
          <w:rStyle w:val="CharPartText"/>
        </w:rPr>
        <w:t>Disciplinary procedure</w:t>
      </w:r>
      <w:bookmarkEnd w:id="68"/>
      <w:bookmarkEnd w:id="69"/>
      <w:bookmarkEnd w:id="70"/>
      <w:bookmarkEnd w:id="71"/>
      <w:bookmarkEnd w:id="72"/>
    </w:p>
    <w:p>
      <w:pPr>
        <w:pStyle w:val="Heading5"/>
        <w:rPr>
          <w:snapToGrid w:val="0"/>
        </w:rPr>
      </w:pPr>
      <w:bookmarkStart w:id="73" w:name="_Toc514927984"/>
      <w:r>
        <w:rPr>
          <w:rStyle w:val="CharSectno"/>
        </w:rPr>
        <w:t>44</w:t>
      </w:r>
      <w:r>
        <w:rPr>
          <w:snapToGrid w:val="0"/>
        </w:rPr>
        <w:t>.</w:t>
      </w:r>
      <w:r>
        <w:rPr>
          <w:snapToGrid w:val="0"/>
        </w:rPr>
        <w:tab/>
        <w:t>Powers of Minister</w:t>
      </w:r>
      <w:bookmarkEnd w:id="73"/>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 or</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 or</w:t>
      </w:r>
    </w:p>
    <w:p>
      <w:pPr>
        <w:pStyle w:val="Indenta"/>
        <w:rPr>
          <w:snapToGrid w:val="0"/>
        </w:rPr>
      </w:pPr>
      <w:r>
        <w:rPr>
          <w:snapToGrid w:val="0"/>
        </w:rPr>
        <w:tab/>
        <w:t>(e)</w:t>
      </w:r>
      <w:r>
        <w:rPr>
          <w:snapToGrid w:val="0"/>
        </w:rPr>
        <w:tab/>
        <w:t>reprimand the holder of the taxi</w:t>
      </w:r>
      <w:r>
        <w:rPr>
          <w:snapToGrid w:val="0"/>
        </w:rPr>
        <w:noBreakHyphen/>
        <w:t>car licence; or</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74" w:name="_Toc514927985"/>
      <w:r>
        <w:rPr>
          <w:rStyle w:val="CharSectno"/>
        </w:rPr>
        <w:t>45</w:t>
      </w:r>
      <w:r>
        <w:rPr>
          <w:snapToGrid w:val="0"/>
        </w:rPr>
        <w:t>.</w:t>
      </w:r>
      <w:r>
        <w:rPr>
          <w:snapToGrid w:val="0"/>
        </w:rPr>
        <w:tab/>
        <w:t>Minister to give notice before exercising certain powers</w:t>
      </w:r>
      <w:bookmarkEnd w:id="74"/>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75" w:name="_Toc514927986"/>
      <w:r>
        <w:rPr>
          <w:rStyle w:val="CharSectno"/>
        </w:rPr>
        <w:t>46</w:t>
      </w:r>
      <w:r>
        <w:t>.</w:t>
      </w:r>
      <w:r>
        <w:tab/>
        <w:t>Review</w:t>
      </w:r>
      <w:bookmarkEnd w:id="75"/>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76" w:name="_Toc489006623"/>
      <w:bookmarkStart w:id="77" w:name="_Toc489007093"/>
      <w:bookmarkStart w:id="78" w:name="_Toc492304484"/>
      <w:bookmarkStart w:id="79" w:name="_Toc496108244"/>
      <w:bookmarkStart w:id="80" w:name="_Toc514927987"/>
      <w:r>
        <w:rPr>
          <w:rStyle w:val="CharPartNo"/>
        </w:rPr>
        <w:t>Part X</w:t>
      </w:r>
      <w:r>
        <w:rPr>
          <w:rStyle w:val="CharDivNo"/>
        </w:rPr>
        <w:t> </w:t>
      </w:r>
      <w:r>
        <w:t>—</w:t>
      </w:r>
      <w:r>
        <w:rPr>
          <w:rStyle w:val="CharDivText"/>
        </w:rPr>
        <w:t> </w:t>
      </w:r>
      <w:r>
        <w:rPr>
          <w:rStyle w:val="CharPartText"/>
        </w:rPr>
        <w:t>Offence and penalty</w:t>
      </w:r>
      <w:bookmarkEnd w:id="76"/>
      <w:bookmarkEnd w:id="77"/>
      <w:bookmarkEnd w:id="78"/>
      <w:bookmarkEnd w:id="79"/>
      <w:bookmarkEnd w:id="80"/>
    </w:p>
    <w:p>
      <w:pPr>
        <w:pStyle w:val="Heading5"/>
        <w:rPr>
          <w:snapToGrid w:val="0"/>
        </w:rPr>
      </w:pPr>
      <w:bookmarkStart w:id="81" w:name="_Toc514927988"/>
      <w:r>
        <w:rPr>
          <w:rStyle w:val="CharSectno"/>
        </w:rPr>
        <w:t>47</w:t>
      </w:r>
      <w:r>
        <w:rPr>
          <w:snapToGrid w:val="0"/>
        </w:rPr>
        <w:t>.</w:t>
      </w:r>
      <w:r>
        <w:rPr>
          <w:snapToGrid w:val="0"/>
        </w:rPr>
        <w:tab/>
        <w:t>Offence and penalty</w:t>
      </w:r>
      <w:bookmarkEnd w:id="81"/>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82" w:name="_Toc514927989"/>
      <w:r>
        <w:rPr>
          <w:rStyle w:val="CharSectno"/>
        </w:rPr>
        <w:t>48</w:t>
      </w:r>
      <w:r>
        <w:t>.</w:t>
      </w:r>
      <w:r>
        <w:tab/>
        <w:t>Infringement notices and modified penalties</w:t>
      </w:r>
      <w:bookmarkEnd w:id="82"/>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3"/>
          <w:headerReference w:type="default" r:id="rId24"/>
          <w:headerReference w:type="first" r:id="rId25"/>
          <w:pgSz w:w="11907" w:h="16840" w:code="9"/>
          <w:pgMar w:top="2376" w:right="2410" w:bottom="3544" w:left="2410" w:header="709" w:footer="3379" w:gutter="0"/>
          <w:pgNumType w:start="1"/>
          <w:cols w:space="720"/>
          <w:noEndnote/>
          <w:titlePg/>
          <w:docGrid w:linePitch="326"/>
        </w:sectPr>
      </w:pPr>
    </w:p>
    <w:p>
      <w:pPr>
        <w:pStyle w:val="yScheduleHeading"/>
      </w:pPr>
      <w:bookmarkStart w:id="83" w:name="_Toc489006626"/>
      <w:bookmarkStart w:id="84" w:name="_Toc489007096"/>
      <w:bookmarkStart w:id="85" w:name="_Toc492304487"/>
      <w:bookmarkStart w:id="86" w:name="_Toc496108247"/>
      <w:bookmarkStart w:id="87" w:name="_Toc514927990"/>
      <w:r>
        <w:rPr>
          <w:rStyle w:val="CharSchNo"/>
        </w:rPr>
        <w:t>Schedule 1</w:t>
      </w:r>
      <w:r>
        <w:rPr>
          <w:rStyle w:val="CharSDivNo"/>
        </w:rPr>
        <w:t> </w:t>
      </w:r>
      <w:r>
        <w:t>—</w:t>
      </w:r>
      <w:r>
        <w:rPr>
          <w:rStyle w:val="CharSDivText"/>
        </w:rPr>
        <w:t> </w:t>
      </w:r>
      <w:r>
        <w:rPr>
          <w:rStyle w:val="CharSchText"/>
        </w:rPr>
        <w:t>Fees</w:t>
      </w:r>
      <w:bookmarkEnd w:id="83"/>
      <w:bookmarkEnd w:id="84"/>
      <w:bookmarkEnd w:id="85"/>
      <w:bookmarkEnd w:id="86"/>
      <w:bookmarkEnd w:id="87"/>
    </w:p>
    <w:p>
      <w:pPr>
        <w:pStyle w:val="yShoulderClause"/>
      </w:pPr>
      <w:r>
        <w:t>[r. 8, 10, 11, 14 and 17]</w:t>
      </w:r>
    </w:p>
    <w:p>
      <w:pPr>
        <w:pStyle w:val="yFootnoteheading"/>
        <w:spacing w:after="120"/>
      </w:pPr>
      <w:r>
        <w:tab/>
        <w:t>[Heading inserted in Gazette 23 Jun 2017 p. 3271.]</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Description</w:t>
            </w:r>
          </w:p>
        </w:tc>
        <w:tc>
          <w:tcPr>
            <w:tcW w:w="1080" w:type="dxa"/>
            <w:tcBorders>
              <w:top w:val="single" w:sz="4" w:space="0" w:color="auto"/>
              <w:bottom w:val="single" w:sz="4" w:space="0" w:color="auto"/>
            </w:tcBorders>
          </w:tcPr>
          <w:p>
            <w:pPr>
              <w:pStyle w:val="yTableNAm"/>
              <w:jc w:val="center"/>
            </w:pPr>
            <w:r>
              <w:rPr>
                <w:b/>
              </w:rPr>
              <w:t>$</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Administration fee for issuing taxi</w:t>
            </w:r>
            <w:r>
              <w:noBreakHyphen/>
              <w:t>car licence (r. 8(2))</w:t>
            </w:r>
          </w:p>
        </w:tc>
        <w:tc>
          <w:tcPr>
            <w:tcW w:w="1080" w:type="dxa"/>
            <w:tcBorders>
              <w:top w:val="single" w:sz="4" w:space="0" w:color="auto"/>
            </w:tcBorders>
          </w:tcPr>
          <w:p>
            <w:pPr>
              <w:pStyle w:val="yTableNAm"/>
              <w:jc w:val="center"/>
            </w:pPr>
            <w:r>
              <w:t>213.70</w:t>
            </w:r>
          </w:p>
        </w:tc>
      </w:tr>
      <w:tr>
        <w:trPr>
          <w:cantSplit/>
        </w:trPr>
        <w:tc>
          <w:tcPr>
            <w:tcW w:w="720" w:type="dxa"/>
          </w:tcPr>
          <w:p>
            <w:pPr>
              <w:pStyle w:val="yTableNAm"/>
            </w:pPr>
            <w:r>
              <w:t>2.</w:t>
            </w:r>
          </w:p>
        </w:tc>
        <w:tc>
          <w:tcPr>
            <w:tcW w:w="5160" w:type="dxa"/>
          </w:tcPr>
          <w:p>
            <w:pPr>
              <w:pStyle w:val="yTableNAm"/>
            </w:pPr>
            <w:r>
              <w:t>Fee for issuing or renewing ordinary taxi</w:t>
            </w:r>
            <w:r>
              <w:noBreakHyphen/>
              <w:t>car licence (r. 8(2) and 10(1))</w:t>
            </w:r>
          </w:p>
        </w:tc>
        <w:tc>
          <w:tcPr>
            <w:tcW w:w="1080" w:type="dxa"/>
          </w:tcPr>
          <w:p>
            <w:pPr>
              <w:pStyle w:val="yTableNAm"/>
              <w:jc w:val="center"/>
            </w:pPr>
            <w:r>
              <w:br/>
              <w:t>213.70</w:t>
            </w:r>
          </w:p>
        </w:tc>
      </w:tr>
      <w:tr>
        <w:trPr>
          <w:cantSplit/>
        </w:trPr>
        <w:tc>
          <w:tcPr>
            <w:tcW w:w="720" w:type="dxa"/>
          </w:tcPr>
          <w:p>
            <w:pPr>
              <w:pStyle w:val="yTableNAm"/>
            </w:pPr>
            <w:r>
              <w:t>3.</w:t>
            </w:r>
          </w:p>
        </w:tc>
        <w:tc>
          <w:tcPr>
            <w:tcW w:w="5160" w:type="dxa"/>
          </w:tcPr>
          <w:p>
            <w:pPr>
              <w:pStyle w:val="yTableNAm"/>
            </w:pPr>
            <w:r>
              <w:t>Fee for transferring ordinary taxi</w:t>
            </w:r>
            <w:r>
              <w:noBreakHyphen/>
              <w:t>car licence (r. 11(3))</w:t>
            </w:r>
          </w:p>
        </w:tc>
        <w:tc>
          <w:tcPr>
            <w:tcW w:w="1080" w:type="dxa"/>
          </w:tcPr>
          <w:p>
            <w:pPr>
              <w:pStyle w:val="yTableNAm"/>
              <w:jc w:val="center"/>
            </w:pPr>
            <w:r>
              <w:t>224.85</w:t>
            </w:r>
          </w:p>
        </w:tc>
      </w:tr>
      <w:tr>
        <w:trPr>
          <w:cantSplit/>
        </w:trPr>
        <w:tc>
          <w:tcPr>
            <w:tcW w:w="720" w:type="dxa"/>
          </w:tcPr>
          <w:p>
            <w:pPr>
              <w:pStyle w:val="yTableNAm"/>
            </w:pPr>
            <w:r>
              <w:t>4.</w:t>
            </w:r>
          </w:p>
        </w:tc>
        <w:tc>
          <w:tcPr>
            <w:tcW w:w="5160" w:type="dxa"/>
          </w:tcPr>
          <w:p>
            <w:pPr>
              <w:pStyle w:val="yTableNAm"/>
            </w:pPr>
            <w:r>
              <w:t>Fee for issuing number plates for vehicle licensed as taxi</w:t>
            </w:r>
            <w:r>
              <w:noBreakHyphen/>
              <w:t>car (r. 14(1))</w:t>
            </w:r>
          </w:p>
        </w:tc>
        <w:tc>
          <w:tcPr>
            <w:tcW w:w="1080" w:type="dxa"/>
          </w:tcPr>
          <w:p>
            <w:pPr>
              <w:pStyle w:val="yTableNAm"/>
              <w:jc w:val="center"/>
            </w:pPr>
            <w:r>
              <w:t>43.75</w:t>
            </w:r>
          </w:p>
        </w:tc>
      </w:tr>
      <w:tr>
        <w:trPr>
          <w:cantSplit/>
        </w:trPr>
        <w:tc>
          <w:tcPr>
            <w:tcW w:w="720" w:type="dxa"/>
            <w:tcBorders>
              <w:bottom w:val="single" w:sz="4" w:space="0" w:color="auto"/>
            </w:tcBorders>
          </w:tcPr>
          <w:p>
            <w:pPr>
              <w:pStyle w:val="yTableNAm"/>
            </w:pPr>
            <w:r>
              <w:t>5.</w:t>
            </w:r>
          </w:p>
        </w:tc>
        <w:tc>
          <w:tcPr>
            <w:tcW w:w="5160" w:type="dxa"/>
            <w:tcBorders>
              <w:bottom w:val="single" w:sz="4" w:space="0" w:color="auto"/>
            </w:tcBorders>
          </w:tcPr>
          <w:p>
            <w:pPr>
              <w:pStyle w:val="yTableNAm"/>
            </w:pPr>
            <w:r>
              <w:t>Fee for authorising operation of vehicle in substitution for vehicle under repair (r. 17(1))</w:t>
            </w:r>
          </w:p>
        </w:tc>
        <w:tc>
          <w:tcPr>
            <w:tcW w:w="1080" w:type="dxa"/>
            <w:tcBorders>
              <w:bottom w:val="single" w:sz="4" w:space="0" w:color="auto"/>
            </w:tcBorders>
          </w:tcPr>
          <w:p>
            <w:pPr>
              <w:pStyle w:val="yTableNAm"/>
              <w:jc w:val="center"/>
            </w:pPr>
            <w:r>
              <w:br/>
              <w:t>75.30</w:t>
            </w:r>
          </w:p>
        </w:tc>
      </w:tr>
    </w:tbl>
    <w:p>
      <w:pPr>
        <w:pStyle w:val="yFootnotesection"/>
        <w:rPr>
          <w:rStyle w:val="CharSchNo"/>
          <w:b/>
          <w:snapToGrid/>
        </w:rPr>
      </w:pPr>
      <w:r>
        <w:tab/>
        <w:t>[Schedule 1 inserted in Gazette 23 Jun 2017 p. 3271.]</w:t>
      </w:r>
    </w:p>
    <w:p>
      <w:pPr>
        <w:pStyle w:val="yScheduleHeading"/>
      </w:pPr>
      <w:bookmarkStart w:id="88" w:name="_Toc489006627"/>
      <w:bookmarkStart w:id="89" w:name="_Toc489007097"/>
      <w:bookmarkStart w:id="90" w:name="_Toc492304488"/>
      <w:bookmarkStart w:id="91" w:name="_Toc496108248"/>
      <w:bookmarkStart w:id="92" w:name="_Toc514927991"/>
      <w:r>
        <w:rPr>
          <w:rStyle w:val="CharSchNo"/>
        </w:rPr>
        <w:t>Schedule 2</w:t>
      </w:r>
      <w:r>
        <w:rPr>
          <w:rStyle w:val="CharSDivNo"/>
        </w:rPr>
        <w:t> </w:t>
      </w:r>
      <w:r>
        <w:t>—</w:t>
      </w:r>
      <w:r>
        <w:rPr>
          <w:rStyle w:val="CharSDivText"/>
        </w:rPr>
        <w:t> </w:t>
      </w:r>
      <w:r>
        <w:rPr>
          <w:rStyle w:val="CharSchText"/>
        </w:rPr>
        <w:t>Modified penalties</w:t>
      </w:r>
      <w:bookmarkEnd w:id="88"/>
      <w:bookmarkEnd w:id="89"/>
      <w:bookmarkEnd w:id="90"/>
      <w:bookmarkEnd w:id="91"/>
      <w:bookmarkEnd w:id="92"/>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br/>
            </w:r>
            <w:r>
              <w:b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r>
              <w:rPr>
                <w:szCs w:val="22"/>
              </w:rPr>
              <w:t xml:space="preserve">components of Schedule 1 fares as defined in </w:t>
            </w:r>
            <w:r>
              <w:rPr>
                <w:i/>
                <w:szCs w:val="22"/>
              </w:rPr>
              <w:t>Transport (Country Taxi</w:t>
            </w:r>
            <w:r>
              <w:rPr>
                <w:i/>
                <w:szCs w:val="22"/>
              </w:rPr>
              <w:noBreakHyphen/>
              <w:t xml:space="preserve">cars Fares) </w:t>
            </w:r>
            <w:r>
              <w:rPr>
                <w:i/>
                <w:iCs/>
                <w:szCs w:val="22"/>
              </w:rPr>
              <w:t>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 39(3) and (4)</w:t>
            </w:r>
          </w:p>
        </w:tc>
        <w:tc>
          <w:tcPr>
            <w:tcW w:w="3480" w:type="dxa"/>
          </w:tcPr>
          <w:p>
            <w:pPr>
              <w:pStyle w:val="yTableNAm"/>
            </w:pPr>
            <w:r>
              <w:rPr>
                <w:szCs w:val="22"/>
              </w:rPr>
              <w:t>Offences relating to setting, stopping or pausing taximeter</w:t>
            </w:r>
            <w:r>
              <w:t xml:space="preserve"> </w:t>
            </w:r>
          </w:p>
        </w:tc>
        <w:tc>
          <w:tcPr>
            <w:tcW w:w="1320" w:type="dxa"/>
          </w:tcPr>
          <w:p>
            <w:pPr>
              <w:pStyle w:val="yTableNAm"/>
            </w:pP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 amended in Gazette 28 Jun 2016 p. 2692.]</w:t>
      </w:r>
    </w:p>
    <w:p>
      <w:pPr>
        <w:sectPr>
          <w:headerReference w:type="even" r:id="rId26"/>
          <w:headerReference w:type="default" r:id="rId27"/>
          <w:headerReference w:type="first" r:id="rId28"/>
          <w:pgSz w:w="11907" w:h="16840" w:code="9"/>
          <w:pgMar w:top="2376" w:right="2410" w:bottom="3544" w:left="2410" w:header="709" w:footer="3379" w:gutter="0"/>
          <w:cols w:space="720"/>
          <w:noEndnote/>
          <w:docGrid w:linePitch="326"/>
        </w:sectPr>
      </w:pPr>
      <w:bookmarkStart w:id="94" w:name="_Toc489006628"/>
      <w:bookmarkStart w:id="95" w:name="_Toc489007098"/>
    </w:p>
    <w:p>
      <w:pPr>
        <w:pStyle w:val="yScheduleHeading"/>
      </w:pPr>
      <w:bookmarkStart w:id="96" w:name="_Toc492304489"/>
      <w:bookmarkStart w:id="97" w:name="_Toc496108249"/>
      <w:bookmarkStart w:id="98" w:name="_Toc514927992"/>
      <w:r>
        <w:rPr>
          <w:rStyle w:val="CharSchNo"/>
        </w:rPr>
        <w:t>Schedule 3</w:t>
      </w:r>
      <w:r>
        <w:rPr>
          <w:rStyle w:val="CharSDivNo"/>
        </w:rPr>
        <w:t> </w:t>
      </w:r>
      <w:r>
        <w:t>—</w:t>
      </w:r>
      <w:r>
        <w:rPr>
          <w:rStyle w:val="CharSDivText"/>
        </w:rPr>
        <w:t> </w:t>
      </w:r>
      <w:r>
        <w:rPr>
          <w:rStyle w:val="CharSchText"/>
        </w:rPr>
        <w:t>Forms</w:t>
      </w:r>
      <w:bookmarkEnd w:id="94"/>
      <w:bookmarkEnd w:id="95"/>
      <w:bookmarkEnd w:id="96"/>
      <w:bookmarkEnd w:id="97"/>
      <w:bookmarkEnd w:id="98"/>
    </w:p>
    <w:p>
      <w:pPr>
        <w:pStyle w:val="yShoulderClause"/>
        <w:spacing w:before="60"/>
      </w:pPr>
      <w:r>
        <w:t>[r. 48(2) and (3)]</w:t>
      </w:r>
    </w:p>
    <w:p>
      <w:pPr>
        <w:pStyle w:val="yFootnoteheading"/>
      </w:pPr>
      <w:r>
        <w:tab/>
        <w:t>[Heading inserted in Gazette 14 Jul 2006 p. 2580.]</w:t>
      </w:r>
    </w:p>
    <w:p>
      <w:pPr>
        <w:pStyle w:val="yTable"/>
        <w:spacing w:before="240"/>
        <w:jc w:val="center"/>
        <w:rPr>
          <w:b/>
          <w:bCs/>
        </w:rPr>
      </w:pPr>
      <w:r>
        <w:rPr>
          <w:rStyle w:val="CharSClsNo"/>
          <w:b/>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pPr>
      <w:r>
        <w:rPr>
          <w:rStyle w:val="CharSClsNo"/>
          <w:b/>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10" w:bottom="3544" w:left="2410" w:header="709" w:footer="3379" w:gutter="0"/>
          <w:cols w:space="720"/>
          <w:noEndnote/>
          <w:docGrid w:linePitch="326"/>
        </w:sectPr>
      </w:pPr>
    </w:p>
    <w:p>
      <w:pPr>
        <w:pStyle w:val="nHeading2"/>
      </w:pPr>
      <w:bookmarkStart w:id="99" w:name="_Toc489006629"/>
      <w:bookmarkStart w:id="100" w:name="_Toc489007099"/>
      <w:bookmarkStart w:id="101" w:name="_Toc492304490"/>
      <w:bookmarkStart w:id="102" w:name="_Toc496108250"/>
      <w:bookmarkStart w:id="103" w:name="_Toc514927993"/>
      <w:r>
        <w:t>Notes</w:t>
      </w:r>
      <w:bookmarkEnd w:id="99"/>
      <w:bookmarkEnd w:id="100"/>
      <w:bookmarkEnd w:id="101"/>
      <w:bookmarkEnd w:id="102"/>
      <w:bookmarkEnd w:id="103"/>
    </w:p>
    <w:p>
      <w:pPr>
        <w:pStyle w:val="nSubsection"/>
      </w:pPr>
      <w:r>
        <w:rPr>
          <w:vertAlign w:val="superscript"/>
        </w:rPr>
        <w:t>1</w:t>
      </w:r>
      <w:r>
        <w:tab/>
        <w:t xml:space="preserve">This is a compilation of the </w:t>
      </w:r>
      <w:r>
        <w:rPr>
          <w:i/>
          <w:noProof/>
        </w:rPr>
        <w:t>Transport (Country Taxi</w:t>
      </w:r>
      <w:r>
        <w:rPr>
          <w:i/>
          <w:noProof/>
        </w:rPr>
        <w:noBreakHyphen/>
        <w:t>car) Regulations 1982</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04" w:name="_Toc514927994"/>
      <w:r>
        <w:rPr>
          <w:snapToGrid w:val="0"/>
        </w:rPr>
        <w:t>Compilation table</w:t>
      </w:r>
      <w:bookmarkEnd w:id="1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Transport (Country Taxi-car) Amendment Regulations 2015</w:t>
            </w:r>
          </w:p>
        </w:tc>
        <w:tc>
          <w:tcPr>
            <w:tcW w:w="1276" w:type="dxa"/>
          </w:tcPr>
          <w:p>
            <w:pPr>
              <w:pStyle w:val="nTable"/>
              <w:spacing w:after="40"/>
            </w:pPr>
            <w:r>
              <w:t>12 Jun 2015 p. 2035</w:t>
            </w:r>
          </w:p>
        </w:tc>
        <w:tc>
          <w:tcPr>
            <w:tcW w:w="2693" w:type="dxa"/>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r>
        <w:tc>
          <w:tcPr>
            <w:tcW w:w="3118" w:type="dxa"/>
          </w:tcPr>
          <w:p>
            <w:pPr>
              <w:pStyle w:val="nTable"/>
              <w:spacing w:after="40"/>
              <w:rPr>
                <w:i/>
              </w:rPr>
            </w:pPr>
            <w:r>
              <w:rPr>
                <w:i/>
              </w:rPr>
              <w:t>On</w:t>
            </w:r>
            <w:r>
              <w:rPr>
                <w:i/>
              </w:rPr>
              <w:noBreakHyphen/>
              <w:t>demand Transport Regulations Amendment (Fees) Regulations 2016</w:t>
            </w:r>
            <w:r>
              <w:t> Pt. 3</w:t>
            </w:r>
          </w:p>
        </w:tc>
        <w:tc>
          <w:tcPr>
            <w:tcW w:w="1276" w:type="dxa"/>
          </w:tcPr>
          <w:p>
            <w:pPr>
              <w:pStyle w:val="nTable"/>
              <w:spacing w:after="40"/>
            </w:pPr>
            <w:r>
              <w:t>27 May 2016 p. 1554-6</w:t>
            </w:r>
          </w:p>
        </w:tc>
        <w:tc>
          <w:tcPr>
            <w:tcW w:w="2693" w:type="dxa"/>
          </w:tcPr>
          <w:p>
            <w:pPr>
              <w:pStyle w:val="nTable"/>
              <w:spacing w:after="40"/>
              <w:rPr>
                <w:rFonts w:ascii="Times" w:hAnsi="Times"/>
                <w:snapToGrid w:val="0"/>
                <w:spacing w:val="-2"/>
              </w:rPr>
            </w:pPr>
            <w:r>
              <w:t>1 Jul 2016 (see r. 2(b))</w:t>
            </w:r>
          </w:p>
        </w:tc>
      </w:tr>
      <w:tr>
        <w:tc>
          <w:tcPr>
            <w:tcW w:w="3118" w:type="dxa"/>
          </w:tcPr>
          <w:p>
            <w:pPr>
              <w:pStyle w:val="nTable"/>
              <w:spacing w:after="40"/>
              <w:rPr>
                <w:i/>
              </w:rPr>
            </w:pPr>
            <w:r>
              <w:rPr>
                <w:i/>
              </w:rPr>
              <w:t>On</w:t>
            </w:r>
            <w:r>
              <w:rPr>
                <w:i/>
              </w:rPr>
              <w:noBreakHyphen/>
              <w:t>demand Transport Regulations Amendment Regulations 2016</w:t>
            </w:r>
            <w:r>
              <w:t> Pt. 6</w:t>
            </w:r>
          </w:p>
        </w:tc>
        <w:tc>
          <w:tcPr>
            <w:tcW w:w="1276" w:type="dxa"/>
          </w:tcPr>
          <w:p>
            <w:pPr>
              <w:pStyle w:val="nTable"/>
              <w:spacing w:after="40"/>
            </w:pPr>
            <w:r>
              <w:t>28 Jun 2016 p. 2655-92</w:t>
            </w:r>
          </w:p>
        </w:tc>
        <w:tc>
          <w:tcPr>
            <w:tcW w:w="2693" w:type="dxa"/>
          </w:tcPr>
          <w:p>
            <w:pPr>
              <w:pStyle w:val="nTable"/>
              <w:spacing w:after="40"/>
            </w:pPr>
            <w:r>
              <w:t>4 Jul 2016 (see r. 2(b))</w:t>
            </w:r>
          </w:p>
        </w:tc>
      </w:tr>
      <w:tr>
        <w:tc>
          <w:tcPr>
            <w:tcW w:w="3118" w:type="dxa"/>
          </w:tcPr>
          <w:p>
            <w:pPr>
              <w:pStyle w:val="nTable"/>
              <w:spacing w:after="40"/>
              <w:rPr>
                <w:i/>
              </w:rPr>
            </w:pPr>
            <w:r>
              <w:rPr>
                <w:i/>
              </w:rPr>
              <w:t>Transport Regulations Amendment (Fees and Charges) Regulations (No. 2) 2017</w:t>
            </w:r>
            <w:r>
              <w:t xml:space="preserve"> Pt. 7</w:t>
            </w:r>
          </w:p>
        </w:tc>
        <w:tc>
          <w:tcPr>
            <w:tcW w:w="1276" w:type="dxa"/>
          </w:tcPr>
          <w:p>
            <w:pPr>
              <w:pStyle w:val="nTable"/>
              <w:spacing w:after="40"/>
            </w:pPr>
            <w:r>
              <w:t>23 Jun 2017 p. 3253</w:t>
            </w:r>
            <w:r>
              <w:noBreakHyphen/>
              <w:t>78</w:t>
            </w:r>
          </w:p>
        </w:tc>
        <w:tc>
          <w:tcPr>
            <w:tcW w:w="2693" w:type="dxa"/>
          </w:tcPr>
          <w:p>
            <w:pPr>
              <w:pStyle w:val="nTable"/>
              <w:spacing w:after="40"/>
            </w:pPr>
            <w:r>
              <w:t>1 Jul 2017 (see r. 2(b))</w:t>
            </w:r>
          </w:p>
        </w:tc>
      </w:tr>
      <w:tr>
        <w:tc>
          <w:tcPr>
            <w:tcW w:w="7087" w:type="dxa"/>
            <w:gridSpan w:val="3"/>
            <w:tcBorders>
              <w:bottom w:val="single" w:sz="8" w:space="0" w:color="auto"/>
            </w:tcBorders>
            <w:shd w:val="clear" w:color="auto" w:fill="auto"/>
          </w:tcPr>
          <w:p>
            <w:pPr>
              <w:pStyle w:val="nTable"/>
              <w:spacing w:after="40"/>
            </w:pPr>
            <w:r>
              <w:rPr>
                <w:b/>
              </w:rPr>
              <w:t xml:space="preserve">Reprint 5: The </w:t>
            </w:r>
            <w:r>
              <w:rPr>
                <w:b/>
                <w:i/>
                <w:noProof/>
              </w:rPr>
              <w:t>Transport (Country Taxi-car) Regulations 1982</w:t>
            </w:r>
            <w:r>
              <w:rPr>
                <w:b/>
              </w:rPr>
              <w:t xml:space="preserve"> as at 6 Oct 2017</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 w:name="_Toc514927995"/>
      <w:r>
        <w:t>Provisions that have not come into operation</w:t>
      </w:r>
      <w:bookmarkEnd w:id="10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 xml:space="preserve">Transport Regulations Amendment (Fees and Charges) Regulations 2018 </w:t>
            </w:r>
            <w:r>
              <w:t>Pt. 9 </w:t>
            </w:r>
            <w:r>
              <w:rPr>
                <w:vertAlign w:val="superscript"/>
              </w:rPr>
              <w:t>5</w:t>
            </w:r>
          </w:p>
        </w:tc>
        <w:tc>
          <w:tcPr>
            <w:tcW w:w="1276" w:type="dxa"/>
            <w:tcBorders>
              <w:top w:val="single" w:sz="8" w:space="0" w:color="auto"/>
              <w:bottom w:val="single" w:sz="8" w:space="0" w:color="auto"/>
            </w:tcBorders>
          </w:tcPr>
          <w:p>
            <w:pPr>
              <w:pStyle w:val="nTable"/>
              <w:spacing w:after="40"/>
            </w:pPr>
            <w:r>
              <w:t>25 May 2018 p. 1640</w:t>
            </w:r>
            <w:r>
              <w:noBreakHyphen/>
              <w:t>7</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Now known as the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2018 </w:t>
      </w:r>
      <w:r>
        <w:t xml:space="preserve">Pt. 9 </w:t>
      </w:r>
      <w:r>
        <w:rPr>
          <w:snapToGrid w:val="0"/>
        </w:rPr>
        <w:t>had not come into operation.  It reads as follows:</w:t>
      </w:r>
    </w:p>
    <w:p>
      <w:pPr>
        <w:pStyle w:val="BlankOpen"/>
        <w:rPr>
          <w:vertAlign w:val="superscript"/>
        </w:rPr>
      </w:pPr>
    </w:p>
    <w:p>
      <w:pPr>
        <w:pStyle w:val="nzHeading2"/>
      </w:pPr>
      <w:bookmarkStart w:id="106" w:name="_Toc510610043"/>
      <w:bookmarkStart w:id="107" w:name="_Toc510610146"/>
      <w:bookmarkStart w:id="108" w:name="_Toc510625155"/>
      <w:bookmarkStart w:id="109" w:name="_Toc510625189"/>
      <w:bookmarkStart w:id="110" w:name="_Toc510625257"/>
      <w:bookmarkStart w:id="111" w:name="_Toc510625355"/>
      <w:bookmarkStart w:id="112" w:name="_Toc510625414"/>
      <w:bookmarkStart w:id="113" w:name="_Toc510625553"/>
      <w:bookmarkStart w:id="114" w:name="_Toc510626621"/>
      <w:bookmarkStart w:id="115" w:name="_Toc510778844"/>
      <w:bookmarkStart w:id="116" w:name="_Toc510778880"/>
      <w:bookmarkStart w:id="117" w:name="_Toc510779326"/>
      <w:bookmarkStart w:id="118" w:name="_Toc510792387"/>
      <w:bookmarkStart w:id="119" w:name="_Toc510792791"/>
      <w:bookmarkStart w:id="120" w:name="_Toc510792904"/>
      <w:bookmarkStart w:id="121" w:name="_Toc511055490"/>
      <w:bookmarkStart w:id="122" w:name="_Toc511141435"/>
      <w:bookmarkStart w:id="123" w:name="_Toc511294328"/>
      <w:bookmarkStart w:id="124" w:name="_Toc511306227"/>
      <w:bookmarkStart w:id="125" w:name="_Toc511326471"/>
      <w:bookmarkStart w:id="126" w:name="_Toc511326506"/>
      <w:bookmarkStart w:id="127" w:name="_Toc511643558"/>
      <w:bookmarkStart w:id="128" w:name="_Toc511648274"/>
      <w:bookmarkStart w:id="129" w:name="_Toc511648309"/>
      <w:r>
        <w:rPr>
          <w:rStyle w:val="CharPartNo"/>
        </w:rPr>
        <w:t>Part 9</w:t>
      </w:r>
      <w:r>
        <w:rPr>
          <w:rStyle w:val="CharDivNo"/>
        </w:rPr>
        <w:t> </w:t>
      </w:r>
      <w:r>
        <w:t>—</w:t>
      </w:r>
      <w:r>
        <w:rPr>
          <w:rStyle w:val="CharDivText"/>
        </w:rPr>
        <w:t> </w:t>
      </w:r>
      <w:r>
        <w:rPr>
          <w:rStyle w:val="CharPartText"/>
          <w:i/>
        </w:rPr>
        <w:t>Transport (Country Taxi</w:t>
      </w:r>
      <w:r>
        <w:rPr>
          <w:rStyle w:val="CharPartText"/>
          <w:i/>
        </w:rPr>
        <w:noBreakHyphen/>
        <w:t>car) Regulations 1982</w:t>
      </w:r>
      <w:r>
        <w:rPr>
          <w:rStyle w:val="CharPartText"/>
        </w:rPr>
        <w:t xml:space="preserve"> amended</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nzHeading5"/>
        <w:rPr>
          <w:snapToGrid w:val="0"/>
        </w:rPr>
      </w:pPr>
      <w:bookmarkStart w:id="130" w:name="_Toc511648275"/>
      <w:bookmarkStart w:id="131" w:name="_Toc511648310"/>
      <w:r>
        <w:rPr>
          <w:rStyle w:val="CharSectno"/>
        </w:rPr>
        <w:t>20</w:t>
      </w:r>
      <w:r>
        <w:rPr>
          <w:snapToGrid w:val="0"/>
        </w:rPr>
        <w:t>.</w:t>
      </w:r>
      <w:r>
        <w:rPr>
          <w:snapToGrid w:val="0"/>
        </w:rPr>
        <w:tab/>
        <w:t>Regulations amended</w:t>
      </w:r>
      <w:bookmarkEnd w:id="130"/>
      <w:bookmarkEnd w:id="131"/>
    </w:p>
    <w:p>
      <w:pPr>
        <w:pStyle w:val="nzSubsection"/>
      </w:pPr>
      <w:r>
        <w:tab/>
      </w:r>
      <w:r>
        <w:tab/>
        <w:t xml:space="preserve">This Part amends the </w:t>
      </w:r>
      <w:r>
        <w:rPr>
          <w:i/>
        </w:rPr>
        <w:t>Transport (Country Taxi</w:t>
      </w:r>
      <w:r>
        <w:rPr>
          <w:i/>
        </w:rPr>
        <w:noBreakHyphen/>
        <w:t>car) Regulations 1982</w:t>
      </w:r>
      <w:r>
        <w:t>.</w:t>
      </w:r>
    </w:p>
    <w:p>
      <w:pPr>
        <w:pStyle w:val="nzHeading5"/>
      </w:pPr>
      <w:bookmarkStart w:id="132" w:name="_Toc511648276"/>
      <w:bookmarkStart w:id="133" w:name="_Toc511648311"/>
      <w:r>
        <w:rPr>
          <w:rStyle w:val="CharSectno"/>
        </w:rPr>
        <w:t>21</w:t>
      </w:r>
      <w:r>
        <w:t>.</w:t>
      </w:r>
      <w:r>
        <w:tab/>
        <w:t>Schedule 1 replaced</w:t>
      </w:r>
      <w:bookmarkEnd w:id="132"/>
      <w:bookmarkEnd w:id="133"/>
    </w:p>
    <w:p>
      <w:pPr>
        <w:pStyle w:val="nzSubsection"/>
      </w:pPr>
      <w:r>
        <w:tab/>
      </w:r>
      <w:r>
        <w:tab/>
        <w:t>Delete Schedule 1 and insert:</w:t>
      </w:r>
    </w:p>
    <w:p>
      <w:pPr>
        <w:pStyle w:val="BlankOpen"/>
      </w:pPr>
    </w:p>
    <w:p>
      <w:pPr>
        <w:pStyle w:val="nzHeading2"/>
      </w:pPr>
      <w:bookmarkStart w:id="134" w:name="_Toc510521502"/>
      <w:bookmarkStart w:id="135" w:name="_Toc510522870"/>
      <w:bookmarkStart w:id="136" w:name="_Toc510529174"/>
      <w:bookmarkStart w:id="137" w:name="_Toc510529233"/>
      <w:bookmarkStart w:id="138" w:name="_Toc510531337"/>
      <w:bookmarkStart w:id="139" w:name="_Toc510534780"/>
      <w:bookmarkStart w:id="140" w:name="_Toc510534839"/>
      <w:bookmarkStart w:id="141" w:name="_Toc510537002"/>
      <w:bookmarkStart w:id="142" w:name="_Toc510537053"/>
      <w:bookmarkStart w:id="143" w:name="_Toc510537121"/>
      <w:bookmarkStart w:id="144" w:name="_Toc510537169"/>
      <w:bookmarkStart w:id="145" w:name="_Toc510537217"/>
      <w:bookmarkStart w:id="146" w:name="_Toc510605799"/>
      <w:bookmarkStart w:id="147" w:name="_Toc510605835"/>
      <w:bookmarkStart w:id="148" w:name="_Toc510605906"/>
      <w:bookmarkStart w:id="149" w:name="_Toc510605941"/>
      <w:bookmarkStart w:id="150" w:name="_Toc510606038"/>
      <w:bookmarkStart w:id="151" w:name="_Toc510607640"/>
      <w:bookmarkStart w:id="152" w:name="_Toc510607675"/>
      <w:bookmarkStart w:id="153" w:name="_Toc510608452"/>
      <w:bookmarkStart w:id="154" w:name="_Toc510608485"/>
      <w:bookmarkStart w:id="155" w:name="_Toc510608711"/>
      <w:bookmarkStart w:id="156" w:name="_Toc510610046"/>
      <w:bookmarkStart w:id="157" w:name="_Toc510610149"/>
      <w:bookmarkStart w:id="158" w:name="_Toc510625158"/>
      <w:bookmarkStart w:id="159" w:name="_Toc510625192"/>
      <w:bookmarkStart w:id="160" w:name="_Toc510625260"/>
      <w:bookmarkStart w:id="161" w:name="_Toc510625358"/>
      <w:bookmarkStart w:id="162" w:name="_Toc510625417"/>
      <w:bookmarkStart w:id="163" w:name="_Toc510625556"/>
      <w:bookmarkStart w:id="164" w:name="_Toc510626624"/>
      <w:bookmarkStart w:id="165" w:name="_Toc510778847"/>
      <w:bookmarkStart w:id="166" w:name="_Toc510778883"/>
      <w:bookmarkStart w:id="167" w:name="_Toc510779329"/>
      <w:bookmarkStart w:id="168" w:name="_Toc510792390"/>
      <w:bookmarkStart w:id="169" w:name="_Toc510792794"/>
      <w:bookmarkStart w:id="170" w:name="_Toc510792907"/>
      <w:bookmarkStart w:id="171" w:name="_Toc511055493"/>
      <w:bookmarkStart w:id="172" w:name="_Toc511141438"/>
      <w:bookmarkStart w:id="173" w:name="_Toc511294331"/>
      <w:bookmarkStart w:id="174" w:name="_Toc511306230"/>
      <w:bookmarkStart w:id="175" w:name="_Toc511326474"/>
      <w:bookmarkStart w:id="176" w:name="_Toc511326509"/>
      <w:bookmarkStart w:id="177" w:name="_Toc511643561"/>
      <w:bookmarkStart w:id="178" w:name="_Toc511648277"/>
      <w:bookmarkStart w:id="179" w:name="_Toc511648312"/>
      <w:r>
        <w:rPr>
          <w:rStyle w:val="CharSchNo"/>
        </w:rPr>
        <w:t>Schedule 1</w:t>
      </w:r>
      <w:r>
        <w:rPr>
          <w:rStyle w:val="CharSDivNo"/>
        </w:rPr>
        <w:t> </w:t>
      </w:r>
      <w:r>
        <w:t>—</w:t>
      </w:r>
      <w:r>
        <w:rPr>
          <w:rStyle w:val="CharSDivText"/>
        </w:rPr>
        <w:t> </w:t>
      </w:r>
      <w:r>
        <w:rPr>
          <w:rStyle w:val="CharSchText"/>
        </w:rPr>
        <w:t>Fees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nzShoulderClause"/>
      </w:pPr>
      <w:r>
        <w:t>[r. 8, 10, 11, 14 and 17]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rPr>
                <w:sz w:val="20"/>
              </w:rPr>
            </w:pPr>
            <w:r>
              <w:rPr>
                <w:b/>
                <w:sz w:val="20"/>
              </w:rPr>
              <w:t>Item</w:t>
            </w:r>
          </w:p>
        </w:tc>
        <w:tc>
          <w:tcPr>
            <w:tcW w:w="5160" w:type="dxa"/>
            <w:tcBorders>
              <w:top w:val="single" w:sz="4" w:space="0" w:color="auto"/>
              <w:bottom w:val="single" w:sz="4" w:space="0" w:color="auto"/>
            </w:tcBorders>
          </w:tcPr>
          <w:p>
            <w:pPr>
              <w:pStyle w:val="yTableNAm"/>
              <w:rPr>
                <w:sz w:val="20"/>
              </w:rPr>
            </w:pPr>
            <w:r>
              <w:rPr>
                <w:b/>
                <w:sz w:val="20"/>
              </w:rPr>
              <w:t>Description</w:t>
            </w:r>
          </w:p>
        </w:tc>
        <w:tc>
          <w:tcPr>
            <w:tcW w:w="1080" w:type="dxa"/>
            <w:tcBorders>
              <w:top w:val="single" w:sz="4" w:space="0" w:color="auto"/>
              <w:bottom w:val="single" w:sz="4" w:space="0" w:color="auto"/>
            </w:tcBorders>
          </w:tcPr>
          <w:p>
            <w:pPr>
              <w:pStyle w:val="yTableNAm"/>
              <w:rPr>
                <w:sz w:val="20"/>
              </w:rPr>
            </w:pPr>
            <w:r>
              <w:rPr>
                <w:b/>
                <w:sz w:val="20"/>
              </w:rPr>
              <w:t>$</w:t>
            </w:r>
          </w:p>
        </w:tc>
      </w:tr>
      <w:tr>
        <w:trPr>
          <w:cantSplit/>
        </w:trPr>
        <w:tc>
          <w:tcPr>
            <w:tcW w:w="720" w:type="dxa"/>
            <w:tcBorders>
              <w:top w:val="single" w:sz="4" w:space="0" w:color="auto"/>
            </w:tcBorders>
          </w:tcPr>
          <w:p>
            <w:pPr>
              <w:pStyle w:val="yTableNAm"/>
              <w:rPr>
                <w:sz w:val="20"/>
              </w:rPr>
            </w:pPr>
            <w:r>
              <w:rPr>
                <w:sz w:val="20"/>
              </w:rPr>
              <w:t>1.</w:t>
            </w:r>
          </w:p>
        </w:tc>
        <w:tc>
          <w:tcPr>
            <w:tcW w:w="5160" w:type="dxa"/>
            <w:tcBorders>
              <w:top w:val="single" w:sz="4" w:space="0" w:color="auto"/>
            </w:tcBorders>
          </w:tcPr>
          <w:p>
            <w:pPr>
              <w:pStyle w:val="yTableNAm"/>
              <w:rPr>
                <w:sz w:val="20"/>
              </w:rPr>
            </w:pPr>
            <w:r>
              <w:rPr>
                <w:sz w:val="20"/>
              </w:rPr>
              <w:t>Administration fee for issuing taxi</w:t>
            </w:r>
            <w:r>
              <w:rPr>
                <w:sz w:val="20"/>
              </w:rPr>
              <w:noBreakHyphen/>
              <w:t>car licence (r. 8(2))</w:t>
            </w:r>
          </w:p>
        </w:tc>
        <w:tc>
          <w:tcPr>
            <w:tcW w:w="1080" w:type="dxa"/>
            <w:tcBorders>
              <w:top w:val="single" w:sz="4" w:space="0" w:color="auto"/>
            </w:tcBorders>
          </w:tcPr>
          <w:p>
            <w:pPr>
              <w:pStyle w:val="yTableNAm"/>
              <w:rPr>
                <w:sz w:val="20"/>
              </w:rPr>
            </w:pPr>
            <w:r>
              <w:rPr>
                <w:sz w:val="20"/>
              </w:rPr>
              <w:t>217.00</w:t>
            </w:r>
          </w:p>
        </w:tc>
      </w:tr>
      <w:tr>
        <w:trPr>
          <w:cantSplit/>
        </w:trPr>
        <w:tc>
          <w:tcPr>
            <w:tcW w:w="720" w:type="dxa"/>
          </w:tcPr>
          <w:p>
            <w:pPr>
              <w:pStyle w:val="yTableNAm"/>
              <w:rPr>
                <w:sz w:val="20"/>
              </w:rPr>
            </w:pPr>
            <w:r>
              <w:rPr>
                <w:sz w:val="20"/>
              </w:rPr>
              <w:t>2.</w:t>
            </w:r>
          </w:p>
        </w:tc>
        <w:tc>
          <w:tcPr>
            <w:tcW w:w="5160" w:type="dxa"/>
          </w:tcPr>
          <w:p>
            <w:pPr>
              <w:pStyle w:val="yTableNAm"/>
              <w:rPr>
                <w:sz w:val="20"/>
              </w:rPr>
            </w:pPr>
            <w:r>
              <w:rPr>
                <w:sz w:val="20"/>
              </w:rPr>
              <w:t>Fee for issuing or renewing ordinary taxi</w:t>
            </w:r>
            <w:r>
              <w:rPr>
                <w:sz w:val="20"/>
              </w:rPr>
              <w:noBreakHyphen/>
              <w:t>car licence (r. 8(2) and 10(1))</w:t>
            </w:r>
          </w:p>
        </w:tc>
        <w:tc>
          <w:tcPr>
            <w:tcW w:w="1080" w:type="dxa"/>
          </w:tcPr>
          <w:p>
            <w:pPr>
              <w:pStyle w:val="yTableNAm"/>
              <w:rPr>
                <w:sz w:val="20"/>
              </w:rPr>
            </w:pPr>
            <w:r>
              <w:rPr>
                <w:sz w:val="20"/>
              </w:rPr>
              <w:br/>
              <w:t>217.00</w:t>
            </w:r>
          </w:p>
        </w:tc>
      </w:tr>
      <w:tr>
        <w:trPr>
          <w:cantSplit/>
        </w:trPr>
        <w:tc>
          <w:tcPr>
            <w:tcW w:w="720" w:type="dxa"/>
          </w:tcPr>
          <w:p>
            <w:pPr>
              <w:pStyle w:val="yTableNAm"/>
              <w:rPr>
                <w:sz w:val="20"/>
              </w:rPr>
            </w:pPr>
            <w:r>
              <w:rPr>
                <w:sz w:val="20"/>
              </w:rPr>
              <w:t>3.</w:t>
            </w:r>
          </w:p>
        </w:tc>
        <w:tc>
          <w:tcPr>
            <w:tcW w:w="5160" w:type="dxa"/>
          </w:tcPr>
          <w:p>
            <w:pPr>
              <w:pStyle w:val="yTableNAm"/>
              <w:rPr>
                <w:sz w:val="20"/>
              </w:rPr>
            </w:pPr>
            <w:r>
              <w:rPr>
                <w:sz w:val="20"/>
              </w:rPr>
              <w:t>Fee for transferring ordinary taxi</w:t>
            </w:r>
            <w:r>
              <w:rPr>
                <w:sz w:val="20"/>
              </w:rPr>
              <w:noBreakHyphen/>
              <w:t>car licence (r. 11(3))</w:t>
            </w:r>
          </w:p>
        </w:tc>
        <w:tc>
          <w:tcPr>
            <w:tcW w:w="1080" w:type="dxa"/>
          </w:tcPr>
          <w:p>
            <w:pPr>
              <w:pStyle w:val="yTableNAm"/>
              <w:rPr>
                <w:sz w:val="20"/>
              </w:rPr>
            </w:pPr>
            <w:r>
              <w:rPr>
                <w:sz w:val="20"/>
              </w:rPr>
              <w:t>228.00</w:t>
            </w:r>
          </w:p>
        </w:tc>
      </w:tr>
      <w:tr>
        <w:trPr>
          <w:cantSplit/>
        </w:trPr>
        <w:tc>
          <w:tcPr>
            <w:tcW w:w="720" w:type="dxa"/>
          </w:tcPr>
          <w:p>
            <w:pPr>
              <w:pStyle w:val="yTableNAm"/>
              <w:rPr>
                <w:sz w:val="20"/>
              </w:rPr>
            </w:pPr>
            <w:r>
              <w:rPr>
                <w:sz w:val="20"/>
              </w:rPr>
              <w:t>4.</w:t>
            </w:r>
          </w:p>
        </w:tc>
        <w:tc>
          <w:tcPr>
            <w:tcW w:w="5160" w:type="dxa"/>
          </w:tcPr>
          <w:p>
            <w:pPr>
              <w:pStyle w:val="yTableNAm"/>
              <w:rPr>
                <w:sz w:val="20"/>
              </w:rPr>
            </w:pPr>
            <w:r>
              <w:rPr>
                <w:sz w:val="20"/>
              </w:rPr>
              <w:t>Fee for issuing number plates for vehicle licensed as taxi</w:t>
            </w:r>
            <w:r>
              <w:rPr>
                <w:sz w:val="20"/>
              </w:rPr>
              <w:noBreakHyphen/>
              <w:t>car (r. 14(1))</w:t>
            </w:r>
          </w:p>
        </w:tc>
        <w:tc>
          <w:tcPr>
            <w:tcW w:w="1080" w:type="dxa"/>
          </w:tcPr>
          <w:p>
            <w:pPr>
              <w:pStyle w:val="yTableNAm"/>
              <w:rPr>
                <w:sz w:val="20"/>
              </w:rPr>
            </w:pPr>
            <w:r>
              <w:rPr>
                <w:sz w:val="20"/>
              </w:rPr>
              <w:br/>
              <w:t>44.00</w:t>
            </w:r>
          </w:p>
        </w:tc>
      </w:tr>
      <w:tr>
        <w:trPr>
          <w:cantSplit/>
        </w:trPr>
        <w:tc>
          <w:tcPr>
            <w:tcW w:w="720" w:type="dxa"/>
            <w:tcBorders>
              <w:bottom w:val="single" w:sz="4" w:space="0" w:color="auto"/>
            </w:tcBorders>
          </w:tcPr>
          <w:p>
            <w:pPr>
              <w:pStyle w:val="yTableNAm"/>
              <w:rPr>
                <w:sz w:val="20"/>
              </w:rPr>
            </w:pPr>
            <w:r>
              <w:rPr>
                <w:sz w:val="20"/>
              </w:rPr>
              <w:t>5.</w:t>
            </w:r>
          </w:p>
        </w:tc>
        <w:tc>
          <w:tcPr>
            <w:tcW w:w="5160" w:type="dxa"/>
            <w:tcBorders>
              <w:bottom w:val="single" w:sz="4" w:space="0" w:color="auto"/>
            </w:tcBorders>
          </w:tcPr>
          <w:p>
            <w:pPr>
              <w:pStyle w:val="yTableNAm"/>
              <w:rPr>
                <w:sz w:val="20"/>
              </w:rPr>
            </w:pPr>
            <w:r>
              <w:rPr>
                <w:sz w:val="20"/>
              </w:rPr>
              <w:t>Fee for authorising operation of vehicle in substitution for vehicle under repair (r. 17(1))</w:t>
            </w:r>
          </w:p>
        </w:tc>
        <w:tc>
          <w:tcPr>
            <w:tcW w:w="1080" w:type="dxa"/>
            <w:tcBorders>
              <w:bottom w:val="single" w:sz="4" w:space="0" w:color="auto"/>
            </w:tcBorders>
          </w:tcPr>
          <w:p>
            <w:pPr>
              <w:pStyle w:val="yTableNAm"/>
              <w:rPr>
                <w:sz w:val="20"/>
              </w:rPr>
            </w:pPr>
            <w:r>
              <w:rPr>
                <w:sz w:val="20"/>
              </w:rPr>
              <w:br/>
              <w:t>76.00</w:t>
            </w:r>
          </w:p>
        </w:tc>
      </w:tr>
    </w:tbl>
    <w:p>
      <w:pPr>
        <w:pStyle w:val="BlankClose"/>
      </w:pPr>
    </w:p>
    <w:p>
      <w:pPr>
        <w:pStyle w:val="BlankClose"/>
      </w:pPr>
    </w:p>
    <w:p/>
    <w:p>
      <w:pPr>
        <w:sectPr>
          <w:headerReference w:type="even" r:id="rId32"/>
          <w:headerReference w:type="default" r:id="rId33"/>
          <w:headerReference w:type="first" r:id="rId34"/>
          <w:pgSz w:w="11907" w:h="16840" w:code="9"/>
          <w:pgMar w:top="2376" w:right="2410" w:bottom="3544" w:left="2410" w:header="720" w:footer="3379" w:gutter="0"/>
          <w:cols w:space="720"/>
          <w:noEndnote/>
          <w:docGrid w:linePitch="326"/>
        </w:sectPr>
      </w:pPr>
    </w:p>
    <w:p>
      <w:pPr>
        <w:pStyle w:val="nHeading2"/>
        <w:rPr>
          <w:sz w:val="28"/>
        </w:rPr>
      </w:pPr>
      <w:bookmarkStart w:id="181" w:name="_Toc489006631"/>
      <w:bookmarkStart w:id="182" w:name="_Toc489007101"/>
      <w:bookmarkStart w:id="183" w:name="_Toc492304492"/>
      <w:bookmarkStart w:id="184" w:name="_Toc496108252"/>
      <w:bookmarkStart w:id="185" w:name="_Toc514927996"/>
      <w:r>
        <w:rPr>
          <w:sz w:val="28"/>
        </w:rPr>
        <w:t>Defined terms</w:t>
      </w:r>
      <w:bookmarkEnd w:id="181"/>
      <w:bookmarkEnd w:id="182"/>
      <w:bookmarkEnd w:id="183"/>
      <w:bookmarkEnd w:id="184"/>
      <w:bookmarkEnd w:id="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w:t>
      </w:r>
      <w:r>
        <w:noBreakHyphen/>
        <w:t>car licence</w:t>
      </w:r>
      <w:r>
        <w:tab/>
        <w:t>4</w:t>
      </w:r>
    </w:p>
    <w:p>
      <w:pPr>
        <w:pStyle w:val="DefinedTerms"/>
      </w:pPr>
      <w:r>
        <w:t>taxi for hire sign</w:t>
      </w:r>
      <w:r>
        <w:tab/>
        <w:t>29(4)</w:t>
      </w:r>
    </w:p>
    <w:p>
      <w:pPr>
        <w:pStyle w:val="DefinedTerms"/>
      </w:pPr>
      <w:r>
        <w:t>taxi sign</w:t>
      </w:r>
      <w:r>
        <w:tab/>
        <w:t>29(4)</w:t>
      </w:r>
    </w:p>
    <w:p>
      <w:pPr>
        <w:pStyle w:val="DefinedTerms"/>
      </w:pPr>
      <w:r>
        <w:t>temporary taxi</w:t>
      </w:r>
      <w:r>
        <w:noBreakHyphen/>
        <w:t>car licence</w:t>
      </w:r>
      <w:r>
        <w:tab/>
        <w:t>4</w:t>
      </w:r>
    </w:p>
    <w:p/>
    <w:p>
      <w:pPr>
        <w:sectPr>
          <w:headerReference w:type="even" r:id="rId35"/>
          <w:headerReference w:type="default" r:id="rId36"/>
          <w:pgSz w:w="11907" w:h="16840" w:code="9"/>
          <w:pgMar w:top="2381" w:right="2410" w:bottom="3544" w:left="2410" w:header="720" w:footer="3379"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92"/>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892"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92" w:type="dxa"/>
        </w:tcPr>
        <w:p>
          <w:pPr>
            <w:pStyle w:val="Header"/>
            <w:spacing w:before="40"/>
          </w:pPr>
          <w:r>
            <w:fldChar w:fldCharType="begin"/>
          </w:r>
          <w:r>
            <w:instrText xml:space="preserve"> styleref CharDivText </w:instrText>
          </w:r>
          <w:r>
            <w:fldChar w:fldCharType="end"/>
          </w:r>
        </w:p>
      </w:tc>
    </w:tr>
    <w:tr>
      <w:trPr>
        <w:cantSplit/>
      </w:trPr>
      <w:tc>
        <w:tcPr>
          <w:tcW w:w="7197"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2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26"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26"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11"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00" w:type="dxa"/>
      <w:tblLayout w:type="fixed"/>
      <w:tblCellMar>
        <w:left w:w="72" w:type="dxa"/>
        <w:right w:w="72" w:type="dxa"/>
      </w:tblCellMar>
      <w:tblLook w:val="0000" w:firstRow="0" w:lastRow="0" w:firstColumn="0" w:lastColumn="0" w:noHBand="0" w:noVBand="0"/>
    </w:tblPr>
    <w:tblGrid>
      <w:gridCol w:w="1548"/>
      <w:gridCol w:w="5652"/>
    </w:tblGrid>
    <w:tr>
      <w:trPr>
        <w:cantSplit/>
      </w:trPr>
      <w:tc>
        <w:tcPr>
          <w:tcW w:w="7200"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2</w:instrText>
          </w:r>
          <w:r>
            <w:rPr>
              <w:b/>
            </w:rPr>
            <w:fldChar w:fldCharType="end"/>
          </w:r>
        </w:p>
      </w:tc>
      <w:tc>
        <w:tcPr>
          <w:tcW w:w="565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52" w:type="dxa"/>
        </w:tcPr>
        <w:p>
          <w:pPr>
            <w:pStyle w:val="Header"/>
            <w:spacing w:before="40"/>
          </w:pPr>
        </w:p>
      </w:tc>
    </w:tr>
    <w:tr>
      <w:tc>
        <w:tcPr>
          <w:tcW w:w="1548" w:type="dxa"/>
        </w:tcPr>
        <w:p>
          <w:pPr>
            <w:pStyle w:val="Header"/>
            <w:spacing w:before="40"/>
          </w:pPr>
        </w:p>
      </w:tc>
      <w:tc>
        <w:tcPr>
          <w:tcW w:w="5652"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97" w:type="dxa"/>
      <w:tblLayout w:type="fixed"/>
      <w:tblCellMar>
        <w:left w:w="72" w:type="dxa"/>
        <w:right w:w="72" w:type="dxa"/>
      </w:tblCellMar>
      <w:tblLook w:val="0000" w:firstRow="0" w:lastRow="0" w:firstColumn="0" w:lastColumn="0" w:noHBand="0" w:noVBand="0"/>
    </w:tblPr>
    <w:tblGrid>
      <w:gridCol w:w="5797"/>
      <w:gridCol w:w="1400"/>
    </w:tblGrid>
    <w:tr>
      <w:tc>
        <w:tcPr>
          <w:tcW w:w="7197" w:type="dxa"/>
          <w:gridSpan w:val="2"/>
        </w:tcPr>
        <w:bookmarkStart w:id="93" w:name="Schedule"/>
        <w:bookmarkEnd w:id="93"/>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1Schedule 1</w:instrText>
          </w:r>
          <w:r>
            <w:rPr>
              <w:b/>
            </w:rPr>
            <w:fldChar w:fldCharType="end"/>
          </w:r>
        </w:p>
      </w:tc>
    </w:tr>
    <w:tr>
      <w:tc>
        <w:tcPr>
          <w:tcW w:w="5797" w:type="dxa"/>
        </w:tcPr>
        <w:p>
          <w:pPr>
            <w:pStyle w:val="Header"/>
            <w:spacing w:before="40"/>
            <w:jc w:val="right"/>
          </w:pPr>
        </w:p>
      </w:tc>
      <w:tc>
        <w:tcPr>
          <w:tcW w:w="1400" w:type="dxa"/>
        </w:tcPr>
        <w:p>
          <w:pPr>
            <w:pStyle w:val="Header"/>
            <w:spacing w:before="40"/>
            <w:ind w:right="17"/>
            <w:jc w:val="right"/>
          </w:pPr>
        </w:p>
      </w:tc>
    </w:tr>
    <w:tr>
      <w:tc>
        <w:tcPr>
          <w:tcW w:w="5797" w:type="dxa"/>
        </w:tcPr>
        <w:p>
          <w:pPr>
            <w:pStyle w:val="Header"/>
            <w:spacing w:before="40"/>
            <w:jc w:val="right"/>
          </w:pPr>
        </w:p>
      </w:tc>
      <w:tc>
        <w:tcPr>
          <w:tcW w:w="140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97" w:type="dxa"/>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649"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p>
      </w:tc>
      <w:tc>
        <w:tcPr>
          <w:tcW w:w="5649"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649"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23" w:type="dxa"/>
      <w:tblLayout w:type="fixed"/>
      <w:tblCellMar>
        <w:left w:w="72" w:type="dxa"/>
        <w:right w:w="72" w:type="dxa"/>
      </w:tblCellMar>
      <w:tblLook w:val="0000" w:firstRow="0" w:lastRow="0" w:firstColumn="0" w:lastColumn="0" w:noHBand="0" w:noVBand="0"/>
    </w:tblPr>
    <w:tblGrid>
      <w:gridCol w:w="5797"/>
      <w:gridCol w:w="1526"/>
    </w:tblGrid>
    <w:tr>
      <w:tc>
        <w:tcPr>
          <w:tcW w:w="732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separate"/>
          </w:r>
          <w:r>
            <w:rPr>
              <w:b/>
            </w:rPr>
            <w:t>Schedule 2</w:t>
          </w:r>
          <w:r>
            <w:rPr>
              <w:b/>
            </w:rPr>
            <w:fldChar w:fldCharType="end"/>
          </w:r>
        </w:p>
      </w:tc>
    </w:tr>
    <w:tr>
      <w:tc>
        <w:tcPr>
          <w:tcW w:w="5797" w:type="dxa"/>
        </w:tcPr>
        <w:p>
          <w:pPr>
            <w:pStyle w:val="Header"/>
            <w:spacing w:before="40"/>
            <w:jc w:val="right"/>
          </w:pPr>
        </w:p>
      </w:tc>
      <w:tc>
        <w:tcPr>
          <w:tcW w:w="1526" w:type="dxa"/>
        </w:tcPr>
        <w:p>
          <w:pPr>
            <w:pStyle w:val="Header"/>
            <w:spacing w:before="40"/>
            <w:ind w:right="17"/>
            <w:jc w:val="right"/>
          </w:pPr>
        </w:p>
      </w:tc>
    </w:tr>
    <w:tr>
      <w:tc>
        <w:tcPr>
          <w:tcW w:w="5797" w:type="dxa"/>
        </w:tcPr>
        <w:p>
          <w:pPr>
            <w:pStyle w:val="Header"/>
            <w:spacing w:before="40"/>
            <w:jc w:val="right"/>
          </w:pP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63"/>
    </w:tblGrid>
    <w:tr>
      <w:trPr>
        <w:cantSplit/>
      </w:trPr>
      <w:tc>
        <w:tcPr>
          <w:tcW w:w="7211"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663" w:type="dxa"/>
        </w:tcPr>
        <w:p>
          <w:pPr>
            <w:pStyle w:val="Header"/>
            <w:spacing w:before="40"/>
          </w:pPr>
        </w:p>
      </w:tc>
    </w:tr>
    <w:tr>
      <w:tc>
        <w:tcPr>
          <w:tcW w:w="1548" w:type="dxa"/>
        </w:tcPr>
        <w:p>
          <w:pPr>
            <w:pStyle w:val="Header"/>
            <w:spacing w:before="40"/>
          </w:pPr>
        </w:p>
      </w:tc>
      <w:tc>
        <w:tcPr>
          <w:tcW w:w="5663" w:type="dxa"/>
        </w:tcPr>
        <w:p>
          <w:pPr>
            <w:pStyle w:val="Header"/>
            <w:spacing w:before="40"/>
          </w:pPr>
        </w:p>
      </w:tc>
    </w:tr>
    <w:tr>
      <w:trPr>
        <w:cantSplit/>
      </w:trPr>
      <w:tc>
        <w:tcPr>
          <w:tcW w:w="7211"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437" w:type="dxa"/>
        </w:tcPr>
        <w:p>
          <w:pPr>
            <w:pStyle w:val="Header"/>
            <w:spacing w:before="40"/>
            <w:ind w:right="17"/>
            <w:jc w:val="right"/>
          </w:pPr>
        </w:p>
      </w:tc>
    </w:tr>
    <w:tr>
      <w:tc>
        <w:tcPr>
          <w:tcW w:w="5760" w:type="dxa"/>
        </w:tcPr>
        <w:p>
          <w:pPr>
            <w:pStyle w:val="Header"/>
            <w:spacing w:before="40"/>
            <w:jc w:val="right"/>
          </w:pPr>
        </w:p>
      </w:tc>
      <w:tc>
        <w:tcPr>
          <w:tcW w:w="1437" w:type="dxa"/>
        </w:tcPr>
        <w:p>
          <w:pPr>
            <w:pStyle w:val="Header"/>
            <w:spacing w:before="40"/>
            <w:ind w:right="17"/>
            <w:jc w:val="right"/>
          </w:pPr>
        </w:p>
      </w:tc>
    </w:tr>
    <w:tr>
      <w:trPr>
        <w:cantSplit/>
      </w:trPr>
      <w:tc>
        <w:tcPr>
          <w:tcW w:w="7197"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6" w:name="DefinedTerms"/>
    <w:bookmarkEnd w:id="18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 w:name="Coversheet"/>
    <w:bookmarkEnd w:id="1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28115537"/>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 w:name="WAFER_20170728115537" w:val="RemoveTocBookmarks,RemoveUnusedBookmarks,RemoveLanguageTags,UsedStyles,ResetPageSize,RemoveCustomizations"/>
    <w:docVar w:name="WAFER_20170728115537_GUID" w:val="03b18b01-e58d-434b-a87d-9fdc40248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69CDB-F58A-4D32-96CE-870287F57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8288</Words>
  <Characters>40699</Characters>
  <Application>Microsoft Office Word</Application>
  <DocSecurity>0</DocSecurity>
  <Lines>1453</Lines>
  <Paragraphs>890</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48097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1982 - 05-b0-00</dc:title>
  <dc:subject/>
  <dc:creator/>
  <cp:keywords/>
  <dc:description/>
  <cp:lastModifiedBy>svcMRProcess</cp:lastModifiedBy>
  <cp:revision>4</cp:revision>
  <cp:lastPrinted>2017-09-04T04:47:00Z</cp:lastPrinted>
  <dcterms:created xsi:type="dcterms:W3CDTF">2018-05-25T01:38:00Z</dcterms:created>
  <dcterms:modified xsi:type="dcterms:W3CDTF">2018-05-25T01:38:00Z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edAsAt">
    <vt:filetime>2017-10-05T16:00:00Z</vt:filetime>
  </property>
  <property fmtid="{D5CDD505-2E9C-101B-9397-08002B2CF9AE}" pid="6" name="ReprintNo">
    <vt:lpwstr>5</vt:lpwstr>
  </property>
  <property fmtid="{D5CDD505-2E9C-101B-9397-08002B2CF9AE}" pid="7" name="CommencementDate">
    <vt:lpwstr>20180525</vt:lpwstr>
  </property>
  <property fmtid="{D5CDD505-2E9C-101B-9397-08002B2CF9AE}" pid="8" name="AsAtDate">
    <vt:lpwstr>25 May 2018</vt:lpwstr>
  </property>
  <property fmtid="{D5CDD505-2E9C-101B-9397-08002B2CF9AE}" pid="9" name="Suffix">
    <vt:lpwstr>05-b0-00</vt:lpwstr>
  </property>
</Properties>
</file>