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Act 2000</w:t>
      </w:r>
      <w:r>
        <w:rPr>
          <w:sz w:val="48"/>
        </w:rPr>
        <w:fldChar w:fldCharType="end"/>
      </w:r>
    </w:p>
    <w:p>
      <w:pPr>
        <w:pStyle w:val="ReprintNo"/>
      </w:pPr>
      <w:r>
        <w:t>Reprint 3:  The Act as at 4 May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_Toc510084599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_Toc510084600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_Toc510084601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_Toc510084602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_Toc510084603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_Toc510084604 \h </w:instrText>
      </w:r>
      <w:r>
        <w:fldChar w:fldCharType="separate"/>
      </w:r>
      <w:r>
        <w:t>6</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_Toc510084605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_Toc510084606 \h </w:instrText>
      </w:r>
      <w:r>
        <w:fldChar w:fldCharType="separate"/>
      </w:r>
      <w:r>
        <w:t>8</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_Toc510084607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_Toc510084610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_Toc510084612 \h </w:instrText>
      </w:r>
      <w:r>
        <w:fldChar w:fldCharType="separate"/>
      </w:r>
      <w:r>
        <w:t>10</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_Toc510084613 \h </w:instrText>
      </w:r>
      <w:r>
        <w:fldChar w:fldCharType="separate"/>
      </w:r>
      <w:r>
        <w:t>10</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_Toc510084614 \h </w:instrText>
      </w:r>
      <w:r>
        <w:fldChar w:fldCharType="separate"/>
      </w:r>
      <w:r>
        <w:t>11</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_Toc510084615 \h </w:instrText>
      </w:r>
      <w:r>
        <w:fldChar w:fldCharType="separate"/>
      </w:r>
      <w:r>
        <w:t>11</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_Toc510084616 \h </w:instrText>
      </w:r>
      <w:r>
        <w:fldChar w:fldCharType="separate"/>
      </w:r>
      <w:r>
        <w:t>12</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_Toc510084617 \h </w:instrText>
      </w:r>
      <w:r>
        <w:fldChar w:fldCharType="separate"/>
      </w:r>
      <w:r>
        <w:t>13</w:t>
      </w:r>
      <w:r>
        <w:fldChar w:fldCharType="end"/>
      </w:r>
    </w:p>
    <w:p>
      <w:pPr>
        <w:pStyle w:val="TOC8"/>
        <w:rPr>
          <w:rFonts w:asciiTheme="minorHAnsi" w:eastAsiaTheme="minorEastAsia" w:hAnsiTheme="minorHAnsi" w:cstheme="minorBidi"/>
          <w:szCs w:val="22"/>
        </w:rPr>
      </w:pPr>
      <w:r>
        <w:t>13A.</w:t>
      </w:r>
      <w:r>
        <w:tab/>
        <w:t>Criterion 6 — applicant must not have been convicted of an offence under this Act</w:t>
      </w:r>
      <w:r>
        <w:tab/>
      </w:r>
      <w:r>
        <w:fldChar w:fldCharType="begin"/>
      </w:r>
      <w:r>
        <w:instrText xml:space="preserve"> PAGEREF _Toc510084618 \h </w:instrText>
      </w:r>
      <w:r>
        <w:fldChar w:fldCharType="separate"/>
      </w:r>
      <w:r>
        <w:t>15</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_Toc510084619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_Toc510084622 \h </w:instrText>
      </w:r>
      <w:r>
        <w:fldChar w:fldCharType="separate"/>
      </w:r>
      <w:r>
        <w:t>15</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_Toc510084623 \h </w:instrText>
      </w:r>
      <w:r>
        <w:fldChar w:fldCharType="separate"/>
      </w:r>
      <w:r>
        <w:t>17</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_Toc510084624 \h </w:instrText>
      </w:r>
      <w:r>
        <w:fldChar w:fldCharType="separate"/>
      </w:r>
      <w:r>
        <w:t>18</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_Toc510084625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_Toc510084626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_Toc510084627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_Toc510084629 \h </w:instrText>
      </w:r>
      <w:r>
        <w:fldChar w:fldCharType="separate"/>
      </w:r>
      <w:r>
        <w:t>21</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_Toc510084630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_Toc510084632 \h </w:instrText>
      </w:r>
      <w:r>
        <w:fldChar w:fldCharType="separate"/>
      </w:r>
      <w:r>
        <w:t>27</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_Toc510084633 \h </w:instrText>
      </w:r>
      <w:r>
        <w:fldChar w:fldCharType="separate"/>
      </w:r>
      <w:r>
        <w:t>28</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_Toc510084634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_Toc510084636 \h </w:instrText>
      </w:r>
      <w:r>
        <w:fldChar w:fldCharType="separate"/>
      </w:r>
      <w:r>
        <w:t>29</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_Toc510084637 \h </w:instrText>
      </w:r>
      <w:r>
        <w:fldChar w:fldCharType="separate"/>
      </w:r>
      <w:r>
        <w:t>30</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_Toc510084638 \h </w:instrText>
      </w:r>
      <w:r>
        <w:fldChar w:fldCharType="separate"/>
      </w:r>
      <w:r>
        <w:t>32</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_Toc510084639 \h </w:instrText>
      </w:r>
      <w:r>
        <w:fldChar w:fldCharType="separate"/>
      </w:r>
      <w:r>
        <w:t>33</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_Toc510084640 \h </w:instrText>
      </w:r>
      <w:r>
        <w:fldChar w:fldCharType="separate"/>
      </w:r>
      <w:r>
        <w:t>35</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_Toc510084641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_Toc510084642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_Toc510084643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_Toc510084646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_Toc510084648 \h </w:instrText>
      </w:r>
      <w:r>
        <w:fldChar w:fldCharType="separate"/>
      </w:r>
      <w:r>
        <w:t>38</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_Toc510084649 \h </w:instrText>
      </w:r>
      <w:r>
        <w:fldChar w:fldCharType="separate"/>
      </w:r>
      <w:r>
        <w:t>38</w:t>
      </w:r>
      <w:r>
        <w:fldChar w:fldCharType="end"/>
      </w:r>
    </w:p>
    <w:p>
      <w:pPr>
        <w:pStyle w:val="TOC8"/>
        <w:rPr>
          <w:rFonts w:asciiTheme="minorHAnsi" w:eastAsiaTheme="minorEastAsia" w:hAnsiTheme="minorHAnsi" w:cstheme="minorBidi"/>
          <w:szCs w:val="22"/>
        </w:rPr>
      </w:pPr>
      <w:r>
        <w:t>29A.</w:t>
      </w:r>
      <w:r>
        <w:tab/>
        <w:t xml:space="preserve">Relationship with </w:t>
      </w:r>
      <w:r>
        <w:rPr>
          <w:i/>
        </w:rPr>
        <w:t>Duties Act 2008</w:t>
      </w:r>
      <w:r>
        <w:t xml:space="preserve"> and </w:t>
      </w:r>
      <w:r>
        <w:rPr>
          <w:i/>
        </w:rPr>
        <w:t>Taxation Administration Act 2003</w:t>
      </w:r>
      <w:r>
        <w:tab/>
      </w:r>
      <w:r>
        <w:fldChar w:fldCharType="begin"/>
      </w:r>
      <w:r>
        <w:instrText xml:space="preserve"> PAGEREF _Toc510084650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_Toc510084651 \h </w:instrText>
      </w:r>
      <w:r>
        <w:fldChar w:fldCharType="separate"/>
      </w:r>
      <w:r>
        <w:t>42</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_Toc510084652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_Toc510084653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_Toc510084655 \h </w:instrText>
      </w:r>
      <w:r>
        <w:fldChar w:fldCharType="separate"/>
      </w:r>
      <w:r>
        <w:t>46</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_Toc510084656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_Toc510084659 \h </w:instrText>
      </w:r>
      <w:r>
        <w:fldChar w:fldCharType="separate"/>
      </w:r>
      <w:r>
        <w:t>49</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_Toc510084660 \h </w:instrText>
      </w:r>
      <w:r>
        <w:fldChar w:fldCharType="separate"/>
      </w:r>
      <w:r>
        <w:t>49</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_Toc510084661 \h </w:instrText>
      </w:r>
      <w:r>
        <w:fldChar w:fldCharType="separate"/>
      </w:r>
      <w:r>
        <w:t>50</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_Toc510084662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_Toc510084664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_Toc510084665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_Toc510084666 \h </w:instrText>
      </w:r>
      <w:r>
        <w:fldChar w:fldCharType="separate"/>
      </w:r>
      <w:r>
        <w:t>52</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_Toc510084667 \h </w:instrText>
      </w:r>
      <w:r>
        <w:fldChar w:fldCharType="separate"/>
      </w:r>
      <w:r>
        <w:t>52</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_Toc510084668 \h </w:instrText>
      </w:r>
      <w:r>
        <w:fldChar w:fldCharType="separate"/>
      </w:r>
      <w:r>
        <w:t>53</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_Toc510084669 \h </w:instrText>
      </w:r>
      <w:r>
        <w:fldChar w:fldCharType="separate"/>
      </w:r>
      <w:r>
        <w:t>54</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_Toc510084670 \h </w:instrText>
      </w:r>
      <w:r>
        <w:fldChar w:fldCharType="separate"/>
      </w:r>
      <w:r>
        <w:t>55</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_Toc510084671 \h </w:instrText>
      </w:r>
      <w:r>
        <w:fldChar w:fldCharType="separate"/>
      </w:r>
      <w:r>
        <w:t>57</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_Toc510084672 \h </w:instrText>
      </w:r>
      <w:r>
        <w:fldChar w:fldCharType="separate"/>
      </w:r>
      <w:r>
        <w:t>58</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_Toc510084673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_Toc510084676 \h </w:instrText>
      </w:r>
      <w:r>
        <w:fldChar w:fldCharType="separate"/>
      </w:r>
      <w:r>
        <w:t>60</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_Toc510084677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_Toc510084679 \h </w:instrText>
      </w:r>
      <w:r>
        <w:fldChar w:fldCharType="separate"/>
      </w:r>
      <w:r>
        <w:t>61</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_Toc510084680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_Toc510084682 \h </w:instrText>
      </w:r>
      <w:r>
        <w:fldChar w:fldCharType="separate"/>
      </w:r>
      <w:r>
        <w:t>62</w:t>
      </w:r>
      <w:r>
        <w:fldChar w:fldCharType="end"/>
      </w:r>
    </w:p>
    <w:p>
      <w:pPr>
        <w:pStyle w:val="TOC8"/>
        <w:rPr>
          <w:rFonts w:asciiTheme="minorHAnsi" w:eastAsiaTheme="minorEastAsia" w:hAnsiTheme="minorHAnsi" w:cstheme="minorBidi"/>
          <w:szCs w:val="22"/>
        </w:rPr>
      </w:pPr>
      <w:r>
        <w:t>52.</w:t>
      </w:r>
      <w:r>
        <w:tab/>
        <w:t>Arrangements for instalments and extensions of time</w:t>
      </w:r>
      <w:r>
        <w:tab/>
      </w:r>
      <w:r>
        <w:fldChar w:fldCharType="begin"/>
      </w:r>
      <w:r>
        <w:instrText xml:space="preserve"> PAGEREF _Toc510084683 \h </w:instrText>
      </w:r>
      <w:r>
        <w:fldChar w:fldCharType="separate"/>
      </w:r>
      <w:r>
        <w:t>63</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_Toc510084684 \h </w:instrText>
      </w:r>
      <w:r>
        <w:fldChar w:fldCharType="separate"/>
      </w:r>
      <w:r>
        <w:t>65</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_Toc510084685 \h </w:instrText>
      </w:r>
      <w:r>
        <w:fldChar w:fldCharType="separate"/>
      </w:r>
      <w:r>
        <w:t>66</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_Toc510084686 \h </w:instrText>
      </w:r>
      <w:r>
        <w:fldChar w:fldCharType="separate"/>
      </w:r>
      <w:r>
        <w:t>66</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_Toc510084687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_Toc510084689 \h </w:instrText>
      </w:r>
      <w:r>
        <w:fldChar w:fldCharType="separate"/>
      </w:r>
      <w:r>
        <w:t>68</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_Toc510084690 \h </w:instrText>
      </w:r>
      <w:r>
        <w:fldChar w:fldCharType="separate"/>
      </w:r>
      <w:r>
        <w:t>70</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_Toc510084691 \h </w:instrText>
      </w:r>
      <w:r>
        <w:fldChar w:fldCharType="separate"/>
      </w:r>
      <w:r>
        <w:t>70</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_Toc510084692 \h </w:instrText>
      </w:r>
      <w:r>
        <w:fldChar w:fldCharType="separate"/>
      </w:r>
      <w:r>
        <w:t>70</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_Toc510084693 \h </w:instrText>
      </w:r>
      <w:r>
        <w:fldChar w:fldCharType="separate"/>
      </w:r>
      <w:r>
        <w:t>72</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_Toc510084694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_Toc510084696 \h </w:instrText>
      </w:r>
      <w:r>
        <w:fldChar w:fldCharType="separate"/>
      </w:r>
      <w:r>
        <w:t>73</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_Toc510084697 \h </w:instrText>
      </w:r>
      <w:r>
        <w:fldChar w:fldCharType="separate"/>
      </w:r>
      <w:r>
        <w:t>73</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_Toc510084698 \h </w:instrText>
      </w:r>
      <w:r>
        <w:fldChar w:fldCharType="separate"/>
      </w:r>
      <w:r>
        <w:t>74</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_Toc510084699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_Toc510084701 \h </w:instrText>
      </w:r>
      <w:r>
        <w:fldChar w:fldCharType="separate"/>
      </w:r>
      <w:r>
        <w:t>75</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_Toc510084702 \h </w:instrText>
      </w:r>
      <w:r>
        <w:fldChar w:fldCharType="separate"/>
      </w:r>
      <w:r>
        <w:t>77</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_Toc510084703 \h </w:instrText>
      </w:r>
      <w:r>
        <w:fldChar w:fldCharType="separate"/>
      </w:r>
      <w:r>
        <w:t>77</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_Toc510084704 \h </w:instrText>
      </w:r>
      <w:r>
        <w:fldChar w:fldCharType="separate"/>
      </w:r>
      <w:r>
        <w:t>78</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_Toc510084705 \h </w:instrText>
      </w:r>
      <w:r>
        <w:fldChar w:fldCharType="separate"/>
      </w:r>
      <w:r>
        <w:t>78</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_Toc510084706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_Toc510084708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May 2018</w:t>
            </w:r>
          </w:p>
        </w:tc>
      </w:tr>
    </w:tbl>
    <w:p>
      <w:pPr>
        <w:pStyle w:val="WA"/>
        <w:spacing w:before="12"/>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506800294"/>
      <w:bookmarkStart w:id="4" w:name="_Toc506800406"/>
      <w:bookmarkStart w:id="5" w:name="_Toc506800635"/>
      <w:bookmarkStart w:id="6" w:name="_Toc507750080"/>
      <w:bookmarkStart w:id="7" w:name="_Toc510083878"/>
      <w:bookmarkStart w:id="8" w:name="_Toc51008459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9" w:name="_Toc510084599"/>
      <w:r>
        <w:rPr>
          <w:rStyle w:val="CharSectno"/>
        </w:rPr>
        <w:t>1</w:t>
      </w:r>
      <w:r>
        <w:rPr>
          <w:snapToGrid w:val="0"/>
        </w:rPr>
        <w:t>.</w:t>
      </w:r>
      <w:r>
        <w:rPr>
          <w:snapToGrid w:val="0"/>
        </w:rPr>
        <w:tab/>
        <w:t>Short title</w:t>
      </w:r>
      <w:bookmarkEnd w:id="9"/>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0" w:name="_Toc510084600"/>
      <w:r>
        <w:rPr>
          <w:rStyle w:val="CharSectno"/>
        </w:rPr>
        <w:t>2</w:t>
      </w:r>
      <w:r>
        <w:rPr>
          <w:snapToGrid w:val="0"/>
        </w:rPr>
        <w:t>.</w:t>
      </w:r>
      <w:r>
        <w:rPr>
          <w:snapToGrid w:val="0"/>
        </w:rPr>
        <w:tab/>
        <w:t>Commencement</w:t>
      </w:r>
      <w:bookmarkEnd w:id="10"/>
    </w:p>
    <w:p>
      <w:pPr>
        <w:pStyle w:val="Subsection"/>
      </w:pPr>
      <w:r>
        <w:tab/>
      </w:r>
      <w:r>
        <w:tab/>
        <w:t>This Act comes into operation on 1 July 2000.</w:t>
      </w:r>
    </w:p>
    <w:p>
      <w:pPr>
        <w:pStyle w:val="Heading5"/>
      </w:pPr>
      <w:bookmarkStart w:id="11" w:name="_Toc510084601"/>
      <w:r>
        <w:rPr>
          <w:rStyle w:val="CharSectno"/>
        </w:rPr>
        <w:t>3</w:t>
      </w:r>
      <w:r>
        <w:t>.</w:t>
      </w:r>
      <w:r>
        <w:tab/>
        <w:t>Terms used</w:t>
      </w:r>
      <w:bookmarkEnd w:id="11"/>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 No. 27 of 2015 s. 4.]</w:t>
      </w:r>
    </w:p>
    <w:p>
      <w:pPr>
        <w:pStyle w:val="Heading5"/>
      </w:pPr>
      <w:bookmarkStart w:id="12" w:name="_Toc510084602"/>
      <w:r>
        <w:rPr>
          <w:rStyle w:val="CharSectno"/>
        </w:rPr>
        <w:t>4</w:t>
      </w:r>
      <w:r>
        <w:t>.</w:t>
      </w:r>
      <w:r>
        <w:tab/>
        <w:t>Term used: home</w:t>
      </w:r>
      <w:bookmarkEnd w:id="12"/>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3" w:name="_Toc510084603"/>
      <w:r>
        <w:rPr>
          <w:rStyle w:val="CharSectno"/>
        </w:rPr>
        <w:t>5</w:t>
      </w:r>
      <w:r>
        <w:t>.</w:t>
      </w:r>
      <w:r>
        <w:tab/>
        <w:t>Terms used: owner, home owner</w:t>
      </w:r>
      <w:bookmarkEnd w:id="13"/>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4" w:name="_Toc510084604"/>
      <w:r>
        <w:rPr>
          <w:rStyle w:val="CharSectno"/>
        </w:rPr>
        <w:t>6</w:t>
      </w:r>
      <w:r>
        <w:t>.</w:t>
      </w:r>
      <w:r>
        <w:tab/>
        <w:t>Term used: relevant interest</w:t>
      </w:r>
      <w:bookmarkEnd w:id="14"/>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 No. 16 of 2017 s. 4.]</w:t>
      </w:r>
    </w:p>
    <w:p>
      <w:pPr>
        <w:pStyle w:val="Heading5"/>
      </w:pPr>
      <w:bookmarkStart w:id="15" w:name="_Toc510084605"/>
      <w:r>
        <w:rPr>
          <w:rStyle w:val="CharSectno"/>
        </w:rPr>
        <w:t>7</w:t>
      </w:r>
      <w:r>
        <w:t>.</w:t>
      </w:r>
      <w:r>
        <w:tab/>
        <w:t>Term used: spouse</w:t>
      </w:r>
      <w:bookmarkEnd w:id="15"/>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16" w:name="_Toc510084606"/>
      <w:r>
        <w:rPr>
          <w:rStyle w:val="CharSectno"/>
        </w:rPr>
        <w:t>7A</w:t>
      </w:r>
      <w:r>
        <w:t>.</w:t>
      </w:r>
      <w:r>
        <w:tab/>
        <w:t>Term used: Australian citizen</w:t>
      </w:r>
      <w:bookmarkEnd w:id="16"/>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17" w:name="_Toc510084607"/>
      <w:r>
        <w:rPr>
          <w:rStyle w:val="CharSectno"/>
        </w:rPr>
        <w:t>7B</w:t>
      </w:r>
      <w:r>
        <w:t>.</w:t>
      </w:r>
      <w:r>
        <w:tab/>
        <w:t>Term used: permanent resident</w:t>
      </w:r>
      <w:bookmarkEnd w:id="17"/>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18" w:name="_Toc506800304"/>
      <w:bookmarkStart w:id="19" w:name="_Toc506800416"/>
      <w:bookmarkStart w:id="20" w:name="_Toc506800645"/>
      <w:bookmarkStart w:id="21" w:name="_Toc507750090"/>
      <w:bookmarkStart w:id="22" w:name="_Toc510083888"/>
      <w:bookmarkStart w:id="23" w:name="_Toc510084608"/>
      <w:r>
        <w:rPr>
          <w:rStyle w:val="CharPartNo"/>
        </w:rPr>
        <w:t>Part 2</w:t>
      </w:r>
      <w:r>
        <w:t xml:space="preserve"> — </w:t>
      </w:r>
      <w:r>
        <w:rPr>
          <w:rStyle w:val="CharPartText"/>
        </w:rPr>
        <w:t>First home owner grant</w:t>
      </w:r>
      <w:bookmarkEnd w:id="18"/>
      <w:bookmarkEnd w:id="19"/>
      <w:bookmarkEnd w:id="20"/>
      <w:bookmarkEnd w:id="21"/>
      <w:bookmarkEnd w:id="22"/>
      <w:bookmarkEnd w:id="23"/>
    </w:p>
    <w:p>
      <w:pPr>
        <w:pStyle w:val="Heading3"/>
        <w:spacing w:before="200"/>
      </w:pPr>
      <w:bookmarkStart w:id="24" w:name="_Toc506800305"/>
      <w:bookmarkStart w:id="25" w:name="_Toc506800417"/>
      <w:bookmarkStart w:id="26" w:name="_Toc506800646"/>
      <w:bookmarkStart w:id="27" w:name="_Toc507750091"/>
      <w:bookmarkStart w:id="28" w:name="_Toc510083889"/>
      <w:bookmarkStart w:id="29" w:name="_Toc510084609"/>
      <w:r>
        <w:rPr>
          <w:rStyle w:val="CharDivNo"/>
        </w:rPr>
        <w:t>Division 1</w:t>
      </w:r>
      <w:r>
        <w:t xml:space="preserve"> — </w:t>
      </w:r>
      <w:r>
        <w:rPr>
          <w:rStyle w:val="CharDivText"/>
        </w:rPr>
        <w:t>Entitlement to grant</w:t>
      </w:r>
      <w:bookmarkEnd w:id="24"/>
      <w:bookmarkEnd w:id="25"/>
      <w:bookmarkEnd w:id="26"/>
      <w:bookmarkEnd w:id="27"/>
      <w:bookmarkEnd w:id="28"/>
      <w:bookmarkEnd w:id="29"/>
    </w:p>
    <w:p>
      <w:pPr>
        <w:pStyle w:val="Heading5"/>
        <w:spacing w:before="180"/>
      </w:pPr>
      <w:bookmarkStart w:id="30" w:name="_Toc510084610"/>
      <w:r>
        <w:rPr>
          <w:rStyle w:val="CharSectno"/>
        </w:rPr>
        <w:t>8</w:t>
      </w:r>
      <w:r>
        <w:t>.</w:t>
      </w:r>
      <w:r>
        <w:tab/>
        <w:t>Entitlement to grant</w:t>
      </w:r>
      <w:bookmarkEnd w:id="30"/>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31" w:name="_Toc506800307"/>
      <w:bookmarkStart w:id="32" w:name="_Toc506800419"/>
      <w:bookmarkStart w:id="33" w:name="_Toc506800648"/>
      <w:bookmarkStart w:id="34" w:name="_Toc507750093"/>
      <w:bookmarkStart w:id="35" w:name="_Toc510083891"/>
      <w:bookmarkStart w:id="36" w:name="_Toc510084611"/>
      <w:r>
        <w:rPr>
          <w:rStyle w:val="CharDivNo"/>
        </w:rPr>
        <w:t>Division 2</w:t>
      </w:r>
      <w:r>
        <w:rPr>
          <w:snapToGrid w:val="0"/>
        </w:rPr>
        <w:t xml:space="preserve"> — </w:t>
      </w:r>
      <w:r>
        <w:rPr>
          <w:rStyle w:val="CharDivText"/>
        </w:rPr>
        <w:t>Eligibility criteria (applicants)</w:t>
      </w:r>
      <w:bookmarkEnd w:id="31"/>
      <w:bookmarkEnd w:id="32"/>
      <w:bookmarkEnd w:id="33"/>
      <w:bookmarkEnd w:id="34"/>
      <w:bookmarkEnd w:id="35"/>
      <w:bookmarkEnd w:id="36"/>
    </w:p>
    <w:p>
      <w:pPr>
        <w:pStyle w:val="Heading5"/>
        <w:spacing w:before="180"/>
      </w:pPr>
      <w:bookmarkStart w:id="37" w:name="_Toc510084612"/>
      <w:r>
        <w:rPr>
          <w:rStyle w:val="CharSectno"/>
        </w:rPr>
        <w:t>9</w:t>
      </w:r>
      <w:r>
        <w:rPr>
          <w:snapToGrid w:val="0"/>
        </w:rPr>
        <w:t>.</w:t>
      </w:r>
      <w:r>
        <w:rPr>
          <w:snapToGrid w:val="0"/>
        </w:rPr>
        <w:tab/>
        <w:t>Criterion 1 — applicant to be a natural person</w:t>
      </w:r>
      <w:bookmarkEnd w:id="37"/>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38" w:name="_Toc510084613"/>
      <w:r>
        <w:rPr>
          <w:rStyle w:val="CharSectno"/>
        </w:rPr>
        <w:t>9A</w:t>
      </w:r>
      <w:r>
        <w:t>.</w:t>
      </w:r>
      <w:r>
        <w:tab/>
        <w:t>Criterion 1A — applicant to be at least 18 years of age</w:t>
      </w:r>
      <w:bookmarkEnd w:id="38"/>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39" w:name="_Toc510084614"/>
      <w:r>
        <w:rPr>
          <w:rStyle w:val="CharSectno"/>
        </w:rPr>
        <w:t>10</w:t>
      </w:r>
      <w:r>
        <w:t>.</w:t>
      </w:r>
      <w:r>
        <w:tab/>
        <w:t>Criterion 2 — applicant to be Australian citizen or permanent resident</w:t>
      </w:r>
      <w:bookmarkEnd w:id="3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0" w:name="_Toc510084615"/>
      <w:r>
        <w:rPr>
          <w:rStyle w:val="CharSectno"/>
        </w:rPr>
        <w:t>11</w:t>
      </w:r>
      <w:r>
        <w:t>.</w:t>
      </w:r>
      <w:r>
        <w:tab/>
        <w:t>Criterion 3 — except in certain circumstances, applicant or applicant’s spouse or de facto partner must not have received another grant</w:t>
      </w:r>
      <w:bookmarkEnd w:id="40"/>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41" w:name="_Toc510084616"/>
      <w:r>
        <w:rPr>
          <w:rStyle w:val="CharSectno"/>
        </w:rPr>
        <w:t>12</w:t>
      </w:r>
      <w:r>
        <w:t>.</w:t>
      </w:r>
      <w:r>
        <w:tab/>
        <w:t>Criterion 4 — applicant or applicant’s spouse or de facto partner must not have had relevant interest in residential property</w:t>
      </w:r>
      <w:bookmarkEnd w:id="41"/>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 No. 16 of 2017 s. 5.]</w:t>
      </w:r>
    </w:p>
    <w:p>
      <w:pPr>
        <w:pStyle w:val="Heading5"/>
      </w:pPr>
      <w:bookmarkStart w:id="42" w:name="_Toc510084617"/>
      <w:r>
        <w:rPr>
          <w:rStyle w:val="CharSectno"/>
        </w:rPr>
        <w:t>13</w:t>
      </w:r>
      <w:r>
        <w:t>.</w:t>
      </w:r>
      <w:r>
        <w:tab/>
        <w:t>Criterion 5 — residence requirements</w:t>
      </w:r>
      <w:bookmarkEnd w:id="42"/>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43" w:name="_Toc510084618"/>
      <w:r>
        <w:rPr>
          <w:rStyle w:val="CharSectno"/>
        </w:rPr>
        <w:t>13A</w:t>
      </w:r>
      <w:r>
        <w:t>.</w:t>
      </w:r>
      <w:r>
        <w:tab/>
        <w:t>Criterion 6 — applicant must not have been convicted of an offence under this Act</w:t>
      </w:r>
      <w:bookmarkEnd w:id="43"/>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5"/>
      </w:pPr>
      <w:bookmarkStart w:id="44" w:name="_Toc510084619"/>
      <w:r>
        <w:rPr>
          <w:rStyle w:val="CharSectno"/>
        </w:rPr>
        <w:t>13B</w:t>
      </w:r>
      <w:r>
        <w:t>.</w:t>
      </w:r>
      <w:r>
        <w:tab/>
        <w:t>Criterion 7 — applicant must not hold relevant interest as trustee</w:t>
      </w:r>
      <w:bookmarkEnd w:id="44"/>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by No. 16 of 2017 s. 6.]</w:t>
      </w:r>
    </w:p>
    <w:p>
      <w:pPr>
        <w:pStyle w:val="Heading3"/>
      </w:pPr>
      <w:bookmarkStart w:id="45" w:name="_Toc506800316"/>
      <w:bookmarkStart w:id="46" w:name="_Toc506800428"/>
      <w:bookmarkStart w:id="47" w:name="_Toc506800657"/>
      <w:bookmarkStart w:id="48" w:name="_Toc507750102"/>
      <w:bookmarkStart w:id="49" w:name="_Toc510083900"/>
      <w:bookmarkStart w:id="50" w:name="_Toc510084620"/>
      <w:r>
        <w:rPr>
          <w:rStyle w:val="CharDivNo"/>
        </w:rPr>
        <w:t>Division 3</w:t>
      </w:r>
      <w:r>
        <w:t xml:space="preserve"> — </w:t>
      </w:r>
      <w:r>
        <w:rPr>
          <w:rStyle w:val="CharDivText"/>
        </w:rPr>
        <w:t>Eligible transactions</w:t>
      </w:r>
      <w:bookmarkEnd w:id="45"/>
      <w:bookmarkEnd w:id="46"/>
      <w:bookmarkEnd w:id="47"/>
      <w:bookmarkEnd w:id="48"/>
      <w:bookmarkEnd w:id="49"/>
      <w:bookmarkEnd w:id="50"/>
    </w:p>
    <w:p>
      <w:pPr>
        <w:pStyle w:val="Heading4"/>
      </w:pPr>
      <w:bookmarkStart w:id="51" w:name="_Toc506800317"/>
      <w:bookmarkStart w:id="52" w:name="_Toc506800429"/>
      <w:bookmarkStart w:id="53" w:name="_Toc506800658"/>
      <w:bookmarkStart w:id="54" w:name="_Toc507750103"/>
      <w:bookmarkStart w:id="55" w:name="_Toc510083901"/>
      <w:bookmarkStart w:id="56" w:name="_Toc510084621"/>
      <w:r>
        <w:t>Subdivision 1 — Eligible transactions</w:t>
      </w:r>
      <w:bookmarkEnd w:id="51"/>
      <w:bookmarkEnd w:id="52"/>
      <w:bookmarkEnd w:id="53"/>
      <w:bookmarkEnd w:id="54"/>
      <w:bookmarkEnd w:id="55"/>
      <w:bookmarkEnd w:id="56"/>
    </w:p>
    <w:p>
      <w:pPr>
        <w:pStyle w:val="Footnoteheading"/>
      </w:pPr>
      <w:r>
        <w:tab/>
        <w:t>[Heading inserted by No. 14 of 2001 s. 4.]</w:t>
      </w:r>
    </w:p>
    <w:p>
      <w:pPr>
        <w:pStyle w:val="Heading5"/>
      </w:pPr>
      <w:bookmarkStart w:id="57" w:name="_Toc510084622"/>
      <w:r>
        <w:rPr>
          <w:rStyle w:val="CharSectno"/>
        </w:rPr>
        <w:t>14</w:t>
      </w:r>
      <w:r>
        <w:t>.</w:t>
      </w:r>
      <w:r>
        <w:tab/>
        <w:t>Eligible transaction</w:t>
      </w:r>
      <w:bookmarkEnd w:id="57"/>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 No. 27 of 2015 s. 5.]</w:t>
      </w:r>
    </w:p>
    <w:p>
      <w:pPr>
        <w:pStyle w:val="Heading5"/>
      </w:pPr>
      <w:bookmarkStart w:id="58" w:name="_Toc510084623"/>
      <w:r>
        <w:rPr>
          <w:rStyle w:val="CharSectno"/>
        </w:rPr>
        <w:t>14AA</w:t>
      </w:r>
      <w:r>
        <w:t>.</w:t>
      </w:r>
      <w:r>
        <w:tab/>
        <w:t>Commencement and completion of transaction</w:t>
      </w:r>
      <w:bookmarkEnd w:id="58"/>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 amended by No. 27 of 2015 s. 6; No. 16 of 2017 s. 7.]</w:t>
      </w:r>
    </w:p>
    <w:p>
      <w:pPr>
        <w:pStyle w:val="Heading5"/>
      </w:pPr>
      <w:bookmarkStart w:id="59" w:name="_Toc510084624"/>
      <w:r>
        <w:rPr>
          <w:rStyle w:val="CharSectno"/>
        </w:rPr>
        <w:t>14AB</w:t>
      </w:r>
      <w:r>
        <w:t>.</w:t>
      </w:r>
      <w:r>
        <w:tab/>
        <w:t>Term used: consideration</w:t>
      </w:r>
      <w:bookmarkEnd w:id="59"/>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ageBreakBefore/>
        <w:spacing w:before="0"/>
      </w:pPr>
      <w:bookmarkStart w:id="60" w:name="_Toc510084625"/>
      <w:r>
        <w:rPr>
          <w:rStyle w:val="CharSectno"/>
        </w:rPr>
        <w:t>14AC</w:t>
      </w:r>
      <w:r>
        <w:t>.</w:t>
      </w:r>
      <w:r>
        <w:tab/>
        <w:t>Term used: total value</w:t>
      </w:r>
      <w:bookmarkEnd w:id="60"/>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ageBreakBefore/>
        <w:spacing w:before="0"/>
      </w:pPr>
      <w:bookmarkStart w:id="61" w:name="_Toc510084626"/>
      <w:r>
        <w:rPr>
          <w:rStyle w:val="CharSectno"/>
        </w:rPr>
        <w:t>14AD</w:t>
      </w:r>
      <w:r>
        <w:t>.</w:t>
      </w:r>
      <w:r>
        <w:tab/>
        <w:t>Term used: cap amount</w:t>
      </w:r>
      <w:bookmarkEnd w:id="61"/>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62" w:name="_Toc510084627"/>
      <w:r>
        <w:rPr>
          <w:rStyle w:val="CharSectno"/>
        </w:rPr>
        <w:t>14AE</w:t>
      </w:r>
      <w:r>
        <w:t>.</w:t>
      </w:r>
      <w:r>
        <w:tab/>
        <w:t>Term used: unencumbered value</w:t>
      </w:r>
      <w:bookmarkEnd w:id="6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63" w:name="_Toc506800324"/>
      <w:bookmarkStart w:id="64" w:name="_Toc506800436"/>
      <w:bookmarkStart w:id="65" w:name="_Toc506800665"/>
      <w:bookmarkStart w:id="66" w:name="_Toc507750110"/>
      <w:bookmarkStart w:id="67" w:name="_Toc510083908"/>
      <w:bookmarkStart w:id="68" w:name="_Toc510084628"/>
      <w:r>
        <w:t>Subdivision 2 — Special eligible transactions</w:t>
      </w:r>
      <w:bookmarkEnd w:id="63"/>
      <w:bookmarkEnd w:id="64"/>
      <w:bookmarkEnd w:id="65"/>
      <w:bookmarkEnd w:id="66"/>
      <w:bookmarkEnd w:id="67"/>
      <w:bookmarkEnd w:id="68"/>
    </w:p>
    <w:p>
      <w:pPr>
        <w:pStyle w:val="Footnoteheading"/>
        <w:keepNext/>
        <w:keepLines/>
      </w:pPr>
      <w:r>
        <w:tab/>
        <w:t>[Heading inserted by No. 14 of 2001 s. 5.]</w:t>
      </w:r>
    </w:p>
    <w:p>
      <w:pPr>
        <w:pStyle w:val="Heading5"/>
      </w:pPr>
      <w:bookmarkStart w:id="69" w:name="_Toc510084629"/>
      <w:r>
        <w:rPr>
          <w:rStyle w:val="CharSectno"/>
        </w:rPr>
        <w:t>14A</w:t>
      </w:r>
      <w:r>
        <w:t>.</w:t>
      </w:r>
      <w:r>
        <w:tab/>
        <w:t>Terms used</w:t>
      </w:r>
      <w:bookmarkEnd w:id="69"/>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 No. 16 of 2017 s. 8.]</w:t>
      </w:r>
    </w:p>
    <w:p>
      <w:pPr>
        <w:pStyle w:val="Heading5"/>
        <w:spacing w:before="200"/>
      </w:pPr>
      <w:bookmarkStart w:id="70" w:name="_Toc510084630"/>
      <w:r>
        <w:rPr>
          <w:rStyle w:val="CharSectno"/>
        </w:rPr>
        <w:t>14B</w:t>
      </w:r>
      <w:r>
        <w:t>.</w:t>
      </w:r>
      <w:r>
        <w:tab/>
        <w:t>Special eligible transactions</w:t>
      </w:r>
      <w:bookmarkEnd w:id="70"/>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by No. 14 of 2001 s. 5; amended by No. 13 of 2003 s. 5; No. 27 of 2009 s. 5; No. 16 of 2017 s. 9.]</w:t>
      </w:r>
    </w:p>
    <w:p>
      <w:pPr>
        <w:pStyle w:val="Heading3"/>
      </w:pPr>
      <w:bookmarkStart w:id="71" w:name="_Toc506800327"/>
      <w:bookmarkStart w:id="72" w:name="_Toc506800439"/>
      <w:bookmarkStart w:id="73" w:name="_Toc506800668"/>
      <w:bookmarkStart w:id="74" w:name="_Toc507750113"/>
      <w:bookmarkStart w:id="75" w:name="_Toc510083911"/>
      <w:bookmarkStart w:id="76" w:name="_Toc510084631"/>
      <w:r>
        <w:rPr>
          <w:rStyle w:val="CharDivNo"/>
        </w:rPr>
        <w:t>Division 4</w:t>
      </w:r>
      <w:r>
        <w:t xml:space="preserve"> — </w:t>
      </w:r>
      <w:r>
        <w:rPr>
          <w:rStyle w:val="CharDivText"/>
        </w:rPr>
        <w:t>Application for the grant</w:t>
      </w:r>
      <w:bookmarkEnd w:id="71"/>
      <w:bookmarkEnd w:id="72"/>
      <w:bookmarkEnd w:id="73"/>
      <w:bookmarkEnd w:id="74"/>
      <w:bookmarkEnd w:id="75"/>
      <w:bookmarkEnd w:id="76"/>
    </w:p>
    <w:p>
      <w:pPr>
        <w:pStyle w:val="Heading5"/>
      </w:pPr>
      <w:bookmarkStart w:id="77" w:name="_Toc510084632"/>
      <w:r>
        <w:rPr>
          <w:rStyle w:val="CharSectno"/>
        </w:rPr>
        <w:t>15</w:t>
      </w:r>
      <w:r>
        <w:t>.</w:t>
      </w:r>
      <w:r>
        <w:tab/>
        <w:t>Application for grant</w:t>
      </w:r>
      <w:bookmarkEnd w:id="77"/>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78" w:name="_Toc510084633"/>
      <w:r>
        <w:rPr>
          <w:rStyle w:val="CharSectno"/>
        </w:rPr>
        <w:t>16</w:t>
      </w:r>
      <w:r>
        <w:t>.</w:t>
      </w:r>
      <w:r>
        <w:tab/>
        <w:t>Interested persons</w:t>
      </w:r>
      <w:bookmarkEnd w:id="78"/>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79" w:name="_Toc510084634"/>
      <w:r>
        <w:rPr>
          <w:rStyle w:val="CharSectno"/>
        </w:rPr>
        <w:t>17</w:t>
      </w:r>
      <w:r>
        <w:t>.</w:t>
      </w:r>
      <w:r>
        <w:tab/>
        <w:t>Application on behalf of person under legal disability</w:t>
      </w:r>
      <w:bookmarkEnd w:id="79"/>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ageBreakBefore/>
        <w:spacing w:before="0"/>
      </w:pPr>
      <w:bookmarkStart w:id="80" w:name="_Toc506800331"/>
      <w:bookmarkStart w:id="81" w:name="_Toc506800443"/>
      <w:bookmarkStart w:id="82" w:name="_Toc506800672"/>
      <w:bookmarkStart w:id="83" w:name="_Toc507750117"/>
      <w:bookmarkStart w:id="84" w:name="_Toc510083915"/>
      <w:bookmarkStart w:id="85" w:name="_Toc510084635"/>
      <w:r>
        <w:rPr>
          <w:rStyle w:val="CharDivNo"/>
        </w:rPr>
        <w:t>Division 5</w:t>
      </w:r>
      <w:r>
        <w:t xml:space="preserve"> — </w:t>
      </w:r>
      <w:r>
        <w:rPr>
          <w:rStyle w:val="CharDivText"/>
        </w:rPr>
        <w:t>Decision on application</w:t>
      </w:r>
      <w:bookmarkEnd w:id="80"/>
      <w:bookmarkEnd w:id="81"/>
      <w:bookmarkEnd w:id="82"/>
      <w:bookmarkEnd w:id="83"/>
      <w:bookmarkEnd w:id="84"/>
      <w:bookmarkEnd w:id="85"/>
    </w:p>
    <w:p>
      <w:pPr>
        <w:pStyle w:val="Heading5"/>
      </w:pPr>
      <w:bookmarkStart w:id="86" w:name="_Toc510084636"/>
      <w:r>
        <w:rPr>
          <w:rStyle w:val="CharSectno"/>
        </w:rPr>
        <w:t>18</w:t>
      </w:r>
      <w:r>
        <w:t>.</w:t>
      </w:r>
      <w:r>
        <w:tab/>
        <w:t>Commissioner to authorise payment of grant</w:t>
      </w:r>
      <w:bookmarkEnd w:id="8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87" w:name="_Toc510084637"/>
      <w:r>
        <w:rPr>
          <w:rStyle w:val="CharSectno"/>
        </w:rPr>
        <w:t>19</w:t>
      </w:r>
      <w:r>
        <w:t>.</w:t>
      </w:r>
      <w:r>
        <w:tab/>
        <w:t>Amount of grant</w:t>
      </w:r>
      <w:bookmarkEnd w:id="87"/>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by No. 14 of 2001 s. 6; No. 13 of 2003 s. 6; No. 27 of 2009 s. 6 and 15; No. 10 of 2013 s. 43; No. 27 of 2015 s. 7; No. 16 of 2017 s. 10.]</w:t>
      </w:r>
    </w:p>
    <w:p>
      <w:pPr>
        <w:pStyle w:val="Heading5"/>
        <w:spacing w:before="180"/>
      </w:pPr>
      <w:bookmarkStart w:id="88" w:name="_Toc510084638"/>
      <w:r>
        <w:rPr>
          <w:rStyle w:val="CharSectno"/>
        </w:rPr>
        <w:t>20</w:t>
      </w:r>
      <w:r>
        <w:t>.</w:t>
      </w:r>
      <w:r>
        <w:tab/>
        <w:t>Payment of grant</w:t>
      </w:r>
      <w:bookmarkEnd w:id="88"/>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89" w:name="_Toc510084639"/>
      <w:r>
        <w:rPr>
          <w:rStyle w:val="CharSectno"/>
        </w:rPr>
        <w:t>21</w:t>
      </w:r>
      <w:r>
        <w:t>.</w:t>
      </w:r>
      <w:r>
        <w:tab/>
        <w:t>Payment in anticipation of compliance with residence requirement</w:t>
      </w:r>
      <w:bookmarkEnd w:id="89"/>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90" w:name="_Toc510084640"/>
      <w:r>
        <w:rPr>
          <w:rStyle w:val="CharSectno"/>
        </w:rPr>
        <w:t>22</w:t>
      </w:r>
      <w:r>
        <w:t>.</w:t>
      </w:r>
      <w:r>
        <w:tab/>
        <w:t>Commissioner may impose conditions</w:t>
      </w:r>
      <w:bookmarkEnd w:id="90"/>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by No. 16 of 2017 s. 11.]</w:t>
      </w:r>
    </w:p>
    <w:p>
      <w:pPr>
        <w:pStyle w:val="Heading5"/>
      </w:pPr>
      <w:bookmarkStart w:id="91" w:name="_Toc510084641"/>
      <w:r>
        <w:rPr>
          <w:rStyle w:val="CharSectno"/>
        </w:rPr>
        <w:t>23</w:t>
      </w:r>
      <w:r>
        <w:t>.</w:t>
      </w:r>
      <w:r>
        <w:tab/>
        <w:t>Death of applicant</w:t>
      </w:r>
      <w:bookmarkEnd w:id="91"/>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92" w:name="_Toc510084642"/>
      <w:r>
        <w:rPr>
          <w:rStyle w:val="CharSectno"/>
        </w:rPr>
        <w:t>24</w:t>
      </w:r>
      <w:r>
        <w:rPr>
          <w:snapToGrid w:val="0"/>
        </w:rPr>
        <w:t>.</w:t>
      </w:r>
      <w:r>
        <w:rPr>
          <w:snapToGrid w:val="0"/>
        </w:rPr>
        <w:tab/>
        <w:t>Power to correct decision</w:t>
      </w:r>
      <w:bookmarkEnd w:id="92"/>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93" w:name="_Toc510084643"/>
      <w:r>
        <w:rPr>
          <w:rStyle w:val="CharSectno"/>
        </w:rPr>
        <w:t>25</w:t>
      </w:r>
      <w:r>
        <w:rPr>
          <w:snapToGrid w:val="0"/>
        </w:rPr>
        <w:t>.</w:t>
      </w:r>
      <w:r>
        <w:rPr>
          <w:snapToGrid w:val="0"/>
        </w:rPr>
        <w:tab/>
        <w:t>Notice of decision</w:t>
      </w:r>
      <w:bookmarkEnd w:id="93"/>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94" w:name="_Toc506800340"/>
      <w:bookmarkStart w:id="95" w:name="_Toc506800452"/>
      <w:bookmarkStart w:id="96" w:name="_Toc506800681"/>
      <w:bookmarkStart w:id="97" w:name="_Toc507750126"/>
      <w:bookmarkStart w:id="98" w:name="_Toc510083924"/>
      <w:bookmarkStart w:id="99" w:name="_Toc510084644"/>
      <w:r>
        <w:rPr>
          <w:rStyle w:val="CharDivNo"/>
        </w:rPr>
        <w:t>Division 6</w:t>
      </w:r>
      <w:r>
        <w:t xml:space="preserve"> — </w:t>
      </w:r>
      <w:r>
        <w:rPr>
          <w:rStyle w:val="CharDivText"/>
        </w:rPr>
        <w:t>Objections and review</w:t>
      </w:r>
      <w:bookmarkEnd w:id="94"/>
      <w:bookmarkEnd w:id="95"/>
      <w:bookmarkEnd w:id="96"/>
      <w:bookmarkEnd w:id="97"/>
      <w:bookmarkEnd w:id="98"/>
      <w:bookmarkEnd w:id="99"/>
    </w:p>
    <w:p>
      <w:pPr>
        <w:pStyle w:val="Footnoteheading"/>
      </w:pPr>
      <w:r>
        <w:tab/>
        <w:t>[Heading amended by No. 55 of 2004 s. 374.]</w:t>
      </w:r>
    </w:p>
    <w:p>
      <w:pPr>
        <w:pStyle w:val="Heading4"/>
      </w:pPr>
      <w:bookmarkStart w:id="100" w:name="_Toc506800341"/>
      <w:bookmarkStart w:id="101" w:name="_Toc506800453"/>
      <w:bookmarkStart w:id="102" w:name="_Toc506800682"/>
      <w:bookmarkStart w:id="103" w:name="_Toc507750127"/>
      <w:bookmarkStart w:id="104" w:name="_Toc510083925"/>
      <w:bookmarkStart w:id="105" w:name="_Toc510084645"/>
      <w:r>
        <w:t>Subdivision 1 — Definitions</w:t>
      </w:r>
      <w:bookmarkEnd w:id="100"/>
      <w:bookmarkEnd w:id="101"/>
      <w:bookmarkEnd w:id="102"/>
      <w:bookmarkEnd w:id="103"/>
      <w:bookmarkEnd w:id="104"/>
      <w:bookmarkEnd w:id="105"/>
    </w:p>
    <w:p>
      <w:pPr>
        <w:pStyle w:val="Heading5"/>
      </w:pPr>
      <w:bookmarkStart w:id="106" w:name="_Toc510084646"/>
      <w:r>
        <w:rPr>
          <w:rStyle w:val="CharSectno"/>
        </w:rPr>
        <w:t>26</w:t>
      </w:r>
      <w:r>
        <w:t>.</w:t>
      </w:r>
      <w:r>
        <w:tab/>
        <w:t>Terms used</w:t>
      </w:r>
      <w:bookmarkEnd w:id="106"/>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by No. 13 of 2003 s. 8; No. 27 of 2009 s. 12 and 16; No. 16 of 2017 s. 12.]</w:t>
      </w:r>
    </w:p>
    <w:p>
      <w:pPr>
        <w:pStyle w:val="Heading4"/>
      </w:pPr>
      <w:bookmarkStart w:id="107" w:name="_Toc506800343"/>
      <w:bookmarkStart w:id="108" w:name="_Toc506800455"/>
      <w:bookmarkStart w:id="109" w:name="_Toc506800684"/>
      <w:bookmarkStart w:id="110" w:name="_Toc507750129"/>
      <w:bookmarkStart w:id="111" w:name="_Toc510083927"/>
      <w:bookmarkStart w:id="112" w:name="_Toc510084647"/>
      <w:r>
        <w:t>Subdivision 2 — Objections</w:t>
      </w:r>
      <w:bookmarkEnd w:id="107"/>
      <w:bookmarkEnd w:id="108"/>
      <w:bookmarkEnd w:id="109"/>
      <w:bookmarkEnd w:id="110"/>
      <w:bookmarkEnd w:id="111"/>
      <w:bookmarkEnd w:id="112"/>
    </w:p>
    <w:p>
      <w:pPr>
        <w:pStyle w:val="Heading5"/>
        <w:spacing w:before="180"/>
      </w:pPr>
      <w:bookmarkStart w:id="113" w:name="_Toc510084648"/>
      <w:r>
        <w:rPr>
          <w:rStyle w:val="CharSectno"/>
        </w:rPr>
        <w:t>27</w:t>
      </w:r>
      <w:r>
        <w:t>.</w:t>
      </w:r>
      <w:r>
        <w:tab/>
        <w:t>Right to object and procedure for making objections</w:t>
      </w:r>
      <w:bookmarkEnd w:id="113"/>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14" w:name="_Toc510084649"/>
      <w:r>
        <w:rPr>
          <w:rStyle w:val="CharSectno"/>
        </w:rPr>
        <w:t>28</w:t>
      </w:r>
      <w:r>
        <w:t>.</w:t>
      </w:r>
      <w:r>
        <w:tab/>
        <w:t>Time for lodging objection</w:t>
      </w:r>
      <w:bookmarkEnd w:id="114"/>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 No. 16 of 2017 s. 13.]</w:t>
      </w:r>
    </w:p>
    <w:p>
      <w:pPr>
        <w:pStyle w:val="Heading5"/>
        <w:rPr>
          <w:highlight w:val="cyan"/>
        </w:rPr>
      </w:pPr>
      <w:bookmarkStart w:id="115" w:name="_Toc510084650"/>
      <w:r>
        <w:rPr>
          <w:rStyle w:val="CharSectno"/>
        </w:rPr>
        <w:t>29A</w:t>
      </w:r>
      <w:r>
        <w:t>.</w:t>
      </w:r>
      <w:r>
        <w:tab/>
        <w:t xml:space="preserve">Relationship with </w:t>
      </w:r>
      <w:r>
        <w:rPr>
          <w:i/>
        </w:rPr>
        <w:t>Duties Act 2008</w:t>
      </w:r>
      <w:r>
        <w:t xml:space="preserve"> and </w:t>
      </w:r>
      <w:r>
        <w:rPr>
          <w:i/>
        </w:rPr>
        <w:t>Taxation Administration Act 2003</w:t>
      </w:r>
      <w:bookmarkEnd w:id="115"/>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keepNext/>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116" w:name="_Toc510084651"/>
      <w:r>
        <w:rPr>
          <w:rStyle w:val="CharSectno"/>
        </w:rPr>
        <w:t>29</w:t>
      </w:r>
      <w:r>
        <w:rPr>
          <w:snapToGrid w:val="0"/>
        </w:rPr>
        <w:t>.</w:t>
      </w:r>
      <w:r>
        <w:rPr>
          <w:snapToGrid w:val="0"/>
        </w:rPr>
        <w:tab/>
        <w:t>Consideration of objection</w:t>
      </w:r>
      <w:bookmarkEnd w:id="116"/>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17" w:name="_Toc510084652"/>
      <w:r>
        <w:rPr>
          <w:rStyle w:val="CharSectno"/>
        </w:rPr>
        <w:t>30A</w:t>
      </w:r>
      <w:r>
        <w:t>.</w:t>
      </w:r>
      <w:r>
        <w:tab/>
        <w:t>Time limit for making decision on objection</w:t>
      </w:r>
      <w:bookmarkEnd w:id="117"/>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118" w:name="_Toc510084653"/>
      <w:r>
        <w:rPr>
          <w:rStyle w:val="CharSectno"/>
        </w:rPr>
        <w:t>30</w:t>
      </w:r>
      <w:r>
        <w:rPr>
          <w:snapToGrid w:val="0"/>
        </w:rPr>
        <w:t>.</w:t>
      </w:r>
      <w:r>
        <w:rPr>
          <w:snapToGrid w:val="0"/>
        </w:rPr>
        <w:tab/>
        <w:t>Decision on objection</w:t>
      </w:r>
      <w:bookmarkEnd w:id="118"/>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 No. 16 of 2017 s. 14.]</w:t>
      </w:r>
    </w:p>
    <w:p>
      <w:pPr>
        <w:pStyle w:val="Heading4"/>
        <w:spacing w:before="200"/>
      </w:pPr>
      <w:bookmarkStart w:id="119" w:name="_Toc506800350"/>
      <w:bookmarkStart w:id="120" w:name="_Toc506800462"/>
      <w:bookmarkStart w:id="121" w:name="_Toc506800691"/>
      <w:bookmarkStart w:id="122" w:name="_Toc507750136"/>
      <w:bookmarkStart w:id="123" w:name="_Toc510083934"/>
      <w:bookmarkStart w:id="124" w:name="_Toc510084654"/>
      <w:r>
        <w:rPr>
          <w:snapToGrid w:val="0"/>
        </w:rPr>
        <w:t xml:space="preserve">Subdivision 3 — </w:t>
      </w:r>
      <w:r>
        <w:t>Review</w:t>
      </w:r>
      <w:bookmarkEnd w:id="119"/>
      <w:bookmarkEnd w:id="120"/>
      <w:bookmarkEnd w:id="121"/>
      <w:bookmarkEnd w:id="122"/>
      <w:bookmarkEnd w:id="123"/>
      <w:bookmarkEnd w:id="124"/>
    </w:p>
    <w:p>
      <w:pPr>
        <w:pStyle w:val="Footnoteheading"/>
        <w:spacing w:before="100"/>
      </w:pPr>
      <w:r>
        <w:tab/>
        <w:t>[Heading amended by No. 55 of 2004 s. 375.]</w:t>
      </w:r>
    </w:p>
    <w:p>
      <w:pPr>
        <w:pStyle w:val="Heading5"/>
      </w:pPr>
      <w:bookmarkStart w:id="125" w:name="_Toc510084655"/>
      <w:r>
        <w:rPr>
          <w:rStyle w:val="CharSectno"/>
        </w:rPr>
        <w:t>31</w:t>
      </w:r>
      <w:r>
        <w:t>.</w:t>
      </w:r>
      <w:r>
        <w:tab/>
        <w:t>Right of review</w:t>
      </w:r>
      <w:bookmarkEnd w:id="125"/>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126" w:name="_Toc510084656"/>
      <w:r>
        <w:rPr>
          <w:rStyle w:val="CharSectno"/>
        </w:rPr>
        <w:t>32</w:t>
      </w:r>
      <w:r>
        <w:t>.</w:t>
      </w:r>
      <w:r>
        <w:tab/>
        <w:t>Payment following determination of review</w:t>
      </w:r>
      <w:bookmarkEnd w:id="126"/>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 amended by No. 16 of 2017 s. 15.]</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127" w:name="_Toc506800353"/>
      <w:bookmarkStart w:id="128" w:name="_Toc506800465"/>
      <w:bookmarkStart w:id="129" w:name="_Toc506800694"/>
      <w:bookmarkStart w:id="130" w:name="_Toc507750139"/>
      <w:bookmarkStart w:id="131" w:name="_Toc510083937"/>
      <w:bookmarkStart w:id="132" w:name="_Toc510084657"/>
      <w:r>
        <w:rPr>
          <w:rStyle w:val="CharPartNo"/>
        </w:rPr>
        <w:t>Part 3</w:t>
      </w:r>
      <w:r>
        <w:t xml:space="preserve"> — </w:t>
      </w:r>
      <w:r>
        <w:rPr>
          <w:rStyle w:val="CharPartText"/>
        </w:rPr>
        <w:t>Administration</w:t>
      </w:r>
      <w:bookmarkEnd w:id="127"/>
      <w:bookmarkEnd w:id="128"/>
      <w:bookmarkEnd w:id="129"/>
      <w:bookmarkEnd w:id="130"/>
      <w:bookmarkEnd w:id="131"/>
      <w:bookmarkEnd w:id="132"/>
    </w:p>
    <w:p>
      <w:pPr>
        <w:pStyle w:val="Heading3"/>
      </w:pPr>
      <w:bookmarkStart w:id="133" w:name="_Toc506800354"/>
      <w:bookmarkStart w:id="134" w:name="_Toc506800466"/>
      <w:bookmarkStart w:id="135" w:name="_Toc506800695"/>
      <w:bookmarkStart w:id="136" w:name="_Toc507750140"/>
      <w:bookmarkStart w:id="137" w:name="_Toc510083938"/>
      <w:bookmarkStart w:id="138" w:name="_Toc510084658"/>
      <w:r>
        <w:rPr>
          <w:rStyle w:val="CharDivNo"/>
        </w:rPr>
        <w:t>Division 1</w:t>
      </w:r>
      <w:r>
        <w:t xml:space="preserve"> — </w:t>
      </w:r>
      <w:r>
        <w:rPr>
          <w:rStyle w:val="CharDivText"/>
        </w:rPr>
        <w:t>Administration generally</w:t>
      </w:r>
      <w:bookmarkEnd w:id="133"/>
      <w:bookmarkEnd w:id="134"/>
      <w:bookmarkEnd w:id="135"/>
      <w:bookmarkEnd w:id="136"/>
      <w:bookmarkEnd w:id="137"/>
      <w:bookmarkEnd w:id="138"/>
    </w:p>
    <w:p>
      <w:pPr>
        <w:pStyle w:val="Heading5"/>
        <w:spacing w:before="180"/>
      </w:pPr>
      <w:bookmarkStart w:id="139" w:name="_Toc510084659"/>
      <w:r>
        <w:rPr>
          <w:rStyle w:val="CharSectno"/>
        </w:rPr>
        <w:t>34</w:t>
      </w:r>
      <w:r>
        <w:t>.</w:t>
      </w:r>
      <w:r>
        <w:tab/>
        <w:t>Administration of Act</w:t>
      </w:r>
      <w:bookmarkEnd w:id="139"/>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140" w:name="_Toc510084660"/>
      <w:r>
        <w:rPr>
          <w:rStyle w:val="CharSectno"/>
        </w:rPr>
        <w:t>35</w:t>
      </w:r>
      <w:r>
        <w:t>.</w:t>
      </w:r>
      <w:r>
        <w:tab/>
        <w:t>Delegation</w:t>
      </w:r>
      <w:bookmarkEnd w:id="140"/>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41" w:name="_Toc510084661"/>
      <w:r>
        <w:rPr>
          <w:rStyle w:val="CharSectno"/>
        </w:rPr>
        <w:t>36</w:t>
      </w:r>
      <w:r>
        <w:t>.</w:t>
      </w:r>
      <w:r>
        <w:tab/>
        <w:t>Authorised investigators</w:t>
      </w:r>
      <w:bookmarkEnd w:id="141"/>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42" w:name="_Toc510084662"/>
      <w:r>
        <w:rPr>
          <w:rStyle w:val="CharSectno"/>
        </w:rPr>
        <w:t>37</w:t>
      </w:r>
      <w:r>
        <w:t>.</w:t>
      </w:r>
      <w:r>
        <w:tab/>
        <w:t>Administration agreements</w:t>
      </w:r>
      <w:bookmarkEnd w:id="142"/>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143" w:name="_Toc506800359"/>
      <w:bookmarkStart w:id="144" w:name="_Toc506800471"/>
      <w:bookmarkStart w:id="145" w:name="_Toc506800700"/>
      <w:bookmarkStart w:id="146" w:name="_Toc507750145"/>
      <w:bookmarkStart w:id="147" w:name="_Toc510083943"/>
      <w:bookmarkStart w:id="148" w:name="_Toc510084663"/>
      <w:r>
        <w:rPr>
          <w:rStyle w:val="CharDivNo"/>
        </w:rPr>
        <w:t>Division 2</w:t>
      </w:r>
      <w:r>
        <w:t xml:space="preserve"> — </w:t>
      </w:r>
      <w:r>
        <w:rPr>
          <w:rStyle w:val="CharDivText"/>
        </w:rPr>
        <w:t>Investigations</w:t>
      </w:r>
      <w:bookmarkEnd w:id="143"/>
      <w:bookmarkEnd w:id="144"/>
      <w:bookmarkEnd w:id="145"/>
      <w:bookmarkEnd w:id="146"/>
      <w:bookmarkEnd w:id="147"/>
      <w:bookmarkEnd w:id="148"/>
    </w:p>
    <w:p>
      <w:pPr>
        <w:pStyle w:val="Heading5"/>
      </w:pPr>
      <w:bookmarkStart w:id="149" w:name="_Toc510084664"/>
      <w:r>
        <w:rPr>
          <w:rStyle w:val="CharSectno"/>
        </w:rPr>
        <w:t>38</w:t>
      </w:r>
      <w:r>
        <w:t>.</w:t>
      </w:r>
      <w:r>
        <w:tab/>
        <w:t>Investigations</w:t>
      </w:r>
      <w:bookmarkEnd w:id="149"/>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50" w:name="_Toc510084665"/>
      <w:r>
        <w:rPr>
          <w:rStyle w:val="CharSectno"/>
        </w:rPr>
        <w:t>39</w:t>
      </w:r>
      <w:r>
        <w:rPr>
          <w:snapToGrid w:val="0"/>
        </w:rPr>
        <w:t>.</w:t>
      </w:r>
      <w:r>
        <w:rPr>
          <w:snapToGrid w:val="0"/>
        </w:rPr>
        <w:tab/>
        <w:t>Cross</w:t>
      </w:r>
      <w:r>
        <w:rPr>
          <w:snapToGrid w:val="0"/>
        </w:rPr>
        <w:noBreakHyphen/>
        <w:t>border investigations</w:t>
      </w:r>
      <w:bookmarkEnd w:id="150"/>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51" w:name="_Toc510084666"/>
      <w:r>
        <w:rPr>
          <w:rStyle w:val="CharSectno"/>
        </w:rPr>
        <w:t>40</w:t>
      </w:r>
      <w:r>
        <w:rPr>
          <w:snapToGrid w:val="0"/>
        </w:rPr>
        <w:t>.</w:t>
      </w:r>
      <w:r>
        <w:rPr>
          <w:snapToGrid w:val="0"/>
        </w:rPr>
        <w:tab/>
        <w:t>Power of investigation</w:t>
      </w:r>
      <w:bookmarkEnd w:id="151"/>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52" w:name="_Toc510084667"/>
      <w:r>
        <w:rPr>
          <w:rStyle w:val="CharSectno"/>
        </w:rPr>
        <w:t>41A.</w:t>
      </w:r>
      <w:r>
        <w:rPr>
          <w:rStyle w:val="CharSectno"/>
        </w:rPr>
        <w:tab/>
        <w:t>P</w:t>
      </w:r>
      <w:r>
        <w:t>ower to have valuation made</w:t>
      </w:r>
      <w:bookmarkEnd w:id="152"/>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153" w:name="_Toc510084668"/>
      <w:r>
        <w:rPr>
          <w:rStyle w:val="CharSectno"/>
        </w:rPr>
        <w:t>41</w:t>
      </w:r>
      <w:r>
        <w:t>.</w:t>
      </w:r>
      <w:r>
        <w:tab/>
        <w:t>Power to require person to attend for examination</w:t>
      </w:r>
      <w:bookmarkEnd w:id="153"/>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54" w:name="_Toc510084669"/>
      <w:r>
        <w:rPr>
          <w:rStyle w:val="CharSectno"/>
        </w:rPr>
        <w:t>42</w:t>
      </w:r>
      <w:r>
        <w:t>.</w:t>
      </w:r>
      <w:r>
        <w:tab/>
        <w:t>Entry of premises</w:t>
      </w:r>
      <w:bookmarkEnd w:id="154"/>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55" w:name="_Toc510084670"/>
      <w:r>
        <w:rPr>
          <w:rStyle w:val="CharSectno"/>
        </w:rPr>
        <w:t>43</w:t>
      </w:r>
      <w:r>
        <w:t>.</w:t>
      </w:r>
      <w:r>
        <w:tab/>
        <w:t>Powers of authorised investigator on entry of premises</w:t>
      </w:r>
      <w:bookmarkEnd w:id="155"/>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56" w:name="_Toc510084671"/>
      <w:r>
        <w:rPr>
          <w:rStyle w:val="CharSectno"/>
        </w:rPr>
        <w:t>44</w:t>
      </w:r>
      <w:r>
        <w:t>.</w:t>
      </w:r>
      <w:r>
        <w:tab/>
        <w:t>Warrants</w:t>
      </w:r>
      <w:bookmarkEnd w:id="156"/>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157" w:name="_Toc510084672"/>
      <w:r>
        <w:rPr>
          <w:rStyle w:val="CharSectno"/>
        </w:rPr>
        <w:t>45</w:t>
      </w:r>
      <w:r>
        <w:t>.</w:t>
      </w:r>
      <w:r>
        <w:tab/>
        <w:t>Use of force</w:t>
      </w:r>
      <w:bookmarkEnd w:id="157"/>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58" w:name="_Toc510084673"/>
      <w:r>
        <w:rPr>
          <w:rStyle w:val="CharSectno"/>
        </w:rPr>
        <w:t>46</w:t>
      </w:r>
      <w:r>
        <w:t>.</w:t>
      </w:r>
      <w:r>
        <w:tab/>
        <w:t>Self incrimination</w:t>
      </w:r>
      <w:bookmarkEnd w:id="158"/>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59" w:name="_Toc506800370"/>
      <w:bookmarkStart w:id="160" w:name="_Toc506800482"/>
      <w:bookmarkStart w:id="161" w:name="_Toc506800711"/>
      <w:bookmarkStart w:id="162" w:name="_Toc507750156"/>
      <w:bookmarkStart w:id="163" w:name="_Toc510083954"/>
      <w:bookmarkStart w:id="164" w:name="_Toc510084674"/>
      <w:r>
        <w:rPr>
          <w:rStyle w:val="CharPartNo"/>
        </w:rPr>
        <w:t>Part 4</w:t>
      </w:r>
      <w:r>
        <w:t xml:space="preserve"> — </w:t>
      </w:r>
      <w:r>
        <w:rPr>
          <w:rStyle w:val="CharPartText"/>
        </w:rPr>
        <w:t>Miscellaneous</w:t>
      </w:r>
      <w:bookmarkEnd w:id="159"/>
      <w:bookmarkEnd w:id="160"/>
      <w:bookmarkEnd w:id="161"/>
      <w:bookmarkEnd w:id="162"/>
      <w:bookmarkEnd w:id="163"/>
      <w:bookmarkEnd w:id="164"/>
    </w:p>
    <w:p>
      <w:pPr>
        <w:pStyle w:val="Heading3"/>
      </w:pPr>
      <w:bookmarkStart w:id="165" w:name="_Toc506800371"/>
      <w:bookmarkStart w:id="166" w:name="_Toc506800483"/>
      <w:bookmarkStart w:id="167" w:name="_Toc506800712"/>
      <w:bookmarkStart w:id="168" w:name="_Toc507750157"/>
      <w:bookmarkStart w:id="169" w:name="_Toc510083955"/>
      <w:bookmarkStart w:id="170" w:name="_Toc510084675"/>
      <w:r>
        <w:rPr>
          <w:rStyle w:val="CharDivNo"/>
        </w:rPr>
        <w:t>Division 1</w:t>
      </w:r>
      <w:r>
        <w:t xml:space="preserve"> — </w:t>
      </w:r>
      <w:r>
        <w:rPr>
          <w:rStyle w:val="CharDivText"/>
        </w:rPr>
        <w:t>Offences</w:t>
      </w:r>
      <w:bookmarkEnd w:id="165"/>
      <w:bookmarkEnd w:id="166"/>
      <w:bookmarkEnd w:id="167"/>
      <w:bookmarkEnd w:id="168"/>
      <w:bookmarkEnd w:id="169"/>
      <w:bookmarkEnd w:id="170"/>
    </w:p>
    <w:p>
      <w:pPr>
        <w:pStyle w:val="Heading5"/>
        <w:spacing w:before="180"/>
      </w:pPr>
      <w:bookmarkStart w:id="171" w:name="_Toc510084676"/>
      <w:r>
        <w:rPr>
          <w:rStyle w:val="CharSectno"/>
        </w:rPr>
        <w:t>47</w:t>
      </w:r>
      <w:r>
        <w:t>.</w:t>
      </w:r>
      <w:r>
        <w:tab/>
        <w:t>False or misleading information and documents</w:t>
      </w:r>
      <w:bookmarkEnd w:id="171"/>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172" w:name="_Toc510084677"/>
      <w:r>
        <w:rPr>
          <w:rStyle w:val="CharSectno"/>
        </w:rPr>
        <w:t>48</w:t>
      </w:r>
      <w:r>
        <w:t>.</w:t>
      </w:r>
      <w:r>
        <w:tab/>
        <w:t>Obstructing or misleading Commissioner or authorised investigator</w:t>
      </w:r>
      <w:bookmarkEnd w:id="172"/>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73" w:name="_Toc506800374"/>
      <w:bookmarkStart w:id="174" w:name="_Toc506800486"/>
      <w:bookmarkStart w:id="175" w:name="_Toc506800715"/>
      <w:bookmarkStart w:id="176" w:name="_Toc507750160"/>
      <w:bookmarkStart w:id="177" w:name="_Toc510083958"/>
      <w:bookmarkStart w:id="178" w:name="_Toc510084678"/>
      <w:r>
        <w:rPr>
          <w:rStyle w:val="CharDivNo"/>
        </w:rPr>
        <w:t>Division 2</w:t>
      </w:r>
      <w:r>
        <w:t xml:space="preserve"> — </w:t>
      </w:r>
      <w:r>
        <w:rPr>
          <w:rStyle w:val="CharDivText"/>
        </w:rPr>
        <w:t>Evidentiary provisions</w:t>
      </w:r>
      <w:bookmarkEnd w:id="173"/>
      <w:bookmarkEnd w:id="174"/>
      <w:bookmarkEnd w:id="175"/>
      <w:bookmarkEnd w:id="176"/>
      <w:bookmarkEnd w:id="177"/>
      <w:bookmarkEnd w:id="178"/>
    </w:p>
    <w:p>
      <w:pPr>
        <w:pStyle w:val="Heading5"/>
      </w:pPr>
      <w:bookmarkStart w:id="179" w:name="_Toc510084679"/>
      <w:r>
        <w:rPr>
          <w:rStyle w:val="CharSectno"/>
        </w:rPr>
        <w:t>49</w:t>
      </w:r>
      <w:r>
        <w:t>.</w:t>
      </w:r>
      <w:r>
        <w:tab/>
        <w:t>Evidence</w:t>
      </w:r>
      <w:bookmarkEnd w:id="179"/>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80" w:name="_Toc510084680"/>
      <w:r>
        <w:rPr>
          <w:rStyle w:val="CharSectno"/>
        </w:rPr>
        <w:t>50</w:t>
      </w:r>
      <w:r>
        <w:t>.</w:t>
      </w:r>
      <w:r>
        <w:tab/>
        <w:t>Presumption of regularity</w:t>
      </w:r>
      <w:bookmarkEnd w:id="180"/>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81" w:name="_Toc506800377"/>
      <w:bookmarkStart w:id="182" w:name="_Toc506800489"/>
      <w:bookmarkStart w:id="183" w:name="_Toc506800718"/>
      <w:bookmarkStart w:id="184" w:name="_Toc507750163"/>
      <w:bookmarkStart w:id="185" w:name="_Toc510083961"/>
      <w:bookmarkStart w:id="186" w:name="_Toc510084681"/>
      <w:r>
        <w:rPr>
          <w:rStyle w:val="CharDivNo"/>
        </w:rPr>
        <w:t>Division 3</w:t>
      </w:r>
      <w:r>
        <w:t xml:space="preserve"> — </w:t>
      </w:r>
      <w:r>
        <w:rPr>
          <w:rStyle w:val="CharDivText"/>
        </w:rPr>
        <w:t>Repayments and penalties</w:t>
      </w:r>
      <w:bookmarkEnd w:id="181"/>
      <w:bookmarkEnd w:id="182"/>
      <w:bookmarkEnd w:id="183"/>
      <w:bookmarkEnd w:id="184"/>
      <w:bookmarkEnd w:id="185"/>
      <w:bookmarkEnd w:id="186"/>
    </w:p>
    <w:p>
      <w:pPr>
        <w:pStyle w:val="Heading5"/>
      </w:pPr>
      <w:bookmarkStart w:id="187" w:name="_Toc510084682"/>
      <w:r>
        <w:rPr>
          <w:rStyle w:val="CharSectno"/>
        </w:rPr>
        <w:t>51</w:t>
      </w:r>
      <w:r>
        <w:t>.</w:t>
      </w:r>
      <w:r>
        <w:tab/>
        <w:t>Commissioner may require repayment and impose penalty</w:t>
      </w:r>
      <w:bookmarkEnd w:id="18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by No. 16 of 2017 s. 16.]</w:t>
      </w:r>
    </w:p>
    <w:p>
      <w:pPr>
        <w:pStyle w:val="Heading5"/>
      </w:pPr>
      <w:bookmarkStart w:id="188" w:name="_Toc510084683"/>
      <w:r>
        <w:rPr>
          <w:rStyle w:val="CharSectno"/>
        </w:rPr>
        <w:t>52</w:t>
      </w:r>
      <w:r>
        <w:t>.</w:t>
      </w:r>
      <w:r>
        <w:tab/>
        <w:t>Arrangements for instalments and extensions of time</w:t>
      </w:r>
      <w:bookmarkEnd w:id="18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 No. 16 of 2017 s. 17.]</w:t>
      </w:r>
    </w:p>
    <w:p>
      <w:pPr>
        <w:pStyle w:val="Heading5"/>
      </w:pPr>
      <w:bookmarkStart w:id="189" w:name="_Toc510084684"/>
      <w:r>
        <w:rPr>
          <w:rStyle w:val="CharSectno"/>
        </w:rPr>
        <w:t>52A</w:t>
      </w:r>
      <w:r>
        <w:t>.</w:t>
      </w:r>
      <w:r>
        <w:tab/>
        <w:t>Commissioner may recover legal costs</w:t>
      </w:r>
      <w:bookmarkEnd w:id="18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by No. 16 of 2017 s. 18.]</w:t>
      </w:r>
    </w:p>
    <w:p>
      <w:pPr>
        <w:pStyle w:val="Heading5"/>
        <w:pageBreakBefore/>
        <w:spacing w:before="0"/>
      </w:pPr>
      <w:bookmarkStart w:id="190" w:name="_Toc510084685"/>
      <w:r>
        <w:rPr>
          <w:rStyle w:val="CharSectno"/>
        </w:rPr>
        <w:t>53</w:t>
      </w:r>
      <w:r>
        <w:t>.</w:t>
      </w:r>
      <w:r>
        <w:tab/>
        <w:t>Recovery of certain amounts</w:t>
      </w:r>
      <w:bookmarkEnd w:id="190"/>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by No. 16 of 2017 s. 19.]</w:t>
      </w:r>
    </w:p>
    <w:p>
      <w:pPr>
        <w:pStyle w:val="Heading5"/>
      </w:pPr>
      <w:bookmarkStart w:id="191" w:name="_Toc510084686"/>
      <w:r>
        <w:rPr>
          <w:rStyle w:val="CharSectno"/>
        </w:rPr>
        <w:t>54A</w:t>
      </w:r>
      <w:r>
        <w:t>.</w:t>
      </w:r>
      <w:r>
        <w:tab/>
        <w:t>Recovery from garnishee</w:t>
      </w:r>
      <w:bookmarkEnd w:id="19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192" w:name="_Toc510084687"/>
      <w:r>
        <w:rPr>
          <w:rStyle w:val="CharSectno"/>
        </w:rPr>
        <w:t>54</w:t>
      </w:r>
      <w:r>
        <w:t>.</w:t>
      </w:r>
      <w:r>
        <w:tab/>
        <w:t>Writing off liability</w:t>
      </w:r>
      <w:bookmarkEnd w:id="19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193" w:name="_Toc506800384"/>
      <w:bookmarkStart w:id="194" w:name="_Toc506800496"/>
      <w:bookmarkStart w:id="195" w:name="_Toc506800725"/>
      <w:bookmarkStart w:id="196" w:name="_Toc507750170"/>
      <w:bookmarkStart w:id="197" w:name="_Toc510083968"/>
      <w:bookmarkStart w:id="198" w:name="_Toc510084688"/>
      <w:r>
        <w:rPr>
          <w:rStyle w:val="CharDivNo"/>
        </w:rPr>
        <w:t>Division 4</w:t>
      </w:r>
      <w:r>
        <w:t xml:space="preserve"> — </w:t>
      </w:r>
      <w:r>
        <w:rPr>
          <w:rStyle w:val="CharDivText"/>
        </w:rPr>
        <w:t>Charge on interest in home</w:t>
      </w:r>
      <w:bookmarkEnd w:id="193"/>
      <w:bookmarkEnd w:id="194"/>
      <w:bookmarkEnd w:id="195"/>
      <w:bookmarkEnd w:id="196"/>
      <w:bookmarkEnd w:id="197"/>
      <w:bookmarkEnd w:id="198"/>
    </w:p>
    <w:p>
      <w:pPr>
        <w:pStyle w:val="Heading5"/>
      </w:pPr>
      <w:bookmarkStart w:id="199" w:name="_Toc510084689"/>
      <w:r>
        <w:rPr>
          <w:rStyle w:val="CharSectno"/>
        </w:rPr>
        <w:t>55</w:t>
      </w:r>
      <w:r>
        <w:t>.</w:t>
      </w:r>
      <w:r>
        <w:tab/>
        <w:t>Lodgement of memorial and creation of charge</w:t>
      </w:r>
      <w:bookmarkEnd w:id="199"/>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Next/>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200" w:name="_Toc510084690"/>
      <w:r>
        <w:rPr>
          <w:rStyle w:val="CharSectno"/>
        </w:rPr>
        <w:t>56</w:t>
      </w:r>
      <w:r>
        <w:t>.</w:t>
      </w:r>
      <w:r>
        <w:tab/>
        <w:t>Priority of charge</w:t>
      </w:r>
      <w:bookmarkEnd w:id="200"/>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01" w:name="_Toc510084691"/>
      <w:r>
        <w:rPr>
          <w:rStyle w:val="CharSectno"/>
        </w:rPr>
        <w:t>57</w:t>
      </w:r>
      <w:r>
        <w:t>.</w:t>
      </w:r>
      <w:r>
        <w:tab/>
        <w:t>Release of relevant interest from charge</w:t>
      </w:r>
      <w:bookmarkEnd w:id="201"/>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02" w:name="_Toc510084692"/>
      <w:r>
        <w:rPr>
          <w:rStyle w:val="CharSectno"/>
        </w:rPr>
        <w:t>58</w:t>
      </w:r>
      <w:r>
        <w:t>.</w:t>
      </w:r>
      <w:r>
        <w:tab/>
        <w:t>Order for sale of relevant interest</w:t>
      </w:r>
      <w:bookmarkEnd w:id="202"/>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03" w:name="_Toc510084693"/>
      <w:r>
        <w:rPr>
          <w:rStyle w:val="CharSectno"/>
        </w:rPr>
        <w:t>59</w:t>
      </w:r>
      <w:r>
        <w:t>.</w:t>
      </w:r>
      <w:r>
        <w:tab/>
        <w:t>Charge not to limit other means of enforcing payment</w:t>
      </w:r>
      <w:bookmarkEnd w:id="203"/>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04" w:name="_Toc510084694"/>
      <w:r>
        <w:rPr>
          <w:rStyle w:val="CharSectno"/>
        </w:rPr>
        <w:t>60</w:t>
      </w:r>
      <w:r>
        <w:t>.</w:t>
      </w:r>
      <w:r>
        <w:tab/>
        <w:t>Commissioner may require fees to be reimbursed</w:t>
      </w:r>
      <w:bookmarkEnd w:id="204"/>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05" w:name="_Toc506800391"/>
      <w:bookmarkStart w:id="206" w:name="_Toc506800503"/>
      <w:bookmarkStart w:id="207" w:name="_Toc506800732"/>
      <w:bookmarkStart w:id="208" w:name="_Toc507750177"/>
      <w:bookmarkStart w:id="209" w:name="_Toc510083975"/>
      <w:bookmarkStart w:id="210" w:name="_Toc510084695"/>
      <w:r>
        <w:rPr>
          <w:rStyle w:val="CharDivNo"/>
        </w:rPr>
        <w:t>Division 5</w:t>
      </w:r>
      <w:r>
        <w:t xml:space="preserve"> — </w:t>
      </w:r>
      <w:r>
        <w:rPr>
          <w:rStyle w:val="CharDivText"/>
        </w:rPr>
        <w:t>Service of documents</w:t>
      </w:r>
      <w:bookmarkEnd w:id="205"/>
      <w:bookmarkEnd w:id="206"/>
      <w:bookmarkEnd w:id="207"/>
      <w:bookmarkEnd w:id="208"/>
      <w:bookmarkEnd w:id="209"/>
      <w:bookmarkEnd w:id="210"/>
    </w:p>
    <w:p>
      <w:pPr>
        <w:pStyle w:val="Heading5"/>
      </w:pPr>
      <w:bookmarkStart w:id="211" w:name="_Toc510084696"/>
      <w:r>
        <w:rPr>
          <w:rStyle w:val="CharSectno"/>
        </w:rPr>
        <w:t>61</w:t>
      </w:r>
      <w:r>
        <w:t>.</w:t>
      </w:r>
      <w:r>
        <w:tab/>
        <w:t>Service on joint applicants or agent or representative</w:t>
      </w:r>
      <w:bookmarkEnd w:id="211"/>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12" w:name="_Toc510084697"/>
      <w:r>
        <w:rPr>
          <w:rStyle w:val="CharSectno"/>
        </w:rPr>
        <w:t>62</w:t>
      </w:r>
      <w:r>
        <w:t>.</w:t>
      </w:r>
      <w:r>
        <w:tab/>
        <w:t>Method of service by Commissioner</w:t>
      </w:r>
      <w:bookmarkEnd w:id="21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by No. 16 of 2017 s. 20.]</w:t>
      </w:r>
    </w:p>
    <w:p>
      <w:pPr>
        <w:pStyle w:val="Heading5"/>
      </w:pPr>
      <w:bookmarkStart w:id="213" w:name="_Toc510084698"/>
      <w:r>
        <w:rPr>
          <w:rStyle w:val="CharSectno"/>
        </w:rPr>
        <w:t>63</w:t>
      </w:r>
      <w:r>
        <w:t>.</w:t>
      </w:r>
      <w:r>
        <w:tab/>
        <w:t>Service of court process</w:t>
      </w:r>
      <w:bookmarkEnd w:id="213"/>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214" w:name="_Toc510084699"/>
      <w:r>
        <w:rPr>
          <w:rStyle w:val="CharSectno"/>
        </w:rPr>
        <w:t>64</w:t>
      </w:r>
      <w:r>
        <w:t>.</w:t>
      </w:r>
      <w:r>
        <w:tab/>
        <w:t>Other enactments not limited</w:t>
      </w:r>
      <w:bookmarkEnd w:id="214"/>
    </w:p>
    <w:p>
      <w:pPr>
        <w:pStyle w:val="Subsection"/>
      </w:pPr>
      <w:r>
        <w:tab/>
      </w:r>
      <w:r>
        <w:tab/>
        <w:t>This Division does not limit any other enactment that provides for the service of documents.</w:t>
      </w:r>
    </w:p>
    <w:p>
      <w:pPr>
        <w:pStyle w:val="Heading3"/>
      </w:pPr>
      <w:bookmarkStart w:id="215" w:name="_Toc506800396"/>
      <w:bookmarkStart w:id="216" w:name="_Toc506800508"/>
      <w:bookmarkStart w:id="217" w:name="_Toc506800737"/>
      <w:bookmarkStart w:id="218" w:name="_Toc507750182"/>
      <w:bookmarkStart w:id="219" w:name="_Toc510083980"/>
      <w:bookmarkStart w:id="220" w:name="_Toc510084700"/>
      <w:r>
        <w:rPr>
          <w:rStyle w:val="CharDivNo"/>
        </w:rPr>
        <w:t>Division 6</w:t>
      </w:r>
      <w:r>
        <w:t xml:space="preserve"> — </w:t>
      </w:r>
      <w:r>
        <w:rPr>
          <w:rStyle w:val="CharDivText"/>
        </w:rPr>
        <w:t>General</w:t>
      </w:r>
      <w:bookmarkEnd w:id="215"/>
      <w:bookmarkEnd w:id="216"/>
      <w:bookmarkEnd w:id="217"/>
      <w:bookmarkEnd w:id="218"/>
      <w:bookmarkEnd w:id="219"/>
      <w:bookmarkEnd w:id="220"/>
    </w:p>
    <w:p>
      <w:pPr>
        <w:pStyle w:val="Heading5"/>
      </w:pPr>
      <w:bookmarkStart w:id="221" w:name="_Toc510084701"/>
      <w:r>
        <w:rPr>
          <w:rStyle w:val="CharSectno"/>
        </w:rPr>
        <w:t>65</w:t>
      </w:r>
      <w:r>
        <w:t>.</w:t>
      </w:r>
      <w:r>
        <w:tab/>
        <w:t>Confidentiality</w:t>
      </w:r>
      <w:bookmarkEnd w:id="221"/>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222" w:name="_Toc510084702"/>
      <w:r>
        <w:rPr>
          <w:rStyle w:val="CharSectno"/>
        </w:rPr>
        <w:t>66</w:t>
      </w:r>
      <w:r>
        <w:t>.</w:t>
      </w:r>
      <w:r>
        <w:tab/>
        <w:t>Time for commencing prosecutions</w:t>
      </w:r>
      <w:bookmarkEnd w:id="22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223" w:name="_Toc510084703"/>
      <w:r>
        <w:rPr>
          <w:rStyle w:val="CharSectno"/>
        </w:rPr>
        <w:t>67</w:t>
      </w:r>
      <w:r>
        <w:t>.</w:t>
      </w:r>
      <w:r>
        <w:tab/>
        <w:t>Protection from liability for wrongdoing</w:t>
      </w:r>
      <w:bookmarkEnd w:id="22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4" w:name="_Toc510084704"/>
      <w:r>
        <w:rPr>
          <w:rStyle w:val="CharSectno"/>
        </w:rPr>
        <w:t>68</w:t>
      </w:r>
      <w:r>
        <w:t>.</w:t>
      </w:r>
      <w:r>
        <w:tab/>
        <w:t xml:space="preserve">Appropriation of </w:t>
      </w:r>
      <w:r>
        <w:rPr>
          <w:snapToGrid w:val="0"/>
        </w:rPr>
        <w:t>Consolidated Account</w:t>
      </w:r>
      <w:bookmarkEnd w:id="22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225" w:name="_Toc510084705"/>
      <w:r>
        <w:rPr>
          <w:rStyle w:val="CharSectno"/>
        </w:rPr>
        <w:t>69</w:t>
      </w:r>
      <w:r>
        <w:t>.</w:t>
      </w:r>
      <w:r>
        <w:tab/>
        <w:t>Regulations</w:t>
      </w:r>
      <w:bookmarkEnd w:id="2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by No. 16 of 2017 s. 21.]</w:t>
      </w:r>
    </w:p>
    <w:p>
      <w:pPr>
        <w:pStyle w:val="Heading5"/>
      </w:pPr>
      <w:bookmarkStart w:id="226" w:name="_Toc510084706"/>
      <w:r>
        <w:rPr>
          <w:rStyle w:val="CharSectno"/>
        </w:rPr>
        <w:t>70</w:t>
      </w:r>
      <w:r>
        <w:t>.</w:t>
      </w:r>
      <w:r>
        <w:tab/>
        <w:t>Review of Act</w:t>
      </w:r>
      <w:bookmarkEnd w:id="22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27" w:name="_Toc506800403"/>
      <w:bookmarkStart w:id="228" w:name="_Toc506800515"/>
      <w:bookmarkStart w:id="229" w:name="_Toc506800744"/>
      <w:bookmarkStart w:id="230" w:name="_Toc507750189"/>
      <w:bookmarkStart w:id="231" w:name="_Toc510083987"/>
      <w:bookmarkStart w:id="232" w:name="_Toc510084707"/>
      <w:r>
        <w:t>Notes</w:t>
      </w:r>
      <w:bookmarkEnd w:id="227"/>
      <w:bookmarkEnd w:id="228"/>
      <w:bookmarkEnd w:id="229"/>
      <w:bookmarkEnd w:id="230"/>
      <w:bookmarkEnd w:id="231"/>
      <w:bookmarkEnd w:id="232"/>
    </w:p>
    <w:p>
      <w:pPr>
        <w:pStyle w:val="nSubsection"/>
      </w:pPr>
      <w:r>
        <w:rPr>
          <w:vertAlign w:val="superscript"/>
        </w:rPr>
        <w:t>1</w:t>
      </w:r>
      <w:r>
        <w:tab/>
        <w:t xml:space="preserve">This reprint is a compilation as at 4 May 2018 of the </w:t>
      </w:r>
      <w:r>
        <w:rPr>
          <w:i/>
          <w:noProof/>
        </w:rPr>
        <w:t>First Home Owner Grant Act 2000</w:t>
      </w:r>
      <w:r>
        <w:t xml:space="preserve"> and includes the amendments made by the other written laws referred to in the following table</w:t>
      </w:r>
      <w:r>
        <w:rPr>
          <w:vertAlign w:val="superscript"/>
        </w:rPr>
        <w:t> 2</w:t>
      </w:r>
      <w:r>
        <w:t>.  The table also contains information about any reprint.</w:t>
      </w:r>
    </w:p>
    <w:p>
      <w:pPr>
        <w:pStyle w:val="nHeading3"/>
      </w:pPr>
      <w:bookmarkStart w:id="233" w:name="_Toc510084708"/>
      <w:r>
        <w:t>Compilation table</w:t>
      </w:r>
      <w:bookmarkEnd w:id="23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1" w:type="dxa"/>
            <w:tcBorders>
              <w:top w:val="single" w:sz="8" w:space="0" w:color="auto"/>
            </w:tcBorders>
          </w:tcPr>
          <w:p>
            <w:pPr>
              <w:pStyle w:val="nTable"/>
              <w:spacing w:after="40"/>
            </w:pPr>
            <w:r>
              <w:t>1 Jul 2000 (see s. 2)</w:t>
            </w:r>
          </w:p>
        </w:tc>
      </w:tr>
      <w:tr>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1" w:type="dxa"/>
          </w:tcPr>
          <w:p>
            <w:pPr>
              <w:pStyle w:val="nTable"/>
              <w:spacing w:after="40"/>
            </w:pPr>
            <w:r>
              <w:t>s. 8: 1 Jul 2000 (see s. 2(2));</w:t>
            </w:r>
            <w:r>
              <w:br/>
              <w:t>Act other than s. 8: 7 Dec 2000 (see s. 2(1))</w:t>
            </w:r>
          </w:p>
        </w:tc>
      </w:tr>
      <w:tr>
        <w:tc>
          <w:tcPr>
            <w:tcW w:w="2268" w:type="dxa"/>
          </w:tcPr>
          <w:p>
            <w:pPr>
              <w:pStyle w:val="nTable"/>
              <w:spacing w:after="40"/>
              <w:rPr>
                <w:i/>
              </w:rPr>
            </w:pPr>
            <w:r>
              <w:rPr>
                <w:i/>
              </w:rPr>
              <w:t>First Home Owner Grant Amendment Act 2001</w:t>
            </w:r>
            <w:r>
              <w:t xml:space="preserve"> </w:t>
            </w:r>
            <w:r>
              <w:rPr>
                <w:vertAlign w:val="superscript"/>
              </w:rPr>
              <w:t>3</w:t>
            </w:r>
          </w:p>
        </w:tc>
        <w:tc>
          <w:tcPr>
            <w:tcW w:w="1134" w:type="dxa"/>
          </w:tcPr>
          <w:p>
            <w:pPr>
              <w:pStyle w:val="nTable"/>
              <w:spacing w:after="40"/>
            </w:pPr>
            <w:r>
              <w:t>14 of 2001</w:t>
            </w:r>
          </w:p>
        </w:tc>
        <w:tc>
          <w:tcPr>
            <w:tcW w:w="1134" w:type="dxa"/>
          </w:tcPr>
          <w:p>
            <w:pPr>
              <w:pStyle w:val="nTable"/>
              <w:spacing w:after="40"/>
            </w:pPr>
            <w:r>
              <w:t>14 Aug 2001</w:t>
            </w:r>
          </w:p>
        </w:tc>
        <w:tc>
          <w:tcPr>
            <w:tcW w:w="2551" w:type="dxa"/>
          </w:tcPr>
          <w:p>
            <w:pPr>
              <w:pStyle w:val="nTable"/>
              <w:spacing w:after="40"/>
            </w:pPr>
            <w:r>
              <w:t>9 Mar 2001 (see s. 2)</w:t>
            </w:r>
          </w:p>
        </w:tc>
      </w:tr>
      <w:tr>
        <w:tc>
          <w:tcPr>
            <w:tcW w:w="2268" w:type="dxa"/>
          </w:tcPr>
          <w:p>
            <w:pPr>
              <w:pStyle w:val="nTable"/>
              <w:spacing w:after="40"/>
            </w:pPr>
            <w:r>
              <w:rPr>
                <w:i/>
              </w:rPr>
              <w:t>First Home Owner Grant Amendment Act 2003</w:t>
            </w:r>
            <w:r>
              <w:t xml:space="preserve"> </w:t>
            </w:r>
            <w:r>
              <w:rPr>
                <w:vertAlign w:val="superscript"/>
              </w:rPr>
              <w:t>4</w:t>
            </w:r>
          </w:p>
        </w:tc>
        <w:tc>
          <w:tcPr>
            <w:tcW w:w="1134" w:type="dxa"/>
          </w:tcPr>
          <w:p>
            <w:pPr>
              <w:pStyle w:val="nTable"/>
              <w:spacing w:after="40"/>
            </w:pPr>
            <w:r>
              <w:t>13 of 2003</w:t>
            </w:r>
          </w:p>
        </w:tc>
        <w:tc>
          <w:tcPr>
            <w:tcW w:w="1134" w:type="dxa"/>
          </w:tcPr>
          <w:p>
            <w:pPr>
              <w:pStyle w:val="nTable"/>
              <w:spacing w:after="40"/>
            </w:pPr>
            <w:r>
              <w:t>17 Apr 2003</w:t>
            </w:r>
          </w:p>
        </w:tc>
        <w:tc>
          <w:tcPr>
            <w:tcW w:w="2551" w:type="dxa"/>
          </w:tcPr>
          <w:p>
            <w:pPr>
              <w:pStyle w:val="nTable"/>
              <w:spacing w:after="40"/>
            </w:pPr>
            <w:r>
              <w:t>s. 5(5): 9 Mar 2001 (see s. 2(3));</w:t>
            </w:r>
            <w:r>
              <w:br/>
              <w:t>s. 5 (except s. 5(5)) and 6: 9 Oct 2001 (see s. 2(2));</w:t>
            </w:r>
            <w:r>
              <w:br/>
              <w:t>Act other than s. 5 and 6: 17 Apr 2003 (see s. 2(1))</w:t>
            </w:r>
          </w:p>
        </w:tc>
      </w:tr>
      <w:tr>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pPr>
            <w:r>
              <w:rPr>
                <w:i/>
              </w:rPr>
              <w:t>First Home Owner Grant Amendment Act 2004</w:t>
            </w:r>
            <w:r>
              <w:t> </w:t>
            </w:r>
            <w:r>
              <w:rPr>
                <w:vertAlign w:val="superscript"/>
              </w:rPr>
              <w:t>5</w:t>
            </w:r>
          </w:p>
        </w:tc>
        <w:tc>
          <w:tcPr>
            <w:tcW w:w="1134" w:type="dxa"/>
          </w:tcPr>
          <w:p>
            <w:pPr>
              <w:pStyle w:val="nTable"/>
              <w:spacing w:after="40"/>
            </w:pPr>
            <w:r>
              <w:t>52 of 2004</w:t>
            </w:r>
          </w:p>
        </w:tc>
        <w:tc>
          <w:tcPr>
            <w:tcW w:w="1134" w:type="dxa"/>
          </w:tcPr>
          <w:p>
            <w:pPr>
              <w:pStyle w:val="nTable"/>
              <w:spacing w:after="40"/>
            </w:pPr>
            <w:r>
              <w:t>18 Nov 2004</w:t>
            </w:r>
          </w:p>
        </w:tc>
        <w:tc>
          <w:tcPr>
            <w:tcW w:w="2551" w:type="dxa"/>
          </w:tcPr>
          <w:p>
            <w:pPr>
              <w:pStyle w:val="nTable"/>
              <w:spacing w:after="40"/>
            </w:pPr>
            <w:r>
              <w:t>Pt. 2 and 3: 1 Jul 2004 (see s. 2(2));</w:t>
            </w:r>
            <w:r>
              <w:br/>
              <w:t>Pt. 1: 18 Nov 2004 (see s. 2(1))</w:t>
            </w:r>
          </w:p>
        </w:tc>
      </w:tr>
      <w:tr>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6</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268" w:type="dxa"/>
          </w:tcPr>
          <w:p>
            <w:pPr>
              <w:pStyle w:val="nTable"/>
              <w:keepNext/>
              <w:keepLines/>
              <w:spacing w:after="40"/>
            </w:pPr>
            <w:r>
              <w:rPr>
                <w:i/>
                <w:iCs/>
              </w:rPr>
              <w:t>First Home Owner Grant Amendment Act 2005</w:t>
            </w:r>
            <w:r>
              <w:t xml:space="preserve"> </w:t>
            </w:r>
            <w:r>
              <w:rPr>
                <w:vertAlign w:val="superscript"/>
              </w:rPr>
              <w:t>7</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1" w:type="dxa"/>
          </w:tcPr>
          <w:p>
            <w:pPr>
              <w:pStyle w:val="nTable"/>
              <w:keepNext/>
              <w:keepLines/>
              <w:spacing w:after="40"/>
            </w:pPr>
            <w:r>
              <w:t>s. 4: 1 Jul 2000 (see s. 2(2));</w:t>
            </w:r>
            <w:r>
              <w:br/>
              <w:t>Act other than s. 4: 12 Dec 2005 (see s. 2(1))</w:t>
            </w:r>
          </w:p>
        </w:tc>
      </w:tr>
      <w:tr>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1"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1"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4 Sep 2012 (see s. 2(e))</w:t>
            </w:r>
          </w:p>
        </w:tc>
      </w:tr>
      <w:tr>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1" w:type="dxa"/>
          </w:tcPr>
          <w:p>
            <w:pPr>
              <w:pStyle w:val="nTable"/>
              <w:spacing w:after="40"/>
              <w:rPr>
                <w:snapToGrid w:val="0"/>
              </w:rPr>
            </w:pPr>
            <w:r>
              <w:rPr>
                <w:snapToGrid w:val="0"/>
              </w:rPr>
              <w:t>9 Oct 2012 (see s. 2(e))</w:t>
            </w:r>
          </w:p>
        </w:tc>
      </w:tr>
      <w:tr>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1" w:type="dxa"/>
          </w:tcPr>
          <w:p>
            <w:pPr>
              <w:pStyle w:val="nTable"/>
              <w:spacing w:after="40"/>
              <w:rPr>
                <w:snapToGrid w:val="0"/>
              </w:rPr>
            </w:pPr>
            <w:r>
              <w:rPr>
                <w:snapToGrid w:val="0"/>
              </w:rPr>
              <w:t>25 Sep 2013 (see s. 2(c)(ii))</w:t>
            </w:r>
          </w:p>
        </w:tc>
      </w:tr>
      <w:tr>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1" w:type="dxa"/>
          </w:tcPr>
          <w:p>
            <w:pPr>
              <w:pStyle w:val="nTable"/>
              <w:spacing w:after="40"/>
              <w:rPr>
                <w:snapToGrid w:val="0"/>
              </w:rPr>
            </w:pPr>
            <w:r>
              <w:rPr>
                <w:snapToGrid w:val="0"/>
              </w:rPr>
              <w:t>3 Oct 2015 (see s. 2(b))</w:t>
            </w:r>
          </w:p>
        </w:tc>
      </w:tr>
      <w:tr>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1"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spacing w:before="160"/>
        <w:rPr>
          <w:i/>
        </w:rPr>
      </w:pPr>
      <w:r>
        <w:rPr>
          <w:vertAlign w:val="superscript"/>
        </w:rPr>
        <w:t>3</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4</w:t>
      </w:r>
      <w:r>
        <w:tab/>
        <w:t xml:space="preserve">The </w:t>
      </w:r>
      <w:r>
        <w:rPr>
          <w:i/>
        </w:rPr>
        <w:t>First Home Owner Grant Amendment Act 2003</w:t>
      </w:r>
      <w:r>
        <w:t xml:space="preserve"> s. 10 is a savings provision of no further effect.</w:t>
      </w:r>
    </w:p>
    <w:p>
      <w:pPr>
        <w:pStyle w:val="nSubsection"/>
      </w:pPr>
      <w:r>
        <w:rPr>
          <w:vertAlign w:val="superscript"/>
        </w:rPr>
        <w:t>5</w:t>
      </w:r>
      <w:r>
        <w:tab/>
        <w:t xml:space="preserve">The </w:t>
      </w:r>
      <w:r>
        <w:rPr>
          <w:i/>
        </w:rPr>
        <w:t>First Home Owner Grant Amendment Act 2004</w:t>
      </w:r>
      <w:r>
        <w:t xml:space="preserve"> Pt. 3 is a transitional provision of no further effect.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35" w:name="_Toc506800405"/>
      <w:bookmarkStart w:id="236" w:name="_Toc506800517"/>
      <w:bookmarkStart w:id="237" w:name="_Toc506800746"/>
      <w:bookmarkStart w:id="238" w:name="_Toc507750191"/>
      <w:bookmarkStart w:id="239" w:name="_Toc510083989"/>
      <w:bookmarkStart w:id="240" w:name="_Toc510084709"/>
      <w:r>
        <w:rPr>
          <w:sz w:val="28"/>
        </w:rPr>
        <w:t>Defined terms</w:t>
      </w:r>
      <w:bookmarkEnd w:id="235"/>
      <w:bookmarkEnd w:id="236"/>
      <w:bookmarkEnd w:id="237"/>
      <w:bookmarkEnd w:id="238"/>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58(1)(a)(i)</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w:t>
      </w:r>
      <w:r>
        <w:noBreakHyphen/>
        <w:t>up period</w:t>
      </w:r>
      <w:r>
        <w:tab/>
        <w:t>3(1), 13(5)</w:t>
      </w:r>
    </w:p>
    <w:p>
      <w:pPr>
        <w:pStyle w:val="DefinedTerms"/>
      </w:pPr>
      <w:r>
        <w:t>taxation law</w:t>
      </w:r>
      <w:r>
        <w:tab/>
        <w:t>3(1)</w:t>
      </w:r>
    </w:p>
    <w:p>
      <w:pPr>
        <w:pStyle w:val="DefinedTerms"/>
      </w:pPr>
      <w:r>
        <w:t>applicant</w:t>
      </w:r>
      <w:r>
        <w:tab/>
        <w:t>11(1)</w:t>
      </w:r>
    </w:p>
    <w:p>
      <w:pPr>
        <w:pStyle w:val="DefinedTerms"/>
      </w:pPr>
      <w:r>
        <w:t>the home</w:t>
      </w:r>
      <w:r>
        <w:tab/>
        <w:t>3(1)</w:t>
      </w:r>
    </w:p>
    <w:p>
      <w:pPr>
        <w:pStyle w:val="DefinedTerms"/>
      </w:pPr>
      <w:r>
        <w:t>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9103948"/>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22230</Words>
  <Characters>105820</Characters>
  <Application>Microsoft Office Word</Application>
  <DocSecurity>0</DocSecurity>
  <Lines>2939</Lines>
  <Paragraphs>1684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126366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2000 - 03-a0-00</dc:title>
  <dc:subject/>
  <dc:creator/>
  <cp:keywords/>
  <dc:description/>
  <cp:lastModifiedBy>svcMRProcess</cp:lastModifiedBy>
  <cp:revision>4</cp:revision>
  <cp:lastPrinted>2018-04-03T01:28:00Z</cp:lastPrinted>
  <dcterms:created xsi:type="dcterms:W3CDTF">2018-08-29T06:38:00Z</dcterms:created>
  <dcterms:modified xsi:type="dcterms:W3CDTF">2018-08-29T06:38:00Z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04 May 2018</vt:lpwstr>
  </property>
  <property fmtid="{D5CDD505-2E9C-101B-9397-08002B2CF9AE}" pid="8" name="Suffix">
    <vt:lpwstr>03-a0-00</vt:lpwstr>
  </property>
  <property fmtid="{D5CDD505-2E9C-101B-9397-08002B2CF9AE}" pid="9" name="CommencementDate">
    <vt:lpwstr>20180504</vt:lpwstr>
  </property>
</Properties>
</file>