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_Toc516571702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_Toc516571703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_Toc516571704 \h </w:instrText>
      </w:r>
      <w:r>
        <w:fldChar w:fldCharType="separate"/>
      </w:r>
      <w:r>
        <w:t>1</w:t>
      </w:r>
      <w:r>
        <w:fldChar w:fldCharType="end"/>
      </w:r>
    </w:p>
    <w:p>
      <w:pPr>
        <w:pStyle w:val="TOC8"/>
        <w:rPr>
          <w:rFonts w:asciiTheme="minorHAnsi" w:eastAsiaTheme="minorEastAsia" w:hAnsiTheme="minorHAnsi" w:cstheme="minorBidi"/>
          <w:szCs w:val="22"/>
        </w:rPr>
      </w:pPr>
      <w:r>
        <w:t>3.</w:t>
      </w:r>
      <w:r>
        <w:tab/>
        <w:t>Rate of interest for refunds and credits (section 39)</w:t>
      </w:r>
      <w:r>
        <w:tab/>
      </w:r>
      <w:r>
        <w:fldChar w:fldCharType="begin"/>
      </w:r>
      <w:r>
        <w:instrText xml:space="preserve"> PAGEREF _Toc516571705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_Toc516571706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_Toc516571707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_Toc516571708 \h </w:instrText>
      </w:r>
      <w:r>
        <w:fldChar w:fldCharType="separate"/>
      </w:r>
      <w:r>
        <w:t>2</w:t>
      </w:r>
      <w:r>
        <w:fldChar w:fldCharType="end"/>
      </w:r>
    </w:p>
    <w:p>
      <w:pPr>
        <w:pStyle w:val="TOC8"/>
        <w:rPr>
          <w:rFonts w:asciiTheme="minorHAnsi" w:eastAsiaTheme="minorEastAsia" w:hAnsiTheme="minorHAnsi" w:cstheme="minorBidi"/>
          <w:szCs w:val="22"/>
        </w:rPr>
      </w:pPr>
      <w:r>
        <w:t>5B.</w:t>
      </w:r>
      <w:r>
        <w:tab/>
        <w:t>Rate of interest for refunds (section 54(2A))</w:t>
      </w:r>
      <w:r>
        <w:tab/>
      </w:r>
      <w:r>
        <w:fldChar w:fldCharType="begin"/>
      </w:r>
      <w:r>
        <w:instrText xml:space="preserve"> PAGEREF _Toc516571709 \h </w:instrText>
      </w:r>
      <w:r>
        <w:fldChar w:fldCharType="separate"/>
      </w:r>
      <w:r>
        <w:t>3</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_Toc516571710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_Toc516571711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_Toc516571712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_Toc516571713 \h </w:instrText>
      </w:r>
      <w:r>
        <w:fldChar w:fldCharType="separate"/>
      </w:r>
      <w:r>
        <w:t>4</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_Toc516571714 \h </w:instrText>
      </w:r>
      <w:r>
        <w:fldChar w:fldCharType="separate"/>
      </w:r>
      <w:r>
        <w:t>4</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_Toc516571715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_Toc516571716 \h </w:instrText>
      </w:r>
      <w:r>
        <w:fldChar w:fldCharType="separate"/>
      </w:r>
      <w:r>
        <w:t>5</w:t>
      </w:r>
      <w:r>
        <w:fldChar w:fldCharType="end"/>
      </w:r>
    </w:p>
    <w:p>
      <w:pPr>
        <w:pStyle w:val="TOC8"/>
        <w:rPr>
          <w:rFonts w:asciiTheme="minorHAnsi" w:eastAsiaTheme="minorEastAsia" w:hAnsiTheme="minorHAnsi" w:cstheme="minorBidi"/>
          <w:szCs w:val="22"/>
        </w:rPr>
      </w:pPr>
      <w:r>
        <w:t>12.</w:t>
      </w:r>
      <w:r>
        <w:tab/>
        <w:t>Law enforcement agency authorised to receive confidential information (section 114)</w:t>
      </w:r>
      <w:r>
        <w:tab/>
      </w:r>
      <w:r>
        <w:fldChar w:fldCharType="begin"/>
      </w:r>
      <w:r>
        <w:instrText xml:space="preserve"> PAGEREF _Toc516571717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_Toc516571718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_Toc516571719 \h </w:instrText>
      </w:r>
      <w:r>
        <w:fldChar w:fldCharType="separate"/>
      </w:r>
      <w:r>
        <w:t>6</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_Toc516571720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_Toc516571721 \h </w:instrText>
      </w:r>
      <w:r>
        <w:fldChar w:fldCharType="separate"/>
      </w:r>
      <w:r>
        <w:t>7</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_Toc516571722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(section 114(3)(g))</w:t>
      </w:r>
      <w:r>
        <w:tab/>
      </w:r>
      <w:r>
        <w:fldChar w:fldCharType="begin"/>
      </w:r>
      <w:r>
        <w:instrText xml:space="preserve"> PAGEREF _Toc516571723 \h </w:instrText>
      </w:r>
      <w:r>
        <w:fldChar w:fldCharType="separate"/>
      </w:r>
      <w:r>
        <w:t>8</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_Toc516571724 \h </w:instrText>
      </w:r>
      <w:r>
        <w:fldChar w:fldCharType="separate"/>
      </w:r>
      <w:r>
        <w:t>8</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_Toc516571725 \h </w:instrText>
      </w:r>
      <w:r>
        <w:fldChar w:fldCharType="separate"/>
      </w:r>
      <w:r>
        <w:t>9</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_Toc516571726 \h </w:instrText>
      </w:r>
      <w:r>
        <w:fldChar w:fldCharType="separate"/>
      </w:r>
      <w:r>
        <w:t>9</w:t>
      </w:r>
      <w:r>
        <w:fldChar w:fldCharType="end"/>
      </w:r>
    </w:p>
    <w:p>
      <w:pPr>
        <w:pStyle w:val="TOC8"/>
        <w:rPr>
          <w:rFonts w:asciiTheme="minorHAnsi" w:eastAsiaTheme="minorEastAsia" w:hAnsiTheme="minorHAnsi" w:cstheme="minorBidi"/>
          <w:szCs w:val="22"/>
        </w:rPr>
      </w:pPr>
      <w:r>
        <w:t>14A.</w:t>
      </w:r>
      <w:r>
        <w:tab/>
        <w:t>Disclosure of information about settlement agents (section 114)</w:t>
      </w:r>
      <w:r>
        <w:tab/>
      </w:r>
      <w:r>
        <w:fldChar w:fldCharType="begin"/>
      </w:r>
      <w:r>
        <w:instrText xml:space="preserve"> PAGEREF _Toc516571727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_Toc516571728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_Toc516571729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_Toc516571731 \h </w:instrText>
      </w:r>
      <w:r>
        <w:fldChar w:fldCharType="separate"/>
      </w:r>
      <w:r>
        <w:t>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_Toc516571732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Taxation Administration Act 2003</w:t>
      </w:r>
    </w:p>
    <w:p>
      <w:pPr>
        <w:pStyle w:val="NameofActReg"/>
        <w:spacing w:before="720" w:after="840"/>
      </w:pPr>
      <w:r>
        <w:t>Taxation Administration Regulations 2003</w:t>
      </w:r>
    </w:p>
    <w:p>
      <w:pPr>
        <w:pStyle w:val="Heading5"/>
        <w:spacing w:before="0"/>
      </w:pPr>
      <w:bookmarkStart w:id="3" w:name="_Toc408482372"/>
      <w:bookmarkStart w:id="4" w:name="_Toc516571702"/>
      <w:r>
        <w:rPr>
          <w:rStyle w:val="CharSectno"/>
        </w:rPr>
        <w:t>1</w:t>
      </w:r>
      <w:r>
        <w:t>.</w:t>
      </w:r>
      <w:r>
        <w:tab/>
        <w:t>Citation</w:t>
      </w:r>
      <w:bookmarkEnd w:id="3"/>
      <w:bookmarkEnd w:id="4"/>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5" w:name="_Toc408482373"/>
      <w:bookmarkStart w:id="6" w:name="_Toc516571703"/>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Ednotesection"/>
        <w:rPr>
          <w:lang w:eastAsia="en-US"/>
        </w:rPr>
      </w:pPr>
      <w:r>
        <w:rPr>
          <w:lang w:eastAsia="en-US"/>
        </w:rPr>
        <w:t>[</w:t>
      </w:r>
      <w:r>
        <w:rPr>
          <w:b/>
          <w:lang w:eastAsia="en-US"/>
        </w:rPr>
        <w:t>2A.</w:t>
      </w:r>
      <w:r>
        <w:rPr>
          <w:vertAlign w:val="superscript"/>
          <w:lang w:eastAsia="en-US"/>
        </w:rPr>
        <w:t> 1M</w:t>
      </w:r>
      <w:r>
        <w:rPr>
          <w:lang w:eastAsia="en-US"/>
        </w:rPr>
        <w:tab/>
        <w:t>Modification, to insert regulation 2A, to have effect under the Commonwealth Places (Mirror Taxes Administration) Act 1999, see note 1M.]</w:t>
      </w:r>
    </w:p>
    <w:p>
      <w:pPr>
        <w:pStyle w:val="Ednotesection"/>
        <w:rPr>
          <w:lang w:eastAsia="en-US"/>
        </w:rPr>
      </w:pPr>
      <w:r>
        <w:rPr>
          <w:lang w:eastAsia="en-US"/>
        </w:rPr>
        <w:t>[</w:t>
      </w:r>
      <w:r>
        <w:rPr>
          <w:b/>
          <w:lang w:eastAsia="en-US"/>
        </w:rPr>
        <w:t>2A.</w:t>
      </w:r>
      <w:r>
        <w:rPr>
          <w:vertAlign w:val="superscript"/>
          <w:lang w:eastAsia="en-US"/>
        </w:rPr>
        <w:t> 1MC</w:t>
      </w:r>
      <w:r>
        <w:rPr>
          <w:lang w:eastAsia="en-US"/>
        </w:rPr>
        <w:tab/>
        <w:t>Modification, to insert regulation 2A, to have effect under the Commonwealth Places (Mirror Taxes) Act 1998 (Commonwealth), see note 1MC.]</w:t>
      </w:r>
    </w:p>
    <w:p>
      <w:pPr>
        <w:pStyle w:val="Heading5"/>
      </w:pPr>
      <w:bookmarkStart w:id="7" w:name="_Toc516571704"/>
      <w:r>
        <w:rPr>
          <w:rStyle w:val="CharSectno"/>
        </w:rPr>
        <w:t>3A</w:t>
      </w:r>
      <w:r>
        <w:t>.</w:t>
      </w:r>
      <w:r>
        <w:tab/>
        <w:t>Rates of interest under compromise assessments (section 20A)</w:t>
      </w:r>
      <w:bookmarkEnd w:id="7"/>
    </w:p>
    <w:p>
      <w:pPr>
        <w:pStyle w:val="Subsection"/>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2.2% per annum;</w:t>
      </w:r>
    </w:p>
    <w:p>
      <w:pPr>
        <w:pStyle w:val="Indenta"/>
        <w:keepNext/>
      </w:pPr>
      <w:r>
        <w:tab/>
        <w:t>(b)</w:t>
      </w:r>
      <w:r>
        <w:tab/>
        <w:t>if the agreement provides for the payment of interest by a taxpayer — 10.2% per annum.</w:t>
      </w:r>
    </w:p>
    <w:p>
      <w:pPr>
        <w:pStyle w:val="Footnotesection"/>
        <w:rPr>
          <w:b/>
          <w:i w:val="0"/>
        </w:rPr>
      </w:pPr>
      <w:r>
        <w:tab/>
        <w:t>[Regulation 3A inserted in Gazette 11 Dec 2015 p. 4962.]</w:t>
      </w:r>
    </w:p>
    <w:p>
      <w:pPr>
        <w:pStyle w:val="Heading5"/>
        <w:spacing w:before="200"/>
      </w:pPr>
      <w:bookmarkStart w:id="8" w:name="_Toc408482374"/>
      <w:bookmarkStart w:id="9" w:name="_Toc516571705"/>
      <w:r>
        <w:rPr>
          <w:rStyle w:val="CharSectno"/>
        </w:rPr>
        <w:t>3</w:t>
      </w:r>
      <w:r>
        <w:t>.</w:t>
      </w:r>
      <w:r>
        <w:tab/>
        <w:t>Rate of interest for refunds and credits (section 39)</w:t>
      </w:r>
      <w:bookmarkEnd w:id="8"/>
      <w:bookmarkEnd w:id="9"/>
    </w:p>
    <w:p>
      <w:pPr>
        <w:pStyle w:val="Subsection"/>
        <w:spacing w:before="140"/>
      </w:pPr>
      <w:r>
        <w:tab/>
      </w:r>
      <w:r>
        <w:tab/>
        <w:t xml:space="preserve">The rate of interest payable for the purposes of section 39(2) of the Act is </w:t>
      </w:r>
      <w:r>
        <w:rPr>
          <w:szCs w:val="24"/>
        </w:rPr>
        <w:t>2.2%</w:t>
      </w:r>
      <w:r>
        <w:t xml:space="preserve"> per annum.</w:t>
      </w:r>
    </w:p>
    <w:p>
      <w:pPr>
        <w:pStyle w:val="Footnotesection"/>
      </w:pPr>
      <w:r>
        <w:tab/>
        <w:t>[Regulation 3 amended in Gazette 17 May 2013 p. 1985; 17 Dec 2013 p. 6240; 26 Jun 2015 p. 2279; 11 Dec 2015 p. 4962.]</w:t>
      </w:r>
    </w:p>
    <w:p>
      <w:pPr>
        <w:pStyle w:val="Heading5"/>
        <w:spacing w:before="200"/>
      </w:pPr>
      <w:bookmarkStart w:id="10" w:name="_Toc408482375"/>
      <w:bookmarkStart w:id="11" w:name="_Toc516571706"/>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2.2%</w:t>
      </w:r>
      <w:r>
        <w:t xml:space="preserve"> per annum.</w:t>
      </w:r>
    </w:p>
    <w:p>
      <w:pPr>
        <w:pStyle w:val="Footnotesection"/>
        <w:ind w:left="890" w:hanging="890"/>
      </w:pPr>
      <w:r>
        <w:tab/>
        <w:t>[Regulation 4 amended in Gazette 17 May 2013 p. 1985; 17 Dec 2013 p. 6241; 26 Jun 2015 p. 2279; 11 Dec 2015 p. 4963.]</w:t>
      </w:r>
    </w:p>
    <w:p>
      <w:pPr>
        <w:pStyle w:val="Heading5"/>
      </w:pPr>
      <w:bookmarkStart w:id="12" w:name="_Toc408482376"/>
      <w:bookmarkStart w:id="13" w:name="_Toc516571707"/>
      <w:r>
        <w:rPr>
          <w:rStyle w:val="CharSectno"/>
        </w:rPr>
        <w:t>5</w:t>
      </w:r>
      <w:r>
        <w:t>.</w:t>
      </w:r>
      <w:r>
        <w:tab/>
        <w:t>Rate of interest for outstanding amounts (section 47)</w:t>
      </w:r>
      <w:bookmarkEnd w:id="12"/>
      <w:bookmarkEnd w:id="13"/>
    </w:p>
    <w:p>
      <w:pPr>
        <w:pStyle w:val="Subsection"/>
      </w:pPr>
      <w:r>
        <w:tab/>
      </w:r>
      <w:r>
        <w:tab/>
        <w:t>The rate of interest payable for the purposes of section 47(3) of the Act is 10.2% per annum.</w:t>
      </w:r>
    </w:p>
    <w:p>
      <w:pPr>
        <w:pStyle w:val="Footnotesection"/>
        <w:ind w:left="890" w:hanging="890"/>
      </w:pPr>
      <w:r>
        <w:tab/>
        <w:t>[Regulation 5 amended in Gazette 13 Aug 2004 p. 3253; 28 Feb 2007 p. 639; 14 Mar 2008 p. 837; 17 May 2013 p. 1985; 17 Dec 2013 p. 6241; 26 Jun 2015 p. 2280; 11 Dec 2015 p. 4963.]</w:t>
      </w:r>
    </w:p>
    <w:p>
      <w:pPr>
        <w:pStyle w:val="Heading5"/>
      </w:pPr>
      <w:bookmarkStart w:id="14" w:name="_Toc408482377"/>
      <w:bookmarkStart w:id="15" w:name="_Toc516571708"/>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in Gazette 13 Dec 2005 p. 5993; amended in Gazette 15 May 2009 p. 1639-40.]</w:t>
      </w:r>
    </w:p>
    <w:p>
      <w:pPr>
        <w:pStyle w:val="Heading5"/>
      </w:pPr>
      <w:bookmarkStart w:id="16" w:name="_Toc408482378"/>
      <w:bookmarkStart w:id="17" w:name="_Toc516571709"/>
      <w:r>
        <w:rPr>
          <w:rStyle w:val="CharSectno"/>
        </w:rPr>
        <w:t>5B</w:t>
      </w:r>
      <w:r>
        <w:t>.</w:t>
      </w:r>
      <w:r>
        <w:tab/>
        <w:t>Rate of interest for refunds (section 54(2A))</w:t>
      </w:r>
      <w:bookmarkEnd w:id="16"/>
      <w:bookmarkEnd w:id="17"/>
    </w:p>
    <w:p>
      <w:pPr>
        <w:pStyle w:val="Subsection"/>
      </w:pPr>
      <w:r>
        <w:tab/>
      </w:r>
      <w:r>
        <w:tab/>
        <w:t xml:space="preserve">The rate of interest payable for the purposes of section 54(2A) of the Act is </w:t>
      </w:r>
      <w:r>
        <w:rPr>
          <w:szCs w:val="24"/>
        </w:rPr>
        <w:t>2.2%</w:t>
      </w:r>
      <w:r>
        <w:t xml:space="preserve"> per annum.</w:t>
      </w:r>
    </w:p>
    <w:p>
      <w:pPr>
        <w:pStyle w:val="Footnotesection"/>
      </w:pPr>
      <w:r>
        <w:tab/>
        <w:t>[Regulation 5B inserted in Gazette 17 Dec 2013 p. 6241; amended in Gazette 26 Jun 2015 p. 2280; 11 Dec 2015 p. 4963.]</w:t>
      </w:r>
    </w:p>
    <w:p>
      <w:pPr>
        <w:pStyle w:val="Heading5"/>
      </w:pPr>
      <w:bookmarkStart w:id="18" w:name="_Toc408482379"/>
      <w:bookmarkStart w:id="19" w:name="_Toc516571710"/>
      <w:r>
        <w:rPr>
          <w:rStyle w:val="CharSectno"/>
        </w:rPr>
        <w:t>6A</w:t>
      </w:r>
      <w:r>
        <w:t>.</w:t>
      </w:r>
      <w:r>
        <w:tab/>
        <w:t>Amount for writing off unused credit (section 55A(1)(a))</w:t>
      </w:r>
      <w:bookmarkEnd w:id="18"/>
      <w:bookmarkEnd w:id="19"/>
    </w:p>
    <w:p>
      <w:pPr>
        <w:pStyle w:val="Subsection"/>
      </w:pPr>
      <w:r>
        <w:tab/>
      </w:r>
      <w:r>
        <w:tab/>
        <w:t>The amount for the purposes of writing off credits under section 55A(1)(a) of the Act is $20.01.</w:t>
      </w:r>
    </w:p>
    <w:p>
      <w:pPr>
        <w:pStyle w:val="Footnotesection"/>
      </w:pPr>
      <w:r>
        <w:tab/>
        <w:t>[Regulation 6A inserted in Gazette 11 Nov 2008 p. 4845; amended in Gazette 5 Jun 2015 p. 1976.]</w:t>
      </w:r>
    </w:p>
    <w:p>
      <w:pPr>
        <w:pStyle w:val="Heading5"/>
      </w:pPr>
      <w:bookmarkStart w:id="20" w:name="_Toc408482380"/>
      <w:bookmarkStart w:id="21" w:name="_Toc516571711"/>
      <w:r>
        <w:rPr>
          <w:rStyle w:val="CharSectno"/>
        </w:rPr>
        <w:t>6</w:t>
      </w:r>
      <w:r>
        <w:t>.</w:t>
      </w:r>
      <w:r>
        <w:tab/>
        <w:t>Limit for waiving payment of tax (section 56)</w:t>
      </w:r>
      <w:bookmarkEnd w:id="20"/>
      <w:bookmarkEnd w:id="21"/>
    </w:p>
    <w:p>
      <w:pPr>
        <w:pStyle w:val="Subsection"/>
      </w:pPr>
      <w:r>
        <w:tab/>
      </w:r>
      <w:r>
        <w:tab/>
        <w:t>The limit for waiving payment of tax for the purposes of section 56(1) of the Act is $20.</w:t>
      </w:r>
    </w:p>
    <w:p>
      <w:pPr>
        <w:pStyle w:val="Heading5"/>
      </w:pPr>
      <w:bookmarkStart w:id="22" w:name="_Toc408482381"/>
      <w:bookmarkStart w:id="23" w:name="_Toc516571712"/>
      <w:r>
        <w:rPr>
          <w:rStyle w:val="CharSectno"/>
        </w:rPr>
        <w:t>7</w:t>
      </w:r>
      <w:r>
        <w:t>.</w:t>
      </w:r>
      <w:r>
        <w:tab/>
        <w:t>Statutory administrator of a taxpayer’s assets (section 64)</w:t>
      </w:r>
      <w:bookmarkEnd w:id="22"/>
      <w:bookmarkEnd w:id="23"/>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4" w:name="_Toc408482382"/>
      <w:bookmarkStart w:id="25" w:name="_Toc516571713"/>
      <w:r>
        <w:rPr>
          <w:rStyle w:val="CharSectno"/>
        </w:rPr>
        <w:t>8</w:t>
      </w:r>
      <w:r>
        <w:t>.</w:t>
      </w:r>
      <w:r>
        <w:tab/>
        <w:t>Fee for certificate (section 80)</w:t>
      </w:r>
      <w:bookmarkEnd w:id="24"/>
      <w:bookmarkEnd w:id="25"/>
    </w:p>
    <w:p>
      <w:pPr>
        <w:pStyle w:val="Subsection"/>
      </w:pPr>
      <w:r>
        <w:tab/>
      </w:r>
      <w:r>
        <w:tab/>
        <w:t>The prescribed fee for the issue of a certificate under section 80 of the Act is $39.60.</w:t>
      </w:r>
    </w:p>
    <w:p>
      <w:pPr>
        <w:pStyle w:val="Footnotesection"/>
        <w:ind w:left="890" w:hanging="890"/>
      </w:pPr>
      <w:r>
        <w:tab/>
        <w:t>[Regulation 8 inserted in Gazette 25 Jun 2010 p. 2880; amended in Gazette 5 Jun 2015 p. 1977; 24 Jun 2016 p. 2345; 27 Jun 2017 p. 3451.]</w:t>
      </w:r>
    </w:p>
    <w:p>
      <w:pPr>
        <w:pStyle w:val="Heading5"/>
      </w:pPr>
      <w:bookmarkStart w:id="26" w:name="_Toc408482383"/>
      <w:bookmarkStart w:id="27" w:name="_Toc516571714"/>
      <w:r>
        <w:rPr>
          <w:rStyle w:val="CharSectno"/>
        </w:rPr>
        <w:t>9</w:t>
      </w:r>
      <w:r>
        <w:t>.</w:t>
      </w:r>
      <w:r>
        <w:tab/>
        <w:t>Where tax records to be kept (section 89)</w:t>
      </w:r>
      <w:bookmarkEnd w:id="26"/>
      <w:bookmarkEnd w:id="27"/>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r>
        <w:tab/>
        <w:t>[Regulation 9 amended in Gazette 15 May 2009 p. 1640; Act No. 17 of 2010 s. 31.]</w:t>
      </w:r>
    </w:p>
    <w:p>
      <w:pPr>
        <w:pStyle w:val="Heading5"/>
      </w:pPr>
      <w:bookmarkStart w:id="28" w:name="_Toc408482384"/>
      <w:bookmarkStart w:id="29" w:name="_Toc516571715"/>
      <w:r>
        <w:rPr>
          <w:rStyle w:val="CharSectno"/>
        </w:rPr>
        <w:t>10</w:t>
      </w:r>
      <w:r>
        <w:t>.</w:t>
      </w:r>
      <w:r>
        <w:tab/>
        <w:t>Exemption from requirement to keep tax records (section 91)</w:t>
      </w:r>
      <w:bookmarkEnd w:id="28"/>
      <w:bookmarkEnd w:id="29"/>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30" w:name="_Toc408482385"/>
      <w:bookmarkStart w:id="31" w:name="_Toc516571716"/>
      <w:r>
        <w:rPr>
          <w:rStyle w:val="CharSectno"/>
        </w:rPr>
        <w:t>11</w:t>
      </w:r>
      <w:r>
        <w:t>.</w:t>
      </w:r>
      <w:r>
        <w:tab/>
        <w:t>Expenses of witnesses (section 95)</w:t>
      </w:r>
      <w:bookmarkEnd w:id="30"/>
      <w:bookmarkEnd w:id="31"/>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spacing w:before="180"/>
      </w:pPr>
      <w:bookmarkStart w:id="32" w:name="_Toc408482386"/>
      <w:bookmarkStart w:id="33" w:name="_Toc516571717"/>
      <w:r>
        <w:rPr>
          <w:rStyle w:val="CharSectno"/>
        </w:rPr>
        <w:t>12</w:t>
      </w:r>
      <w:r>
        <w:t>.</w:t>
      </w:r>
      <w:r>
        <w:tab/>
        <w:t>Law enforcement agency authorised to receive confidential information (section 114)</w:t>
      </w:r>
      <w:bookmarkEnd w:id="32"/>
      <w:bookmarkEnd w:id="33"/>
    </w:p>
    <w:p>
      <w:pPr>
        <w:pStyle w:val="Subsection"/>
      </w:pPr>
      <w:r>
        <w:tab/>
      </w:r>
      <w:r>
        <w:tab/>
        <w:t>For the purposes of section 114(3)(a)(iv) of the Act, the Australian Crime Commission is authorised to receive confidential information.</w:t>
      </w:r>
    </w:p>
    <w:p>
      <w:pPr>
        <w:pStyle w:val="Heading5"/>
        <w:spacing w:before="180"/>
      </w:pPr>
      <w:bookmarkStart w:id="34" w:name="_Toc408482387"/>
      <w:bookmarkStart w:id="35" w:name="_Toc516571718"/>
      <w:r>
        <w:rPr>
          <w:rStyle w:val="CharSectno"/>
        </w:rPr>
        <w:t>13A</w:t>
      </w:r>
      <w:r>
        <w:t>.</w:t>
      </w:r>
      <w:r>
        <w:tab/>
        <w:t>Disclosure of information about vehicle licensing (section 114(3)(g))</w:t>
      </w:r>
      <w:bookmarkEnd w:id="34"/>
      <w:bookmarkEnd w:id="35"/>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 amended in Gazette 8 Jan 2015 p. 107</w:t>
      </w:r>
      <w:r>
        <w:noBreakHyphen/>
        <w:t>8.]</w:t>
      </w:r>
    </w:p>
    <w:p>
      <w:pPr>
        <w:pStyle w:val="Heading5"/>
      </w:pPr>
      <w:bookmarkStart w:id="36" w:name="_Toc408482388"/>
      <w:bookmarkStart w:id="37" w:name="_Toc516571719"/>
      <w:r>
        <w:rPr>
          <w:rStyle w:val="CharSectno"/>
        </w:rPr>
        <w:t>13B</w:t>
      </w:r>
      <w:r>
        <w:t>.</w:t>
      </w:r>
      <w:r>
        <w:tab/>
        <w:t>Disclosure of information about petroleum matters (section 114(3)(g))</w:t>
      </w:r>
      <w:bookmarkEnd w:id="36"/>
      <w:bookmarkEnd w:id="37"/>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in Gazette 15 May 2009 p. 1641.]</w:t>
      </w:r>
    </w:p>
    <w:p>
      <w:pPr>
        <w:pStyle w:val="Heading5"/>
      </w:pPr>
      <w:bookmarkStart w:id="38" w:name="_Toc408482389"/>
      <w:bookmarkStart w:id="39" w:name="_Toc516571720"/>
      <w:r>
        <w:rPr>
          <w:rStyle w:val="CharSectno"/>
        </w:rPr>
        <w:t>13C</w:t>
      </w:r>
      <w:r>
        <w:t>.</w:t>
      </w:r>
      <w:r>
        <w:tab/>
        <w:t>Disclosure of information about land transfers (section 114(3)(g))</w:t>
      </w:r>
      <w:bookmarkEnd w:id="38"/>
      <w:bookmarkEnd w:id="39"/>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in Gazette 15 May 2009 p. 1642.]</w:t>
      </w:r>
    </w:p>
    <w:p>
      <w:pPr>
        <w:pStyle w:val="Heading5"/>
      </w:pPr>
      <w:bookmarkStart w:id="40" w:name="_Toc408482390"/>
      <w:bookmarkStart w:id="41" w:name="_Toc516571721"/>
      <w:r>
        <w:rPr>
          <w:rStyle w:val="CharSectno"/>
        </w:rPr>
        <w:t>13D</w:t>
      </w:r>
      <w:r>
        <w:t>.</w:t>
      </w:r>
      <w:r>
        <w:tab/>
        <w:t>Disclosure of information about a person’s taxation affairs (section 114(3)(g))</w:t>
      </w:r>
      <w:bookmarkEnd w:id="40"/>
      <w:bookmarkEnd w:id="41"/>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keepNext w:val="0"/>
        <w:keepLines w:val="0"/>
        <w:pageBreakBefore/>
        <w:widowControl w:val="0"/>
        <w:spacing w:before="180"/>
      </w:pPr>
      <w:bookmarkStart w:id="42" w:name="_Toc408482391"/>
      <w:bookmarkStart w:id="43" w:name="_Toc516571722"/>
      <w:r>
        <w:rPr>
          <w:rStyle w:val="CharSectno"/>
        </w:rPr>
        <w:t>13E</w:t>
      </w:r>
      <w:r>
        <w:t>.</w:t>
      </w:r>
      <w:r>
        <w:tab/>
        <w:t>Disclosure of information to interstate official: first home owner grant (section 114(3)(g))</w:t>
      </w:r>
      <w:bookmarkEnd w:id="42"/>
      <w:bookmarkEnd w:id="43"/>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in Gazette 17 Dec 2013 p. 6241.]</w:t>
      </w:r>
    </w:p>
    <w:p>
      <w:pPr>
        <w:pStyle w:val="Heading5"/>
      </w:pPr>
      <w:bookmarkStart w:id="44" w:name="_Toc505958280"/>
      <w:bookmarkStart w:id="45" w:name="_Toc506205099"/>
      <w:bookmarkStart w:id="46" w:name="_Toc516571723"/>
      <w:bookmarkStart w:id="47" w:name="_Toc408482392"/>
      <w:r>
        <w:rPr>
          <w:rStyle w:val="CharSectno"/>
        </w:rPr>
        <w:t>13F</w:t>
      </w:r>
      <w:r>
        <w:t>.</w:t>
      </w:r>
      <w:r>
        <w:tab/>
        <w:t>Disclosure of information to Australian Border Force Commissioner (section 114(3)(g))</w:t>
      </w:r>
      <w:bookmarkEnd w:id="44"/>
      <w:bookmarkEnd w:id="45"/>
      <w:bookmarkEnd w:id="46"/>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bookmarkStart w:id="48" w:name="_Toc505958281"/>
      <w:bookmarkStart w:id="49" w:name="_Toc506205100"/>
      <w:r>
        <w:tab/>
        <w:t>[Regulation 13F inserted in Gazette 6 Mar 2018 p. 709.]</w:t>
      </w:r>
    </w:p>
    <w:p>
      <w:pPr>
        <w:pStyle w:val="Heading5"/>
      </w:pPr>
      <w:bookmarkStart w:id="50" w:name="_Toc516571724"/>
      <w:r>
        <w:rPr>
          <w:rStyle w:val="CharSectno"/>
        </w:rPr>
        <w:t>13G</w:t>
      </w:r>
      <w:r>
        <w:t>.</w:t>
      </w:r>
      <w:r>
        <w:tab/>
        <w:t>Disclosure of information about employers of apprentices (section 114(3)(g))</w:t>
      </w:r>
      <w:bookmarkEnd w:id="48"/>
      <w:bookmarkEnd w:id="49"/>
      <w:bookmarkEnd w:id="5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bookmarkStart w:id="51" w:name="_Toc505958282"/>
      <w:bookmarkStart w:id="52" w:name="_Toc506205101"/>
      <w:r>
        <w:tab/>
        <w:t>[Regulation 13G inserted in Gazette 6 Mar 2018 p. 710.]</w:t>
      </w:r>
    </w:p>
    <w:p>
      <w:pPr>
        <w:pStyle w:val="Heading5"/>
      </w:pPr>
      <w:bookmarkStart w:id="53" w:name="_Toc516571725"/>
      <w:r>
        <w:rPr>
          <w:rStyle w:val="CharSectno"/>
        </w:rPr>
        <w:t>13H</w:t>
      </w:r>
      <w:r>
        <w:t>.</w:t>
      </w:r>
      <w:r>
        <w:tab/>
        <w:t>Disclosure of information about charities and not</w:t>
      </w:r>
      <w:r>
        <w:noBreakHyphen/>
        <w:t>for</w:t>
      </w:r>
      <w:r>
        <w:noBreakHyphen/>
        <w:t>profits (section 114(3)(g))</w:t>
      </w:r>
      <w:bookmarkEnd w:id="51"/>
      <w:bookmarkEnd w:id="52"/>
      <w:bookmarkEnd w:id="53"/>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in Gazette 6 Mar 2018 p. 710.]</w:t>
      </w:r>
    </w:p>
    <w:p>
      <w:pPr>
        <w:pStyle w:val="Heading5"/>
        <w:spacing w:before="180"/>
      </w:pPr>
      <w:bookmarkStart w:id="54" w:name="_Toc516571726"/>
      <w:r>
        <w:rPr>
          <w:rStyle w:val="CharSectno"/>
        </w:rPr>
        <w:t>13</w:t>
      </w:r>
      <w:r>
        <w:t>.</w:t>
      </w:r>
      <w:r>
        <w:tab/>
        <w:t>Disclosure of information about pastoral lessees (section 114(3)(g))</w:t>
      </w:r>
      <w:bookmarkEnd w:id="47"/>
      <w:bookmarkEnd w:id="54"/>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in Gazette 15 May 2009 p. 1642.]</w:t>
      </w:r>
    </w:p>
    <w:p>
      <w:pPr>
        <w:pStyle w:val="Heading5"/>
        <w:spacing w:before="240"/>
      </w:pPr>
      <w:bookmarkStart w:id="55" w:name="_Toc408482393"/>
      <w:bookmarkStart w:id="56" w:name="_Toc516571727"/>
      <w:r>
        <w:rPr>
          <w:rStyle w:val="CharSectno"/>
        </w:rPr>
        <w:t>14A</w:t>
      </w:r>
      <w:r>
        <w:t>.</w:t>
      </w:r>
      <w:r>
        <w:tab/>
        <w:t>Disclosure of information about settlement agents (section 114)</w:t>
      </w:r>
      <w:bookmarkEnd w:id="55"/>
      <w:bookmarkEnd w:id="56"/>
    </w:p>
    <w:p>
      <w:pPr>
        <w:pStyle w:val="Subsection"/>
        <w:spacing w:before="180"/>
      </w:pPr>
      <w:r>
        <w:tab/>
        <w:t>(1)</w:t>
      </w:r>
      <w:r>
        <w:tab/>
        <w:t xml:space="preserve">In this regulation — </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pPr>
      <w:r>
        <w:tab/>
      </w:r>
      <w:r>
        <w:tab/>
        <w:t xml:space="preserve">the Commissioner may, under section 114(3)(g) of the Act, disclose information relating to that failure to the person for the time being designated as the Commissioner under the </w:t>
      </w:r>
      <w:r>
        <w:rPr>
          <w:i/>
        </w:rPr>
        <w:t>Fair Trading Act 2010</w:t>
      </w:r>
      <w:r>
        <w:t xml:space="preserve"> section 55.</w:t>
      </w:r>
    </w:p>
    <w:p>
      <w:pPr>
        <w:pStyle w:val="Footnotesection"/>
      </w:pPr>
      <w:r>
        <w:tab/>
        <w:t>[Regulation 14A inserted in Gazette 22 Jul 2008 p. 3355</w:t>
      </w:r>
      <w:r>
        <w:noBreakHyphen/>
        <w:t>6; amended in Gazette 5 Jun 2015 p. 1977.]</w:t>
      </w:r>
    </w:p>
    <w:p>
      <w:pPr>
        <w:pStyle w:val="Heading5"/>
      </w:pPr>
      <w:bookmarkStart w:id="57" w:name="_Toc408482394"/>
      <w:bookmarkStart w:id="58" w:name="_Toc516571728"/>
      <w:r>
        <w:rPr>
          <w:rStyle w:val="CharSectno"/>
        </w:rPr>
        <w:t>14</w:t>
      </w:r>
      <w:r>
        <w:t>.</w:t>
      </w:r>
      <w:r>
        <w:tab/>
        <w:t>Service on Commissioner (section 115)</w:t>
      </w:r>
      <w:bookmarkEnd w:id="57"/>
      <w:bookmarkEnd w:id="58"/>
    </w:p>
    <w:p>
      <w:pPr>
        <w:pStyle w:val="Ednotesubsection"/>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in Gazette 15 May 2009 p. 1642-3; 18 Dec 2012 p. 6598; 5 Jun 2015 p. 1977; 13 Dec 2016 p. 5634; 12 Jun 2018 p. 1901.]</w:t>
      </w:r>
    </w:p>
    <w:p>
      <w:pPr>
        <w:pStyle w:val="Heading5"/>
      </w:pPr>
      <w:bookmarkStart w:id="59" w:name="_Toc408482395"/>
      <w:bookmarkStart w:id="60" w:name="_Toc516571729"/>
      <w:r>
        <w:rPr>
          <w:rStyle w:val="CharSectno"/>
        </w:rPr>
        <w:t>15</w:t>
      </w:r>
      <w:r>
        <w:t>.</w:t>
      </w:r>
      <w:r>
        <w:tab/>
        <w:t>Prescription of Commissioner as State taxation officer</w:t>
      </w:r>
      <w:bookmarkEnd w:id="59"/>
      <w:bookmarkEnd w:id="60"/>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 w:name="_Toc408482396"/>
      <w:bookmarkStart w:id="62" w:name="_Toc417464582"/>
      <w:bookmarkStart w:id="63" w:name="_Toc417656667"/>
      <w:bookmarkStart w:id="64" w:name="_Toc421265595"/>
      <w:bookmarkStart w:id="65" w:name="_Toc421536755"/>
      <w:bookmarkStart w:id="66" w:name="_Toc421536795"/>
      <w:bookmarkStart w:id="67" w:name="_Toc421536955"/>
      <w:bookmarkStart w:id="68" w:name="_Toc423505599"/>
      <w:bookmarkStart w:id="69" w:name="_Toc423505626"/>
      <w:bookmarkStart w:id="70" w:name="_Toc439167812"/>
      <w:bookmarkStart w:id="71" w:name="_Toc455137830"/>
      <w:bookmarkStart w:id="72" w:name="_Toc469407571"/>
      <w:bookmarkStart w:id="73" w:name="_Toc486430060"/>
      <w:bookmarkStart w:id="74" w:name="_Toc486430089"/>
      <w:bookmarkStart w:id="75" w:name="_Toc508092206"/>
      <w:bookmarkStart w:id="76" w:name="_Toc516571730"/>
      <w:r>
        <w:t>Notes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7" w:name="_Toc408482397"/>
      <w:bookmarkStart w:id="78" w:name="_Toc516571731"/>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c>
          <w:tcPr>
            <w:tcW w:w="3119" w:type="dxa"/>
          </w:tcPr>
          <w:p>
            <w:pPr>
              <w:pStyle w:val="nTable"/>
              <w:spacing w:after="40"/>
              <w:rPr>
                <w:i/>
                <w:noProof/>
                <w:snapToGrid w:val="0"/>
              </w:rPr>
            </w:pPr>
            <w:r>
              <w:rPr>
                <w:i/>
                <w:noProof/>
                <w:snapToGrid w:val="0"/>
              </w:rPr>
              <w:t>Taxation Administration Amendment Regulations 2009</w:t>
            </w:r>
          </w:p>
        </w:tc>
        <w:tc>
          <w:tcPr>
            <w:tcW w:w="1276" w:type="dxa"/>
          </w:tcPr>
          <w:p>
            <w:pPr>
              <w:pStyle w:val="nTable"/>
              <w:spacing w:after="40"/>
            </w:pPr>
            <w:r>
              <w:t>15 May 2009 p. 1639-43</w:t>
            </w:r>
          </w:p>
        </w:tc>
        <w:tc>
          <w:tcPr>
            <w:tcW w:w="2693" w:type="dxa"/>
          </w:tcPr>
          <w:p>
            <w:pPr>
              <w:pStyle w:val="nTable"/>
              <w:spacing w:after="40"/>
            </w:pPr>
            <w:r>
              <w:t>r. 1 and 2: 15 May 2009 (see r. 2(a));</w:t>
            </w:r>
            <w:r>
              <w:br/>
              <w:t>Regulations other than r. 1 and 2: 16 May 2009 (see r. 2(b))</w:t>
            </w:r>
          </w:p>
        </w:tc>
      </w:tr>
      <w:tr>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c>
          <w:tcPr>
            <w:tcW w:w="3119" w:type="dxa"/>
            <w:shd w:val="clear" w:color="auto" w:fill="auto"/>
          </w:tcPr>
          <w:p>
            <w:pPr>
              <w:pStyle w:val="nTable"/>
              <w:spacing w:after="40"/>
              <w:rPr>
                <w:i/>
              </w:rPr>
            </w:pPr>
            <w:r>
              <w:rPr>
                <w:i/>
              </w:rPr>
              <w:t>Taxation Administration Amendment Regulations (No. 2) 2015</w:t>
            </w:r>
          </w:p>
        </w:tc>
        <w:tc>
          <w:tcPr>
            <w:tcW w:w="1276" w:type="dxa"/>
            <w:shd w:val="clear" w:color="auto" w:fill="auto"/>
          </w:tcPr>
          <w:p>
            <w:pPr>
              <w:pStyle w:val="nTable"/>
              <w:spacing w:after="40"/>
            </w:pPr>
            <w:r>
              <w:t>26 Jun 2015 p. 2279</w:t>
            </w:r>
            <w:r>
              <w:noBreakHyphen/>
              <w:t>80</w:t>
            </w:r>
          </w:p>
        </w:tc>
        <w:tc>
          <w:tcPr>
            <w:tcW w:w="2693" w:type="dxa"/>
            <w:shd w:val="clear" w:color="auto" w:fill="auto"/>
          </w:tcPr>
          <w:p>
            <w:pPr>
              <w:pStyle w:val="nTable"/>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pPr>
            <w:r>
              <w:rPr>
                <w:i/>
              </w:rPr>
              <w:t xml:space="preserve">Taxation Administration Amendment Regulations (No. 3) 2015 </w:t>
            </w:r>
          </w:p>
        </w:tc>
        <w:tc>
          <w:tcPr>
            <w:tcW w:w="1276" w:type="dxa"/>
            <w:tcBorders>
              <w:top w:val="nil"/>
              <w:bottom w:val="nil"/>
            </w:tcBorders>
          </w:tcPr>
          <w:p>
            <w:pPr>
              <w:pStyle w:val="nTable"/>
              <w:keepNext/>
              <w:spacing w:after="40"/>
            </w:pPr>
            <w:r>
              <w:t>11 Dec 2015 p. 4962-3</w:t>
            </w:r>
          </w:p>
        </w:tc>
        <w:tc>
          <w:tcPr>
            <w:tcW w:w="2693" w:type="dxa"/>
            <w:tcBorders>
              <w:top w:val="nil"/>
              <w:bottom w:val="nil"/>
            </w:tcBorders>
          </w:tcPr>
          <w:p>
            <w:pPr>
              <w:pStyle w:val="nTable"/>
              <w:keepNext/>
              <w:spacing w:after="40"/>
            </w:pPr>
            <w:r>
              <w:t xml:space="preserve">r. 1 and 2: 11 Dec 2015 </w:t>
            </w:r>
            <w:r>
              <w:rPr>
                <w:bCs/>
                <w:snapToGrid w:val="0"/>
                <w:spacing w:val="-2"/>
              </w:rPr>
              <w:t>(see r. 2(a));</w:t>
            </w:r>
            <w:r>
              <w:br/>
              <w:t>Regulations other than r. 1 and 2: 1 Jan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2016</w:t>
            </w:r>
          </w:p>
        </w:tc>
        <w:tc>
          <w:tcPr>
            <w:tcW w:w="1276" w:type="dxa"/>
            <w:tcBorders>
              <w:top w:val="nil"/>
              <w:bottom w:val="nil"/>
            </w:tcBorders>
          </w:tcPr>
          <w:p>
            <w:pPr>
              <w:pStyle w:val="nTable"/>
              <w:keepNext/>
              <w:spacing w:after="40"/>
            </w:pPr>
            <w:r>
              <w:t>24 Jun 2016 p. 2344</w:t>
            </w:r>
            <w:r>
              <w:noBreakHyphen/>
              <w:t>5</w:t>
            </w:r>
          </w:p>
        </w:tc>
        <w:tc>
          <w:tcPr>
            <w:tcW w:w="2693" w:type="dxa"/>
            <w:tcBorders>
              <w:top w:val="nil"/>
              <w:bottom w:val="nil"/>
            </w:tcBorders>
          </w:tcPr>
          <w:p>
            <w:pPr>
              <w:pStyle w:val="nTable"/>
              <w:keepNext/>
              <w:spacing w:after="40"/>
            </w:pPr>
            <w:r>
              <w:t>r. 1 and 2: 24 Jun 2016</w:t>
            </w:r>
            <w:r>
              <w:rPr>
                <w:bCs/>
                <w:snapToGrid w:val="0"/>
                <w:spacing w:val="-2"/>
              </w:rPr>
              <w:t xml:space="preserve"> (see r. 2(a));</w:t>
            </w:r>
            <w:r>
              <w:br/>
              <w:t>Regulations other than r. 1 and 2: 1 Jul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(No. 2) 2016</w:t>
            </w:r>
          </w:p>
        </w:tc>
        <w:tc>
          <w:tcPr>
            <w:tcW w:w="1276" w:type="dxa"/>
            <w:tcBorders>
              <w:top w:val="nil"/>
              <w:bottom w:val="nil"/>
            </w:tcBorders>
          </w:tcPr>
          <w:p>
            <w:pPr>
              <w:pStyle w:val="nTable"/>
              <w:keepNext/>
              <w:spacing w:after="40"/>
            </w:pPr>
            <w:r>
              <w:t>13 Dec 2016 p. 5634</w:t>
            </w:r>
          </w:p>
        </w:tc>
        <w:tc>
          <w:tcPr>
            <w:tcW w:w="2693" w:type="dxa"/>
            <w:tcBorders>
              <w:top w:val="nil"/>
              <w:bottom w:val="nil"/>
            </w:tcBorders>
          </w:tcPr>
          <w:p>
            <w:pPr>
              <w:pStyle w:val="nTable"/>
              <w:keepNext/>
              <w:spacing w:after="40"/>
            </w:pPr>
            <w:r>
              <w:t>r. 1 and 2: 13 Dec 2016</w:t>
            </w:r>
            <w:r>
              <w:rPr>
                <w:bCs/>
                <w:snapToGrid w:val="0"/>
                <w:spacing w:val="-2"/>
              </w:rPr>
              <w:t xml:space="preserve"> (see r. 2(a));</w:t>
            </w:r>
            <w:r>
              <w:br/>
              <w:t>Regulations other than r. 1 and 2: 14 Dec 2016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2017</w:t>
            </w:r>
          </w:p>
        </w:tc>
        <w:tc>
          <w:tcPr>
            <w:tcW w:w="1276" w:type="dxa"/>
            <w:tcBorders>
              <w:top w:val="nil"/>
              <w:bottom w:val="nil"/>
            </w:tcBorders>
          </w:tcPr>
          <w:p>
            <w:pPr>
              <w:pStyle w:val="nTable"/>
              <w:keepNext/>
              <w:spacing w:after="40"/>
            </w:pPr>
            <w:r>
              <w:t>27 Jun 2017 p. 3450</w:t>
            </w:r>
            <w:r>
              <w:noBreakHyphen/>
              <w:t>1</w:t>
            </w:r>
          </w:p>
        </w:tc>
        <w:tc>
          <w:tcPr>
            <w:tcW w:w="2693" w:type="dxa"/>
            <w:tcBorders>
              <w:top w:val="nil"/>
              <w:bottom w:val="nil"/>
            </w:tcBorders>
          </w:tcPr>
          <w:p>
            <w:pPr>
              <w:pStyle w:val="nTable"/>
              <w:keepNext/>
              <w:spacing w:after="40"/>
            </w:pPr>
            <w:r>
              <w:t>r. 1 and 2: 27 Jun 2017</w:t>
            </w:r>
            <w:r>
              <w:rPr>
                <w:bCs/>
                <w:snapToGrid w:val="0"/>
                <w:spacing w:val="-2"/>
              </w:rPr>
              <w:t xml:space="preserve"> (see r. 2(a));</w:t>
            </w:r>
            <w:r>
              <w:br/>
              <w:t>Regulations other than r. 1 and 2: 1 Jul 2017 (see r. 2(b))</w:t>
            </w:r>
          </w:p>
        </w:tc>
      </w:tr>
      <w:tr>
        <w:tblPrEx>
          <w:tblBorders>
            <w:top w:val="single" w:sz="8" w:space="0" w:color="auto"/>
            <w:bottom w:val="single" w:sz="4" w:space="0" w:color="auto"/>
            <w:insideH w:val="single" w:sz="8" w:space="0" w:color="auto"/>
          </w:tblBorders>
        </w:tblPrEx>
        <w:tc>
          <w:tcPr>
            <w:tcW w:w="3119" w:type="dxa"/>
            <w:tcBorders>
              <w:top w:val="nil"/>
              <w:bottom w:val="nil"/>
            </w:tcBorders>
          </w:tcPr>
          <w:p>
            <w:pPr>
              <w:pStyle w:val="nTable"/>
              <w:keepNext/>
              <w:spacing w:after="40"/>
              <w:rPr>
                <w:i/>
              </w:rPr>
            </w:pPr>
            <w:r>
              <w:rPr>
                <w:i/>
              </w:rPr>
              <w:t>Taxation Administration Amendment Regulations 2018</w:t>
            </w:r>
          </w:p>
        </w:tc>
        <w:tc>
          <w:tcPr>
            <w:tcW w:w="1276" w:type="dxa"/>
            <w:tcBorders>
              <w:top w:val="nil"/>
              <w:bottom w:val="nil"/>
            </w:tcBorders>
          </w:tcPr>
          <w:p>
            <w:pPr>
              <w:pStyle w:val="nTable"/>
              <w:keepNext/>
              <w:spacing w:after="40"/>
            </w:pPr>
            <w:r>
              <w:t>6 Mar 2018 p. 709</w:t>
            </w:r>
            <w:r>
              <w:noBreakHyphen/>
              <w:t>10</w:t>
            </w:r>
          </w:p>
        </w:tc>
        <w:tc>
          <w:tcPr>
            <w:tcW w:w="2693" w:type="dxa"/>
            <w:tcBorders>
              <w:top w:val="nil"/>
              <w:bottom w:val="nil"/>
            </w:tcBorders>
          </w:tcPr>
          <w:p>
            <w:pPr>
              <w:pStyle w:val="nTable"/>
              <w:keepNext/>
              <w:spacing w:after="40"/>
            </w:pPr>
            <w:r>
              <w:t>r. 1 and 2: 6 Mar 2018</w:t>
            </w:r>
            <w:r>
              <w:rPr>
                <w:bCs/>
                <w:snapToGrid w:val="0"/>
                <w:spacing w:val="-2"/>
              </w:rPr>
              <w:t xml:space="preserve"> (see r. 2(a));</w:t>
            </w:r>
            <w:r>
              <w:br/>
              <w:t>Regulations other than r. 1 and 2: 7 Mar 2018 (see r. 2(b))</w:t>
            </w:r>
          </w:p>
        </w:tc>
      </w:tr>
      <w:tr>
        <w:tblPrEx>
          <w:tblBorders>
            <w:top w:val="single" w:sz="8" w:space="0" w:color="auto"/>
            <w:bottom w:val="single" w:sz="4" w:space="0" w:color="auto"/>
            <w:insideH w:val="single" w:sz="8" w:space="0" w:color="auto"/>
          </w:tblBorders>
        </w:tblPrEx>
        <w:tc>
          <w:tcPr>
            <w:tcW w:w="3119" w:type="dxa"/>
            <w:tcBorders>
              <w:top w:val="nil"/>
              <w:bottom w:val="single" w:sz="4" w:space="0" w:color="auto"/>
            </w:tcBorders>
          </w:tcPr>
          <w:p>
            <w:pPr>
              <w:pStyle w:val="nTable"/>
              <w:keepNext/>
              <w:spacing w:after="40"/>
            </w:pPr>
            <w:r>
              <w:rPr>
                <w:i/>
              </w:rPr>
              <w:t xml:space="preserve">Taxation Administration Amendment Regulations (No. 2) 2018 </w:t>
            </w:r>
            <w:r>
              <w:t>(other than r. 4)</w:t>
            </w:r>
          </w:p>
        </w:tc>
        <w:tc>
          <w:tcPr>
            <w:tcW w:w="1276" w:type="dxa"/>
            <w:tcBorders>
              <w:top w:val="nil"/>
              <w:bottom w:val="single" w:sz="4" w:space="0" w:color="auto"/>
            </w:tcBorders>
          </w:tcPr>
          <w:p>
            <w:pPr>
              <w:pStyle w:val="nTable"/>
              <w:keepNext/>
              <w:spacing w:after="40"/>
            </w:pPr>
            <w:r>
              <w:t>12 Jun 2018 p. 1901</w:t>
            </w:r>
          </w:p>
        </w:tc>
        <w:tc>
          <w:tcPr>
            <w:tcW w:w="2693" w:type="dxa"/>
            <w:tcBorders>
              <w:top w:val="nil"/>
              <w:bottom w:val="single" w:sz="4" w:space="0" w:color="auto"/>
            </w:tcBorders>
          </w:tcPr>
          <w:p>
            <w:pPr>
              <w:pStyle w:val="nTable"/>
              <w:keepNext/>
              <w:spacing w:after="40"/>
            </w:pPr>
            <w:r>
              <w:t>r. 1 and 2: 12 Jun 2018</w:t>
            </w:r>
            <w:r>
              <w:rPr>
                <w:bCs/>
                <w:snapToGrid w:val="0"/>
                <w:spacing w:val="-2"/>
              </w:rPr>
              <w:t xml:space="preserve"> (see r. 2(a));</w:t>
            </w:r>
            <w:r>
              <w:br/>
              <w:t>Regulations other than r. 1, 2 and 4: 13 Jun 2018 (see r. 2(c))</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 w:name="_Toc516571732"/>
      <w:r>
        <w:t>Provisions that have not come into operation</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Taxation Administration Amendment Regulations (No. 2) 2018</w:t>
            </w:r>
            <w:r>
              <w:t xml:space="preserve"> r. 4</w:t>
            </w:r>
            <w:r>
              <w:rPr>
                <w:vertAlign w:val="superscript"/>
              </w:rPr>
              <w:t> 5</w:t>
            </w:r>
          </w:p>
        </w:tc>
        <w:tc>
          <w:tcPr>
            <w:tcW w:w="1276" w:type="dxa"/>
          </w:tcPr>
          <w:p>
            <w:pPr>
              <w:pStyle w:val="nTable"/>
              <w:spacing w:after="40"/>
            </w:pPr>
            <w:r>
              <w:t>12 Jun 2018 p. 1901</w:t>
            </w:r>
          </w:p>
        </w:tc>
        <w:tc>
          <w:tcPr>
            <w:tcW w:w="2693" w:type="dxa"/>
          </w:tcPr>
          <w:p>
            <w:pPr>
              <w:pStyle w:val="nTable"/>
              <w:spacing w:after="40"/>
            </w:pPr>
            <w:r>
              <w:t>1 Jul 2018 (see r. 2(b))</w:t>
            </w:r>
          </w:p>
        </w:tc>
      </w:tr>
    </w:tbl>
    <w:p>
      <w:pPr>
        <w:tabs>
          <w:tab w:val="left" w:pos="454"/>
        </w:tabs>
        <w:spacing w:before="160"/>
        <w:ind w:left="454" w:hanging="454"/>
        <w:rPr>
          <w:sz w:val="20"/>
        </w:rPr>
      </w:pPr>
      <w:r>
        <w:rPr>
          <w:sz w:val="20"/>
          <w:vertAlign w:val="superscript"/>
        </w:rPr>
        <w:t>1M</w:t>
      </w:r>
      <w:r>
        <w:rPr>
          <w:sz w:val="20"/>
        </w:rPr>
        <w:tab/>
        <w:t xml:space="preserve">Under the </w:t>
      </w:r>
      <w:r>
        <w:rPr>
          <w:i/>
          <w:iCs/>
          <w:sz w:val="20"/>
        </w:rPr>
        <w:t>Commonwealth Places (Mirror Taxes Administration) Act 1999</w:t>
      </w:r>
      <w:r>
        <w:rPr>
          <w:sz w:val="20"/>
        </w:rPr>
        <w:t xml:space="preserve"> s. 7, modifications to State taxing laws may be prescribed. Modifications are prescribed in the </w:t>
      </w:r>
      <w:r>
        <w:rPr>
          <w:i/>
          <w:iCs/>
          <w:sz w:val="20"/>
        </w:rPr>
        <w:t>Commonwealth Places (Mirror Taxes Administration) Regulations 2007</w:t>
      </w:r>
      <w:r>
        <w:rPr>
          <w:sz w:val="20"/>
        </w:rPr>
        <w:t xml:space="preserve">. If a modification is to replace or insert a numbered provision, the new provision is identified by the superscript 1M appearing after the provision number. </w:t>
      </w:r>
    </w:p>
    <w:p>
      <w:pPr>
        <w:tabs>
          <w:tab w:val="left" w:pos="454"/>
        </w:tabs>
        <w:spacing w:before="80"/>
        <w:ind w:left="454" w:hanging="454"/>
        <w:rPr>
          <w:sz w:val="20"/>
        </w:rPr>
      </w:pPr>
      <w:r>
        <w:rPr>
          <w:sz w:val="20"/>
          <w:vertAlign w:val="superscript"/>
        </w:rPr>
        <w:t>1MC</w:t>
      </w:r>
      <w:r>
        <w:rPr>
          <w:sz w:val="20"/>
          <w:vertAlign w:val="superscript"/>
        </w:rPr>
        <w:tab/>
      </w:r>
      <w:r>
        <w:rPr>
          <w:sz w:val="20"/>
        </w:rPr>
        <w:t xml:space="preserve">Under the </w:t>
      </w:r>
      <w:r>
        <w:rPr>
          <w:i/>
          <w:iCs/>
          <w:sz w:val="20"/>
        </w:rPr>
        <w:t>Commonwealth Places (Mirror Taxes) Act 1998</w:t>
      </w:r>
      <w:r>
        <w:rPr>
          <w:sz w:val="20"/>
        </w:rPr>
        <w:t xml:space="preserve"> (Commonwealth) s. 8, modifications to State taxing laws, in their application as Commonwealth laws in Commonwealth places in Western Australia, may be prescribed. Modifications are prescribed in the </w:t>
      </w:r>
      <w:r>
        <w:rPr>
          <w:i/>
          <w:iCs/>
          <w:sz w:val="20"/>
        </w:rPr>
        <w:t>Commonwealth Places (Mirror Taxes) (Modifications of Applied Laws (WA)) Notice 2007</w:t>
      </w:r>
      <w:r>
        <w:rPr>
          <w:iCs/>
          <w:sz w:val="20"/>
        </w:rPr>
        <w:t xml:space="preserve"> (Commonwealth)</w:t>
      </w:r>
      <w:r>
        <w:rPr>
          <w:sz w:val="20"/>
        </w:rPr>
        <w:t xml:space="preserve">. If a modification is to replace or insert a numbered provision, the new provision is identified by the superscript 1MC appearing after the provision number. </w:t>
      </w:r>
    </w:p>
    <w:p>
      <w:pPr>
        <w:pStyle w:val="nSubsection"/>
      </w:pPr>
      <w:r>
        <w:rPr>
          <w:vertAlign w:val="superscript"/>
        </w:rPr>
        <w:t>2</w:t>
      </w:r>
      <w:r>
        <w:rPr>
          <w:vertAlign w:val="superscript"/>
        </w:rPr>
        <w:tab/>
      </w:r>
      <w:r>
        <w:t xml:space="preserve">Under the </w:t>
      </w:r>
      <w:r>
        <w:rPr>
          <w:i/>
        </w:rPr>
        <w:t>Settlement Agents Act 1981</w:t>
      </w:r>
      <w:r>
        <w:t xml:space="preserve"> s. 126, a reference to the Settlement Agents Supervisory Board may, where the context so requires, be read as if it had been amended to be a reference to the Commissioner. </w:t>
      </w:r>
    </w:p>
    <w:p>
      <w:pPr>
        <w:pStyle w:val="nSubsection"/>
      </w:pPr>
      <w:r>
        <w:tab/>
        <w:t xml:space="preserve">Under the </w:t>
      </w:r>
      <w:r>
        <w:rPr>
          <w:i/>
        </w:rPr>
        <w:t>Settlement Agents Act 1981</w:t>
      </w:r>
      <w:r>
        <w:t xml:space="preserve"> s. 3(1) </w:t>
      </w:r>
      <w:r>
        <w:rPr>
          <w:rStyle w:val="CharDefText"/>
        </w:rPr>
        <w:t>Commissioner</w:t>
      </w:r>
      <w:r>
        <w:t xml:space="preserve"> has the meaning given in the </w:t>
      </w:r>
      <w:r>
        <w:rPr>
          <w:i/>
          <w:iCs/>
        </w:rPr>
        <w:t>Fair Trading Act 2010</w:t>
      </w:r>
      <w:r>
        <w:t xml:space="preserve"> s. 6.</w:t>
      </w:r>
    </w:p>
    <w:p>
      <w:pPr>
        <w:pStyle w:val="nSubsection"/>
      </w:pPr>
      <w:r>
        <w:rPr>
          <w:vertAlign w:val="superscript"/>
        </w:rPr>
        <w:t>3</w:t>
      </w:r>
      <w:r>
        <w:rPr>
          <w:vertAlign w:val="superscript"/>
        </w:rPr>
        <w:tab/>
      </w:r>
      <w:r>
        <w:t xml:space="preserve">The </w:t>
      </w:r>
      <w:r>
        <w:rPr>
          <w:i/>
        </w:rPr>
        <w:t>Settlement Agents Act 1981</w:t>
      </w:r>
      <w:r>
        <w:t xml:space="preserve"> s. 6 was deleted by the</w:t>
      </w:r>
      <w:r>
        <w:rPr>
          <w:i/>
          <w:noProof/>
          <w:snapToGrid w:val="0"/>
        </w:rPr>
        <w:t xml:space="preserve"> Acts Amendment (Fair Trading) Act 2010</w:t>
      </w:r>
      <w:r>
        <w:rPr>
          <w:iCs/>
          <w:noProof/>
          <w:snapToGrid w:val="0"/>
        </w:rPr>
        <w:t xml:space="preserve"> </w:t>
      </w:r>
      <w:r>
        <w:t>s. 137(2).</w:t>
      </w:r>
    </w:p>
    <w:p>
      <w:pPr>
        <w:pStyle w:val="nSubsection"/>
      </w:pPr>
      <w:r>
        <w:rPr>
          <w:vertAlign w:val="superscript"/>
        </w:rPr>
        <w:t>4</w:t>
      </w:r>
      <w:r>
        <w:rPr>
          <w:vertAlign w:val="superscript"/>
        </w:rPr>
        <w:tab/>
      </w:r>
      <w:r>
        <w:t xml:space="preserve">Under the </w:t>
      </w:r>
      <w:r>
        <w:rPr>
          <w:i/>
        </w:rPr>
        <w:t>Settlement Agents Act 1981</w:t>
      </w:r>
      <w:r>
        <w:t xml:space="preserve"> s. 129(1), a reference to the Registrar may where the context so requires, be read as if it had been amended to be a reference to the Commissioner. See note 2 as to the meaning of Commissioner.</w:t>
      </w:r>
    </w:p>
    <w:p>
      <w:pPr>
        <w:pStyle w:val="nSubsection"/>
      </w:pPr>
      <w:bookmarkStart w:id="80" w:name="Start_Cursor"/>
      <w:bookmarkEnd w:id="80"/>
      <w:r>
        <w:rPr>
          <w:vertAlign w:val="superscript"/>
        </w:rPr>
        <w:t>5</w:t>
      </w:r>
      <w:r>
        <w:tab/>
        <w:t xml:space="preserve">On the date as at which this compilation was prepared, the </w:t>
      </w:r>
      <w:r>
        <w:rPr>
          <w:i/>
        </w:rPr>
        <w:t>Taxation Administration Amendment Regulations (No. 2) 2018</w:t>
      </w:r>
      <w:r>
        <w:t xml:space="preserve"> r. 4 had not come into operation. It reads as follows:</w:t>
      </w:r>
    </w:p>
    <w:p>
      <w:pPr>
        <w:pStyle w:val="BlankOpen"/>
      </w:pPr>
    </w:p>
    <w:p>
      <w:pPr>
        <w:pStyle w:val="nzHeading5"/>
      </w:pPr>
      <w:bookmarkStart w:id="81" w:name="_Toc513722451"/>
      <w:bookmarkStart w:id="82" w:name="_Toc513722573"/>
      <w:r>
        <w:rPr>
          <w:rStyle w:val="CharSectno"/>
        </w:rPr>
        <w:t>4</w:t>
      </w:r>
      <w:r>
        <w:t>.</w:t>
      </w:r>
      <w:r>
        <w:tab/>
        <w:t>Regulation 8 amended</w:t>
      </w:r>
      <w:bookmarkEnd w:id="81"/>
      <w:bookmarkEnd w:id="82"/>
    </w:p>
    <w:p>
      <w:pPr>
        <w:pStyle w:val="nzSubsection"/>
      </w:pPr>
      <w:r>
        <w:tab/>
      </w:r>
      <w:r>
        <w:tab/>
        <w:t>In regulation 8 delete “$39.60.” and insert:</w:t>
      </w:r>
    </w:p>
    <w:p>
      <w:pPr>
        <w:pStyle w:val="BlankOpen"/>
      </w:pPr>
    </w:p>
    <w:p>
      <w:pPr>
        <w:pStyle w:val="nzSubsection"/>
      </w:pPr>
      <w:r>
        <w:tab/>
      </w:r>
      <w:r>
        <w:tab/>
        <w:t>$50.35.</w:t>
      </w:r>
    </w:p>
    <w:p>
      <w:pPr>
        <w:pStyle w:val="BlankClose"/>
      </w:pPr>
    </w:p>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4" w:name="_Toc508092208"/>
      <w:bookmarkStart w:id="85" w:name="_Toc516571733"/>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w:t>
      </w:r>
      <w:r>
        <w:tab/>
        <w:t>15</w:t>
      </w:r>
    </w:p>
    <w:p>
      <w:pPr>
        <w:pStyle w:val="DefinedTerms"/>
      </w:pPr>
      <w:r>
        <w:t>corresponding law</w:t>
      </w:r>
      <w:r>
        <w:tab/>
        <w:t>13E(1)</w:t>
      </w:r>
    </w:p>
    <w:p>
      <w:pPr>
        <w:pStyle w:val="DefinedTerms"/>
      </w:pPr>
      <w:r>
        <w:t>duty</w:t>
      </w:r>
      <w:r>
        <w:tab/>
        <w:t>5A(3), 13C(1)</w:t>
      </w:r>
    </w:p>
    <w:p>
      <w:pPr>
        <w:pStyle w:val="DefinedTerms"/>
      </w:pPr>
      <w:r>
        <w:t>employer</w:t>
      </w:r>
      <w:r>
        <w:tab/>
        <w:t>13G(1)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settlement agent</w:t>
      </w:r>
      <w:r>
        <w:tab/>
        <w:t>14A(1)</w:t>
      </w:r>
    </w:p>
    <w:p>
      <w:pPr>
        <w:pStyle w:val="DefinedTerms"/>
      </w:pPr>
      <w:r>
        <w:t>STR arrangement</w:t>
      </w:r>
      <w:r>
        <w:tab/>
        <w:t>14A(1)</w:t>
      </w:r>
    </w:p>
    <w:p>
      <w:pPr>
        <w:pStyle w:val="DefinedTerms"/>
      </w:pPr>
      <w:r>
        <w:t>wages</w:t>
      </w:r>
      <w:r>
        <w:tab/>
        <w:t>13G(1)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98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0854"/>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98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4274</Words>
  <Characters>21289</Characters>
  <Application>Microsoft Office Word</Application>
  <DocSecurity>0</DocSecurity>
  <Lines>709</Lines>
  <Paragraphs>393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2003 - 03-l0-00</dc:title>
  <dc:subject/>
  <dc:creator/>
  <cp:keywords/>
  <dc:description/>
  <cp:lastModifiedBy>svcMRProcess</cp:lastModifiedBy>
  <cp:revision>4</cp:revision>
  <cp:lastPrinted>2018-06-12T07:49:00Z</cp:lastPrinted>
  <dcterms:created xsi:type="dcterms:W3CDTF">2018-06-12T08:15:00Z</dcterms:created>
  <dcterms:modified xsi:type="dcterms:W3CDTF">2018-06-12T08:15:00Z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13 Jun 2018</vt:lpwstr>
  </property>
  <property fmtid="{D5CDD505-2E9C-101B-9397-08002B2CF9AE}" pid="8" name="Suffix">
    <vt:lpwstr>03-l0-00</vt:lpwstr>
  </property>
  <property fmtid="{D5CDD505-2E9C-101B-9397-08002B2CF9AE}" pid="9" name="CommencementDate">
    <vt:lpwstr>20180613</vt:lpwstr>
  </property>
</Properties>
</file>