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_Toc516819514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_Toc516819515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_Toc516819516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_Toc516819517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_Toc516819518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_Toc516819519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_Toc516819520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_Toc516819521 \h </w:instrText>
      </w:r>
      <w:r>
        <w:fldChar w:fldCharType="separate"/>
      </w:r>
      <w:r>
        <w:t>5</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_Toc516819522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_Toc516819523 \h </w:instrText>
      </w:r>
      <w:r>
        <w:fldChar w:fldCharType="separate"/>
      </w:r>
      <w:r>
        <w:t>7</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_Toc516819524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_Toc516819525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_Toc516819526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_Toc516819527 \h </w:instrText>
      </w:r>
      <w:r>
        <w:fldChar w:fldCharType="separate"/>
      </w:r>
      <w:r>
        <w:t>10</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_Toc516819528 \h </w:instrText>
      </w:r>
      <w:r>
        <w:fldChar w:fldCharType="separate"/>
      </w:r>
      <w:r>
        <w:t>10</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_Toc516819529 \h </w:instrText>
      </w:r>
      <w:r>
        <w:fldChar w:fldCharType="separate"/>
      </w:r>
      <w:r>
        <w:t>11</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_Toc516819530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_Toc516819531 \h </w:instrText>
      </w:r>
      <w:r>
        <w:fldChar w:fldCharType="separate"/>
      </w:r>
      <w:r>
        <w:t>12</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_Toc516819532 \h </w:instrText>
      </w:r>
      <w:r>
        <w:fldChar w:fldCharType="separate"/>
      </w:r>
      <w:r>
        <w:t>12</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_Toc516819533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_Toc516819538 \h </w:instrText>
      </w:r>
      <w:r>
        <w:fldChar w:fldCharType="separate"/>
      </w:r>
      <w:r>
        <w:t>34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_Toc516819539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District Court of Western Australia Act 1969</w:t>
      </w:r>
    </w:p>
    <w:p>
      <w:pPr>
        <w:pStyle w:val="NameofActReg"/>
      </w:pPr>
      <w:r>
        <w:t>District Court (Fees) Regulations 2002</w:t>
      </w:r>
    </w:p>
    <w:p>
      <w:pPr>
        <w:pStyle w:val="Heading5"/>
      </w:pPr>
      <w:bookmarkStart w:id="3" w:name="_Toc516819514"/>
      <w:r>
        <w:rPr>
          <w:rStyle w:val="CharSectno"/>
        </w:rPr>
        <w:t>1</w:t>
      </w:r>
      <w:r>
        <w:t>.</w:t>
      </w:r>
      <w:r>
        <w:tab/>
        <w:t>Citation</w:t>
      </w:r>
      <w:bookmarkEnd w:id="3"/>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516819515"/>
      <w:r>
        <w:rPr>
          <w:rStyle w:val="CharSectno"/>
        </w:rPr>
        <w:t>2</w:t>
      </w:r>
      <w:r>
        <w:t>.</w:t>
      </w:r>
      <w:r>
        <w:tab/>
        <w:t>Commencement</w:t>
      </w:r>
      <w:bookmarkEnd w:id="4"/>
    </w:p>
    <w:p>
      <w:pPr>
        <w:pStyle w:val="Subsection"/>
      </w:pPr>
      <w:r>
        <w:tab/>
      </w:r>
      <w:r>
        <w:tab/>
        <w:t>These regulations come into operation on 1 January 2002.</w:t>
      </w:r>
    </w:p>
    <w:p>
      <w:pPr>
        <w:pStyle w:val="Heading5"/>
      </w:pPr>
      <w:bookmarkStart w:id="5" w:name="_Toc516819516"/>
      <w:r>
        <w:rPr>
          <w:rStyle w:val="CharSectno"/>
        </w:rPr>
        <w:t>3</w:t>
      </w:r>
      <w:r>
        <w:rPr>
          <w:snapToGrid w:val="0"/>
        </w:rPr>
        <w:t>.</w:t>
      </w:r>
      <w:r>
        <w:rPr>
          <w:snapToGrid w:val="0"/>
        </w:rPr>
        <w:tab/>
      </w:r>
      <w:r>
        <w:t>Terms used</w:t>
      </w:r>
      <w:bookmarkEnd w:id="5"/>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 14 Jun 2016 p. 1879</w:t>
      </w:r>
      <w:r>
        <w:noBreakHyphen/>
        <w:t>80.]</w:t>
      </w:r>
    </w:p>
    <w:p>
      <w:pPr>
        <w:pStyle w:val="Heading5"/>
        <w:keepNext w:val="0"/>
        <w:keepLines w:val="0"/>
        <w:rPr>
          <w:snapToGrid w:val="0"/>
        </w:rPr>
      </w:pPr>
      <w:bookmarkStart w:id="6" w:name="_Toc516819517"/>
      <w:r>
        <w:rPr>
          <w:rStyle w:val="CharSectno"/>
        </w:rPr>
        <w:t>4</w:t>
      </w:r>
      <w:r>
        <w:rPr>
          <w:snapToGrid w:val="0"/>
        </w:rPr>
        <w:t>.</w:t>
      </w:r>
      <w:r>
        <w:rPr>
          <w:snapToGrid w:val="0"/>
        </w:rPr>
        <w:tab/>
        <w:t>Fees to be charged</w:t>
      </w:r>
      <w:bookmarkEnd w:id="6"/>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in Gazette 30 Dec 2003 p. 5702</w:t>
      </w:r>
      <w:r>
        <w:noBreakHyphen/>
        <w:t>3; 28 Apr 2005 p. 1751; 14 Jun 2016 p. 1880.]</w:t>
      </w:r>
    </w:p>
    <w:p>
      <w:pPr>
        <w:pStyle w:val="Heading5"/>
      </w:pPr>
      <w:bookmarkStart w:id="7" w:name="_Toc516819518"/>
      <w:r>
        <w:rPr>
          <w:rStyle w:val="CharSectno"/>
        </w:rPr>
        <w:t>4A</w:t>
      </w:r>
      <w:r>
        <w:t>.</w:t>
      </w:r>
      <w:r>
        <w:tab/>
        <w:t>Fees for small businesses and non</w:t>
      </w:r>
      <w:r>
        <w:noBreakHyphen/>
        <w:t>profit associations</w:t>
      </w:r>
      <w:bookmarkEnd w:id="7"/>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in Gazette 14 Jun 2016 p. 1881</w:t>
      </w:r>
      <w:r>
        <w:noBreakHyphen/>
        <w:t>2.]</w:t>
      </w:r>
    </w:p>
    <w:p>
      <w:pPr>
        <w:pStyle w:val="Heading5"/>
        <w:rPr>
          <w:snapToGrid w:val="0"/>
        </w:rPr>
      </w:pPr>
      <w:bookmarkStart w:id="8" w:name="_Toc516819519"/>
      <w:r>
        <w:rPr>
          <w:rStyle w:val="CharSectno"/>
        </w:rPr>
        <w:t>5</w:t>
      </w:r>
      <w:r>
        <w:rPr>
          <w:snapToGrid w:val="0"/>
        </w:rPr>
        <w:t>.</w:t>
      </w:r>
      <w:r>
        <w:rPr>
          <w:snapToGrid w:val="0"/>
        </w:rPr>
        <w:tab/>
        <w:t>Exemptions</w:t>
      </w:r>
      <w:bookmarkEnd w:id="8"/>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in Gazette 28 Apr 2005 p. 1751; 27 Mar 2012 p. 1506; 14 Jun 2016 p. 1882.]</w:t>
      </w:r>
    </w:p>
    <w:p>
      <w:pPr>
        <w:pStyle w:val="Heading5"/>
      </w:pPr>
      <w:bookmarkStart w:id="9" w:name="_Toc516819520"/>
      <w:r>
        <w:t>5A.</w:t>
      </w:r>
      <w:r>
        <w:tab/>
        <w:t>Disputes regarding fees</w:t>
      </w:r>
      <w:bookmarkEnd w:id="9"/>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0" w:name="_Toc516819521"/>
      <w:r>
        <w:rPr>
          <w:rStyle w:val="CharSectno"/>
        </w:rPr>
        <w:t>6</w:t>
      </w:r>
      <w:r>
        <w:rPr>
          <w:snapToGrid w:val="0"/>
        </w:rPr>
        <w:t>.</w:t>
      </w:r>
      <w:r>
        <w:rPr>
          <w:snapToGrid w:val="0"/>
        </w:rPr>
        <w:tab/>
      </w:r>
      <w:r>
        <w:rPr>
          <w:rStyle w:val="CharSectno"/>
        </w:rPr>
        <w:t>F</w:t>
      </w:r>
      <w:r>
        <w:rPr>
          <w:snapToGrid w:val="0"/>
        </w:rPr>
        <w:t>ees to be paid before documents etc. filed</w:t>
      </w:r>
      <w:bookmarkEnd w:id="10"/>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in Gazette 14 Jun 2016 p. 1882</w:t>
      </w:r>
      <w:r>
        <w:noBreakHyphen/>
        <w:t>3.]</w:t>
      </w:r>
    </w:p>
    <w:p>
      <w:pPr>
        <w:pStyle w:val="Heading5"/>
      </w:pPr>
      <w:bookmarkStart w:id="11" w:name="_Toc516819522"/>
      <w:r>
        <w:rPr>
          <w:rStyle w:val="CharSectno"/>
        </w:rPr>
        <w:t>7</w:t>
      </w:r>
      <w:r>
        <w:t>.</w:t>
      </w:r>
      <w:r>
        <w:tab/>
        <w:t>Who is an eligible individual or eligible entity</w:t>
      </w:r>
      <w:bookmarkEnd w:id="1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8A(2)(b).</w:t>
      </w:r>
    </w:p>
    <w:p>
      <w:pPr>
        <w:pStyle w:val="Footnotesection"/>
      </w:pPr>
      <w:r>
        <w:tab/>
        <w:t>[Regulation 7 inserted in Gazette 14 Jun 2016 p. 1883</w:t>
      </w:r>
      <w:r>
        <w:noBreakHyphen/>
        <w:t>4.]</w:t>
      </w:r>
    </w:p>
    <w:p>
      <w:pPr>
        <w:pStyle w:val="Heading5"/>
      </w:pPr>
      <w:bookmarkStart w:id="12" w:name="_Toc516819523"/>
      <w:r>
        <w:rPr>
          <w:rStyle w:val="CharSectno"/>
        </w:rPr>
        <w:t>8</w:t>
      </w:r>
      <w:r>
        <w:t>.</w:t>
      </w:r>
      <w:r>
        <w:tab/>
        <w:t>Application to be recognised as eligible individual or eligible entity</w:t>
      </w:r>
      <w:bookmarkEnd w:id="12"/>
    </w:p>
    <w:p>
      <w:pPr>
        <w:pStyle w:val="Subsection"/>
      </w:pPr>
      <w:r>
        <w:tab/>
        <w:t>(1)</w:t>
      </w:r>
      <w:r>
        <w:tab/>
        <w:t xml:space="preserve">A person may apply for — </w:t>
      </w:r>
    </w:p>
    <w:p>
      <w:pPr>
        <w:pStyle w:val="Indenta"/>
      </w:pPr>
      <w:r>
        <w:tab/>
        <w:t>(a)</w:t>
      </w:r>
      <w:r>
        <w:tab/>
        <w:t>a direction under regulation 8A(1) that the person is an eligible individual in respect of a matter referred to in Schedule 1; or</w:t>
      </w:r>
    </w:p>
    <w:p>
      <w:pPr>
        <w:pStyle w:val="Indenta"/>
      </w:pPr>
      <w:r>
        <w:tab/>
        <w:t>(b)</w:t>
      </w:r>
      <w:r>
        <w:tab/>
        <w:t>a direction under regulation 8A(2) that the person is an eligible entity in respect of a matter referred to in Schedule 1.</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in Gazette 14 Jun 2016 p. 1884</w:t>
      </w:r>
      <w:r>
        <w:noBreakHyphen/>
        <w:t>5.]</w:t>
      </w:r>
    </w:p>
    <w:p>
      <w:pPr>
        <w:pStyle w:val="Heading5"/>
      </w:pPr>
      <w:bookmarkStart w:id="13" w:name="_Toc516819524"/>
      <w:r>
        <w:rPr>
          <w:rStyle w:val="CharSectno"/>
        </w:rPr>
        <w:t>8A</w:t>
      </w:r>
      <w:r>
        <w:t>.</w:t>
      </w:r>
      <w:r>
        <w:tab/>
        <w:t>Recognition as eligible individual or eligible entity</w:t>
      </w:r>
      <w:bookmarkEnd w:id="13"/>
    </w:p>
    <w:p>
      <w:pPr>
        <w:pStyle w:val="Subsection"/>
      </w:pPr>
      <w:r>
        <w:tab/>
        <w:t>(1)</w:t>
      </w:r>
      <w:r>
        <w:tab/>
        <w:t xml:space="preserve">The Court or a registrar may, on an application under regulation 8(1)(a) — </w:t>
      </w:r>
    </w:p>
    <w:p>
      <w:pPr>
        <w:pStyle w:val="Indenta"/>
      </w:pPr>
      <w:r>
        <w:tab/>
        <w:t>(a)</w:t>
      </w:r>
      <w:r>
        <w:tab/>
        <w:t>direct that a person is an eligible individual described in regulation 7(2)(a)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7(2)(f)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may, on an application under regulation 8(1)(b) — </w:t>
      </w:r>
    </w:p>
    <w:p>
      <w:pPr>
        <w:pStyle w:val="Indenta"/>
      </w:pPr>
      <w:r>
        <w:tab/>
        <w:t>(a)</w:t>
      </w:r>
      <w:r>
        <w:tab/>
        <w:t>direct that a person is an eligible entity described in regulation 7(3)(a) in respect of the matter if satisfied that the person meets the requirements set out in that paragraph; or</w:t>
      </w:r>
    </w:p>
    <w:p>
      <w:pPr>
        <w:pStyle w:val="Indenta"/>
      </w:pPr>
      <w:r>
        <w:tab/>
        <w:t>(b)</w:t>
      </w:r>
      <w:r>
        <w:tab/>
        <w:t xml:space="preserve">direct that a person is an eligible entity described in regulation 7(3)(b)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in Gazette 14 Jun 2016 p. 1885</w:t>
      </w:r>
      <w:r>
        <w:noBreakHyphen/>
        <w:t>6.]</w:t>
      </w:r>
    </w:p>
    <w:p>
      <w:pPr>
        <w:pStyle w:val="Heading5"/>
      </w:pPr>
      <w:bookmarkStart w:id="14" w:name="_Toc516819525"/>
      <w:r>
        <w:rPr>
          <w:rStyle w:val="CharSectno"/>
        </w:rPr>
        <w:t>8B</w:t>
      </w:r>
      <w:r>
        <w:t>.</w:t>
      </w:r>
      <w:r>
        <w:tab/>
        <w:t>False or misleading statements</w:t>
      </w:r>
      <w:bookmarkEnd w:id="14"/>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in Gazette 14 Jun 2016 p. 1886</w:t>
      </w:r>
      <w:r>
        <w:noBreakHyphen/>
        <w:t>7.]</w:t>
      </w:r>
    </w:p>
    <w:p>
      <w:pPr>
        <w:pStyle w:val="Heading5"/>
      </w:pPr>
      <w:bookmarkStart w:id="15" w:name="_Toc516819526"/>
      <w:r>
        <w:rPr>
          <w:rStyle w:val="CharSectno"/>
        </w:rPr>
        <w:t>8C</w:t>
      </w:r>
      <w:r>
        <w:t>.</w:t>
      </w:r>
      <w:r>
        <w:tab/>
        <w:t>Refunds</w:t>
      </w:r>
      <w:bookmarkEnd w:id="15"/>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in Gazette 14 Jun 2016 p. 1887.]</w:t>
      </w:r>
    </w:p>
    <w:p>
      <w:pPr>
        <w:pStyle w:val="Heading5"/>
      </w:pPr>
      <w:bookmarkStart w:id="16" w:name="_Toc516819527"/>
      <w:r>
        <w:rPr>
          <w:rStyle w:val="CharSectno"/>
        </w:rPr>
        <w:t>8D</w:t>
      </w:r>
      <w:r>
        <w:t>.</w:t>
      </w:r>
      <w:r>
        <w:tab/>
        <w:t>Waiving fee for copy of document or transcript</w:t>
      </w:r>
      <w:bookmarkEnd w:id="16"/>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in Gazette 14 Jun 2016 p. 1887</w:t>
      </w:r>
      <w:r>
        <w:noBreakHyphen/>
        <w:t>8.]</w:t>
      </w:r>
    </w:p>
    <w:p>
      <w:pPr>
        <w:pStyle w:val="Heading5"/>
      </w:pPr>
      <w:bookmarkStart w:id="17" w:name="_Toc516819528"/>
      <w:r>
        <w:rPr>
          <w:rStyle w:val="CharSectno"/>
        </w:rPr>
        <w:t>8E</w:t>
      </w:r>
      <w:r>
        <w:t>.</w:t>
      </w:r>
      <w:r>
        <w:tab/>
        <w:t>Conventions</w:t>
      </w:r>
      <w:bookmarkEnd w:id="17"/>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in Gazette 14 Jul 2017 p. 3949.]</w:t>
      </w:r>
    </w:p>
    <w:p>
      <w:pPr>
        <w:pStyle w:val="Heading5"/>
      </w:pPr>
      <w:bookmarkStart w:id="18" w:name="_Toc516819529"/>
      <w:r>
        <w:t>9.</w:t>
      </w:r>
      <w:r>
        <w:tab/>
        <w:t>Allocation of hearing date — Schedule 1 item 6</w:t>
      </w:r>
      <w:bookmarkEnd w:id="18"/>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8A.</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 14 Jul 2017 p. 3950.]</w:t>
      </w:r>
    </w:p>
    <w:p>
      <w:pPr>
        <w:pStyle w:val="Heading5"/>
      </w:pPr>
      <w:bookmarkStart w:id="19" w:name="_Toc516819530"/>
      <w:r>
        <w:rPr>
          <w:rStyle w:val="CharSectno"/>
        </w:rPr>
        <w:t>10</w:t>
      </w:r>
      <w:r>
        <w:t>.</w:t>
      </w:r>
      <w:r>
        <w:tab/>
        <w:t>Schedule 1 item 7 fee</w:t>
      </w:r>
      <w:bookmarkEnd w:id="19"/>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0" w:name="_Toc516819531"/>
      <w:r>
        <w:t>11.</w:t>
      </w:r>
      <w:r>
        <w:tab/>
        <w:t>Recovery of unpaid fees</w:t>
      </w:r>
      <w:bookmarkEnd w:id="20"/>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21" w:name="_Toc516819532"/>
      <w:r>
        <w:t>11A.</w:t>
      </w:r>
      <w:r>
        <w:tab/>
        <w:t>Searchable information</w:t>
      </w:r>
      <w:bookmarkEnd w:id="21"/>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in Gazette 28 Apr 2005 p. 1754; amended in Gazette 14 Jun 2016 p. 1888; 9 Sep 2016 p. 3886.]</w:t>
      </w:r>
    </w:p>
    <w:p>
      <w:pPr>
        <w:pStyle w:val="Heading5"/>
      </w:pPr>
      <w:bookmarkStart w:id="22" w:name="_Toc516819533"/>
      <w:r>
        <w:rPr>
          <w:rStyle w:val="CharSectno"/>
        </w:rPr>
        <w:t>12</w:t>
      </w:r>
      <w:r>
        <w:t>.</w:t>
      </w:r>
      <w:r>
        <w:tab/>
        <w:t>Transitional</w:t>
      </w:r>
      <w:bookmarkEnd w:id="22"/>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23" w:name="_Toc516819534"/>
      <w:r>
        <w:rPr>
          <w:rStyle w:val="CharSchNo"/>
        </w:rPr>
        <w:t>Schedule 1</w:t>
      </w:r>
      <w:r>
        <w:t> — </w:t>
      </w:r>
      <w:r>
        <w:rPr>
          <w:rStyle w:val="CharSchText"/>
        </w:rPr>
        <w:t>Registry fees</w:t>
      </w:r>
      <w:bookmarkEnd w:id="23"/>
    </w:p>
    <w:p>
      <w:pPr>
        <w:pStyle w:val="zyShoulderClause"/>
      </w:pPr>
      <w:r>
        <w:t>[r. 4]</w:t>
      </w:r>
    </w:p>
    <w:p>
      <w:pPr>
        <w:pStyle w:val="yFootnoteheading"/>
        <w:spacing w:after="60"/>
      </w:pPr>
      <w:r>
        <w:tab/>
        <w:t>[Heading inserted in Gazette 7 Jul 2017 p. 3740.]</w:t>
      </w:r>
    </w:p>
    <w:p>
      <w:pPr>
        <w:pStyle w:val="zyShoulderClause"/>
      </w:pP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keepNext/>
              <w:keepLines/>
              <w:jc w:val="center"/>
              <w:rPr>
                <w:b/>
              </w:rPr>
            </w:pPr>
            <w:r>
              <w:rPr>
                <w:b/>
              </w:rPr>
              <w:t>Item</w:t>
            </w:r>
          </w:p>
        </w:tc>
        <w:tc>
          <w:tcPr>
            <w:tcW w:w="2588" w:type="dxa"/>
            <w:tcBorders>
              <w:top w:val="single" w:sz="4" w:space="0" w:color="auto"/>
              <w:bottom w:val="single" w:sz="4" w:space="0" w:color="auto"/>
            </w:tcBorders>
          </w:tcPr>
          <w:p>
            <w:pPr>
              <w:pStyle w:val="yTableNAm"/>
              <w:keepNext/>
              <w:keepLines/>
              <w:jc w:val="center"/>
              <w:rPr>
                <w:b/>
              </w:rPr>
            </w:pPr>
            <w:r>
              <w:rPr>
                <w:b/>
              </w:rPr>
              <w:t>Matter</w:t>
            </w:r>
          </w:p>
        </w:tc>
        <w:tc>
          <w:tcPr>
            <w:tcW w:w="1275" w:type="dxa"/>
            <w:tcBorders>
              <w:top w:val="single" w:sz="4" w:space="0" w:color="auto"/>
              <w:bottom w:val="single" w:sz="4" w:space="0" w:color="auto"/>
            </w:tcBorders>
          </w:tcPr>
          <w:p>
            <w:pPr>
              <w:pStyle w:val="yTableNAm"/>
              <w:keepNext/>
              <w:keepLines/>
              <w:jc w:val="center"/>
              <w:rPr>
                <w:b/>
              </w:rPr>
            </w:pPr>
            <w:r>
              <w:rPr>
                <w:b/>
              </w:rPr>
              <w:t>Column A</w:t>
            </w:r>
          </w:p>
          <w:p>
            <w:pPr>
              <w:pStyle w:val="yTableNAm"/>
              <w:keepNext/>
              <w:keepLines/>
              <w:jc w:val="center"/>
              <w:rPr>
                <w:b/>
              </w:rPr>
            </w:pPr>
            <w:r>
              <w:rPr>
                <w:b/>
              </w:rPr>
              <w:t>Fee for individual or eligible entity</w:t>
            </w:r>
            <w:r>
              <w:rPr>
                <w:b/>
              </w:rPr>
              <w:br/>
              <w:t>$</w:t>
            </w:r>
          </w:p>
        </w:tc>
        <w:tc>
          <w:tcPr>
            <w:tcW w:w="1276" w:type="dxa"/>
            <w:tcBorders>
              <w:top w:val="single" w:sz="4" w:space="0" w:color="auto"/>
              <w:bottom w:val="single" w:sz="4" w:space="0" w:color="auto"/>
            </w:tcBorders>
          </w:tcPr>
          <w:p>
            <w:pPr>
              <w:pStyle w:val="yTableNAm"/>
              <w:keepNext/>
              <w:keepLines/>
              <w:jc w:val="center"/>
              <w:rPr>
                <w:b/>
              </w:rPr>
            </w:pPr>
            <w:r>
              <w:rPr>
                <w:b/>
              </w:rPr>
              <w:t>Column B</w:t>
            </w:r>
          </w:p>
          <w:p>
            <w:pPr>
              <w:pStyle w:val="yTableNAm"/>
              <w:keepNext/>
              <w:keepLines/>
              <w:jc w:val="center"/>
              <w:rPr>
                <w:b/>
              </w:rPr>
            </w:pPr>
            <w:r>
              <w:rPr>
                <w:b/>
              </w:rPr>
              <w:t>Fee for entity</w:t>
            </w:r>
            <w:r>
              <w:rPr>
                <w:b/>
              </w:rPr>
              <w:br/>
            </w:r>
            <w:r>
              <w:rPr>
                <w:b/>
              </w:rPr>
              <w:br/>
            </w:r>
            <w:r>
              <w:rPr>
                <w:b/>
              </w:rPr>
              <w:br/>
              <w:t>$</w:t>
            </w:r>
          </w:p>
        </w:tc>
        <w:tc>
          <w:tcPr>
            <w:tcW w:w="1276" w:type="dxa"/>
            <w:tcBorders>
              <w:top w:val="single" w:sz="4" w:space="0" w:color="auto"/>
              <w:bottom w:val="single" w:sz="4" w:space="0" w:color="auto"/>
            </w:tcBorders>
          </w:tcPr>
          <w:p>
            <w:pPr>
              <w:pStyle w:val="yTableNAm"/>
              <w:keepNext/>
              <w:keepLines/>
              <w:jc w:val="center"/>
              <w:rPr>
                <w:b/>
              </w:rPr>
            </w:pPr>
            <w:r>
              <w:rPr>
                <w:b/>
              </w:rPr>
              <w:t>Column C</w:t>
            </w:r>
          </w:p>
          <w:p>
            <w:pPr>
              <w:pStyle w:val="yTableNAm"/>
              <w:keepNext/>
              <w:keepLines/>
              <w:jc w:val="center"/>
              <w:rPr>
                <w:b/>
              </w:rPr>
            </w:pPr>
            <w:r>
              <w:rPr>
                <w:b/>
              </w:rPr>
              <w:t>Fee for eligible individual</w:t>
            </w:r>
            <w:r>
              <w:rPr>
                <w:b/>
              </w:rPr>
              <w:br/>
            </w:r>
            <w:r>
              <w:rPr>
                <w:b/>
              </w:rPr>
              <w:br/>
              <w:t>$</w:t>
            </w:r>
          </w:p>
        </w:tc>
      </w:tr>
      <w:tr>
        <w:trPr>
          <w:cantSplit/>
        </w:trPr>
        <w:tc>
          <w:tcPr>
            <w:tcW w:w="673" w:type="dxa"/>
            <w:tcBorders>
              <w:top w:val="single" w:sz="4" w:space="0" w:color="auto"/>
            </w:tcBorders>
          </w:tcPr>
          <w:p>
            <w:pPr>
              <w:pStyle w:val="yTableNAm"/>
              <w:keepNext/>
              <w:keepLines/>
              <w:rPr>
                <w:szCs w:val="22"/>
              </w:rPr>
            </w:pPr>
            <w:r>
              <w:rPr>
                <w:szCs w:val="22"/>
              </w:rPr>
              <w:t>1.</w:t>
            </w:r>
          </w:p>
        </w:tc>
        <w:tc>
          <w:tcPr>
            <w:tcW w:w="2588" w:type="dxa"/>
            <w:tcBorders>
              <w:top w:val="single" w:sz="4" w:space="0" w:color="auto"/>
            </w:tcBorders>
          </w:tcPr>
          <w:p>
            <w:pPr>
              <w:pStyle w:val="yTableNAm"/>
              <w:keepNext/>
              <w:keepLines/>
              <w:rPr>
                <w:szCs w:val="22"/>
              </w:rPr>
            </w:pPr>
            <w:r>
              <w:rPr>
                <w:szCs w:val="22"/>
              </w:rP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vAlign w:val="bottom"/>
          </w:tcPr>
          <w:p>
            <w:pPr>
              <w:pStyle w:val="yTableNAm"/>
              <w:keepNext/>
              <w:keepLines/>
              <w:rPr>
                <w:szCs w:val="22"/>
              </w:rPr>
            </w:pPr>
            <w:r>
              <w:rPr>
                <w:szCs w:val="22"/>
              </w:rPr>
              <w:t>816.00</w:t>
            </w:r>
          </w:p>
        </w:tc>
        <w:tc>
          <w:tcPr>
            <w:tcW w:w="1276" w:type="dxa"/>
            <w:tcBorders>
              <w:top w:val="single" w:sz="4" w:space="0" w:color="auto"/>
            </w:tcBorders>
            <w:vAlign w:val="bottom"/>
          </w:tcPr>
          <w:p>
            <w:pPr>
              <w:pStyle w:val="yTableNAm"/>
              <w:keepNext/>
              <w:keepLines/>
              <w:rPr>
                <w:szCs w:val="22"/>
              </w:rPr>
            </w:pPr>
            <w:r>
              <w:rPr>
                <w:szCs w:val="22"/>
              </w:rPr>
              <w:t>1 592.00</w:t>
            </w:r>
          </w:p>
        </w:tc>
        <w:tc>
          <w:tcPr>
            <w:tcW w:w="1276" w:type="dxa"/>
            <w:tcBorders>
              <w:top w:val="single" w:sz="4" w:space="0" w:color="auto"/>
            </w:tcBorders>
            <w:vAlign w:val="bottom"/>
          </w:tcPr>
          <w:p>
            <w:pPr>
              <w:pStyle w:val="yTableNAm"/>
              <w:keepNext/>
              <w:keepLines/>
              <w:rPr>
                <w:szCs w:val="22"/>
              </w:rPr>
            </w:pPr>
            <w:r>
              <w:rPr>
                <w:szCs w:val="22"/>
              </w:rPr>
              <w:t>100.00</w:t>
            </w:r>
          </w:p>
        </w:tc>
      </w:tr>
      <w:tr>
        <w:trPr>
          <w:cantSplit/>
        </w:trPr>
        <w:tc>
          <w:tcPr>
            <w:tcW w:w="673" w:type="dxa"/>
          </w:tcPr>
          <w:p>
            <w:pPr>
              <w:pStyle w:val="yTableNAm"/>
              <w:rPr>
                <w:szCs w:val="22"/>
              </w:rPr>
            </w:pPr>
            <w:r>
              <w:rPr>
                <w:szCs w:val="22"/>
              </w:rPr>
              <w:t>2.</w:t>
            </w:r>
          </w:p>
        </w:tc>
        <w:tc>
          <w:tcPr>
            <w:tcW w:w="2588" w:type="dxa"/>
          </w:tcPr>
          <w:p>
            <w:pPr>
              <w:pStyle w:val="yTableNAm"/>
              <w:rPr>
                <w:szCs w:val="22"/>
              </w:rPr>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vAlign w:val="bottom"/>
          </w:tcPr>
          <w:p>
            <w:pPr>
              <w:pStyle w:val="yTableNAm"/>
              <w:rPr>
                <w:szCs w:val="22"/>
              </w:rPr>
            </w:pPr>
            <w:r>
              <w:t>196.50</w:t>
            </w:r>
          </w:p>
        </w:tc>
        <w:tc>
          <w:tcPr>
            <w:tcW w:w="1276" w:type="dxa"/>
            <w:vAlign w:val="bottom"/>
          </w:tcPr>
          <w:p>
            <w:pPr>
              <w:pStyle w:val="yTableNAm"/>
              <w:rPr>
                <w:szCs w:val="22"/>
              </w:rPr>
            </w:pPr>
            <w:r>
              <w:rPr>
                <w:szCs w:val="22"/>
              </w:rPr>
              <w:t>N/A</w:t>
            </w:r>
          </w:p>
        </w:tc>
        <w:tc>
          <w:tcPr>
            <w:tcW w:w="1276" w:type="dxa"/>
            <w:vAlign w:val="bottom"/>
          </w:tcPr>
          <w:p>
            <w:pPr>
              <w:pStyle w:val="yTableNAm"/>
              <w:rPr>
                <w:szCs w:val="22"/>
              </w:rPr>
            </w:pPr>
            <w:r>
              <w:rPr>
                <w:szCs w:val="22"/>
              </w:rPr>
              <w:t>59.00</w:t>
            </w:r>
          </w:p>
        </w:tc>
      </w:tr>
      <w:tr>
        <w:trPr>
          <w:cantSplit/>
        </w:trPr>
        <w:tc>
          <w:tcPr>
            <w:tcW w:w="673" w:type="dxa"/>
          </w:tcPr>
          <w:p>
            <w:pPr>
              <w:pStyle w:val="yTableNAm"/>
              <w:rPr>
                <w:szCs w:val="22"/>
              </w:rPr>
            </w:pPr>
            <w:r>
              <w:rPr>
                <w:szCs w:val="22"/>
              </w:rPr>
              <w:t>3.</w:t>
            </w:r>
          </w:p>
        </w:tc>
        <w:tc>
          <w:tcPr>
            <w:tcW w:w="2588" w:type="dxa"/>
          </w:tcPr>
          <w:p>
            <w:pPr>
              <w:pStyle w:val="yTableNAm"/>
              <w:rPr>
                <w:szCs w:val="22"/>
              </w:rPr>
            </w:pPr>
            <w:r>
              <w:rPr>
                <w:szCs w:val="22"/>
              </w:rPr>
              <w:t xml:space="preserve">On filing an application for an order made under the </w:t>
            </w:r>
            <w:r>
              <w:rPr>
                <w:i/>
                <w:szCs w:val="22"/>
              </w:rPr>
              <w:t>Spent Convictions Act 1988</w:t>
            </w:r>
            <w:r>
              <w:rPr>
                <w:szCs w:val="22"/>
              </w:rPr>
              <w:t xml:space="preserve"> section 6(1)</w:t>
            </w:r>
          </w:p>
        </w:tc>
        <w:tc>
          <w:tcPr>
            <w:tcW w:w="1275" w:type="dxa"/>
            <w:vAlign w:val="bottom"/>
          </w:tcPr>
          <w:p>
            <w:pPr>
              <w:pStyle w:val="yTableNAm"/>
              <w:rPr>
                <w:szCs w:val="22"/>
              </w:rPr>
            </w:pPr>
            <w:r>
              <w:t>119.00</w:t>
            </w:r>
          </w:p>
        </w:tc>
        <w:tc>
          <w:tcPr>
            <w:tcW w:w="1276" w:type="dxa"/>
            <w:vAlign w:val="bottom"/>
          </w:tcPr>
          <w:p>
            <w:pPr>
              <w:pStyle w:val="yTableNAm"/>
              <w:rPr>
                <w:szCs w:val="22"/>
              </w:rPr>
            </w:pPr>
            <w:r>
              <w:rPr>
                <w:szCs w:val="22"/>
              </w:rPr>
              <w:t>N/A</w:t>
            </w:r>
          </w:p>
        </w:tc>
        <w:tc>
          <w:tcPr>
            <w:tcW w:w="1276" w:type="dxa"/>
            <w:vAlign w:val="bottom"/>
          </w:tcPr>
          <w:p>
            <w:pPr>
              <w:pStyle w:val="yTableNAm"/>
              <w:rPr>
                <w:szCs w:val="22"/>
              </w:rPr>
            </w:pPr>
            <w:r>
              <w:rPr>
                <w:szCs w:val="22"/>
              </w:rPr>
              <w:t>35.70</w:t>
            </w:r>
          </w:p>
        </w:tc>
      </w:tr>
      <w:tr>
        <w:trPr>
          <w:cantSplit/>
        </w:trPr>
        <w:tc>
          <w:tcPr>
            <w:tcW w:w="673" w:type="dxa"/>
          </w:tcPr>
          <w:p>
            <w:pPr>
              <w:pStyle w:val="yTableNAm"/>
              <w:rPr>
                <w:szCs w:val="22"/>
              </w:rPr>
            </w:pPr>
            <w:r>
              <w:rPr>
                <w:szCs w:val="22"/>
              </w:rPr>
              <w:t>4.</w:t>
            </w:r>
          </w:p>
        </w:tc>
        <w:tc>
          <w:tcPr>
            <w:tcW w:w="2588" w:type="dxa"/>
          </w:tcPr>
          <w:p>
            <w:pPr>
              <w:pStyle w:val="yTableNAm"/>
              <w:rPr>
                <w:szCs w:val="22"/>
              </w:rPr>
            </w:pPr>
            <w:r>
              <w:rPr>
                <w:szCs w:val="22"/>
              </w:rPr>
              <w:t xml:space="preserve">On filing —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(a)</w:t>
            </w:r>
            <w:r>
              <w:rPr>
                <w:szCs w:val="22"/>
              </w:rPr>
              <w:tab/>
              <w:t>a counterclaim</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(b)</w:t>
            </w:r>
            <w:r>
              <w:rPr>
                <w:szCs w:val="22"/>
              </w:rPr>
              <w:tab/>
              <w:t xml:space="preserve">a third party notice </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(c)</w:t>
            </w:r>
            <w:r>
              <w:rPr>
                <w:szCs w:val="22"/>
              </w:rPr>
              <w:tab/>
              <w:t>an application — </w:t>
            </w:r>
          </w:p>
          <w:p>
            <w:pPr>
              <w:pStyle w:val="yTableNAm"/>
              <w:tabs>
                <w:tab w:val="clear" w:pos="567"/>
                <w:tab w:val="left" w:pos="212"/>
                <w:tab w:val="left" w:pos="637"/>
              </w:tabs>
              <w:ind w:left="637" w:hanging="637"/>
              <w:rPr>
                <w:szCs w:val="22"/>
              </w:rPr>
            </w:pPr>
            <w:r>
              <w:rPr>
                <w:szCs w:val="22"/>
              </w:rPr>
              <w:tab/>
              <w:t>(i)</w:t>
            </w:r>
            <w:r>
              <w:rPr>
                <w:szCs w:val="22"/>
              </w:rPr>
              <w:tab/>
              <w:t>to extend a period of time fixed by law, including an application to extend time before proceedings are commenced</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w:t>
            </w:r>
            <w:r>
              <w:rPr>
                <w:szCs w:val="22"/>
              </w:rPr>
              <w:tab/>
              <w:t>to limit a period of time within which proceedings may be taken</w:t>
            </w:r>
          </w:p>
          <w:p>
            <w:pPr>
              <w:pStyle w:val="yTableNAm"/>
              <w:tabs>
                <w:tab w:val="clear" w:pos="567"/>
                <w:tab w:val="left" w:pos="212"/>
                <w:tab w:val="left" w:pos="637"/>
              </w:tabs>
              <w:ind w:left="637" w:hanging="637"/>
              <w:rPr>
                <w:szCs w:val="22"/>
              </w:rPr>
            </w:pPr>
            <w:r>
              <w:rPr>
                <w:szCs w:val="22"/>
              </w:rPr>
              <w:tab/>
              <w:t>(iii)</w:t>
            </w:r>
            <w:r>
              <w:rPr>
                <w:szCs w:val="22"/>
              </w:rPr>
              <w:tab/>
              <w:t>for leave to serve a writ or notice of a writ out of jurisdiction</w:t>
            </w:r>
          </w:p>
        </w:tc>
        <w:tc>
          <w:tcPr>
            <w:tcW w:w="1275" w:type="dxa"/>
            <w:vAlign w:val="bottom"/>
          </w:tcPr>
          <w:p>
            <w:pPr>
              <w:pStyle w:val="yTableNAm"/>
              <w:rPr>
                <w:szCs w:val="22"/>
              </w:rPr>
            </w:pPr>
            <w:r>
              <w:t>307.00</w:t>
            </w:r>
          </w:p>
        </w:tc>
        <w:tc>
          <w:tcPr>
            <w:tcW w:w="1276" w:type="dxa"/>
            <w:vAlign w:val="bottom"/>
          </w:tcPr>
          <w:p>
            <w:pPr>
              <w:pStyle w:val="yTableNAm"/>
            </w:pPr>
            <w:r>
              <w:t>529.00</w:t>
            </w:r>
          </w:p>
        </w:tc>
        <w:tc>
          <w:tcPr>
            <w:tcW w:w="1276" w:type="dxa"/>
            <w:vAlign w:val="bottom"/>
          </w:tcPr>
          <w:p>
            <w:pPr>
              <w:pStyle w:val="yTableNAm"/>
              <w:rPr>
                <w:szCs w:val="22"/>
              </w:rPr>
            </w:pPr>
            <w:r>
              <w:t>92.00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(d)</w:t>
            </w:r>
            <w:r>
              <w:rPr>
                <w:szCs w:val="22"/>
              </w:rPr>
              <w:tab/>
              <w:t>an application for leave to appeal</w:t>
            </w:r>
          </w:p>
        </w:tc>
        <w:tc>
          <w:tcPr>
            <w:tcW w:w="1275" w:type="dxa"/>
            <w:vAlign w:val="bottom"/>
          </w:tcPr>
          <w:p>
            <w:pPr>
              <w:pStyle w:val="yTableNAm"/>
            </w:pPr>
            <w:r>
              <w:t>0.00</w:t>
            </w:r>
          </w:p>
        </w:tc>
        <w:tc>
          <w:tcPr>
            <w:tcW w:w="1276" w:type="dxa"/>
            <w:vAlign w:val="bottom"/>
          </w:tcPr>
          <w:p>
            <w:pPr>
              <w:pStyle w:val="yTableNAm"/>
            </w:pPr>
            <w:r>
              <w:t>0.00</w:t>
            </w:r>
          </w:p>
        </w:tc>
        <w:tc>
          <w:tcPr>
            <w:tcW w:w="1276" w:type="dxa"/>
            <w:vAlign w:val="bottom"/>
          </w:tcPr>
          <w:p>
            <w:pPr>
              <w:pStyle w:val="yTableNAm"/>
            </w:pPr>
            <w:r>
              <w:t>0.00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(e)</w:t>
            </w:r>
            <w:r>
              <w:rPr>
                <w:szCs w:val="22"/>
              </w:rPr>
              <w:tab/>
              <w:t>any other application for which no fee has been provided in this Schedule</w:t>
            </w:r>
          </w:p>
        </w:tc>
        <w:tc>
          <w:tcPr>
            <w:tcW w:w="1275" w:type="dxa"/>
            <w:vAlign w:val="bottom"/>
          </w:tcPr>
          <w:p>
            <w:pPr>
              <w:pStyle w:val="yTableNAm"/>
              <w:rPr>
                <w:szCs w:val="22"/>
              </w:rPr>
            </w:pPr>
            <w:r>
              <w:t>307.00</w:t>
            </w:r>
          </w:p>
        </w:tc>
        <w:tc>
          <w:tcPr>
            <w:tcW w:w="1276" w:type="dxa"/>
            <w:vAlign w:val="bottom"/>
          </w:tcPr>
          <w:p>
            <w:pPr>
              <w:pStyle w:val="yTableNAm"/>
            </w:pPr>
            <w:r>
              <w:t>529.00</w:t>
            </w:r>
          </w:p>
        </w:tc>
        <w:tc>
          <w:tcPr>
            <w:tcW w:w="1276" w:type="dxa"/>
            <w:vAlign w:val="bottom"/>
          </w:tcPr>
          <w:p>
            <w:pPr>
              <w:pStyle w:val="yTableNAm"/>
              <w:rPr>
                <w:szCs w:val="22"/>
              </w:rPr>
            </w:pPr>
            <w:r>
              <w:t>92.00</w:t>
            </w:r>
          </w:p>
        </w:tc>
      </w:tr>
      <w:tr>
        <w:tblPrEx>
          <w:tblCellMar>
            <w:bottom w:w="113" w:type="dxa"/>
          </w:tblCellMar>
        </w:tblPrEx>
        <w:trPr>
          <w:cantSplit/>
        </w:trPr>
        <w:tc>
          <w:tcPr>
            <w:tcW w:w="673" w:type="dxa"/>
          </w:tcPr>
          <w:p>
            <w:pPr>
              <w:pStyle w:val="yTableNAm"/>
              <w:rPr>
                <w:szCs w:val="22"/>
              </w:rPr>
            </w:pPr>
            <w:r>
              <w:rPr>
                <w:szCs w:val="22"/>
              </w:rPr>
              <w:t>5.</w:t>
            </w:r>
          </w:p>
        </w:tc>
        <w:tc>
          <w:tcPr>
            <w:tcW w:w="2588" w:type="dxa"/>
          </w:tcPr>
          <w:p>
            <w:pPr>
              <w:pStyle w:val="yTableNAm"/>
              <w:tabs>
                <w:tab w:val="left" w:pos="495"/>
              </w:tabs>
              <w:ind w:left="495" w:hanging="495"/>
              <w:rPr>
                <w:szCs w:val="22"/>
              </w:rPr>
            </w:pPr>
            <w:r>
              <w:rPr>
                <w:szCs w:val="22"/>
              </w:rPr>
              <w:t xml:space="preserve">On filing — </w:t>
            </w:r>
          </w:p>
          <w:p>
            <w:pPr>
              <w:pStyle w:val="yTableNAm"/>
              <w:tabs>
                <w:tab w:val="left" w:pos="495"/>
              </w:tabs>
              <w:ind w:left="495" w:hanging="495"/>
              <w:rPr>
                <w:szCs w:val="22"/>
              </w:rPr>
            </w:pPr>
            <w:r>
              <w:rPr>
                <w:szCs w:val="22"/>
              </w:rPr>
              <w:t>(a)</w:t>
            </w:r>
            <w:r>
              <w:rPr>
                <w:szCs w:val="22"/>
              </w:rPr>
              <w:tab/>
              <w:t>an appeal notice</w:t>
            </w:r>
          </w:p>
        </w:tc>
        <w:tc>
          <w:tcPr>
            <w:tcW w:w="1275" w:type="dxa"/>
            <w:vAlign w:val="bottom"/>
          </w:tcPr>
          <w:p>
            <w:pPr>
              <w:pStyle w:val="yTableNAm"/>
              <w:rPr>
                <w:szCs w:val="22"/>
              </w:rPr>
            </w:pPr>
            <w:r>
              <w:t>462.00</w:t>
            </w:r>
          </w:p>
        </w:tc>
        <w:tc>
          <w:tcPr>
            <w:tcW w:w="1276" w:type="dxa"/>
            <w:vAlign w:val="bottom"/>
          </w:tcPr>
          <w:p>
            <w:pPr>
              <w:pStyle w:val="yTableNAm"/>
            </w:pPr>
            <w:r>
              <w:t>1 196.00</w:t>
            </w:r>
          </w:p>
        </w:tc>
        <w:tc>
          <w:tcPr>
            <w:tcW w:w="1276" w:type="dxa"/>
            <w:vAlign w:val="bottom"/>
          </w:tcPr>
          <w:p>
            <w:pPr>
              <w:pStyle w:val="yTableNAm"/>
              <w:rPr>
                <w:szCs w:val="22"/>
              </w:rPr>
            </w:pPr>
            <w:r>
              <w:t>100.00</w:t>
            </w:r>
          </w:p>
        </w:tc>
      </w:tr>
      <w:tr>
        <w:tblPrEx>
          <w:tblCellMar>
            <w:bottom w:w="113" w:type="dxa"/>
          </w:tblCellMar>
        </w:tblPrEx>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for each additional half day allocated for the hearing of the appeal</w:t>
            </w:r>
          </w:p>
        </w:tc>
        <w:tc>
          <w:tcPr>
            <w:tcW w:w="1275" w:type="dxa"/>
            <w:vAlign w:val="bottom"/>
          </w:tcPr>
          <w:p>
            <w:pPr>
              <w:pStyle w:val="yTableNAm"/>
              <w:rPr>
                <w:szCs w:val="22"/>
              </w:rPr>
            </w:pPr>
            <w:r>
              <w:rPr>
                <w:szCs w:val="22"/>
              </w:rPr>
              <w:br/>
            </w:r>
            <w:r>
              <w:rPr>
                <w:szCs w:val="22"/>
              </w:rPr>
              <w:br/>
            </w:r>
            <w:r>
              <w:t>358.00</w:t>
            </w:r>
          </w:p>
        </w:tc>
        <w:tc>
          <w:tcPr>
            <w:tcW w:w="1276" w:type="dxa"/>
            <w:vAlign w:val="bottom"/>
          </w:tcPr>
          <w:p>
            <w:pPr>
              <w:pStyle w:val="yTableNAm"/>
              <w:rPr>
                <w:szCs w:val="22"/>
              </w:rPr>
            </w:pPr>
            <w:r>
              <w:rPr>
                <w:szCs w:val="22"/>
              </w:rPr>
              <w:t>933.00</w:t>
            </w:r>
          </w:p>
        </w:tc>
        <w:tc>
          <w:tcPr>
            <w:tcW w:w="1276" w:type="dxa"/>
            <w:vAlign w:val="bottom"/>
          </w:tcPr>
          <w:p>
            <w:pPr>
              <w:pStyle w:val="yTableNAm"/>
              <w:rPr>
                <w:szCs w:val="22"/>
              </w:rPr>
            </w:pPr>
            <w:r>
              <w:rPr>
                <w:szCs w:val="22"/>
              </w:rPr>
              <w:br/>
            </w:r>
            <w:r>
              <w:rPr>
                <w:szCs w:val="22"/>
              </w:rPr>
              <w:br/>
            </w:r>
            <w:r>
              <w:t>100.00</w:t>
            </w:r>
          </w:p>
        </w:tc>
      </w:tr>
      <w:tr>
        <w:tblPrEx>
          <w:tblCellMar>
            <w:bottom w:w="113" w:type="dxa"/>
          </w:tblCellMar>
        </w:tblPrEx>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The fee in item 5(a) includes any directions hearings and the first half day allocated by the District Court for the hearing of the appeal.</w:t>
            </w:r>
          </w:p>
        </w:tc>
      </w:tr>
      <w:tr>
        <w:tblPrEx>
          <w:tblCellMar>
            <w:bottom w:w="113" w:type="dxa"/>
          </w:tblCellMar>
        </w:tblPrEx>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 xml:space="preserve">Under the </w:t>
            </w:r>
            <w:r>
              <w:rPr>
                <w:i/>
                <w:sz w:val="20"/>
              </w:rPr>
              <w:t>District Court Rules 2005</w:t>
            </w:r>
            <w:r>
              <w:rPr>
                <w:sz w:val="20"/>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rPr>
                <w:szCs w:val="22"/>
              </w:rPr>
            </w:pPr>
            <w:r>
              <w:rPr>
                <w:szCs w:val="22"/>
              </w:rPr>
              <w:t>6.</w:t>
            </w:r>
          </w:p>
        </w:tc>
        <w:tc>
          <w:tcPr>
            <w:tcW w:w="2588" w:type="dxa"/>
          </w:tcPr>
          <w:p>
            <w:pPr>
              <w:pStyle w:val="yTableNAm"/>
              <w:rPr>
                <w:szCs w:val="22"/>
              </w:rPr>
            </w:pPr>
            <w:r>
              <w:rPr>
                <w:szCs w:val="22"/>
              </w:rPr>
              <w:t>Entry for hearing a cause or matter (including the assessment of damages in an action for personal injury) or notice of an appointment to hear an originating summons</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This item does not apply to entering an appeal for hearing.</w:t>
            </w:r>
          </w:p>
        </w:tc>
      </w:tr>
      <w:tr>
        <w:tblPrEx>
          <w:tblCellMar>
            <w:bottom w:w="113" w:type="dxa"/>
          </w:tblCellMar>
        </w:tblPrEx>
        <w:trPr>
          <w:cantSplit/>
        </w:trPr>
        <w:tc>
          <w:tcPr>
            <w:tcW w:w="673" w:type="dxa"/>
          </w:tcPr>
          <w:p>
            <w:pPr>
              <w:pStyle w:val="yTableNAm"/>
              <w:rPr>
                <w:szCs w:val="22"/>
              </w:rPr>
            </w:pPr>
            <w:r>
              <w:rPr>
                <w:szCs w:val="22"/>
              </w:rPr>
              <w:t>7.</w:t>
            </w:r>
          </w:p>
        </w:tc>
        <w:tc>
          <w:tcPr>
            <w:tcW w:w="2588" w:type="dxa"/>
          </w:tcPr>
          <w:p>
            <w:pPr>
              <w:pStyle w:val="yTableNAm"/>
              <w:rPr>
                <w:szCs w:val="22"/>
              </w:rPr>
            </w:pPr>
            <w:r>
              <w:rPr>
                <w:szCs w:val="22"/>
              </w:rPr>
              <w:t>Allocation of hearing date, for each day allocated</w:t>
            </w:r>
          </w:p>
        </w:tc>
        <w:tc>
          <w:tcPr>
            <w:tcW w:w="1275" w:type="dxa"/>
            <w:vAlign w:val="bottom"/>
          </w:tcPr>
          <w:p>
            <w:pPr>
              <w:pStyle w:val="yTableNAm"/>
              <w:rPr>
                <w:szCs w:val="22"/>
              </w:rPr>
            </w:pPr>
            <w:r>
              <w:rPr>
                <w:szCs w:val="22"/>
              </w:rPr>
              <w:br/>
            </w:r>
            <w:r>
              <w:t>716.00</w:t>
            </w:r>
          </w:p>
        </w:tc>
        <w:tc>
          <w:tcPr>
            <w:tcW w:w="1276" w:type="dxa"/>
            <w:vAlign w:val="bottom"/>
          </w:tcPr>
          <w:p>
            <w:pPr>
              <w:pStyle w:val="yTableNAm"/>
              <w:rPr>
                <w:szCs w:val="22"/>
              </w:rPr>
            </w:pPr>
            <w:r>
              <w:rPr>
                <w:szCs w:val="22"/>
              </w:rPr>
              <w:t>1 865.00</w:t>
            </w:r>
          </w:p>
        </w:tc>
        <w:tc>
          <w:tcPr>
            <w:tcW w:w="1276" w:type="dxa"/>
            <w:vAlign w:val="bottom"/>
          </w:tcPr>
          <w:p>
            <w:pPr>
              <w:pStyle w:val="yTableNAm"/>
              <w:rPr>
                <w:szCs w:val="22"/>
              </w:rPr>
            </w:pPr>
            <w:r>
              <w:rPr>
                <w:szCs w:val="22"/>
              </w:rPr>
              <w:br/>
            </w:r>
            <w:r>
              <w:t>100.00</w:t>
            </w:r>
          </w:p>
        </w:tc>
      </w:tr>
      <w:tr>
        <w:tblPrEx>
          <w:tblCellMar>
            <w:bottom w:w="113" w:type="dxa"/>
          </w:tblCellMar>
        </w:tblPrEx>
        <w:trPr>
          <w:cantSplit/>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Cs w:val="22"/>
              </w:rPr>
            </w:pPr>
            <w:r>
              <w:rPr>
                <w:sz w:val="20"/>
              </w:rPr>
              <w:t>See regulation 10.</w:t>
            </w:r>
          </w:p>
        </w:tc>
      </w:tr>
      <w:tr>
        <w:tblPrEx>
          <w:tblCellMar>
            <w:bottom w:w="113" w:type="dxa"/>
          </w:tblCellMar>
        </w:tblPrEx>
        <w:trPr>
          <w:cantSplit/>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This item does not apply to the allocation of a hearing date for an appeal.</w:t>
            </w:r>
          </w:p>
        </w:tc>
      </w:tr>
      <w:tr>
        <w:trPr>
          <w:cantSplit/>
        </w:trPr>
        <w:tc>
          <w:tcPr>
            <w:tcW w:w="673" w:type="dxa"/>
          </w:tcPr>
          <w:p>
            <w:pPr>
              <w:pStyle w:val="yTableNAm"/>
              <w:rPr>
                <w:szCs w:val="22"/>
              </w:rPr>
            </w:pPr>
            <w:r>
              <w:rPr>
                <w:szCs w:val="22"/>
              </w:rPr>
              <w:t>8.</w:t>
            </w:r>
          </w:p>
        </w:tc>
        <w:tc>
          <w:tcPr>
            <w:tcW w:w="2588" w:type="dxa"/>
          </w:tcPr>
          <w:p>
            <w:pPr>
              <w:pStyle w:val="yTableNAm"/>
              <w:rPr>
                <w:szCs w:val="22"/>
              </w:rPr>
            </w:pPr>
            <w:r>
              <w:rPr>
                <w:szCs w:val="22"/>
              </w:rPr>
              <w:t>Daily hearing fee before a court constituted by a judge</w:t>
            </w:r>
          </w:p>
        </w:tc>
        <w:tc>
          <w:tcPr>
            <w:tcW w:w="1275" w:type="dxa"/>
            <w:vAlign w:val="bottom"/>
          </w:tcPr>
          <w:p>
            <w:pPr>
              <w:pStyle w:val="yTableNAm"/>
              <w:rPr>
                <w:szCs w:val="22"/>
              </w:rPr>
            </w:pPr>
            <w:r>
              <w:t>716.00</w:t>
            </w:r>
          </w:p>
        </w:tc>
        <w:tc>
          <w:tcPr>
            <w:tcW w:w="1276" w:type="dxa"/>
            <w:vAlign w:val="bottom"/>
          </w:tcPr>
          <w:p>
            <w:pPr>
              <w:pStyle w:val="yTableNAm"/>
            </w:pPr>
            <w:r>
              <w:t>1 865.00</w:t>
            </w:r>
          </w:p>
        </w:tc>
        <w:tc>
          <w:tcPr>
            <w:tcW w:w="1276" w:type="dxa"/>
            <w:vAlign w:val="bottom"/>
          </w:tcPr>
          <w:p>
            <w:pPr>
              <w:pStyle w:val="yTableNAm"/>
              <w:rPr>
                <w:szCs w:val="22"/>
              </w:rPr>
            </w:pPr>
            <w:r>
              <w:t>100.00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Cs w:val="22"/>
              </w:rPr>
            </w:pPr>
            <w:r>
              <w:rPr>
                <w:sz w:val="20"/>
              </w:rPr>
              <w:t>No fee is payable if the proceedings are of an interlocutory nature only.</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Cs w:val="22"/>
              </w:rPr>
            </w:pPr>
            <w:r>
              <w:rPr>
                <w:sz w:val="20"/>
              </w:rPr>
              <w:t>The fee to be charged is to be paid in respect of any number of hearing days greater than the number of hearing days for which a fee has been paid under item 5 or 7.</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This fee is payable for each additional day or part day that a hearing proceeds beyond the date or dates allocated in item 5 or 7.</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4:</w:t>
            </w:r>
          </w:p>
          <w:p>
            <w:pPr>
              <w:pStyle w:val="yTableNAm"/>
              <w:rPr>
                <w:sz w:val="20"/>
              </w:rPr>
            </w:pPr>
            <w:r>
              <w:rPr>
                <w:sz w:val="20"/>
              </w:rPr>
              <w:t>If the Court only allocates a half day or less for the continuation of the hearing then a fee equal to half the prescribed amount is payable for that period.</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5:</w:t>
            </w:r>
          </w:p>
          <w:p>
            <w:pPr>
              <w:pStyle w:val="yTableNAm"/>
              <w:rPr>
                <w:sz w:val="20"/>
              </w:rPr>
            </w:pPr>
            <w:r>
              <w:rPr>
                <w:sz w:val="20"/>
              </w:rPr>
              <w:t>The daily fee becomes payable on a day to day basis and is payable prior to the daily reconvening of the hearing.</w:t>
            </w:r>
          </w:p>
        </w:tc>
      </w:tr>
      <w:tr>
        <w:trPr>
          <w:cantSplit/>
        </w:trPr>
        <w:tc>
          <w:tcPr>
            <w:tcW w:w="673" w:type="dxa"/>
          </w:tcPr>
          <w:p>
            <w:pPr>
              <w:pStyle w:val="yTableNAm"/>
              <w:keepNext/>
              <w:rPr>
                <w:szCs w:val="22"/>
              </w:rPr>
            </w:pPr>
            <w:r>
              <w:rPr>
                <w:szCs w:val="22"/>
              </w:rPr>
              <w:t>9.</w:t>
            </w:r>
          </w:p>
        </w:tc>
        <w:tc>
          <w:tcPr>
            <w:tcW w:w="2588" w:type="dxa"/>
          </w:tcPr>
          <w:p>
            <w:pPr>
              <w:pStyle w:val="yTableNAm"/>
              <w:keepNext/>
              <w:rPr>
                <w:szCs w:val="22"/>
              </w:rPr>
            </w:pPr>
            <w:r>
              <w:rPr>
                <w:szCs w:val="22"/>
              </w:rPr>
              <w:t xml:space="preserve">On filing, before a judge or registrar in chambers — </w:t>
            </w:r>
          </w:p>
        </w:tc>
        <w:tc>
          <w:tcPr>
            <w:tcW w:w="1275" w:type="dxa"/>
            <w:vAlign w:val="bottom"/>
          </w:tcPr>
          <w:p>
            <w:pPr>
              <w:pStyle w:val="yTableNAm"/>
              <w:keepNext/>
              <w:rPr>
                <w:szCs w:val="22"/>
              </w:rPr>
            </w:pPr>
          </w:p>
        </w:tc>
        <w:tc>
          <w:tcPr>
            <w:tcW w:w="1276" w:type="dxa"/>
            <w:vAlign w:val="bottom"/>
          </w:tcPr>
          <w:p>
            <w:pPr>
              <w:pStyle w:val="yTableNAm"/>
              <w:keepNext/>
              <w:rPr>
                <w:szCs w:val="22"/>
              </w:rPr>
            </w:pPr>
          </w:p>
        </w:tc>
        <w:tc>
          <w:tcPr>
            <w:tcW w:w="1276" w:type="dxa"/>
            <w:vAlign w:val="bottom"/>
          </w:tcPr>
          <w:p>
            <w:pPr>
              <w:pStyle w:val="yTableNAm"/>
              <w:keepNext/>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an interlocutory application or summons or motion returnable</w:t>
            </w:r>
          </w:p>
        </w:tc>
        <w:tc>
          <w:tcPr>
            <w:tcW w:w="1275" w:type="dxa"/>
            <w:vAlign w:val="bottom"/>
          </w:tcPr>
          <w:p>
            <w:pPr>
              <w:pStyle w:val="yTableNAm"/>
              <w:rPr>
                <w:szCs w:val="22"/>
              </w:rPr>
            </w:pPr>
            <w:r>
              <w:t>205.00</w:t>
            </w:r>
          </w:p>
        </w:tc>
        <w:tc>
          <w:tcPr>
            <w:tcW w:w="1276" w:type="dxa"/>
            <w:vAlign w:val="bottom"/>
          </w:tcPr>
          <w:p>
            <w:pPr>
              <w:pStyle w:val="yTableNAm"/>
              <w:rPr>
                <w:szCs w:val="22"/>
              </w:rPr>
            </w:pPr>
            <w:r>
              <w:t>399.00</w:t>
            </w:r>
          </w:p>
        </w:tc>
        <w:tc>
          <w:tcPr>
            <w:tcW w:w="1276" w:type="dxa"/>
            <w:vAlign w:val="bottom"/>
          </w:tcPr>
          <w:p>
            <w:pPr>
              <w:pStyle w:val="yTableNAm"/>
              <w:rPr>
                <w:szCs w:val="22"/>
              </w:rPr>
            </w:pPr>
            <w:r>
              <w:t>61.50</w:t>
            </w:r>
          </w:p>
        </w:tc>
      </w:tr>
      <w:tr>
        <w:trPr>
          <w:cantSplit/>
        </w:trPr>
        <w:tc>
          <w:tcPr>
            <w:tcW w:w="673" w:type="dxa"/>
          </w:tcPr>
          <w:p>
            <w:pPr>
              <w:pStyle w:val="yTableNAm"/>
              <w:rPr>
                <w:rStyle w:val="CommentReference"/>
                <w:rFonts w:ascii="Times" w:hAnsi="Times"/>
                <w:szCs w:val="22"/>
              </w:rPr>
            </w:pPr>
          </w:p>
        </w:tc>
        <w:tc>
          <w:tcPr>
            <w:tcW w:w="2588" w:type="dxa"/>
          </w:tcPr>
          <w:p>
            <w:pPr>
              <w:pStyle w:val="yTableNAm"/>
              <w:tabs>
                <w:tab w:val="left" w:pos="495"/>
              </w:tabs>
              <w:ind w:left="495" w:hanging="495"/>
              <w:rPr>
                <w:szCs w:val="22"/>
              </w:rPr>
            </w:pPr>
            <w:r>
              <w:rPr>
                <w:szCs w:val="22"/>
              </w:rPr>
              <w:t>(b)</w:t>
            </w:r>
            <w:r>
              <w:rPr>
                <w:szCs w:val="22"/>
              </w:rPr>
              <w:tab/>
              <w:t>an application for assessment of damages other than in an action for personal injury</w:t>
            </w:r>
          </w:p>
        </w:tc>
        <w:tc>
          <w:tcPr>
            <w:tcW w:w="1275" w:type="dxa"/>
            <w:vAlign w:val="bottom"/>
          </w:tcPr>
          <w:p>
            <w:pPr>
              <w:pStyle w:val="yTableNAm"/>
              <w:rPr>
                <w:szCs w:val="22"/>
              </w:rPr>
            </w:pPr>
            <w:r>
              <w:t>205.00</w:t>
            </w:r>
          </w:p>
        </w:tc>
        <w:tc>
          <w:tcPr>
            <w:tcW w:w="1276" w:type="dxa"/>
            <w:vAlign w:val="bottom"/>
          </w:tcPr>
          <w:p>
            <w:pPr>
              <w:pStyle w:val="yTableNAm"/>
              <w:rPr>
                <w:szCs w:val="22"/>
              </w:rPr>
            </w:pPr>
            <w:r>
              <w:t>399.00</w:t>
            </w:r>
          </w:p>
        </w:tc>
        <w:tc>
          <w:tcPr>
            <w:tcW w:w="1276" w:type="dxa"/>
            <w:vAlign w:val="bottom"/>
          </w:tcPr>
          <w:p>
            <w:pPr>
              <w:pStyle w:val="yTableNAm"/>
              <w:rPr>
                <w:szCs w:val="22"/>
              </w:rPr>
            </w:pPr>
            <w:r>
              <w:t>61.50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(c)</w:t>
            </w:r>
            <w:r>
              <w:rPr>
                <w:szCs w:val="22"/>
              </w:rPr>
              <w:tab/>
              <w:t>an application for summary judgment</w:t>
            </w:r>
          </w:p>
        </w:tc>
        <w:tc>
          <w:tcPr>
            <w:tcW w:w="1275" w:type="dxa"/>
            <w:vAlign w:val="bottom"/>
          </w:tcPr>
          <w:p>
            <w:pPr>
              <w:pStyle w:val="yTableNAm"/>
              <w:rPr>
                <w:szCs w:val="22"/>
              </w:rPr>
            </w:pPr>
            <w:r>
              <w:t>205.00</w:t>
            </w:r>
          </w:p>
        </w:tc>
        <w:tc>
          <w:tcPr>
            <w:tcW w:w="1276" w:type="dxa"/>
            <w:vAlign w:val="bottom"/>
          </w:tcPr>
          <w:p>
            <w:pPr>
              <w:pStyle w:val="yTableNAm"/>
            </w:pPr>
            <w:r>
              <w:t>399.00</w:t>
            </w:r>
          </w:p>
        </w:tc>
        <w:tc>
          <w:tcPr>
            <w:tcW w:w="1276" w:type="dxa"/>
            <w:vAlign w:val="bottom"/>
          </w:tcPr>
          <w:p>
            <w:pPr>
              <w:pStyle w:val="yTableNAm"/>
              <w:rPr>
                <w:szCs w:val="22"/>
              </w:rPr>
            </w:pPr>
            <w:r>
              <w:t>61.50</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This fee includes the first day of hearing of the application or summons and includes any adjournment of the hearing.</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This fee is payable in respect of any application exercising liberty to apply to relist.</w:t>
            </w:r>
          </w:p>
        </w:tc>
      </w:tr>
      <w:tr>
        <w:trPr>
          <w:cantSplit/>
        </w:trPr>
        <w:tc>
          <w:tcPr>
            <w:tcW w:w="673" w:type="dxa"/>
          </w:tcPr>
          <w:p>
            <w:pPr>
              <w:pStyle w:val="yTableNAm"/>
              <w:rPr>
                <w:szCs w:val="22"/>
              </w:rPr>
            </w:pPr>
            <w:r>
              <w:rPr>
                <w:szCs w:val="22"/>
              </w:rPr>
              <w:t>10.</w:t>
            </w:r>
          </w:p>
        </w:tc>
        <w:tc>
          <w:tcPr>
            <w:tcW w:w="2588" w:type="dxa"/>
          </w:tcPr>
          <w:p>
            <w:pPr>
              <w:pStyle w:val="yTableNAm"/>
              <w:rPr>
                <w:szCs w:val="22"/>
              </w:rPr>
            </w:pPr>
            <w:r>
              <w:rPr>
                <w:szCs w:val="22"/>
              </w:rPr>
              <w:t>If the hearing of a matter to which item 8 applies is listed for more than 1 day and proceeds for more than the number of days listed, the fee prescribed in item 9 is payable for each additional day or part day of hearing.</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The daily fee becomes payable on a day to day basis and is payable prior to the daily reconvening of the hearing.</w:t>
            </w:r>
          </w:p>
        </w:tc>
      </w:tr>
      <w:tr>
        <w:trPr>
          <w:cantSplit/>
        </w:trPr>
        <w:tc>
          <w:tcPr>
            <w:tcW w:w="673" w:type="dxa"/>
          </w:tcPr>
          <w:p>
            <w:pPr>
              <w:pStyle w:val="yTableNAm"/>
              <w:rPr>
                <w:szCs w:val="22"/>
              </w:rPr>
            </w:pPr>
            <w:r>
              <w:rPr>
                <w:szCs w:val="22"/>
              </w:rPr>
              <w:t>11.</w:t>
            </w:r>
          </w:p>
        </w:tc>
        <w:tc>
          <w:tcPr>
            <w:tcW w:w="2588" w:type="dxa"/>
          </w:tcPr>
          <w:p>
            <w:pPr>
              <w:pStyle w:val="yTableNAm"/>
              <w:rPr>
                <w:szCs w:val="22"/>
              </w:rPr>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lodgment fee</w:t>
            </w:r>
          </w:p>
        </w:tc>
        <w:tc>
          <w:tcPr>
            <w:tcW w:w="1275" w:type="dxa"/>
            <w:vAlign w:val="bottom"/>
          </w:tcPr>
          <w:p>
            <w:pPr>
              <w:pStyle w:val="yTableNAm"/>
              <w:rPr>
                <w:szCs w:val="22"/>
              </w:rPr>
            </w:pPr>
            <w:r>
              <w:t>205.00</w:t>
            </w:r>
          </w:p>
        </w:tc>
        <w:tc>
          <w:tcPr>
            <w:tcW w:w="1276" w:type="dxa"/>
            <w:vAlign w:val="bottom"/>
          </w:tcPr>
          <w:p>
            <w:pPr>
              <w:pStyle w:val="yTableNAm"/>
            </w:pPr>
            <w:r>
              <w:t>399.00</w:t>
            </w:r>
          </w:p>
        </w:tc>
        <w:tc>
          <w:tcPr>
            <w:tcW w:w="1276" w:type="dxa"/>
            <w:vAlign w:val="bottom"/>
          </w:tcPr>
          <w:p>
            <w:pPr>
              <w:pStyle w:val="yTableNAm"/>
              <w:rPr>
                <w:szCs w:val="22"/>
              </w:rPr>
            </w:pPr>
            <w:r>
              <w:t>61.50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in addition to the lodgment fee, a taxing fee at the rate of</w:t>
            </w:r>
          </w:p>
        </w:tc>
        <w:tc>
          <w:tcPr>
            <w:tcW w:w="1275" w:type="dxa"/>
            <w:vAlign w:val="bottom"/>
          </w:tcPr>
          <w:p>
            <w:pPr>
              <w:pStyle w:val="yTableNAm"/>
              <w:rPr>
                <w:szCs w:val="22"/>
              </w:rPr>
            </w:pPr>
            <w:r>
              <w:rPr>
                <w:szCs w:val="22"/>
              </w:rPr>
              <w:t>2.5%</w:t>
            </w:r>
          </w:p>
        </w:tc>
        <w:tc>
          <w:tcPr>
            <w:tcW w:w="1276" w:type="dxa"/>
            <w:vAlign w:val="bottom"/>
          </w:tcPr>
          <w:p>
            <w:pPr>
              <w:pStyle w:val="yTableNAm"/>
              <w:rPr>
                <w:szCs w:val="22"/>
              </w:rPr>
            </w:pPr>
            <w:r>
              <w:rPr>
                <w:szCs w:val="22"/>
              </w:rPr>
              <w:t>2.5%</w:t>
            </w:r>
          </w:p>
        </w:tc>
        <w:tc>
          <w:tcPr>
            <w:tcW w:w="1276" w:type="dxa"/>
            <w:vAlign w:val="bottom"/>
          </w:tcPr>
          <w:p>
            <w:pPr>
              <w:pStyle w:val="yTableNAm"/>
              <w:rPr>
                <w:szCs w:val="22"/>
              </w:rPr>
            </w:pPr>
            <w:r>
              <w:rPr>
                <w:szCs w:val="22"/>
              </w:rPr>
              <w:t>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The % rate is to be applied to the amount at which the bill is drawn.</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The taxing officer must allow, against the person chargeable with the costs as taxed, taxing fees at the rate indicated in item 11(b) of the amount found to be due on taxation.</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 xml:space="preserve">If the parties agree on the bill of costs in a cause or matter or under the </w:t>
            </w:r>
            <w:r>
              <w:rPr>
                <w:i/>
                <w:sz w:val="20"/>
              </w:rPr>
              <w:t>Commercial Arbitration Act 2012</w:t>
            </w:r>
            <w:r>
              <w:rPr>
                <w:sz w:val="20"/>
              </w:rPr>
              <w:t xml:space="preserve"> and the appointment is cancelled, the following percentage of the fee paid is to be refunded — </w:t>
            </w:r>
          </w:p>
          <w:p>
            <w:pPr>
              <w:pStyle w:val="yTableNAm"/>
              <w:ind w:left="495" w:hanging="495"/>
              <w:rPr>
                <w:sz w:val="20"/>
              </w:rPr>
            </w:pPr>
            <w:r>
              <w:rPr>
                <w:sz w:val="20"/>
              </w:rPr>
              <w:t>(a)</w:t>
            </w:r>
            <w:r>
              <w:rPr>
                <w:sz w:val="20"/>
              </w:rPr>
              <w:tab/>
              <w:t>if the appointment is cancelled less than 3 days before the day of the appointment, nil;</w:t>
            </w:r>
          </w:p>
          <w:p>
            <w:pPr>
              <w:pStyle w:val="yTableNAm"/>
              <w:ind w:left="495" w:hanging="495"/>
              <w:rPr>
                <w:sz w:val="20"/>
              </w:rPr>
            </w:pPr>
            <w:r>
              <w:rPr>
                <w:sz w:val="20"/>
              </w:rPr>
              <w:t>(b)</w:t>
            </w:r>
            <w:r>
              <w:rPr>
                <w:sz w:val="20"/>
              </w:rPr>
              <w:tab/>
              <w:t>if the appointment is cancelled 3 days or more and less than 10 days before the day of the appointment, 50%;</w:t>
            </w:r>
          </w:p>
          <w:p>
            <w:pPr>
              <w:pStyle w:val="yTableNAm"/>
              <w:ind w:left="495" w:hanging="495"/>
              <w:rPr>
                <w:sz w:val="20"/>
              </w:rPr>
            </w:pPr>
            <w:r>
              <w:rPr>
                <w:sz w:val="20"/>
              </w:rPr>
              <w:t>(c)</w:t>
            </w:r>
            <w:r>
              <w:rPr>
                <w:sz w:val="20"/>
              </w:rPr>
              <w:tab/>
              <w:t>if the appointment is cancelled 10 or more days before the day of the appointment, 80%.</w:t>
            </w:r>
          </w:p>
        </w:tc>
      </w:tr>
      <w:tr>
        <w:trPr>
          <w:cantSplit/>
        </w:trPr>
        <w:tc>
          <w:tcPr>
            <w:tcW w:w="673" w:type="dxa"/>
          </w:tcPr>
          <w:p>
            <w:pPr>
              <w:pStyle w:val="yTableNAm"/>
              <w:rPr>
                <w:szCs w:val="22"/>
              </w:rPr>
            </w:pPr>
            <w:r>
              <w:rPr>
                <w:szCs w:val="22"/>
              </w:rPr>
              <w:t>12.</w:t>
            </w:r>
          </w:p>
        </w:tc>
        <w:tc>
          <w:tcPr>
            <w:tcW w:w="2588" w:type="dxa"/>
          </w:tcPr>
          <w:p>
            <w:pPr>
              <w:pStyle w:val="yTableNAm"/>
              <w:rPr>
                <w:szCs w:val="22"/>
              </w:rPr>
            </w:pPr>
            <w:r>
              <w:rPr>
                <w:szCs w:val="22"/>
              </w:rPr>
              <w:t>For searching any record or proceeding</w:t>
            </w:r>
          </w:p>
        </w:tc>
        <w:tc>
          <w:tcPr>
            <w:tcW w:w="1275" w:type="dxa"/>
            <w:vAlign w:val="bottom"/>
          </w:tcPr>
          <w:p>
            <w:pPr>
              <w:pStyle w:val="yTableNAm"/>
              <w:rPr>
                <w:szCs w:val="22"/>
              </w:rPr>
            </w:pPr>
            <w:r>
              <w:t>41.40</w:t>
            </w:r>
          </w:p>
        </w:tc>
        <w:tc>
          <w:tcPr>
            <w:tcW w:w="1276" w:type="dxa"/>
            <w:vAlign w:val="bottom"/>
          </w:tcPr>
          <w:p>
            <w:pPr>
              <w:pStyle w:val="yTableNAm"/>
            </w:pPr>
            <w:r>
              <w:t>41.40</w:t>
            </w:r>
          </w:p>
        </w:tc>
        <w:tc>
          <w:tcPr>
            <w:tcW w:w="1276" w:type="dxa"/>
            <w:vAlign w:val="bottom"/>
          </w:tcPr>
          <w:p>
            <w:pPr>
              <w:pStyle w:val="yTableNAm"/>
              <w:rPr>
                <w:szCs w:val="22"/>
              </w:rPr>
            </w:pPr>
            <w:r>
              <w:t>12.40</w:t>
            </w:r>
          </w:p>
        </w:tc>
      </w:tr>
      <w:tr>
        <w:trPr>
          <w:cantSplit/>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 w:val="20"/>
              </w:rPr>
            </w:pPr>
            <w:r>
              <w:rPr>
                <w:sz w:val="20"/>
              </w:rPr>
              <w:t xml:space="preserve">No fee is payable under item 12 for a search made — </w:t>
            </w:r>
          </w:p>
          <w:p>
            <w:pPr>
              <w:pStyle w:val="yTableNAm"/>
              <w:ind w:left="495" w:hanging="495"/>
              <w:rPr>
                <w:sz w:val="20"/>
              </w:rPr>
            </w:pPr>
            <w:r>
              <w:rPr>
                <w:sz w:val="20"/>
              </w:rPr>
              <w:t>(a)</w:t>
            </w:r>
            <w:r>
              <w:rPr>
                <w:sz w:val="20"/>
              </w:rPr>
              <w:tab/>
              <w:t>by or on behalf of a party to the proceedings; or</w:t>
            </w:r>
          </w:p>
          <w:p>
            <w:pPr>
              <w:pStyle w:val="yTableNAm"/>
              <w:ind w:left="495" w:hanging="495"/>
            </w:pPr>
            <w:r>
              <w:rPr>
                <w:sz w:val="20"/>
              </w:rPr>
              <w:t>(b)</w:t>
            </w:r>
            <w:r>
              <w:rPr>
                <w:sz w:val="20"/>
              </w:rPr>
              <w:tab/>
              <w:t>by an approved recipient of searchable information provided to it under regulation 11A.</w:t>
            </w:r>
          </w:p>
        </w:tc>
      </w:tr>
      <w:tr>
        <w:trPr>
          <w:cantSplit/>
        </w:trPr>
        <w:tc>
          <w:tcPr>
            <w:tcW w:w="673" w:type="dxa"/>
          </w:tcPr>
          <w:p>
            <w:pPr>
              <w:pStyle w:val="yTableNAm"/>
              <w:rPr>
                <w:rFonts w:ascii="Times" w:hAnsi="Times"/>
                <w:spacing w:val="-6"/>
                <w:szCs w:val="22"/>
              </w:rPr>
            </w:pPr>
            <w:r>
              <w:rPr>
                <w:rFonts w:ascii="Times" w:hAnsi="Times"/>
                <w:spacing w:val="-6"/>
                <w:szCs w:val="22"/>
              </w:rPr>
              <w:t>13.</w:t>
            </w:r>
          </w:p>
        </w:tc>
        <w:tc>
          <w:tcPr>
            <w:tcW w:w="2588" w:type="dxa"/>
          </w:tcPr>
          <w:p>
            <w:pPr>
              <w:pStyle w:val="yTableNAm"/>
              <w:rPr>
                <w:szCs w:val="22"/>
              </w:rPr>
            </w:pPr>
            <w:r>
              <w:rPr>
                <w:szCs w:val="22"/>
              </w:rPr>
              <w:t xml:space="preserve">For provision of searchable information to approved recipients under regulation 11A —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 xml:space="preserve">fee per </w:t>
            </w:r>
            <w:r>
              <w:rPr>
                <w:rFonts w:eastAsia="MS Mincho"/>
                <w:szCs w:val="22"/>
              </w:rPr>
              <w:t xml:space="preserve">action or matter provided to </w:t>
            </w:r>
            <w:r>
              <w:rPr>
                <w:szCs w:val="22"/>
              </w:rPr>
              <w:t>recipient</w:t>
            </w:r>
          </w:p>
        </w:tc>
        <w:tc>
          <w:tcPr>
            <w:tcW w:w="1275" w:type="dxa"/>
            <w:vAlign w:val="bottom"/>
          </w:tcPr>
          <w:p>
            <w:pPr>
              <w:pStyle w:val="yTableNAm"/>
              <w:rPr>
                <w:szCs w:val="22"/>
              </w:rPr>
            </w:pPr>
            <w:r>
              <w:t>1.85</w:t>
            </w:r>
          </w:p>
        </w:tc>
        <w:tc>
          <w:tcPr>
            <w:tcW w:w="1276" w:type="dxa"/>
            <w:vAlign w:val="bottom"/>
          </w:tcPr>
          <w:p>
            <w:pPr>
              <w:pStyle w:val="yTableNAm"/>
            </w:pPr>
            <w:r>
              <w:t>1.85</w:t>
            </w:r>
          </w:p>
        </w:tc>
        <w:tc>
          <w:tcPr>
            <w:tcW w:w="1276" w:type="dxa"/>
            <w:vAlign w:val="bottom"/>
          </w:tcPr>
          <w:p>
            <w:pPr>
              <w:pStyle w:val="yTableNAm"/>
              <w:rPr>
                <w:szCs w:val="22"/>
              </w:rPr>
            </w:pPr>
            <w:r>
              <w:t>0.55</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annual fee for information provided by email to approved recipient</w:t>
            </w:r>
          </w:p>
        </w:tc>
        <w:tc>
          <w:tcPr>
            <w:tcW w:w="1275" w:type="dxa"/>
            <w:vAlign w:val="bottom"/>
          </w:tcPr>
          <w:p>
            <w:pPr>
              <w:pStyle w:val="yTableNAm"/>
              <w:rPr>
                <w:szCs w:val="22"/>
              </w:rPr>
            </w:pPr>
            <w:r>
              <w:t>1 877.00</w:t>
            </w:r>
          </w:p>
        </w:tc>
        <w:tc>
          <w:tcPr>
            <w:tcW w:w="1276" w:type="dxa"/>
            <w:vAlign w:val="bottom"/>
          </w:tcPr>
          <w:p>
            <w:pPr>
              <w:pStyle w:val="yTableNAm"/>
            </w:pPr>
            <w:r>
              <w:t>1 877.00</w:t>
            </w:r>
          </w:p>
        </w:tc>
        <w:tc>
          <w:tcPr>
            <w:tcW w:w="1276" w:type="dxa"/>
            <w:vAlign w:val="bottom"/>
          </w:tcPr>
          <w:p>
            <w:pPr>
              <w:pStyle w:val="yTableNAm"/>
              <w:rPr>
                <w:szCs w:val="22"/>
              </w:rPr>
            </w:pPr>
            <w:r>
              <w:t>100.00</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The fee under item 13(b) is payable on the date on which the recipient is approved by the Attorney General and on each anniversary of that date.</w:t>
            </w:r>
          </w:p>
        </w:tc>
      </w:tr>
      <w:tr>
        <w:trPr>
          <w:cantSplit/>
        </w:trPr>
        <w:tc>
          <w:tcPr>
            <w:tcW w:w="673" w:type="dxa"/>
          </w:tcPr>
          <w:p>
            <w:pPr>
              <w:pStyle w:val="yTableNAm"/>
              <w:rPr>
                <w:szCs w:val="22"/>
              </w:rPr>
            </w:pPr>
            <w:r>
              <w:rPr>
                <w:szCs w:val="22"/>
              </w:rPr>
              <w:t>14.</w:t>
            </w:r>
          </w:p>
        </w:tc>
        <w:tc>
          <w:tcPr>
            <w:tcW w:w="2588" w:type="dxa"/>
          </w:tcPr>
          <w:p>
            <w:pPr>
              <w:pStyle w:val="yTableNAm"/>
              <w:tabs>
                <w:tab w:val="left" w:pos="495"/>
              </w:tabs>
              <w:ind w:left="495" w:hanging="495"/>
              <w:rPr>
                <w:szCs w:val="22"/>
              </w:rPr>
            </w:pPr>
            <w:r>
              <w:rPr>
                <w:szCs w:val="22"/>
              </w:rPr>
              <w:t>(a)</w:t>
            </w:r>
            <w:r>
              <w:rPr>
                <w:szCs w:val="22"/>
              </w:rPr>
              <w:tab/>
              <w:t xml:space="preserve">On an application for the production of records or documents that are required to be produced to any court, tribunal, arbitrator or umpire </w:t>
            </w:r>
          </w:p>
        </w:tc>
        <w:tc>
          <w:tcPr>
            <w:tcW w:w="1275" w:type="dxa"/>
            <w:vAlign w:val="bottom"/>
          </w:tcPr>
          <w:p>
            <w:pPr>
              <w:pStyle w:val="yTableNAm"/>
              <w:rPr>
                <w:szCs w:val="22"/>
              </w:rPr>
            </w:pPr>
            <w:r>
              <w:t>61.00</w:t>
            </w:r>
          </w:p>
        </w:tc>
        <w:tc>
          <w:tcPr>
            <w:tcW w:w="1276" w:type="dxa"/>
            <w:vAlign w:val="bottom"/>
          </w:tcPr>
          <w:p>
            <w:pPr>
              <w:pStyle w:val="yTableNAm"/>
            </w:pPr>
            <w:r>
              <w:t>61.00</w:t>
            </w:r>
          </w:p>
        </w:tc>
        <w:tc>
          <w:tcPr>
            <w:tcW w:w="1276" w:type="dxa"/>
            <w:vAlign w:val="bottom"/>
          </w:tcPr>
          <w:p>
            <w:pPr>
              <w:pStyle w:val="yTableNAm"/>
              <w:rPr>
                <w:szCs w:val="22"/>
              </w:rPr>
            </w:pPr>
            <w:r>
              <w:t>18.30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the officer’s office</w:t>
            </w:r>
          </w:p>
        </w:tc>
        <w:tc>
          <w:tcPr>
            <w:tcW w:w="1275" w:type="dxa"/>
            <w:vAlign w:val="bottom"/>
          </w:tcPr>
          <w:p>
            <w:pPr>
              <w:pStyle w:val="yTableNAm"/>
              <w:rPr>
                <w:szCs w:val="22"/>
              </w:rPr>
            </w:pPr>
            <w:r>
              <w:t>91.00</w:t>
            </w:r>
          </w:p>
        </w:tc>
        <w:tc>
          <w:tcPr>
            <w:tcW w:w="1276" w:type="dxa"/>
            <w:vAlign w:val="bottom"/>
          </w:tcPr>
          <w:p>
            <w:pPr>
              <w:pStyle w:val="yTableNAm"/>
            </w:pPr>
            <w:r>
              <w:t>91.00</w:t>
            </w:r>
          </w:p>
        </w:tc>
        <w:tc>
          <w:tcPr>
            <w:tcW w:w="1276" w:type="dxa"/>
            <w:vAlign w:val="bottom"/>
          </w:tcPr>
          <w:p>
            <w:pPr>
              <w:pStyle w:val="yTableNAm"/>
              <w:rPr>
                <w:szCs w:val="22"/>
              </w:rPr>
            </w:pPr>
            <w:r>
              <w:t>27.30</w:t>
            </w:r>
          </w:p>
        </w:tc>
      </w:tr>
      <w:tr>
        <w:trPr>
          <w:cantSplit/>
        </w:trPr>
        <w:tc>
          <w:tcPr>
            <w:tcW w:w="673" w:type="dxa"/>
          </w:tcPr>
          <w:p>
            <w:pPr>
              <w:pStyle w:val="yTableNAm"/>
              <w:rPr>
                <w:szCs w:val="22"/>
              </w:rPr>
            </w:pPr>
            <w:r>
              <w:rPr>
                <w:szCs w:val="22"/>
              </w:rPr>
              <w:t>15.</w:t>
            </w:r>
          </w:p>
        </w:tc>
        <w:tc>
          <w:tcPr>
            <w:tcW w:w="2588" w:type="dxa"/>
          </w:tcPr>
          <w:p>
            <w:pPr>
              <w:pStyle w:val="yTableNAm"/>
              <w:tabs>
                <w:tab w:val="left" w:pos="495"/>
              </w:tabs>
              <w:ind w:left="495" w:hanging="495"/>
              <w:rPr>
                <w:szCs w:val="22"/>
              </w:rPr>
            </w:pPr>
            <w:r>
              <w:rPr>
                <w:szCs w:val="22"/>
              </w:rPr>
              <w:t>(a)</w:t>
            </w:r>
            <w:r>
              <w:rPr>
                <w:szCs w:val="22"/>
              </w:rPr>
              <w:tab/>
              <w:t xml:space="preserve">For a copy of a document of any kind or an exhibit, including marking as an office copy if required, for each page or part thereof </w:t>
            </w:r>
          </w:p>
        </w:tc>
        <w:tc>
          <w:tcPr>
            <w:tcW w:w="1275" w:type="dxa"/>
            <w:vAlign w:val="bottom"/>
          </w:tcPr>
          <w:p>
            <w:pPr>
              <w:pStyle w:val="yTableNAm"/>
              <w:rPr>
                <w:szCs w:val="22"/>
              </w:rPr>
            </w:pPr>
            <w:r>
              <w:rPr>
                <w:szCs w:val="22"/>
              </w:rPr>
              <w:t>1.70</w:t>
            </w:r>
          </w:p>
        </w:tc>
        <w:tc>
          <w:tcPr>
            <w:tcW w:w="1276" w:type="dxa"/>
            <w:vAlign w:val="bottom"/>
          </w:tcPr>
          <w:p>
            <w:pPr>
              <w:pStyle w:val="yTableNAm"/>
              <w:rPr>
                <w:szCs w:val="22"/>
              </w:rPr>
            </w:pPr>
            <w:r>
              <w:rPr>
                <w:szCs w:val="22"/>
              </w:rPr>
              <w:t>1.70</w:t>
            </w:r>
          </w:p>
        </w:tc>
        <w:tc>
          <w:tcPr>
            <w:tcW w:w="1276" w:type="dxa"/>
            <w:vAlign w:val="bottom"/>
          </w:tcPr>
          <w:p>
            <w:pPr>
              <w:pStyle w:val="yTableNAm"/>
              <w:rPr>
                <w:szCs w:val="22"/>
              </w:rPr>
            </w:pPr>
            <w:r>
              <w:rPr>
                <w:szCs w:val="22"/>
              </w:rPr>
              <w:t>0.50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for a copy of reasons for judgment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for each copy consisting of not more than 10 pages issued to a person not a party to the proceedings and for each copy in excess of 1 copy issued to a party to the proceedings</w:t>
            </w:r>
          </w:p>
          <w:p>
            <w:pPr>
              <w:pStyle w:val="yTableNAm"/>
              <w:tabs>
                <w:tab w:val="clear" w:pos="567"/>
                <w:tab w:val="left" w:pos="212"/>
                <w:tab w:val="left" w:pos="637"/>
              </w:tabs>
              <w:ind w:left="637" w:hanging="637"/>
              <w:rPr>
                <w:spacing w:val="-4"/>
                <w:szCs w:val="22"/>
              </w:rPr>
            </w:pPr>
            <w:r>
              <w:rPr>
                <w:szCs w:val="22"/>
              </w:rPr>
              <w:tab/>
            </w:r>
            <w:r>
              <w:rPr>
                <w:spacing w:val="-4"/>
                <w:szCs w:val="22"/>
              </w:rPr>
              <w:t>(ii)</w:t>
            </w:r>
            <w:r>
              <w:rPr>
                <w:spacing w:val="-4"/>
                <w:szCs w:val="22"/>
              </w:rPr>
              <w:tab/>
              <w:t>for each copy consisting of 10 or more pages an additional fee per page of</w:t>
            </w:r>
          </w:p>
        </w:tc>
        <w:tc>
          <w:tcPr>
            <w:tcW w:w="1275"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t>14.40</w:t>
            </w:r>
          </w:p>
          <w:p>
            <w:pPr>
              <w:pStyle w:val="yTableNAm"/>
              <w:rPr>
                <w:szCs w:val="22"/>
              </w:rPr>
            </w:pPr>
            <w:r>
              <w:rPr>
                <w:szCs w:val="22"/>
              </w:rPr>
              <w:br/>
            </w:r>
            <w:r>
              <w:rPr>
                <w:szCs w:val="22"/>
              </w:rPr>
              <w:br/>
            </w:r>
            <w:r>
              <w:rPr>
                <w:szCs w:val="22"/>
              </w:rPr>
              <w:br/>
            </w:r>
            <w:r>
              <w:rPr>
                <w:szCs w:val="22"/>
              </w:rPr>
              <w:br/>
            </w:r>
            <w:r>
              <w:t>1.85</w:t>
            </w:r>
          </w:p>
        </w:tc>
        <w:tc>
          <w:tcPr>
            <w:tcW w:w="1276"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rPr>
                <w:szCs w:val="22"/>
              </w:rPr>
              <w:br/>
            </w:r>
            <w:r>
              <w:rPr>
                <w:szCs w:val="22"/>
              </w:rPr>
              <w:br/>
            </w:r>
            <w:r>
              <w:t>14.40</w:t>
            </w:r>
          </w:p>
          <w:p>
            <w:pPr>
              <w:pStyle w:val="yTableNAm"/>
              <w:rPr>
                <w:szCs w:val="22"/>
              </w:rPr>
            </w:pPr>
            <w:r>
              <w:rPr>
                <w:szCs w:val="22"/>
              </w:rPr>
              <w:br/>
            </w:r>
            <w:r>
              <w:rPr>
                <w:szCs w:val="22"/>
              </w:rPr>
              <w:br/>
            </w:r>
            <w:r>
              <w:rPr>
                <w:szCs w:val="22"/>
              </w:rPr>
              <w:br/>
            </w:r>
            <w:r>
              <w:rPr>
                <w:szCs w:val="22"/>
              </w:rPr>
              <w:br/>
            </w:r>
            <w:r>
              <w:t>1.85</w:t>
            </w:r>
          </w:p>
        </w:tc>
        <w:tc>
          <w:tcPr>
            <w:tcW w:w="1276"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rPr>
                <w:szCs w:val="22"/>
              </w:rPr>
              <w:br/>
            </w:r>
            <w:r>
              <w:rPr>
                <w:szCs w:val="22"/>
              </w:rPr>
              <w:br/>
            </w:r>
            <w:r>
              <w:t>4.25</w:t>
            </w:r>
          </w:p>
          <w:p>
            <w:pPr>
              <w:pStyle w:val="yTableNAm"/>
              <w:rPr>
                <w:szCs w:val="22"/>
              </w:rPr>
            </w:pPr>
            <w:r>
              <w:rPr>
                <w:szCs w:val="22"/>
              </w:rPr>
              <w:br/>
            </w:r>
            <w:r>
              <w:rPr>
                <w:szCs w:val="22"/>
              </w:rPr>
              <w:br/>
            </w:r>
            <w:r>
              <w:rPr>
                <w:szCs w:val="22"/>
              </w:rPr>
              <w:br/>
            </w:r>
            <w:r>
              <w:rPr>
                <w:szCs w:val="22"/>
              </w:rPr>
              <w:br/>
            </w:r>
            <w:r>
              <w:t>0.55</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(c)</w:t>
            </w:r>
            <w:r>
              <w:rPr>
                <w:szCs w:val="22"/>
              </w:rPr>
              <w:tab/>
              <w:t>for certifying under seal that a document is a true copy, an additional fee of</w:t>
            </w:r>
          </w:p>
        </w:tc>
        <w:tc>
          <w:tcPr>
            <w:tcW w:w="1275" w:type="dxa"/>
            <w:vAlign w:val="bottom"/>
          </w:tcPr>
          <w:p>
            <w:pPr>
              <w:pStyle w:val="yTableNAm"/>
              <w:rPr>
                <w:szCs w:val="22"/>
              </w:rPr>
            </w:pPr>
            <w:r>
              <w:t>19.95</w:t>
            </w:r>
          </w:p>
        </w:tc>
        <w:tc>
          <w:tcPr>
            <w:tcW w:w="1276" w:type="dxa"/>
            <w:vAlign w:val="bottom"/>
          </w:tcPr>
          <w:p>
            <w:pPr>
              <w:pStyle w:val="yTableNAm"/>
            </w:pPr>
            <w:r>
              <w:t>19.95</w:t>
            </w:r>
          </w:p>
        </w:tc>
        <w:tc>
          <w:tcPr>
            <w:tcW w:w="1276" w:type="dxa"/>
            <w:vAlign w:val="bottom"/>
          </w:tcPr>
          <w:p>
            <w:pPr>
              <w:pStyle w:val="yTableNAm"/>
              <w:rPr>
                <w:szCs w:val="22"/>
              </w:rPr>
            </w:pPr>
            <w:r>
              <w:t>6.00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(d)</w:t>
            </w:r>
            <w:r>
              <w:rPr>
                <w:szCs w:val="22"/>
              </w:rPr>
              <w:tab/>
              <w:t>for a certificate under the hand of a registrar</w:t>
            </w:r>
          </w:p>
        </w:tc>
        <w:tc>
          <w:tcPr>
            <w:tcW w:w="1275" w:type="dxa"/>
            <w:vAlign w:val="bottom"/>
          </w:tcPr>
          <w:p>
            <w:pPr>
              <w:pStyle w:val="yTableNAm"/>
              <w:rPr>
                <w:szCs w:val="22"/>
              </w:rPr>
            </w:pPr>
            <w:r>
              <w:t>39.20</w:t>
            </w:r>
          </w:p>
        </w:tc>
        <w:tc>
          <w:tcPr>
            <w:tcW w:w="1276" w:type="dxa"/>
            <w:vAlign w:val="bottom"/>
          </w:tcPr>
          <w:p>
            <w:pPr>
              <w:pStyle w:val="yTableNAm"/>
            </w:pPr>
            <w:r>
              <w:t>39.20</w:t>
            </w:r>
          </w:p>
        </w:tc>
        <w:tc>
          <w:tcPr>
            <w:tcW w:w="1276" w:type="dxa"/>
            <w:vAlign w:val="bottom"/>
          </w:tcPr>
          <w:p>
            <w:pPr>
              <w:pStyle w:val="yTableNAm"/>
              <w:rPr>
                <w:szCs w:val="22"/>
              </w:rPr>
            </w:pPr>
            <w:r>
              <w:t>11.80</w:t>
            </w:r>
          </w:p>
        </w:tc>
      </w:tr>
      <w:tr>
        <w:trPr>
          <w:cantSplit/>
        </w:trPr>
        <w:tc>
          <w:tcPr>
            <w:tcW w:w="673" w:type="dxa"/>
          </w:tcPr>
          <w:p>
            <w:pPr>
              <w:pStyle w:val="yTableNAm"/>
              <w:keepNext/>
              <w:rPr>
                <w:szCs w:val="22"/>
              </w:rPr>
            </w:pPr>
            <w:r>
              <w:rPr>
                <w:szCs w:val="22"/>
              </w:rPr>
              <w:t>16.</w:t>
            </w:r>
          </w:p>
        </w:tc>
        <w:tc>
          <w:tcPr>
            <w:tcW w:w="2588" w:type="dxa"/>
          </w:tcPr>
          <w:p>
            <w:pPr>
              <w:pStyle w:val="yTableNAm"/>
              <w:keepNext/>
              <w:tabs>
                <w:tab w:val="left" w:pos="495"/>
              </w:tabs>
              <w:ind w:left="495" w:hanging="495"/>
              <w:rPr>
                <w:sz w:val="20"/>
              </w:rPr>
            </w:pPr>
            <w:r>
              <w:rPr>
                <w:sz w:val="20"/>
              </w:rPr>
              <w:t>(</w:t>
            </w:r>
            <w:r>
              <w:rPr>
                <w:szCs w:val="22"/>
              </w:rPr>
              <w:t>a)</w:t>
            </w:r>
            <w:r>
              <w:rPr>
                <w:szCs w:val="22"/>
              </w:rPr>
              <w:tab/>
              <w:t>For a copy of a transcript, or part of a transcript —</w:t>
            </w:r>
            <w:r>
              <w:rPr>
                <w:sz w:val="20"/>
              </w:rPr>
              <w:t xml:space="preserve"> </w:t>
            </w:r>
          </w:p>
        </w:tc>
        <w:tc>
          <w:tcPr>
            <w:tcW w:w="1275" w:type="dxa"/>
          </w:tcPr>
          <w:p>
            <w:pPr>
              <w:pStyle w:val="yTableNAm"/>
              <w:keepNext/>
              <w:rPr>
                <w:sz w:val="20"/>
              </w:rPr>
            </w:pPr>
          </w:p>
        </w:tc>
        <w:tc>
          <w:tcPr>
            <w:tcW w:w="1276" w:type="dxa"/>
          </w:tcPr>
          <w:p>
            <w:pPr>
              <w:pStyle w:val="yTableNAm"/>
              <w:keepNext/>
              <w:rPr>
                <w:sz w:val="20"/>
              </w:rPr>
            </w:pPr>
          </w:p>
        </w:tc>
        <w:tc>
          <w:tcPr>
            <w:tcW w:w="1276" w:type="dxa"/>
          </w:tcPr>
          <w:p>
            <w:pPr>
              <w:pStyle w:val="yTableNAm"/>
              <w:keepNext/>
              <w:rPr>
                <w:sz w:val="20"/>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provided within 1 day after the day on which the fee is paid</w:t>
            </w:r>
          </w:p>
        </w:tc>
        <w:tc>
          <w:tcPr>
            <w:tcW w:w="1275" w:type="dxa"/>
          </w:tcPr>
          <w:p>
            <w:pPr>
              <w:pStyle w:val="yTableNAm"/>
              <w:rPr>
                <w:szCs w:val="22"/>
              </w:rPr>
            </w:pPr>
            <w:r>
              <w:rPr>
                <w:szCs w:val="22"/>
              </w:rPr>
              <w:br/>
              <w:t>19.10 plus 7.85 per page</w:t>
            </w:r>
          </w:p>
        </w:tc>
        <w:tc>
          <w:tcPr>
            <w:tcW w:w="1276" w:type="dxa"/>
          </w:tcPr>
          <w:p>
            <w:pPr>
              <w:pStyle w:val="yTableNAm"/>
              <w:rPr>
                <w:szCs w:val="22"/>
              </w:rPr>
            </w:pPr>
            <w:r>
              <w:rPr>
                <w:szCs w:val="22"/>
              </w:rPr>
              <w:br/>
              <w:t>19.10 plus 15.70 per page</w:t>
            </w:r>
          </w:p>
        </w:tc>
        <w:tc>
          <w:tcPr>
            <w:tcW w:w="1276" w:type="dxa"/>
          </w:tcPr>
          <w:p>
            <w:pPr>
              <w:pStyle w:val="yTableNAm"/>
              <w:rPr>
                <w:szCs w:val="22"/>
              </w:rPr>
            </w:pPr>
            <w:r>
              <w:rPr>
                <w:szCs w:val="22"/>
              </w:rPr>
              <w:br/>
              <w:t xml:space="preserve">5.70 plus </w:t>
            </w:r>
            <w:r>
              <w:rPr>
                <w:szCs w:val="22"/>
              </w:rPr>
              <w:br/>
              <w:t>2.35 per page</w:t>
            </w: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w:t>
            </w:r>
            <w:r>
              <w:rPr>
                <w:szCs w:val="22"/>
              </w:rPr>
              <w:tab/>
              <w:t>provided within 4 days after the day on which the fee is paid</w:t>
            </w:r>
          </w:p>
        </w:tc>
        <w:tc>
          <w:tcPr>
            <w:tcW w:w="1275" w:type="dxa"/>
          </w:tcPr>
          <w:p>
            <w:pPr>
              <w:pStyle w:val="yTableNAm"/>
              <w:rPr>
                <w:szCs w:val="22"/>
              </w:rPr>
            </w:pPr>
            <w:r>
              <w:rPr>
                <w:szCs w:val="22"/>
              </w:rPr>
              <w:br/>
              <w:t>19.10 plus 6.80 per page</w:t>
            </w:r>
          </w:p>
        </w:tc>
        <w:tc>
          <w:tcPr>
            <w:tcW w:w="1276" w:type="dxa"/>
          </w:tcPr>
          <w:p>
            <w:pPr>
              <w:pStyle w:val="yTableNAm"/>
              <w:rPr>
                <w:szCs w:val="22"/>
              </w:rPr>
            </w:pPr>
            <w:r>
              <w:rPr>
                <w:szCs w:val="22"/>
              </w:rPr>
              <w:br/>
              <w:t>19.10 plus 13.70 per page</w:t>
            </w:r>
          </w:p>
        </w:tc>
        <w:tc>
          <w:tcPr>
            <w:tcW w:w="1276" w:type="dxa"/>
          </w:tcPr>
          <w:p>
            <w:pPr>
              <w:pStyle w:val="yTableNAm"/>
              <w:rPr>
                <w:szCs w:val="22"/>
              </w:rPr>
            </w:pPr>
            <w:r>
              <w:rPr>
                <w:szCs w:val="22"/>
              </w:rPr>
              <w:br/>
              <w:t xml:space="preserve">5.70 plus </w:t>
            </w:r>
            <w:r>
              <w:rPr>
                <w:szCs w:val="22"/>
              </w:rPr>
              <w:br/>
              <w:t>2.05 per page</w:t>
            </w: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(iii)</w:t>
            </w:r>
            <w:r>
              <w:rPr>
                <w:szCs w:val="22"/>
              </w:rPr>
              <w:tab/>
              <w:t>provided within 7 days after the day on which the fee is paid</w:t>
            </w:r>
          </w:p>
        </w:tc>
        <w:tc>
          <w:tcPr>
            <w:tcW w:w="1275" w:type="dxa"/>
          </w:tcPr>
          <w:p>
            <w:pPr>
              <w:pStyle w:val="yTableNAm"/>
              <w:rPr>
                <w:szCs w:val="22"/>
              </w:rPr>
            </w:pPr>
            <w:r>
              <w:rPr>
                <w:szCs w:val="22"/>
              </w:rPr>
              <w:br/>
              <w:t>19.10 plus 6.55 per page</w:t>
            </w:r>
          </w:p>
        </w:tc>
        <w:tc>
          <w:tcPr>
            <w:tcW w:w="1276" w:type="dxa"/>
          </w:tcPr>
          <w:p>
            <w:pPr>
              <w:pStyle w:val="yTableNAm"/>
              <w:rPr>
                <w:szCs w:val="22"/>
              </w:rPr>
            </w:pPr>
            <w:r>
              <w:rPr>
                <w:szCs w:val="22"/>
              </w:rPr>
              <w:br/>
              <w:t>19.10 plus</w:t>
            </w:r>
            <w:r>
              <w:rPr>
                <w:szCs w:val="22"/>
              </w:rPr>
              <w:br/>
              <w:t>13.05 per page</w:t>
            </w:r>
          </w:p>
        </w:tc>
        <w:tc>
          <w:tcPr>
            <w:tcW w:w="1276" w:type="dxa"/>
          </w:tcPr>
          <w:p>
            <w:pPr>
              <w:pStyle w:val="yTableNAm"/>
              <w:rPr>
                <w:szCs w:val="22"/>
              </w:rPr>
            </w:pPr>
            <w:r>
              <w:rPr>
                <w:szCs w:val="22"/>
              </w:rPr>
              <w:br/>
              <w:t xml:space="preserve">5.70 plus </w:t>
            </w:r>
            <w:r>
              <w:rPr>
                <w:szCs w:val="22"/>
              </w:rPr>
              <w:br/>
              <w:t>2.00 per page</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 xml:space="preserve">for an additional copy of the transcript, or part of the transcript, provided under paragraph (a) — </w:t>
            </w:r>
          </w:p>
        </w:tc>
        <w:tc>
          <w:tcPr>
            <w:tcW w:w="1275" w:type="dxa"/>
          </w:tcPr>
          <w:p>
            <w:pPr>
              <w:pStyle w:val="yTableNAm"/>
              <w:rPr>
                <w:szCs w:val="22"/>
              </w:rPr>
            </w:pPr>
          </w:p>
        </w:tc>
        <w:tc>
          <w:tcPr>
            <w:tcW w:w="1276" w:type="dxa"/>
          </w:tcPr>
          <w:p>
            <w:pPr>
              <w:pStyle w:val="yTableNAm"/>
              <w:rPr>
                <w:szCs w:val="22"/>
              </w:rPr>
            </w:pPr>
          </w:p>
        </w:tc>
        <w:tc>
          <w:tcPr>
            <w:tcW w:w="1276" w:type="dxa"/>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in electronic format</w:t>
            </w:r>
          </w:p>
        </w:tc>
        <w:tc>
          <w:tcPr>
            <w:tcW w:w="1275" w:type="dxa"/>
          </w:tcPr>
          <w:p>
            <w:pPr>
              <w:pStyle w:val="yTableNAm"/>
              <w:rPr>
                <w:szCs w:val="22"/>
              </w:rPr>
            </w:pPr>
            <w:r>
              <w:rPr>
                <w:szCs w:val="22"/>
              </w:rPr>
              <w:t>19.95 per copy</w:t>
            </w:r>
          </w:p>
        </w:tc>
        <w:tc>
          <w:tcPr>
            <w:tcW w:w="1276" w:type="dxa"/>
          </w:tcPr>
          <w:p>
            <w:pPr>
              <w:pStyle w:val="yTableNAm"/>
              <w:rPr>
                <w:szCs w:val="22"/>
              </w:rPr>
            </w:pPr>
            <w:r>
              <w:rPr>
                <w:szCs w:val="22"/>
              </w:rPr>
              <w:t>19.95 per copy</w:t>
            </w:r>
          </w:p>
        </w:tc>
        <w:tc>
          <w:tcPr>
            <w:tcW w:w="1276" w:type="dxa"/>
          </w:tcPr>
          <w:p>
            <w:pPr>
              <w:pStyle w:val="yTableNAm"/>
              <w:rPr>
                <w:szCs w:val="22"/>
              </w:rPr>
            </w:pPr>
            <w:r>
              <w:rPr>
                <w:szCs w:val="22"/>
              </w:rPr>
              <w:t>6.00 per copy</w:t>
            </w:r>
          </w:p>
        </w:tc>
      </w:tr>
      <w:tr>
        <w:trPr>
          <w:cantSplit/>
        </w:trPr>
        <w:tc>
          <w:tcPr>
            <w:tcW w:w="673" w:type="dxa"/>
            <w:tcBorders>
              <w:bottom w:val="single" w:sz="4" w:space="0" w:color="auto"/>
            </w:tcBorders>
          </w:tcPr>
          <w:p>
            <w:pPr>
              <w:pStyle w:val="yTableNAm"/>
              <w:rPr>
                <w:szCs w:val="22"/>
              </w:rPr>
            </w:pPr>
          </w:p>
        </w:tc>
        <w:tc>
          <w:tcPr>
            <w:tcW w:w="2588" w:type="dxa"/>
            <w:tcBorders>
              <w:bottom w:val="single" w:sz="4" w:space="0" w:color="auto"/>
            </w:tcBorders>
          </w:tcPr>
          <w:p>
            <w:pPr>
              <w:pStyle w:val="yTableNAm"/>
              <w:tabs>
                <w:tab w:val="clear" w:pos="567"/>
                <w:tab w:val="left" w:pos="212"/>
                <w:tab w:val="left" w:pos="637"/>
              </w:tabs>
              <w:ind w:left="637" w:hanging="637"/>
              <w:rPr>
                <w:szCs w:val="22"/>
              </w:rPr>
            </w:pPr>
            <w:r>
              <w:rPr>
                <w:szCs w:val="22"/>
              </w:rPr>
              <w:tab/>
              <w:t>(ii)</w:t>
            </w:r>
            <w:r>
              <w:rPr>
                <w:szCs w:val="22"/>
              </w:rPr>
              <w:tab/>
              <w:t>paper copy</w:t>
            </w:r>
          </w:p>
        </w:tc>
        <w:tc>
          <w:tcPr>
            <w:tcW w:w="1275" w:type="dxa"/>
            <w:tcBorders>
              <w:bottom w:val="single" w:sz="4" w:space="0" w:color="auto"/>
            </w:tcBorders>
          </w:tcPr>
          <w:p>
            <w:pPr>
              <w:pStyle w:val="yTableNAm"/>
              <w:rPr>
                <w:szCs w:val="22"/>
              </w:rPr>
            </w:pPr>
            <w:r>
              <w:rPr>
                <w:szCs w:val="22"/>
              </w:rPr>
              <w:t>1.95 per page</w:t>
            </w:r>
          </w:p>
        </w:tc>
        <w:tc>
          <w:tcPr>
            <w:tcW w:w="1276" w:type="dxa"/>
            <w:tcBorders>
              <w:bottom w:val="single" w:sz="4" w:space="0" w:color="auto"/>
            </w:tcBorders>
          </w:tcPr>
          <w:p>
            <w:pPr>
              <w:pStyle w:val="yTableNAm"/>
              <w:rPr>
                <w:szCs w:val="22"/>
              </w:rPr>
            </w:pPr>
            <w:r>
              <w:rPr>
                <w:szCs w:val="22"/>
              </w:rPr>
              <w:t>1.95 per page</w:t>
            </w:r>
          </w:p>
        </w:tc>
        <w:tc>
          <w:tcPr>
            <w:tcW w:w="1276" w:type="dxa"/>
            <w:tcBorders>
              <w:bottom w:val="single" w:sz="4" w:space="0" w:color="auto"/>
            </w:tcBorders>
          </w:tcPr>
          <w:p>
            <w:pPr>
              <w:pStyle w:val="yTableNAm"/>
              <w:rPr>
                <w:szCs w:val="22"/>
              </w:rPr>
            </w:pPr>
            <w:r>
              <w:rPr>
                <w:szCs w:val="22"/>
              </w:rPr>
              <w:t>0.55 per page</w:t>
            </w:r>
          </w:p>
        </w:tc>
      </w:tr>
    </w:tbl>
    <w:p>
      <w:pPr>
        <w:pStyle w:val="yFootnotesection"/>
      </w:pPr>
      <w:r>
        <w:tab/>
        <w:t>[Schedule 1 inserted in Gazette 7 Jul 2017 p. 3740</w:t>
      </w:r>
      <w:r>
        <w:noBreakHyphen/>
        <w:t>9.]</w:t>
      </w:r>
    </w:p>
    <w:p>
      <w:pPr>
        <w:pStyle w:val="yScheduleHeading"/>
      </w:pPr>
      <w:bookmarkStart w:id="24" w:name="_Toc516819535"/>
      <w:r>
        <w:rPr>
          <w:rStyle w:val="CharSchNo"/>
        </w:rPr>
        <w:t>Schedule 2</w:t>
      </w:r>
      <w:r>
        <w:t> — </w:t>
      </w:r>
      <w:r>
        <w:rPr>
          <w:rStyle w:val="CharSchText"/>
        </w:rPr>
        <w:t>Sheriff’s fees</w:t>
      </w:r>
      <w:bookmarkEnd w:id="24"/>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r>
              <w:rPr>
                <w:szCs w:val="22"/>
              </w:rPr>
              <w:t>131.65</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t>130.00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t>34.50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w:t>
            </w:r>
            <w:r>
              <w:rPr>
                <w:szCs w:val="22"/>
              </w:rPr>
              <w:t>includes the costs of —</w:t>
            </w:r>
          </w:p>
          <w:p>
            <w:pPr>
              <w:pStyle w:val="yTableNAm"/>
              <w:spacing w:before="100"/>
            </w:pPr>
            <w:r>
              <w:t>(a)</w:t>
            </w:r>
            <w:r>
              <w:tab/>
            </w:r>
            <w:r>
              <w:rPr>
                <w:szCs w:val="22"/>
              </w:rPr>
              <w:t>receiving and printing</w:t>
            </w:r>
            <w:r>
              <w:t xml:space="preserve">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r>
            <w:r>
              <w:rPr>
                <w:szCs w:val="22"/>
              </w:rPr>
              <w:t>73.15</w:t>
            </w:r>
          </w:p>
        </w:tc>
      </w:tr>
      <w:tr>
        <w:tc>
          <w:tcPr>
            <w:tcW w:w="7088" w:type="dxa"/>
            <w:gridSpan w:val="3"/>
          </w:tcPr>
          <w:p>
            <w:pPr>
              <w:pStyle w:val="yTableNAm"/>
            </w:pPr>
            <w:r>
              <w:rPr>
                <w:szCs w:val="22"/>
              </w:rPr>
              <w:t>NOTE 1:</w:t>
            </w:r>
          </w:p>
          <w:p>
            <w:pPr>
              <w:pStyle w:val="yTableNAm"/>
              <w:keepNext/>
              <w:spacing w:before="100"/>
            </w:pPr>
            <w:r>
              <w:t>The fee is payable whether or not the service is successful and covers up to 3 attempts at service at the same address.</w:t>
            </w:r>
          </w:p>
        </w:tc>
      </w:tr>
      <w:tr>
        <w:tc>
          <w:tcPr>
            <w:tcW w:w="7088" w:type="dxa"/>
            <w:gridSpan w:val="3"/>
          </w:tcPr>
          <w:p>
            <w:pPr>
              <w:pStyle w:val="yTableNAm"/>
            </w:pPr>
            <w:r>
              <w:t>NOTE 2:</w:t>
            </w:r>
          </w:p>
        </w:tc>
      </w:tr>
      <w:tr>
        <w:tc>
          <w:tcPr>
            <w:tcW w:w="7088" w:type="dxa"/>
            <w:gridSpan w:val="3"/>
          </w:tcPr>
          <w:p>
            <w:pPr>
              <w:pStyle w:val="yTableNAm"/>
            </w:pPr>
            <w:r>
              <w:t>The fee includes the costs of receiving and printing the process.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t>1.85</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t>2.05</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t>69.00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r>
              <w:t>221.00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 19 Jun 2015 p. 2121</w:t>
      </w:r>
      <w:r>
        <w:noBreakHyphen/>
        <w:t>2; 14 Jun 2016 p. 1899; 7 Jul 2017 p. 3750; 9 Feb 2018 p. 403</w:t>
      </w:r>
      <w:r>
        <w:noBreakHyphen/>
        <w:t>4.]</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26" w:name="_Toc516819536"/>
      <w:r>
        <w:rPr>
          <w:rStyle w:val="CharSchNo"/>
        </w:rPr>
        <w:t>Schedule 3</w:t>
      </w:r>
      <w:r>
        <w:t xml:space="preserve"> — </w:t>
      </w:r>
      <w:r>
        <w:rPr>
          <w:rStyle w:val="CharSchText"/>
        </w:rPr>
        <w:t>Forms</w:t>
      </w:r>
      <w:bookmarkEnd w:id="26"/>
    </w:p>
    <w:p>
      <w:pPr>
        <w:pStyle w:val="yShoulderClause"/>
        <w:spacing w:after="60"/>
      </w:pPr>
      <w:r>
        <w:rPr>
          <w:szCs w:val="22"/>
        </w:rPr>
        <w:t>[r. 4A(1) and 8(2)]</w:t>
      </w:r>
    </w:p>
    <w:p>
      <w:pPr>
        <w:pStyle w:val="yFootnoteheading"/>
        <w:spacing w:after="120"/>
      </w:pPr>
      <w:r>
        <w:tab/>
        <w:t>[Heading amended in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in Gazette 30 Dec 2003 p. 5707</w:t>
      </w:r>
      <w:r>
        <w:noBreakHyphen/>
        <w:t>8; 14 Jun 2016 p. 1900.]</w:t>
      </w: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487" w:type="dxa"/>
            <w:gridSpan w:val="32"/>
          </w:tcPr>
          <w:p>
            <w:pPr>
              <w:pStyle w:val="yTableNAm"/>
              <w:jc w:val="center"/>
              <w:rPr>
                <w:b/>
                <w:sz w:val="18"/>
                <w:szCs w:val="18"/>
              </w:rPr>
            </w:pPr>
            <w:r>
              <w:rPr>
                <w:b/>
                <w:bCs/>
                <w:sz w:val="18"/>
                <w:szCs w:val="18"/>
              </w:rPr>
              <w:t>Form 2</w:t>
            </w:r>
          </w:p>
          <w:p>
            <w:pPr>
              <w:pStyle w:val="yTableNAm"/>
              <w:jc w:val="center"/>
              <w:rPr>
                <w:b/>
                <w:sz w:val="18"/>
                <w:szCs w:val="18"/>
              </w:rPr>
            </w:pPr>
            <w:r>
              <w:rPr>
                <w:b/>
                <w:sz w:val="18"/>
                <w:szCs w:val="18"/>
              </w:rPr>
              <w:t>Application to reduce fee</w:t>
            </w:r>
          </w:p>
        </w:tc>
      </w:tr>
      <w:tr>
        <w:tc>
          <w:tcPr>
            <w:tcW w:w="3300"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487"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sz w:val="18"/>
                <w:szCs w:val="18"/>
              </w:rPr>
              <w:t>Fee type for which request is made:</w:t>
            </w:r>
          </w:p>
        </w:tc>
      </w:tr>
      <w:tr>
        <w:tc>
          <w:tcPr>
            <w:tcW w:w="1568"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2660"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2660"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2660"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1953"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487" w:type="dxa"/>
            <w:gridSpan w:val="32"/>
          </w:tcPr>
          <w:p>
            <w:pPr>
              <w:pStyle w:val="yTableNAm"/>
              <w:rPr>
                <w:sz w:val="18"/>
                <w:szCs w:val="18"/>
              </w:rPr>
            </w:pPr>
            <w:r>
              <w:rPr>
                <w:sz w:val="18"/>
                <w:szCs w:val="18"/>
              </w:rPr>
              <w:t xml:space="preserve">If you are applying for a fee reduction because of financial hardship or in the interests of justice, 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487" w:type="dxa"/>
            <w:gridSpan w:val="32"/>
          </w:tcPr>
          <w:p>
            <w:pPr>
              <w:pStyle w:val="yTableNAm"/>
              <w:rPr>
                <w:sz w:val="18"/>
                <w:szCs w:val="18"/>
              </w:rPr>
            </w:pPr>
          </w:p>
        </w:tc>
      </w:tr>
      <w:tr>
        <w:tc>
          <w:tcPr>
            <w:tcW w:w="6487" w:type="dxa"/>
            <w:gridSpan w:val="32"/>
          </w:tcPr>
          <w:p>
            <w:pPr>
              <w:pStyle w:val="yTableNAm"/>
              <w:rPr>
                <w:sz w:val="18"/>
                <w:szCs w:val="18"/>
              </w:rPr>
            </w:pPr>
            <w:r>
              <w:rPr>
                <w:b/>
                <w:sz w:val="18"/>
                <w:szCs w:val="18"/>
              </w:rPr>
              <w:t>I certify that the above information and disclosures in this form are true and correct.</w:t>
            </w:r>
          </w:p>
        </w:tc>
      </w:tr>
      <w:tr>
        <w:tc>
          <w:tcPr>
            <w:tcW w:w="3449"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487"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in Gazette 14 Jun 2016 p. 1900</w:t>
      </w:r>
      <w:r>
        <w:noBreakHyphen/>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pPr>
      <w:bookmarkStart w:id="27" w:name="_Toc516819537"/>
      <w:r>
        <w:t>Notes</w:t>
      </w:r>
      <w:bookmarkEnd w:id="27"/>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28" w:name="_Toc516819538"/>
      <w:r>
        <w:t>Compilation table</w:t>
      </w:r>
      <w:bookmarkEnd w:id="28"/>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712"/>
        <w:gridCol w:w="10"/>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722" w:type="dxa"/>
            <w:gridSpan w:val="2"/>
            <w:tcBorders>
              <w:top w:val="single" w:sz="8" w:space="0" w:color="auto"/>
            </w:tcBorders>
          </w:tcPr>
          <w:p>
            <w:pPr>
              <w:pStyle w:val="nTable"/>
              <w:spacing w:after="40"/>
            </w:pPr>
            <w:r>
              <w:t>1 Jan 2002 (see r. 2)</w:t>
            </w:r>
          </w:p>
        </w:tc>
      </w:tr>
      <w:tr>
        <w:tc>
          <w:tcPr>
            <w:tcW w:w="3123"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722" w:type="dxa"/>
            <w:gridSpan w:val="2"/>
          </w:tcPr>
          <w:p>
            <w:pPr>
              <w:pStyle w:val="nTable"/>
              <w:spacing w:after="40"/>
            </w:pPr>
            <w:r>
              <w:t xml:space="preserve">1 Jul 2003 (see r. 2 and </w:t>
            </w:r>
            <w:r>
              <w:rPr>
                <w:i/>
              </w:rPr>
              <w:t xml:space="preserve">Gazette </w:t>
            </w:r>
            <w:r>
              <w:t>30 Jun 2003 p. 2579</w:t>
            </w:r>
            <w:r>
              <w:rPr>
                <w:iCs/>
              </w:rPr>
              <w:t>)</w:t>
            </w:r>
          </w:p>
        </w:tc>
      </w:tr>
      <w:tr>
        <w:tc>
          <w:tcPr>
            <w:tcW w:w="3123"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722" w:type="dxa"/>
            <w:gridSpan w:val="2"/>
          </w:tcPr>
          <w:p>
            <w:pPr>
              <w:pStyle w:val="nTable"/>
              <w:spacing w:after="40"/>
            </w:pPr>
            <w:r>
              <w:t>1 Jan 2004 (see r. 2)</w:t>
            </w:r>
          </w:p>
        </w:tc>
      </w:tr>
      <w:tr>
        <w:tc>
          <w:tcPr>
            <w:tcW w:w="3123"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722" w:type="dxa"/>
            <w:gridSpan w:val="2"/>
          </w:tcPr>
          <w:p>
            <w:pPr>
              <w:pStyle w:val="nTable"/>
              <w:spacing w:after="40"/>
            </w:pPr>
            <w:r>
              <w:t xml:space="preserve">1 May 2005 (see r. 2 and </w:t>
            </w:r>
            <w:r>
              <w:rPr>
                <w:i/>
                <w:iCs/>
              </w:rPr>
              <w:t>Gazette</w:t>
            </w:r>
            <w:r>
              <w:t xml:space="preserve"> 31 Dec 2004 p. 7128)</w:t>
            </w:r>
          </w:p>
        </w:tc>
      </w:tr>
      <w:tr>
        <w:tc>
          <w:tcPr>
            <w:tcW w:w="3123"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722" w:type="dxa"/>
            <w:gridSpan w:val="2"/>
          </w:tcPr>
          <w:p>
            <w:pPr>
              <w:pStyle w:val="nTable"/>
              <w:spacing w:after="40"/>
            </w:pPr>
            <w:r>
              <w:t>1 Jul 2005 (see r. 2)</w:t>
            </w:r>
          </w:p>
        </w:tc>
      </w:tr>
      <w:tr>
        <w:tc>
          <w:tcPr>
            <w:tcW w:w="3123"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722" w:type="dxa"/>
            <w:gridSpan w:val="2"/>
          </w:tcPr>
          <w:p>
            <w:pPr>
              <w:pStyle w:val="nTable"/>
              <w:spacing w:after="40"/>
            </w:pPr>
            <w:r>
              <w:t>1 Jul 2006 (see r. 2)</w:t>
            </w:r>
          </w:p>
        </w:tc>
      </w:tr>
      <w:tr>
        <w:trPr>
          <w:cantSplit/>
        </w:trPr>
        <w:tc>
          <w:tcPr>
            <w:tcW w:w="7121" w:type="dxa"/>
            <w:gridSpan w:val="4"/>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23"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722" w:type="dxa"/>
            <w:gridSpan w:val="2"/>
          </w:tcPr>
          <w:p>
            <w:pPr>
              <w:pStyle w:val="nTable"/>
              <w:spacing w:after="40"/>
            </w:pPr>
            <w:r>
              <w:t>r. 1 and 2: 26 Jun 2007 (see r. 2(a));</w:t>
            </w:r>
            <w:r>
              <w:br/>
              <w:t>Regulations other than r. 1 and 2: 1 Jul 2007 (see r. 2(b))</w:t>
            </w:r>
          </w:p>
        </w:tc>
      </w:tr>
      <w:tr>
        <w:tc>
          <w:tcPr>
            <w:tcW w:w="3123"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722" w:type="dxa"/>
            <w:gridSpan w:val="2"/>
          </w:tcPr>
          <w:p>
            <w:pPr>
              <w:pStyle w:val="nTable"/>
              <w:spacing w:after="40"/>
            </w:pPr>
            <w:r>
              <w:t>r. 1 and 2: 27 Jun 2008 (see r. 2(a));</w:t>
            </w:r>
            <w:r>
              <w:br/>
              <w:t>Regulations other than r. 1 and 2: 1 Jul 2008 (see r. 2(b))</w:t>
            </w:r>
          </w:p>
        </w:tc>
      </w:tr>
      <w:tr>
        <w:tc>
          <w:tcPr>
            <w:tcW w:w="3123"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722" w:type="dxa"/>
            <w:gridSpan w:val="2"/>
          </w:tcPr>
          <w:p>
            <w:pPr>
              <w:pStyle w:val="nTable"/>
              <w:spacing w:after="40"/>
            </w:pPr>
            <w:r>
              <w:rPr>
                <w:snapToGrid w:val="0"/>
              </w:rPr>
              <w:t>r. 1 and 2: 9 Jun 2009 (see r. 2(a));</w:t>
            </w:r>
            <w:r>
              <w:rPr>
                <w:snapToGrid w:val="0"/>
              </w:rPr>
              <w:br/>
              <w:t>Regulations other than r. 1 and 2: 10 Jun 2009 (see r. 2(b))</w:t>
            </w:r>
          </w:p>
        </w:tc>
      </w:tr>
      <w:tr>
        <w:tc>
          <w:tcPr>
            <w:tcW w:w="3123"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722" w:type="dxa"/>
            <w:gridSpan w:val="2"/>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121" w:type="dxa"/>
            <w:gridSpan w:val="4"/>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23"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722" w:type="dxa"/>
            <w:gridSpan w:val="2"/>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23"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722" w:type="dxa"/>
            <w:gridSpan w:val="2"/>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23"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722" w:type="dxa"/>
            <w:gridSpan w:val="2"/>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23"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722" w:type="dxa"/>
            <w:gridSpan w:val="2"/>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23"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722" w:type="dxa"/>
            <w:gridSpan w:val="2"/>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23"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722" w:type="dxa"/>
            <w:gridSpan w:val="2"/>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23"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722" w:type="dxa"/>
            <w:gridSpan w:val="2"/>
          </w:tcPr>
          <w:p>
            <w:pPr>
              <w:pStyle w:val="nTable"/>
              <w:spacing w:after="40"/>
            </w:pPr>
            <w:r>
              <w:rPr>
                <w:bCs/>
                <w:snapToGrid w:val="0"/>
              </w:rPr>
              <w:t>r. 1 and 2: 15 Nov 2013 (see r. 2(a));</w:t>
            </w:r>
            <w:r>
              <w:rPr>
                <w:bCs/>
                <w:snapToGrid w:val="0"/>
              </w:rPr>
              <w:br/>
              <w:t>Regulations other than r. 1 and 2: 16 Nov 2013 (see r. 2(b))</w:t>
            </w:r>
          </w:p>
        </w:tc>
      </w:tr>
      <w:tr>
        <w:tc>
          <w:tcPr>
            <w:tcW w:w="3123"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722" w:type="dxa"/>
            <w:gridSpan w:val="2"/>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121" w:type="dxa"/>
            <w:gridSpan w:val="4"/>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23"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722" w:type="dxa"/>
            <w:gridSpan w:val="2"/>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c>
          <w:tcPr>
            <w:tcW w:w="3123"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722" w:type="dxa"/>
            <w:gridSpan w:val="2"/>
            <w:shd w:val="clear" w:color="auto" w:fill="auto"/>
          </w:tcPr>
          <w:p>
            <w:pPr>
              <w:pStyle w:val="nTable"/>
              <w:keepNext/>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c>
          <w:tcPr>
            <w:tcW w:w="3123"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 xml:space="preserve">986 (as amended in </w:t>
            </w:r>
            <w:r>
              <w:rPr>
                <w:i/>
              </w:rPr>
              <w:t xml:space="preserve">Gazette </w:t>
            </w:r>
            <w:r>
              <w:t>9 Sep 2016 p. 3886)</w:t>
            </w:r>
          </w:p>
        </w:tc>
        <w:tc>
          <w:tcPr>
            <w:tcW w:w="2722" w:type="dxa"/>
            <w:gridSpan w:val="2"/>
            <w:shd w:val="clear" w:color="auto" w:fill="auto"/>
          </w:tcPr>
          <w:p>
            <w:pPr>
              <w:pStyle w:val="nTable"/>
              <w:spacing w:after="40"/>
              <w:rPr>
                <w:rFonts w:ascii="Times" w:hAnsi="Times"/>
                <w:bCs/>
                <w:snapToGrid w:val="0"/>
                <w:spacing w:val="-2"/>
              </w:rPr>
            </w:pPr>
            <w:r>
              <w:t>4 Jul 2016 (see r. 2(b))</w:t>
            </w:r>
          </w:p>
        </w:tc>
      </w:tr>
      <w:tr>
        <w:tc>
          <w:tcPr>
            <w:tcW w:w="3123"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722" w:type="dxa"/>
            <w:gridSpan w:val="2"/>
            <w:shd w:val="clear" w:color="auto" w:fill="auto"/>
          </w:tcPr>
          <w:p>
            <w:pPr>
              <w:pStyle w:val="nTable"/>
              <w:spacing w:after="40"/>
            </w:pPr>
            <w:r>
              <w:t>10 Sep 2016 (see r. 2(b))</w:t>
            </w:r>
          </w:p>
        </w:tc>
      </w:tr>
      <w:tr>
        <w:trPr>
          <w:gridAfter w:val="1"/>
          <w:wAfter w:w="10" w:type="dxa"/>
        </w:trPr>
        <w:tc>
          <w:tcPr>
            <w:tcW w:w="3123"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712"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rPr>
          <w:gridAfter w:val="1"/>
          <w:wAfter w:w="10" w:type="dxa"/>
        </w:trPr>
        <w:tc>
          <w:tcPr>
            <w:tcW w:w="3123"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712" w:type="dxa"/>
            <w:shd w:val="clear" w:color="auto" w:fill="auto"/>
          </w:tcPr>
          <w:p>
            <w:pPr>
              <w:pStyle w:val="nTable"/>
              <w:spacing w:after="40"/>
              <w:rPr>
                <w:bCs/>
                <w:snapToGrid w:val="0"/>
              </w:rPr>
            </w:pPr>
            <w:r>
              <w:rPr>
                <w:rFonts w:ascii="Times" w:hAnsi="Times"/>
                <w:bCs/>
                <w:snapToGrid w:val="0"/>
                <w:spacing w:val="-2"/>
              </w:rPr>
              <w:t>r. 1 and 2: 14 Jul 2017 (see r. 2(a));</w:t>
            </w:r>
            <w:r>
              <w:rPr>
                <w:rFonts w:ascii="Times" w:hAnsi="Times"/>
                <w:bCs/>
                <w:snapToGrid w:val="0"/>
                <w:spacing w:val="-2"/>
              </w:rPr>
              <w:br/>
              <w:t>Regulations other than r. 1 and 2: 15 Jul 2017 (see r. 2(b))</w:t>
            </w:r>
          </w:p>
        </w:tc>
      </w:tr>
      <w:tr>
        <w:trPr>
          <w:gridAfter w:val="1"/>
          <w:wAfter w:w="10" w:type="dxa"/>
        </w:trPr>
        <w:tc>
          <w:tcPr>
            <w:tcW w:w="3123" w:type="dxa"/>
            <w:tcBorders>
              <w:bottom w:val="single" w:sz="4" w:space="0" w:color="auto"/>
            </w:tcBorders>
            <w:shd w:val="clear" w:color="auto" w:fill="auto"/>
          </w:tcPr>
          <w:p>
            <w:pPr>
              <w:pStyle w:val="nTable"/>
              <w:spacing w:after="40"/>
              <w:rPr>
                <w:i/>
              </w:rPr>
            </w:pPr>
            <w:r>
              <w:rPr>
                <w:i/>
              </w:rPr>
              <w:t>Attorney General Regulations Amendment (Bailiff Fees) Regulations 2018</w:t>
            </w:r>
            <w:r>
              <w:t xml:space="preserve"> Pt. 4</w:t>
            </w:r>
          </w:p>
        </w:tc>
        <w:tc>
          <w:tcPr>
            <w:tcW w:w="1276" w:type="dxa"/>
            <w:tcBorders>
              <w:bottom w:val="single" w:sz="4" w:space="0" w:color="auto"/>
            </w:tcBorders>
            <w:shd w:val="clear" w:color="auto" w:fill="auto"/>
          </w:tcPr>
          <w:p>
            <w:pPr>
              <w:pStyle w:val="nTable"/>
              <w:spacing w:after="40"/>
            </w:pPr>
            <w:r>
              <w:t>9 Feb 2018 p. 401</w:t>
            </w:r>
            <w:r>
              <w:noBreakHyphen/>
              <w:t>5</w:t>
            </w:r>
          </w:p>
        </w:tc>
        <w:tc>
          <w:tcPr>
            <w:tcW w:w="2712" w:type="dxa"/>
            <w:tcBorders>
              <w:bottom w:val="single" w:sz="4" w:space="0" w:color="auto"/>
            </w:tcBorders>
            <w:shd w:val="clear" w:color="auto" w:fill="auto"/>
          </w:tcPr>
          <w:p>
            <w:pPr>
              <w:pStyle w:val="nTable"/>
              <w:spacing w:after="40"/>
              <w:rPr>
                <w:rFonts w:ascii="Times" w:hAnsi="Times"/>
                <w:bCs/>
                <w:snapToGrid w:val="0"/>
                <w:spacing w:val="-2"/>
              </w:rPr>
            </w:pPr>
            <w:r>
              <w:rPr>
                <w:bCs/>
                <w:snapToGrid w:val="0"/>
              </w:rPr>
              <w:t>10 Feb 2018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9" w:name="_Toc516819539"/>
      <w:r>
        <w:t>Provisions that have not come into operation</w:t>
      </w:r>
      <w:bookmarkEnd w:id="29"/>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9" w:type="dxa"/>
            <w:tcBorders>
              <w:top w:val="single" w:sz="8" w:space="0" w:color="auto"/>
              <w:bottom w:val="single" w:sz="8" w:space="0" w:color="auto"/>
            </w:tcBorders>
          </w:tcPr>
          <w:p>
            <w:pPr>
              <w:pStyle w:val="nTable"/>
              <w:spacing w:after="40"/>
              <w:ind w:right="113"/>
              <w:rPr>
                <w:vertAlign w:val="superscript"/>
              </w:rPr>
            </w:pPr>
            <w:r>
              <w:rPr>
                <w:i/>
              </w:rPr>
              <w:t>Attorney General Regulations Amendment (Fees and Charges) Regulations 2018 </w:t>
            </w:r>
            <w:r>
              <w:t>Pt. 5 </w:t>
            </w:r>
            <w:r>
              <w:rPr>
                <w:vertAlign w:val="superscript"/>
              </w:rPr>
              <w:t>6</w:t>
            </w:r>
          </w:p>
        </w:tc>
        <w:tc>
          <w:tcPr>
            <w:tcW w:w="1276" w:type="dxa"/>
            <w:tcBorders>
              <w:top w:val="single" w:sz="8" w:space="0" w:color="auto"/>
              <w:bottom w:val="single" w:sz="8" w:space="0" w:color="auto"/>
            </w:tcBorders>
          </w:tcPr>
          <w:p>
            <w:pPr>
              <w:pStyle w:val="nTable"/>
              <w:spacing w:after="40"/>
            </w:pPr>
            <w:r>
              <w:t>15 Jun 2018 p. 1963</w:t>
            </w:r>
            <w:r>
              <w:noBreakHyphen/>
              <w:t>2049</w:t>
            </w:r>
          </w:p>
        </w:tc>
        <w:tc>
          <w:tcPr>
            <w:tcW w:w="2693" w:type="dxa"/>
            <w:tcBorders>
              <w:top w:val="single" w:sz="8" w:space="0" w:color="auto"/>
              <w:bottom w:val="single" w:sz="8" w:space="0" w:color="auto"/>
            </w:tcBorders>
          </w:tcPr>
          <w:p>
            <w:pPr>
              <w:pStyle w:val="nTable"/>
              <w:spacing w:after="40"/>
            </w:pPr>
            <w:r>
              <w:t>1 Jul 2018 (see r. 2(b))</w:t>
            </w:r>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pStyle w:val="nSubsection"/>
        <w:spacing w:before="200"/>
        <w:rPr>
          <w:snapToGrid w:val="0"/>
        </w:rPr>
      </w:pPr>
      <w:r>
        <w:rPr>
          <w:snapToGrid w:val="0"/>
          <w:vertAlign w:val="superscript"/>
        </w:rPr>
        <w:t>6</w:t>
      </w:r>
      <w:r>
        <w:rPr>
          <w:snapToGrid w:val="0"/>
        </w:rPr>
        <w:tab/>
      </w:r>
      <w:r>
        <w:t xml:space="preserve">On </w:t>
      </w:r>
      <w:r>
        <w:rPr>
          <w:snapToGrid w:val="0"/>
        </w:rPr>
        <w:t>the</w:t>
      </w:r>
      <w:r>
        <w:t xml:space="preserve"> date as at which this compilation was prepared, </w:t>
      </w:r>
      <w:r>
        <w:rPr>
          <w:snapToGrid w:val="0"/>
        </w:rPr>
        <w:t xml:space="preserve">the </w:t>
      </w:r>
      <w:r>
        <w:rPr>
          <w:i/>
        </w:rPr>
        <w:t>Attorney General Regulations Amendment (Fees and Charges) Regulations 2018 </w:t>
      </w:r>
      <w:r>
        <w:t>Pt. 5</w:t>
      </w:r>
      <w:r>
        <w:rPr>
          <w:i/>
        </w:rPr>
        <w:t xml:space="preserve"> </w:t>
      </w:r>
      <w:r>
        <w:rPr>
          <w:snapToGrid w:val="0"/>
        </w:rPr>
        <w:t>had not come into operation.  It reads as follows:</w:t>
      </w:r>
    </w:p>
    <w:p>
      <w:pPr>
        <w:pStyle w:val="BlankOpen"/>
        <w:rPr>
          <w:snapToGrid w:val="0"/>
        </w:rPr>
      </w:pPr>
    </w:p>
    <w:p>
      <w:pPr>
        <w:pStyle w:val="nzHeading2"/>
      </w:pPr>
      <w:bookmarkStart w:id="30" w:name="_Toc514321216"/>
      <w:bookmarkStart w:id="31" w:name="_Toc514321281"/>
      <w:bookmarkStart w:id="32" w:name="_Toc514330275"/>
      <w:bookmarkStart w:id="33" w:name="_Toc514334940"/>
      <w:bookmarkStart w:id="34" w:name="_Toc514336289"/>
      <w:bookmarkStart w:id="35" w:name="_Toc514336491"/>
      <w:bookmarkStart w:id="36" w:name="_Toc514414465"/>
      <w:bookmarkStart w:id="37" w:name="_Toc514414530"/>
      <w:bookmarkStart w:id="38" w:name="_Toc514657440"/>
      <w:bookmarkStart w:id="39" w:name="_Toc514666261"/>
      <w:r>
        <w:rPr>
          <w:rStyle w:val="CharPartNo"/>
        </w:rPr>
        <w:t>Part 5</w:t>
      </w:r>
      <w:r>
        <w:rPr>
          <w:rStyle w:val="CharDivNo"/>
        </w:rPr>
        <w:t> </w:t>
      </w:r>
      <w:r>
        <w:t>—</w:t>
      </w:r>
      <w:r>
        <w:rPr>
          <w:rStyle w:val="CharDivText"/>
        </w:rPr>
        <w:t> </w:t>
      </w:r>
      <w:r>
        <w:rPr>
          <w:rStyle w:val="CharPartText"/>
          <w:i/>
        </w:rPr>
        <w:t>District Court (Fees) Regulations 2002</w:t>
      </w:r>
      <w:r>
        <w:rPr>
          <w:rStyle w:val="CharPartText"/>
        </w:rPr>
        <w:t> amended</w:t>
      </w:r>
      <w:bookmarkEnd w:id="30"/>
      <w:bookmarkEnd w:id="31"/>
      <w:bookmarkEnd w:id="32"/>
      <w:bookmarkEnd w:id="33"/>
      <w:bookmarkEnd w:id="34"/>
      <w:bookmarkEnd w:id="35"/>
      <w:bookmarkEnd w:id="36"/>
      <w:bookmarkEnd w:id="37"/>
      <w:bookmarkEnd w:id="38"/>
      <w:bookmarkEnd w:id="39"/>
    </w:p>
    <w:p>
      <w:pPr>
        <w:pStyle w:val="nzHeading5"/>
        <w:rPr>
          <w:snapToGrid w:val="0"/>
        </w:rPr>
      </w:pPr>
      <w:bookmarkStart w:id="40" w:name="_Toc514414466"/>
      <w:bookmarkStart w:id="41" w:name="_Toc514666262"/>
      <w:r>
        <w:rPr>
          <w:rStyle w:val="CharSectno"/>
        </w:rPr>
        <w:t>11</w:t>
      </w:r>
      <w:r>
        <w:rPr>
          <w:snapToGrid w:val="0"/>
        </w:rPr>
        <w:t>.</w:t>
      </w:r>
      <w:r>
        <w:rPr>
          <w:snapToGrid w:val="0"/>
        </w:rPr>
        <w:tab/>
        <w:t>Regulations amended</w:t>
      </w:r>
      <w:bookmarkEnd w:id="40"/>
      <w:bookmarkEnd w:id="41"/>
    </w:p>
    <w:p>
      <w:pPr>
        <w:pStyle w:val="nzSubsection"/>
      </w:pPr>
      <w:r>
        <w:tab/>
      </w:r>
      <w:r>
        <w:tab/>
      </w:r>
      <w:r>
        <w:rPr>
          <w:spacing w:val="-2"/>
        </w:rPr>
        <w:t>This Part</w:t>
      </w:r>
      <w:r>
        <w:t xml:space="preserve"> amends the </w:t>
      </w:r>
      <w:r>
        <w:rPr>
          <w:i/>
        </w:rPr>
        <w:t>District Court (Fees) Regulations 2002</w:t>
      </w:r>
      <w:r>
        <w:t>.</w:t>
      </w:r>
    </w:p>
    <w:p>
      <w:pPr>
        <w:pStyle w:val="nzHeading5"/>
      </w:pPr>
      <w:bookmarkStart w:id="42" w:name="_Toc514414467"/>
      <w:bookmarkStart w:id="43" w:name="_Toc514666263"/>
      <w:r>
        <w:rPr>
          <w:rStyle w:val="CharSectno"/>
        </w:rPr>
        <w:t>12</w:t>
      </w:r>
      <w:r>
        <w:t>.</w:t>
      </w:r>
      <w:r>
        <w:tab/>
        <w:t>Schedule 1 replaced</w:t>
      </w:r>
      <w:bookmarkEnd w:id="42"/>
      <w:bookmarkEnd w:id="43"/>
    </w:p>
    <w:p>
      <w:pPr>
        <w:pStyle w:val="nzSubsection"/>
      </w:pPr>
      <w:r>
        <w:tab/>
      </w:r>
      <w:r>
        <w:tab/>
        <w:t>Delete Schedule 1 and insert:</w:t>
      </w:r>
    </w:p>
    <w:p>
      <w:pPr>
        <w:pStyle w:val="BlankOpen"/>
      </w:pPr>
    </w:p>
    <w:p>
      <w:pPr>
        <w:pStyle w:val="nzHeading2"/>
      </w:pPr>
      <w:bookmarkStart w:id="44" w:name="_Toc514321219"/>
      <w:bookmarkStart w:id="45" w:name="_Toc514321284"/>
      <w:bookmarkStart w:id="46" w:name="_Toc514330278"/>
      <w:bookmarkStart w:id="47" w:name="_Toc514334943"/>
      <w:bookmarkStart w:id="48" w:name="_Toc514336292"/>
      <w:bookmarkStart w:id="49" w:name="_Toc514336494"/>
      <w:bookmarkStart w:id="50" w:name="_Toc514414468"/>
      <w:bookmarkStart w:id="51" w:name="_Toc514414533"/>
      <w:bookmarkStart w:id="52" w:name="_Toc514657443"/>
      <w:bookmarkStart w:id="53" w:name="_Toc514666264"/>
      <w:r>
        <w:t>Schedule 1 — Registry fees</w:t>
      </w:r>
      <w:bookmarkEnd w:id="44"/>
      <w:bookmarkEnd w:id="45"/>
      <w:bookmarkEnd w:id="46"/>
      <w:bookmarkEnd w:id="47"/>
      <w:bookmarkEnd w:id="48"/>
      <w:bookmarkEnd w:id="49"/>
      <w:bookmarkEnd w:id="50"/>
      <w:bookmarkEnd w:id="51"/>
      <w:bookmarkEnd w:id="52"/>
      <w:bookmarkEnd w:id="53"/>
    </w:p>
    <w:p>
      <w:pPr>
        <w:pStyle w:val="nzShoulderClause"/>
      </w:pPr>
      <w:r>
        <w:t>[r. 4]</w:t>
      </w: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jc w:val="center"/>
              <w:rPr>
                <w:b/>
              </w:rPr>
            </w:pPr>
            <w:r>
              <w:rPr>
                <w:b/>
              </w:rPr>
              <w:t>Item</w:t>
            </w:r>
          </w:p>
        </w:tc>
        <w:tc>
          <w:tcPr>
            <w:tcW w:w="2588" w:type="dxa"/>
            <w:tcBorders>
              <w:top w:val="single" w:sz="4" w:space="0" w:color="auto"/>
              <w:bottom w:val="single" w:sz="4" w:space="0" w:color="auto"/>
            </w:tcBorders>
          </w:tcPr>
          <w:p>
            <w:pPr>
              <w:pStyle w:val="yTableNAm"/>
              <w:jc w:val="center"/>
              <w:rPr>
                <w:b/>
              </w:rPr>
            </w:pPr>
            <w:r>
              <w:rPr>
                <w:b/>
              </w:rPr>
              <w:t>Matter</w:t>
            </w:r>
          </w:p>
        </w:tc>
        <w:tc>
          <w:tcPr>
            <w:tcW w:w="1275" w:type="dxa"/>
            <w:tcBorders>
              <w:top w:val="single" w:sz="4" w:space="0" w:color="auto"/>
              <w:bottom w:val="single" w:sz="4" w:space="0" w:color="auto"/>
            </w:tcBorders>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76" w:type="dxa"/>
            <w:tcBorders>
              <w:top w:val="single" w:sz="4" w:space="0" w:color="auto"/>
              <w:bottom w:val="single" w:sz="4" w:space="0" w:color="auto"/>
            </w:tcBorders>
          </w:tcPr>
          <w:p>
            <w:pPr>
              <w:pStyle w:val="yTableNAm"/>
              <w:jc w:val="center"/>
              <w:rPr>
                <w:b/>
              </w:rPr>
            </w:pPr>
            <w:r>
              <w:rPr>
                <w:b/>
              </w:rPr>
              <w:t>Column B</w:t>
            </w:r>
          </w:p>
          <w:p>
            <w:pPr>
              <w:pStyle w:val="yTableNAm"/>
              <w:jc w:val="center"/>
              <w:rPr>
                <w:b/>
              </w:rPr>
            </w:pPr>
            <w:r>
              <w:rPr>
                <w:b/>
              </w:rPr>
              <w:t>Fee for entity</w:t>
            </w:r>
            <w:r>
              <w:rPr>
                <w:b/>
              </w:rPr>
              <w:br/>
            </w:r>
            <w:r>
              <w:rPr>
                <w:b/>
              </w:rPr>
              <w:br/>
            </w:r>
            <w:r>
              <w:rPr>
                <w:b/>
              </w:rPr>
              <w:br/>
              <w:t>$</w:t>
            </w:r>
          </w:p>
        </w:tc>
        <w:tc>
          <w:tcPr>
            <w:tcW w:w="1276" w:type="dxa"/>
            <w:tcBorders>
              <w:top w:val="single" w:sz="4" w:space="0" w:color="auto"/>
              <w:bottom w:val="single" w:sz="4" w:space="0" w:color="auto"/>
            </w:tcBorders>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673" w:type="dxa"/>
            <w:tcBorders>
              <w:top w:val="single" w:sz="4" w:space="0" w:color="auto"/>
            </w:tcBorders>
          </w:tcPr>
          <w:p>
            <w:pPr>
              <w:pStyle w:val="yTableNAm"/>
            </w:pPr>
            <w:r>
              <w:rPr>
                <w:szCs w:val="22"/>
              </w:rPr>
              <w:t>1.</w:t>
            </w:r>
          </w:p>
        </w:tc>
        <w:tc>
          <w:tcPr>
            <w:tcW w:w="2588" w:type="dxa"/>
            <w:tcBorders>
              <w:top w:val="single" w:sz="4" w:space="0" w:color="auto"/>
            </w:tcBorders>
          </w:tcPr>
          <w:p>
            <w:pPr>
              <w:pStyle w:val="yTableNAm"/>
            </w:pPr>
            <w:r>
              <w:rPr>
                <w:szCs w:val="22"/>
              </w:rP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vAlign w:val="bottom"/>
          </w:tcPr>
          <w:p>
            <w:pPr>
              <w:pStyle w:val="yTableNAm"/>
              <w:jc w:val="center"/>
            </w:pPr>
            <w:r>
              <w:rPr>
                <w:szCs w:val="22"/>
              </w:rPr>
              <w:t>877.00</w:t>
            </w:r>
          </w:p>
        </w:tc>
        <w:tc>
          <w:tcPr>
            <w:tcW w:w="1276" w:type="dxa"/>
            <w:tcBorders>
              <w:top w:val="single" w:sz="4" w:space="0" w:color="auto"/>
            </w:tcBorders>
            <w:vAlign w:val="bottom"/>
          </w:tcPr>
          <w:p>
            <w:pPr>
              <w:pStyle w:val="yTableNAm"/>
              <w:jc w:val="center"/>
            </w:pPr>
            <w:r>
              <w:rPr>
                <w:szCs w:val="22"/>
              </w:rPr>
              <w:t>1 711.00</w:t>
            </w:r>
          </w:p>
        </w:tc>
        <w:tc>
          <w:tcPr>
            <w:tcW w:w="1276" w:type="dxa"/>
            <w:tcBorders>
              <w:top w:val="single" w:sz="4" w:space="0" w:color="auto"/>
            </w:tcBorders>
            <w:vAlign w:val="bottom"/>
          </w:tcPr>
          <w:p>
            <w:pPr>
              <w:pStyle w:val="yTableNAm"/>
              <w:jc w:val="center"/>
            </w:pPr>
            <w:r>
              <w:rPr>
                <w:szCs w:val="22"/>
              </w:rPr>
              <w:t>100.00</w:t>
            </w:r>
          </w:p>
        </w:tc>
      </w:tr>
      <w:tr>
        <w:trPr>
          <w:cantSplit/>
        </w:trPr>
        <w:tc>
          <w:tcPr>
            <w:tcW w:w="673" w:type="dxa"/>
          </w:tcPr>
          <w:p>
            <w:pPr>
              <w:pStyle w:val="yTableNAm"/>
            </w:pPr>
            <w:r>
              <w:rPr>
                <w:szCs w:val="22"/>
              </w:rPr>
              <w:t>2.</w:t>
            </w:r>
          </w:p>
        </w:tc>
        <w:tc>
          <w:tcPr>
            <w:tcW w:w="2588" w:type="dxa"/>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vAlign w:val="bottom"/>
          </w:tcPr>
          <w:p>
            <w:pPr>
              <w:pStyle w:val="yTableNAm"/>
              <w:jc w:val="center"/>
            </w:pPr>
            <w:r>
              <w:t>211.00</w:t>
            </w:r>
          </w:p>
        </w:tc>
        <w:tc>
          <w:tcPr>
            <w:tcW w:w="1276" w:type="dxa"/>
            <w:vAlign w:val="bottom"/>
          </w:tcPr>
          <w:p>
            <w:pPr>
              <w:pStyle w:val="yTableNAm"/>
              <w:jc w:val="center"/>
            </w:pPr>
            <w:r>
              <w:rPr>
                <w:szCs w:val="22"/>
              </w:rPr>
              <w:t>N/A</w:t>
            </w:r>
          </w:p>
        </w:tc>
        <w:tc>
          <w:tcPr>
            <w:tcW w:w="1276" w:type="dxa"/>
            <w:vAlign w:val="bottom"/>
          </w:tcPr>
          <w:p>
            <w:pPr>
              <w:pStyle w:val="yTableNAm"/>
              <w:jc w:val="center"/>
            </w:pPr>
            <w:r>
              <w:rPr>
                <w:szCs w:val="22"/>
              </w:rPr>
              <w:t>63.50</w:t>
            </w:r>
          </w:p>
        </w:tc>
      </w:tr>
      <w:tr>
        <w:trPr>
          <w:cantSplit/>
        </w:trPr>
        <w:tc>
          <w:tcPr>
            <w:tcW w:w="673" w:type="dxa"/>
          </w:tcPr>
          <w:p>
            <w:pPr>
              <w:pStyle w:val="yTableNAm"/>
            </w:pPr>
            <w:r>
              <w:rPr>
                <w:szCs w:val="22"/>
              </w:rPr>
              <w:t>3.</w:t>
            </w:r>
          </w:p>
        </w:tc>
        <w:tc>
          <w:tcPr>
            <w:tcW w:w="2588" w:type="dxa"/>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1275" w:type="dxa"/>
            <w:vAlign w:val="bottom"/>
          </w:tcPr>
          <w:p>
            <w:pPr>
              <w:pStyle w:val="yTableNAm"/>
              <w:jc w:val="center"/>
            </w:pPr>
            <w:r>
              <w:t>128.00</w:t>
            </w:r>
          </w:p>
        </w:tc>
        <w:tc>
          <w:tcPr>
            <w:tcW w:w="1276" w:type="dxa"/>
            <w:vAlign w:val="bottom"/>
          </w:tcPr>
          <w:p>
            <w:pPr>
              <w:pStyle w:val="yTableNAm"/>
              <w:jc w:val="center"/>
            </w:pPr>
            <w:r>
              <w:rPr>
                <w:szCs w:val="22"/>
              </w:rPr>
              <w:t>N/A</w:t>
            </w:r>
          </w:p>
        </w:tc>
        <w:tc>
          <w:tcPr>
            <w:tcW w:w="1276" w:type="dxa"/>
            <w:vAlign w:val="bottom"/>
          </w:tcPr>
          <w:p>
            <w:pPr>
              <w:pStyle w:val="yTableNAm"/>
              <w:jc w:val="center"/>
            </w:pPr>
            <w:r>
              <w:rPr>
                <w:szCs w:val="22"/>
              </w:rPr>
              <w:t>38.40</w:t>
            </w:r>
          </w:p>
        </w:tc>
      </w:tr>
      <w:tr>
        <w:trPr>
          <w:cantSplit/>
        </w:trPr>
        <w:tc>
          <w:tcPr>
            <w:tcW w:w="673" w:type="dxa"/>
          </w:tcPr>
          <w:p>
            <w:pPr>
              <w:pStyle w:val="yTableNAm"/>
            </w:pPr>
            <w:r>
              <w:rPr>
                <w:szCs w:val="22"/>
              </w:rPr>
              <w:t>4.</w:t>
            </w:r>
          </w:p>
        </w:tc>
        <w:tc>
          <w:tcPr>
            <w:tcW w:w="2588" w:type="dxa"/>
          </w:tcPr>
          <w:p>
            <w:pPr>
              <w:pStyle w:val="yTableNAm"/>
            </w:pPr>
            <w:r>
              <w:rPr>
                <w:szCs w:val="22"/>
              </w:rPr>
              <w:t xml:space="preserve">On filing —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jc w:val="center"/>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a counterclaim</w:t>
            </w:r>
          </w:p>
        </w:tc>
        <w:tc>
          <w:tcPr>
            <w:tcW w:w="1275" w:type="dxa"/>
            <w:vAlign w:val="bottom"/>
          </w:tcPr>
          <w:p>
            <w:pPr>
              <w:pStyle w:val="yTableNAm"/>
              <w:jc w:val="center"/>
            </w:pPr>
            <w:r>
              <w:rPr>
                <w:szCs w:val="22"/>
              </w:rPr>
              <w:t>877.00</w:t>
            </w:r>
          </w:p>
        </w:tc>
        <w:tc>
          <w:tcPr>
            <w:tcW w:w="1276" w:type="dxa"/>
            <w:vAlign w:val="bottom"/>
          </w:tcPr>
          <w:p>
            <w:pPr>
              <w:pStyle w:val="yTableNAm"/>
              <w:jc w:val="center"/>
            </w:pPr>
            <w:r>
              <w:rPr>
                <w:szCs w:val="22"/>
              </w:rPr>
              <w:t>1 711.00</w:t>
            </w:r>
          </w:p>
        </w:tc>
        <w:tc>
          <w:tcPr>
            <w:tcW w:w="1276" w:type="dxa"/>
            <w:vAlign w:val="bottom"/>
          </w:tcPr>
          <w:p>
            <w:pPr>
              <w:pStyle w:val="yTableNAm"/>
              <w:jc w:val="center"/>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(b)</w:t>
            </w:r>
            <w:r>
              <w:rPr>
                <w:szCs w:val="22"/>
              </w:rPr>
              <w:tab/>
              <w:t xml:space="preserve">a third party notice </w:t>
            </w:r>
          </w:p>
        </w:tc>
        <w:tc>
          <w:tcPr>
            <w:tcW w:w="1275" w:type="dxa"/>
            <w:vAlign w:val="bottom"/>
          </w:tcPr>
          <w:p>
            <w:pPr>
              <w:pStyle w:val="yTableNAm"/>
              <w:jc w:val="center"/>
            </w:pPr>
            <w:r>
              <w:rPr>
                <w:szCs w:val="22"/>
              </w:rPr>
              <w:t>877.00</w:t>
            </w:r>
          </w:p>
        </w:tc>
        <w:tc>
          <w:tcPr>
            <w:tcW w:w="1276" w:type="dxa"/>
            <w:vAlign w:val="bottom"/>
          </w:tcPr>
          <w:p>
            <w:pPr>
              <w:pStyle w:val="yTableNAm"/>
              <w:jc w:val="center"/>
            </w:pPr>
            <w:r>
              <w:rPr>
                <w:szCs w:val="22"/>
              </w:rPr>
              <w:t>1 711.00</w:t>
            </w:r>
          </w:p>
        </w:tc>
        <w:tc>
          <w:tcPr>
            <w:tcW w:w="1276" w:type="dxa"/>
            <w:vAlign w:val="bottom"/>
          </w:tcPr>
          <w:p>
            <w:pPr>
              <w:pStyle w:val="yTableNAm"/>
              <w:jc w:val="center"/>
            </w:pPr>
            <w:r>
              <w:rPr>
                <w:szCs w:val="22"/>
              </w:rPr>
              <w:t>100.00</w:t>
            </w:r>
          </w:p>
        </w:tc>
      </w:tr>
      <w:tr>
        <w:trPr>
          <w:cantSplit/>
        </w:trPr>
        <w:tc>
          <w:tcPr>
            <w:tcW w:w="673" w:type="dxa"/>
          </w:tcPr>
          <w:p>
            <w:pPr>
              <w:pStyle w:val="zyTableNAm"/>
              <w:rPr>
                <w:szCs w:val="22"/>
              </w:rPr>
            </w:pPr>
          </w:p>
        </w:tc>
        <w:tc>
          <w:tcPr>
            <w:tcW w:w="2588" w:type="dxa"/>
          </w:tcPr>
          <w:p>
            <w:pPr>
              <w:pStyle w:val="yTableNAm"/>
              <w:ind w:left="1140" w:hanging="1140"/>
            </w:pPr>
            <w:r>
              <w:rPr>
                <w:szCs w:val="22"/>
              </w:rPr>
              <w:t>(c)</w:t>
            </w:r>
            <w:r>
              <w:rPr>
                <w:szCs w:val="22"/>
              </w:rPr>
              <w:tab/>
              <w:t>an application — </w:t>
            </w:r>
          </w:p>
          <w:p>
            <w:pPr>
              <w:pStyle w:val="yTableNAm"/>
              <w:ind w:left="1140" w:hanging="1140"/>
            </w:pPr>
            <w:r>
              <w:tab/>
              <w:t>(i)</w:t>
            </w:r>
            <w:r>
              <w:tab/>
              <w:t>to extend a period of time fixed by law, including an application to extend time before proceedings are commenced</w:t>
            </w:r>
          </w:p>
        </w:tc>
        <w:tc>
          <w:tcPr>
            <w:tcW w:w="1275" w:type="dxa"/>
            <w:vAlign w:val="bottom"/>
          </w:tcPr>
          <w:p>
            <w:pPr>
              <w:pStyle w:val="yTableNAm"/>
              <w:jc w:val="center"/>
            </w:pPr>
            <w:r>
              <w:t>330.00</w:t>
            </w:r>
          </w:p>
        </w:tc>
        <w:tc>
          <w:tcPr>
            <w:tcW w:w="1276" w:type="dxa"/>
            <w:vAlign w:val="bottom"/>
          </w:tcPr>
          <w:p>
            <w:pPr>
              <w:pStyle w:val="yTableNAm"/>
              <w:jc w:val="center"/>
            </w:pPr>
            <w:r>
              <w:t>569.00</w:t>
            </w:r>
          </w:p>
        </w:tc>
        <w:tc>
          <w:tcPr>
            <w:tcW w:w="1276" w:type="dxa"/>
            <w:vAlign w:val="bottom"/>
          </w:tcPr>
          <w:p>
            <w:pPr>
              <w:pStyle w:val="yTableNAm"/>
              <w:jc w:val="center"/>
            </w:pPr>
            <w:r>
              <w:t>99.00</w:t>
            </w:r>
          </w:p>
        </w:tc>
      </w:tr>
      <w:tr>
        <w:trPr>
          <w:cantSplit/>
        </w:trPr>
        <w:tc>
          <w:tcPr>
            <w:tcW w:w="673" w:type="dxa"/>
          </w:tcPr>
          <w:p>
            <w:pPr>
              <w:pStyle w:val="zyTableNAm"/>
              <w:rPr>
                <w:szCs w:val="22"/>
              </w:rPr>
            </w:pPr>
          </w:p>
        </w:tc>
        <w:tc>
          <w:tcPr>
            <w:tcW w:w="2588" w:type="dxa"/>
          </w:tcPr>
          <w:p>
            <w:pPr>
              <w:pStyle w:val="yTableNAm"/>
              <w:ind w:left="1140" w:hanging="1140"/>
            </w:pPr>
            <w:r>
              <w:rPr>
                <w:szCs w:val="22"/>
              </w:rPr>
              <w:tab/>
              <w:t>(ii)</w:t>
            </w:r>
            <w:r>
              <w:rPr>
                <w:szCs w:val="22"/>
              </w:rPr>
              <w:tab/>
              <w:t xml:space="preserve">to </w:t>
            </w:r>
            <w:r>
              <w:t>limit</w:t>
            </w:r>
            <w:r>
              <w:rPr>
                <w:szCs w:val="22"/>
              </w:rPr>
              <w:t xml:space="preserve"> a period of time within which proceedings may be taken</w:t>
            </w:r>
          </w:p>
        </w:tc>
        <w:tc>
          <w:tcPr>
            <w:tcW w:w="1275" w:type="dxa"/>
            <w:vAlign w:val="bottom"/>
          </w:tcPr>
          <w:p>
            <w:pPr>
              <w:pStyle w:val="yTableNAm"/>
              <w:jc w:val="center"/>
            </w:pPr>
            <w:r>
              <w:t>330.00</w:t>
            </w:r>
          </w:p>
        </w:tc>
        <w:tc>
          <w:tcPr>
            <w:tcW w:w="1276" w:type="dxa"/>
            <w:vAlign w:val="bottom"/>
          </w:tcPr>
          <w:p>
            <w:pPr>
              <w:pStyle w:val="yTableNAm"/>
              <w:jc w:val="center"/>
            </w:pPr>
            <w:r>
              <w:t>569.00</w:t>
            </w:r>
          </w:p>
        </w:tc>
        <w:tc>
          <w:tcPr>
            <w:tcW w:w="1276" w:type="dxa"/>
            <w:vAlign w:val="bottom"/>
          </w:tcPr>
          <w:p>
            <w:pPr>
              <w:pStyle w:val="yTableNAm"/>
              <w:jc w:val="center"/>
            </w:pPr>
            <w:r>
              <w:t>99.00</w:t>
            </w:r>
          </w:p>
        </w:tc>
      </w:tr>
      <w:tr>
        <w:trPr>
          <w:cantSplit/>
        </w:trPr>
        <w:tc>
          <w:tcPr>
            <w:tcW w:w="673" w:type="dxa"/>
          </w:tcPr>
          <w:p>
            <w:pPr>
              <w:pStyle w:val="zyTableNAm"/>
              <w:rPr>
                <w:szCs w:val="22"/>
              </w:rPr>
            </w:pPr>
          </w:p>
        </w:tc>
        <w:tc>
          <w:tcPr>
            <w:tcW w:w="2588" w:type="dxa"/>
          </w:tcPr>
          <w:p>
            <w:pPr>
              <w:pStyle w:val="yTableNAm"/>
              <w:ind w:left="1140" w:hanging="1140"/>
            </w:pPr>
            <w:r>
              <w:rPr>
                <w:szCs w:val="22"/>
              </w:rPr>
              <w:tab/>
              <w:t>(iii)</w:t>
            </w:r>
            <w:r>
              <w:rPr>
                <w:szCs w:val="22"/>
              </w:rPr>
              <w:tab/>
              <w:t xml:space="preserve">for </w:t>
            </w:r>
            <w:r>
              <w:t>leave</w:t>
            </w:r>
            <w:r>
              <w:rPr>
                <w:szCs w:val="22"/>
              </w:rPr>
              <w:t xml:space="preserve"> to serve a writ or notice of a writ out of jurisdiction</w:t>
            </w:r>
          </w:p>
        </w:tc>
        <w:tc>
          <w:tcPr>
            <w:tcW w:w="1275" w:type="dxa"/>
            <w:vAlign w:val="bottom"/>
          </w:tcPr>
          <w:p>
            <w:pPr>
              <w:pStyle w:val="yTableNAm"/>
              <w:jc w:val="center"/>
            </w:pPr>
            <w:r>
              <w:t>330.00</w:t>
            </w:r>
          </w:p>
        </w:tc>
        <w:tc>
          <w:tcPr>
            <w:tcW w:w="1276" w:type="dxa"/>
            <w:vAlign w:val="bottom"/>
          </w:tcPr>
          <w:p>
            <w:pPr>
              <w:pStyle w:val="yTableNAm"/>
              <w:jc w:val="center"/>
            </w:pPr>
            <w:r>
              <w:t>569.00</w:t>
            </w:r>
          </w:p>
        </w:tc>
        <w:tc>
          <w:tcPr>
            <w:tcW w:w="1276" w:type="dxa"/>
            <w:vAlign w:val="bottom"/>
          </w:tcPr>
          <w:p>
            <w:pPr>
              <w:pStyle w:val="yTableNAm"/>
              <w:jc w:val="center"/>
            </w:pPr>
            <w:r>
              <w:t>99.00</w:t>
            </w:r>
          </w:p>
        </w:tc>
      </w:tr>
      <w:tr>
        <w:trPr>
          <w:cantSplit/>
        </w:trPr>
        <w:tc>
          <w:tcPr>
            <w:tcW w:w="673" w:type="dxa"/>
          </w:tcPr>
          <w:p>
            <w:pPr>
              <w:pStyle w:val="zyTableNAm"/>
              <w:rPr>
                <w:szCs w:val="22"/>
              </w:rPr>
            </w:pPr>
          </w:p>
        </w:tc>
        <w:tc>
          <w:tcPr>
            <w:tcW w:w="2588" w:type="dxa"/>
          </w:tcPr>
          <w:p>
            <w:pPr>
              <w:pStyle w:val="yTableNAm"/>
              <w:ind w:left="567" w:hanging="567"/>
            </w:pPr>
            <w:r>
              <w:rPr>
                <w:szCs w:val="22"/>
              </w:rPr>
              <w:t>(d)</w:t>
            </w:r>
            <w:r>
              <w:rPr>
                <w:szCs w:val="22"/>
              </w:rPr>
              <w:tab/>
              <w:t>an application for leave to appeal</w:t>
            </w:r>
          </w:p>
        </w:tc>
        <w:tc>
          <w:tcPr>
            <w:tcW w:w="1275" w:type="dxa"/>
            <w:shd w:val="clear" w:color="auto" w:fill="auto"/>
            <w:vAlign w:val="bottom"/>
          </w:tcPr>
          <w:p>
            <w:pPr>
              <w:pStyle w:val="yTableNAm"/>
              <w:jc w:val="center"/>
            </w:pPr>
            <w:r>
              <w:t>0.00</w:t>
            </w:r>
          </w:p>
        </w:tc>
        <w:tc>
          <w:tcPr>
            <w:tcW w:w="1276" w:type="dxa"/>
            <w:shd w:val="clear" w:color="auto" w:fill="auto"/>
            <w:vAlign w:val="bottom"/>
          </w:tcPr>
          <w:p>
            <w:pPr>
              <w:pStyle w:val="yTableNAm"/>
              <w:jc w:val="center"/>
            </w:pPr>
            <w:r>
              <w:t>0.00</w:t>
            </w:r>
          </w:p>
        </w:tc>
        <w:tc>
          <w:tcPr>
            <w:tcW w:w="1276" w:type="dxa"/>
            <w:shd w:val="clear" w:color="auto" w:fill="auto"/>
            <w:vAlign w:val="bottom"/>
          </w:tcPr>
          <w:p>
            <w:pPr>
              <w:pStyle w:val="yTableNAm"/>
              <w:jc w:val="center"/>
            </w:pPr>
            <w:r>
              <w:t>0.00</w:t>
            </w:r>
          </w:p>
        </w:tc>
      </w:tr>
      <w:tr>
        <w:trPr>
          <w:cantSplit/>
        </w:trPr>
        <w:tc>
          <w:tcPr>
            <w:tcW w:w="673" w:type="dxa"/>
          </w:tcPr>
          <w:p>
            <w:pPr>
              <w:pStyle w:val="zyTableNAm"/>
              <w:rPr>
                <w:szCs w:val="22"/>
              </w:rPr>
            </w:pPr>
          </w:p>
        </w:tc>
        <w:tc>
          <w:tcPr>
            <w:tcW w:w="2588" w:type="dxa"/>
          </w:tcPr>
          <w:p>
            <w:pPr>
              <w:pStyle w:val="yTableNAm"/>
              <w:ind w:left="567" w:hanging="567"/>
            </w:pPr>
            <w:r>
              <w:rPr>
                <w:szCs w:val="22"/>
              </w:rPr>
              <w:t>(e)</w:t>
            </w:r>
            <w:r>
              <w:rPr>
                <w:szCs w:val="22"/>
              </w:rPr>
              <w:tab/>
              <w:t>any other application for which no fee has been provided in this Schedule</w:t>
            </w:r>
          </w:p>
        </w:tc>
        <w:tc>
          <w:tcPr>
            <w:tcW w:w="1275" w:type="dxa"/>
            <w:shd w:val="clear" w:color="auto" w:fill="auto"/>
            <w:vAlign w:val="bottom"/>
          </w:tcPr>
          <w:p>
            <w:pPr>
              <w:pStyle w:val="yTableNAm"/>
              <w:jc w:val="center"/>
            </w:pPr>
            <w:r>
              <w:t>330.00</w:t>
            </w:r>
          </w:p>
        </w:tc>
        <w:tc>
          <w:tcPr>
            <w:tcW w:w="1276" w:type="dxa"/>
            <w:shd w:val="clear" w:color="auto" w:fill="auto"/>
            <w:vAlign w:val="bottom"/>
          </w:tcPr>
          <w:p>
            <w:pPr>
              <w:pStyle w:val="yTableNAm"/>
              <w:jc w:val="center"/>
            </w:pPr>
            <w:r>
              <w:t>569.00</w:t>
            </w:r>
          </w:p>
        </w:tc>
        <w:tc>
          <w:tcPr>
            <w:tcW w:w="1276" w:type="dxa"/>
            <w:shd w:val="clear" w:color="auto" w:fill="auto"/>
            <w:vAlign w:val="bottom"/>
          </w:tcPr>
          <w:p>
            <w:pPr>
              <w:pStyle w:val="yTableNAm"/>
              <w:jc w:val="center"/>
            </w:pPr>
            <w:r>
              <w:t>99.00</w:t>
            </w:r>
          </w:p>
        </w:tc>
      </w:tr>
      <w:tr>
        <w:tblPrEx>
          <w:tblCellMar>
            <w:bottom w:w="113" w:type="dxa"/>
          </w:tblCellMar>
        </w:tblPrEx>
        <w:trPr>
          <w:cantSplit/>
        </w:trPr>
        <w:tc>
          <w:tcPr>
            <w:tcW w:w="673" w:type="dxa"/>
          </w:tcPr>
          <w:p>
            <w:pPr>
              <w:pStyle w:val="yTableNAm"/>
            </w:pPr>
            <w:r>
              <w:rPr>
                <w:szCs w:val="22"/>
              </w:rPr>
              <w:t>5.</w:t>
            </w:r>
          </w:p>
        </w:tc>
        <w:tc>
          <w:tcPr>
            <w:tcW w:w="2588" w:type="dxa"/>
          </w:tcPr>
          <w:p>
            <w:pPr>
              <w:pStyle w:val="yTableNAm"/>
            </w:pPr>
            <w:r>
              <w:rPr>
                <w:szCs w:val="22"/>
              </w:rPr>
              <w:t xml:space="preserve">On filing — </w:t>
            </w:r>
          </w:p>
          <w:p>
            <w:pPr>
              <w:pStyle w:val="yTableNAm"/>
            </w:pPr>
            <w:r>
              <w:t>(a)</w:t>
            </w:r>
            <w:r>
              <w:tab/>
              <w:t>an appeal notice</w:t>
            </w:r>
          </w:p>
        </w:tc>
        <w:tc>
          <w:tcPr>
            <w:tcW w:w="1275" w:type="dxa"/>
            <w:vAlign w:val="bottom"/>
          </w:tcPr>
          <w:p>
            <w:pPr>
              <w:pStyle w:val="yTableNAm"/>
              <w:jc w:val="center"/>
            </w:pPr>
            <w:r>
              <w:t>497.00</w:t>
            </w:r>
          </w:p>
        </w:tc>
        <w:tc>
          <w:tcPr>
            <w:tcW w:w="1276" w:type="dxa"/>
            <w:vAlign w:val="bottom"/>
          </w:tcPr>
          <w:p>
            <w:pPr>
              <w:pStyle w:val="yTableNAm"/>
              <w:jc w:val="center"/>
            </w:pPr>
            <w:r>
              <w:t>1 286.00</w:t>
            </w:r>
          </w:p>
        </w:tc>
        <w:tc>
          <w:tcPr>
            <w:tcW w:w="1276" w:type="dxa"/>
            <w:vAlign w:val="bottom"/>
          </w:tcPr>
          <w:p>
            <w:pPr>
              <w:pStyle w:val="yTableNAm"/>
              <w:jc w:val="center"/>
            </w:pPr>
            <w:r>
              <w:t>100.00</w:t>
            </w:r>
          </w:p>
        </w:tc>
      </w:tr>
      <w:tr>
        <w:tblPrEx>
          <w:tblCellMar>
            <w:bottom w:w="113" w:type="dxa"/>
          </w:tblCellMar>
        </w:tblPrEx>
        <w:trPr>
          <w:cantSplit/>
        </w:trPr>
        <w:tc>
          <w:tcPr>
            <w:tcW w:w="673" w:type="dxa"/>
          </w:tcPr>
          <w:p>
            <w:pPr>
              <w:pStyle w:val="zyTableNAm"/>
              <w:keepLines/>
              <w:rPr>
                <w:szCs w:val="22"/>
              </w:rPr>
            </w:pPr>
          </w:p>
        </w:tc>
        <w:tc>
          <w:tcPr>
            <w:tcW w:w="2588" w:type="dxa"/>
          </w:tcPr>
          <w:p>
            <w:pPr>
              <w:pStyle w:val="yTableNAm"/>
              <w:ind w:left="567" w:hanging="567"/>
            </w:pPr>
            <w:r>
              <w:rPr>
                <w:szCs w:val="22"/>
              </w:rPr>
              <w:t>(b)</w:t>
            </w:r>
            <w:r>
              <w:rPr>
                <w:szCs w:val="22"/>
              </w:rPr>
              <w:tab/>
              <w:t>for each additional half day allocated for the hearing of the appeal</w:t>
            </w:r>
          </w:p>
        </w:tc>
        <w:tc>
          <w:tcPr>
            <w:tcW w:w="1275" w:type="dxa"/>
            <w:vAlign w:val="bottom"/>
          </w:tcPr>
          <w:p>
            <w:pPr>
              <w:pStyle w:val="yTableNAm"/>
              <w:jc w:val="center"/>
            </w:pPr>
            <w:r>
              <w:rPr>
                <w:szCs w:val="22"/>
              </w:rPr>
              <w:br/>
            </w:r>
            <w:r>
              <w:rPr>
                <w:szCs w:val="22"/>
              </w:rPr>
              <w:br/>
            </w:r>
            <w:r>
              <w:t>385.00</w:t>
            </w:r>
          </w:p>
        </w:tc>
        <w:tc>
          <w:tcPr>
            <w:tcW w:w="1276" w:type="dxa"/>
            <w:vAlign w:val="bottom"/>
          </w:tcPr>
          <w:p>
            <w:pPr>
              <w:pStyle w:val="yTableNAm"/>
              <w:jc w:val="center"/>
            </w:pPr>
            <w:r>
              <w:rPr>
                <w:szCs w:val="22"/>
              </w:rPr>
              <w:t>1 003.00</w:t>
            </w:r>
          </w:p>
        </w:tc>
        <w:tc>
          <w:tcPr>
            <w:tcW w:w="1276" w:type="dxa"/>
            <w:vAlign w:val="bottom"/>
          </w:tcPr>
          <w:p>
            <w:pPr>
              <w:pStyle w:val="yTableNAm"/>
              <w:jc w:val="center"/>
            </w:pPr>
            <w:r>
              <w:rPr>
                <w:szCs w:val="22"/>
              </w:rPr>
              <w:br/>
            </w:r>
            <w:r>
              <w:rPr>
                <w:szCs w:val="22"/>
              </w:rPr>
              <w:br/>
            </w:r>
            <w:r>
              <w:t>100.00</w:t>
            </w:r>
          </w:p>
        </w:tc>
      </w:tr>
      <w:tr>
        <w:tblPrEx>
          <w:tblCellMar>
            <w:bottom w:w="113" w:type="dxa"/>
          </w:tblCellMar>
        </w:tblPrEx>
        <w:trPr>
          <w:cantSplit/>
          <w:trHeight w:val="910"/>
        </w:trPr>
        <w:tc>
          <w:tcPr>
            <w:tcW w:w="673" w:type="dxa"/>
          </w:tcPr>
          <w:p>
            <w:pPr>
              <w:pStyle w:val="zyTableNAm"/>
              <w:keepNext/>
              <w:keepLines/>
              <w:rPr>
                <w:szCs w:val="22"/>
              </w:rPr>
            </w:pPr>
          </w:p>
        </w:tc>
        <w:tc>
          <w:tcPr>
            <w:tcW w:w="6415" w:type="dxa"/>
            <w:gridSpan w:val="4"/>
          </w:tcPr>
          <w:p>
            <w:pPr>
              <w:pStyle w:val="yTableNAm"/>
              <w:rPr>
                <w:sz w:val="18"/>
                <w:szCs w:val="18"/>
              </w:rPr>
            </w:pPr>
            <w:r>
              <w:rPr>
                <w:rFonts w:ascii="Arial" w:hAnsi="Arial" w:cs="Arial"/>
                <w:sz w:val="18"/>
                <w:szCs w:val="18"/>
              </w:rPr>
              <w:t>Note 1:</w:t>
            </w:r>
          </w:p>
          <w:p>
            <w:pPr>
              <w:pStyle w:val="yTableNAm"/>
              <w:rPr>
                <w:sz w:val="18"/>
                <w:szCs w:val="18"/>
              </w:rPr>
            </w:pPr>
            <w:r>
              <w:rPr>
                <w:sz w:val="18"/>
                <w:szCs w:val="18"/>
              </w:rPr>
              <w:t>The fee in item 5(a) includes any directions hearings and the first half day allocated by the District Court for the hearing of the appeal.</w:t>
            </w:r>
          </w:p>
        </w:tc>
      </w:tr>
      <w:tr>
        <w:tblPrEx>
          <w:tblCellMar>
            <w:bottom w:w="113" w:type="dxa"/>
          </w:tblCellMar>
        </w:tblPrEx>
        <w:trPr>
          <w:cantSplit/>
          <w:trHeight w:val="1100"/>
        </w:trPr>
        <w:tc>
          <w:tcPr>
            <w:tcW w:w="673" w:type="dxa"/>
          </w:tcPr>
          <w:p>
            <w:pPr>
              <w:pStyle w:val="zyTableNAm"/>
              <w:rPr>
                <w:szCs w:val="22"/>
              </w:rPr>
            </w:pPr>
          </w:p>
        </w:tc>
        <w:tc>
          <w:tcPr>
            <w:tcW w:w="6415" w:type="dxa"/>
            <w:gridSpan w:val="4"/>
          </w:tcPr>
          <w:p>
            <w:pPr>
              <w:pStyle w:val="yTableNAm"/>
              <w:rPr>
                <w:sz w:val="18"/>
                <w:szCs w:val="18"/>
              </w:rPr>
            </w:pPr>
            <w:r>
              <w:rPr>
                <w:rFonts w:ascii="Arial" w:hAnsi="Arial" w:cs="Arial"/>
                <w:sz w:val="18"/>
                <w:szCs w:val="18"/>
              </w:rPr>
              <w:t>Note 2:</w:t>
            </w:r>
          </w:p>
          <w:p>
            <w:pPr>
              <w:pStyle w:val="yTableNAm"/>
              <w:rPr>
                <w:sz w:val="18"/>
                <w:szCs w:val="18"/>
              </w:rPr>
            </w:pPr>
            <w:r>
              <w:rPr>
                <w:sz w:val="18"/>
                <w:szCs w:val="18"/>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119"/>
        </w:trPr>
        <w:tc>
          <w:tcPr>
            <w:tcW w:w="673" w:type="dxa"/>
          </w:tcPr>
          <w:p>
            <w:pPr>
              <w:pStyle w:val="zyTableNAm"/>
              <w:rPr>
                <w:szCs w:val="22"/>
              </w:rPr>
            </w:pPr>
          </w:p>
        </w:tc>
        <w:tc>
          <w:tcPr>
            <w:tcW w:w="6415" w:type="dxa"/>
            <w:gridSpan w:val="4"/>
          </w:tcPr>
          <w:p>
            <w:pPr>
              <w:pStyle w:val="yTableNAm"/>
              <w:rPr>
                <w:sz w:val="18"/>
                <w:szCs w:val="18"/>
              </w:rPr>
            </w:pPr>
            <w:r>
              <w:rPr>
                <w:rFonts w:ascii="Arial" w:hAnsi="Arial" w:cs="Arial"/>
                <w:sz w:val="18"/>
                <w:szCs w:val="18"/>
              </w:rPr>
              <w:t>Note 3:</w:t>
            </w:r>
          </w:p>
          <w:p>
            <w:pPr>
              <w:pStyle w:val="yTableNAm"/>
              <w:rPr>
                <w:sz w:val="18"/>
                <w:szCs w:val="18"/>
              </w:rPr>
            </w:pPr>
            <w:r>
              <w:rPr>
                <w:sz w:val="18"/>
                <w:szCs w:val="18"/>
              </w:rPr>
              <w:t xml:space="preserve">Under the </w:t>
            </w:r>
            <w:r>
              <w:rPr>
                <w:i/>
                <w:sz w:val="18"/>
                <w:szCs w:val="18"/>
              </w:rPr>
              <w:t>District Court Rules 2005</w:t>
            </w:r>
            <w:r>
              <w:rPr>
                <w:sz w:val="18"/>
                <w:szCs w:val="18"/>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pPr>
            <w:r>
              <w:rPr>
                <w:szCs w:val="22"/>
              </w:rPr>
              <w:t>6.</w:t>
            </w:r>
          </w:p>
        </w:tc>
        <w:tc>
          <w:tcPr>
            <w:tcW w:w="2588" w:type="dxa"/>
          </w:tcPr>
          <w:p>
            <w:pPr>
              <w:pStyle w:val="yTableNAm"/>
            </w:pPr>
            <w:r>
              <w:rPr>
                <w:szCs w:val="22"/>
              </w:rPr>
              <w:t>Entry for hearing a cause or matter (including the assessment of damages in an action for personal injury) or notice of an appointment to hear an originating summons</w:t>
            </w:r>
          </w:p>
        </w:tc>
        <w:tc>
          <w:tcPr>
            <w:tcW w:w="1275" w:type="dxa"/>
            <w:vAlign w:val="bottom"/>
          </w:tcPr>
          <w:p>
            <w:pPr>
              <w:pStyle w:val="yTableNAm"/>
              <w:jc w:val="center"/>
            </w:pPr>
            <w:r>
              <w:rPr>
                <w:szCs w:val="22"/>
              </w:rPr>
              <w:t>877.00</w:t>
            </w:r>
          </w:p>
        </w:tc>
        <w:tc>
          <w:tcPr>
            <w:tcW w:w="1276" w:type="dxa"/>
            <w:vAlign w:val="bottom"/>
          </w:tcPr>
          <w:p>
            <w:pPr>
              <w:pStyle w:val="yTableNAm"/>
              <w:jc w:val="center"/>
            </w:pPr>
            <w:r>
              <w:rPr>
                <w:szCs w:val="22"/>
              </w:rPr>
              <w:t>1 711.00</w:t>
            </w:r>
          </w:p>
        </w:tc>
        <w:tc>
          <w:tcPr>
            <w:tcW w:w="1276" w:type="dxa"/>
            <w:vAlign w:val="bottom"/>
          </w:tcPr>
          <w:p>
            <w:pPr>
              <w:pStyle w:val="yTableNAm"/>
              <w:jc w:val="center"/>
            </w:pPr>
            <w:r>
              <w:rPr>
                <w:szCs w:val="22"/>
              </w:rPr>
              <w:t>100.00</w:t>
            </w:r>
          </w:p>
        </w:tc>
      </w:tr>
      <w:tr>
        <w:trPr>
          <w:cantSplit/>
          <w:trHeight w:val="746"/>
        </w:trPr>
        <w:tc>
          <w:tcPr>
            <w:tcW w:w="673" w:type="dxa"/>
          </w:tcPr>
          <w:p>
            <w:pPr>
              <w:pStyle w:val="zyTableNAm"/>
              <w:rPr>
                <w:szCs w:val="22"/>
              </w:rPr>
            </w:pPr>
          </w:p>
        </w:tc>
        <w:tc>
          <w:tcPr>
            <w:tcW w:w="6415" w:type="dxa"/>
            <w:gridSpan w:val="4"/>
          </w:tcPr>
          <w:p>
            <w:pPr>
              <w:pStyle w:val="yTableNAm"/>
              <w:rPr>
                <w:sz w:val="18"/>
                <w:szCs w:val="18"/>
              </w:rPr>
            </w:pPr>
            <w:r>
              <w:rPr>
                <w:sz w:val="18"/>
                <w:szCs w:val="18"/>
              </w:rPr>
              <w:t>Note:</w:t>
            </w:r>
          </w:p>
          <w:p>
            <w:pPr>
              <w:pStyle w:val="yTableNAm"/>
              <w:rPr>
                <w:szCs w:val="22"/>
              </w:rPr>
            </w:pPr>
            <w:r>
              <w:rPr>
                <w:sz w:val="18"/>
                <w:szCs w:val="18"/>
              </w:rPr>
              <w:t>This item does not apply to entering an appeal for hearing.</w:t>
            </w:r>
          </w:p>
        </w:tc>
      </w:tr>
      <w:tr>
        <w:tblPrEx>
          <w:tblCellMar>
            <w:bottom w:w="113" w:type="dxa"/>
          </w:tblCellMar>
        </w:tblPrEx>
        <w:trPr>
          <w:cantSplit/>
        </w:trPr>
        <w:tc>
          <w:tcPr>
            <w:tcW w:w="673" w:type="dxa"/>
          </w:tcPr>
          <w:p>
            <w:pPr>
              <w:pStyle w:val="yTableNAm"/>
            </w:pPr>
            <w:r>
              <w:rPr>
                <w:szCs w:val="22"/>
              </w:rPr>
              <w:t>7.</w:t>
            </w:r>
          </w:p>
        </w:tc>
        <w:tc>
          <w:tcPr>
            <w:tcW w:w="2588" w:type="dxa"/>
          </w:tcPr>
          <w:p>
            <w:pPr>
              <w:pStyle w:val="yTableNAm"/>
            </w:pPr>
            <w:r>
              <w:rPr>
                <w:szCs w:val="22"/>
              </w:rPr>
              <w:t>Allocation of hearing date, for each day allocated</w:t>
            </w:r>
          </w:p>
        </w:tc>
        <w:tc>
          <w:tcPr>
            <w:tcW w:w="1275" w:type="dxa"/>
            <w:vAlign w:val="bottom"/>
          </w:tcPr>
          <w:p>
            <w:pPr>
              <w:pStyle w:val="yTableNAm"/>
              <w:jc w:val="center"/>
            </w:pPr>
            <w:r>
              <w:rPr>
                <w:szCs w:val="22"/>
              </w:rPr>
              <w:br/>
            </w:r>
            <w:r>
              <w:t>770.00</w:t>
            </w:r>
          </w:p>
        </w:tc>
        <w:tc>
          <w:tcPr>
            <w:tcW w:w="1276" w:type="dxa"/>
            <w:vAlign w:val="bottom"/>
          </w:tcPr>
          <w:p>
            <w:pPr>
              <w:pStyle w:val="yTableNAm"/>
              <w:jc w:val="center"/>
            </w:pPr>
            <w:r>
              <w:rPr>
                <w:szCs w:val="22"/>
              </w:rPr>
              <w:t>2 005.00</w:t>
            </w:r>
          </w:p>
        </w:tc>
        <w:tc>
          <w:tcPr>
            <w:tcW w:w="1276" w:type="dxa"/>
            <w:vAlign w:val="bottom"/>
          </w:tcPr>
          <w:p>
            <w:pPr>
              <w:pStyle w:val="yTableNAm"/>
              <w:jc w:val="center"/>
            </w:pPr>
            <w:r>
              <w:rPr>
                <w:szCs w:val="22"/>
              </w:rPr>
              <w:br/>
            </w:r>
            <w:r>
              <w:t>100.00</w:t>
            </w:r>
          </w:p>
        </w:tc>
      </w:tr>
      <w:tr>
        <w:tblPrEx>
          <w:tblCellMar>
            <w:bottom w:w="113" w:type="dxa"/>
          </w:tblCellMar>
        </w:tblPrEx>
        <w:trPr>
          <w:cantSplit/>
          <w:trHeight w:val="720"/>
        </w:trPr>
        <w:tc>
          <w:tcPr>
            <w:tcW w:w="673" w:type="dxa"/>
          </w:tcPr>
          <w:p>
            <w:pPr>
              <w:pStyle w:val="zyTableNAm"/>
              <w:rPr>
                <w:szCs w:val="22"/>
              </w:rPr>
            </w:pPr>
          </w:p>
        </w:tc>
        <w:tc>
          <w:tcPr>
            <w:tcW w:w="6415" w:type="dxa"/>
            <w:gridSpan w:val="4"/>
          </w:tcPr>
          <w:p>
            <w:pPr>
              <w:pStyle w:val="yTableNAm"/>
              <w:rPr>
                <w:sz w:val="18"/>
                <w:szCs w:val="18"/>
              </w:rPr>
            </w:pPr>
            <w:r>
              <w:rPr>
                <w:sz w:val="18"/>
                <w:szCs w:val="18"/>
              </w:rPr>
              <w:t>Note 1:</w:t>
            </w:r>
          </w:p>
          <w:p>
            <w:pPr>
              <w:pStyle w:val="yTableNAm"/>
              <w:rPr>
                <w:sz w:val="18"/>
                <w:szCs w:val="18"/>
              </w:rPr>
            </w:pPr>
            <w:r>
              <w:rPr>
                <w:sz w:val="18"/>
                <w:szCs w:val="18"/>
              </w:rPr>
              <w:t>See regulation 10.</w:t>
            </w:r>
          </w:p>
        </w:tc>
      </w:tr>
      <w:tr>
        <w:tblPrEx>
          <w:tblCellMar>
            <w:bottom w:w="113" w:type="dxa"/>
          </w:tblCellMar>
        </w:tblPrEx>
        <w:trPr>
          <w:cantSplit/>
          <w:trHeight w:val="720"/>
        </w:trPr>
        <w:tc>
          <w:tcPr>
            <w:tcW w:w="673" w:type="dxa"/>
          </w:tcPr>
          <w:p>
            <w:pPr>
              <w:pStyle w:val="yTableNAm"/>
              <w:rPr>
                <w:sz w:val="18"/>
                <w:szCs w:val="18"/>
              </w:rPr>
            </w:pPr>
          </w:p>
        </w:tc>
        <w:tc>
          <w:tcPr>
            <w:tcW w:w="6415" w:type="dxa"/>
            <w:gridSpan w:val="4"/>
          </w:tcPr>
          <w:p>
            <w:pPr>
              <w:pStyle w:val="yTableNAm"/>
              <w:rPr>
                <w:sz w:val="18"/>
                <w:szCs w:val="18"/>
              </w:rPr>
            </w:pPr>
            <w:r>
              <w:rPr>
                <w:sz w:val="18"/>
                <w:szCs w:val="18"/>
              </w:rPr>
              <w:t>Note 2:</w:t>
            </w:r>
          </w:p>
          <w:p>
            <w:pPr>
              <w:pStyle w:val="yTableNAm"/>
              <w:rPr>
                <w:sz w:val="18"/>
                <w:szCs w:val="18"/>
              </w:rPr>
            </w:pPr>
            <w:r>
              <w:rPr>
                <w:sz w:val="18"/>
                <w:szCs w:val="18"/>
              </w:rPr>
              <w:t>This item does not apply to the allocation of a hearing date for an appeal.</w:t>
            </w:r>
          </w:p>
        </w:tc>
      </w:tr>
      <w:tr>
        <w:trPr>
          <w:cantSplit/>
        </w:trPr>
        <w:tc>
          <w:tcPr>
            <w:tcW w:w="673" w:type="dxa"/>
          </w:tcPr>
          <w:p>
            <w:pPr>
              <w:pStyle w:val="yTableNAm"/>
            </w:pPr>
            <w:r>
              <w:rPr>
                <w:szCs w:val="22"/>
              </w:rPr>
              <w:t>8.</w:t>
            </w:r>
          </w:p>
        </w:tc>
        <w:tc>
          <w:tcPr>
            <w:tcW w:w="2588" w:type="dxa"/>
          </w:tcPr>
          <w:p>
            <w:pPr>
              <w:pStyle w:val="yTableNAm"/>
            </w:pPr>
            <w:r>
              <w:rPr>
                <w:szCs w:val="22"/>
              </w:rPr>
              <w:t>Daily hearing fee before a court constituted by a judge</w:t>
            </w:r>
          </w:p>
        </w:tc>
        <w:tc>
          <w:tcPr>
            <w:tcW w:w="1275" w:type="dxa"/>
            <w:vAlign w:val="bottom"/>
          </w:tcPr>
          <w:p>
            <w:pPr>
              <w:pStyle w:val="yTableNAm"/>
              <w:jc w:val="center"/>
            </w:pPr>
            <w:r>
              <w:t>770.00</w:t>
            </w:r>
          </w:p>
        </w:tc>
        <w:tc>
          <w:tcPr>
            <w:tcW w:w="1276" w:type="dxa"/>
            <w:vAlign w:val="bottom"/>
          </w:tcPr>
          <w:p>
            <w:pPr>
              <w:pStyle w:val="yTableNAm"/>
              <w:jc w:val="center"/>
            </w:pPr>
            <w:r>
              <w:rPr>
                <w:szCs w:val="22"/>
              </w:rPr>
              <w:t>2 005.00</w:t>
            </w:r>
          </w:p>
        </w:tc>
        <w:tc>
          <w:tcPr>
            <w:tcW w:w="1276" w:type="dxa"/>
            <w:vAlign w:val="bottom"/>
          </w:tcPr>
          <w:p>
            <w:pPr>
              <w:pStyle w:val="yTableNAm"/>
              <w:jc w:val="center"/>
            </w:pPr>
            <w:r>
              <w:t>100.00</w:t>
            </w:r>
          </w:p>
        </w:tc>
      </w:tr>
      <w:tr>
        <w:trPr>
          <w:cantSplit/>
          <w:trHeight w:val="679"/>
        </w:trPr>
        <w:tc>
          <w:tcPr>
            <w:tcW w:w="673" w:type="dxa"/>
          </w:tcPr>
          <w:p>
            <w:pPr>
              <w:pStyle w:val="zyTableNAm"/>
              <w:rPr>
                <w:szCs w:val="22"/>
              </w:rPr>
            </w:pPr>
          </w:p>
        </w:tc>
        <w:tc>
          <w:tcPr>
            <w:tcW w:w="6415" w:type="dxa"/>
            <w:gridSpan w:val="4"/>
          </w:tcPr>
          <w:p>
            <w:pPr>
              <w:pStyle w:val="yTableNAm"/>
              <w:rPr>
                <w:sz w:val="18"/>
                <w:szCs w:val="18"/>
              </w:rPr>
            </w:pPr>
            <w:r>
              <w:rPr>
                <w:sz w:val="18"/>
                <w:szCs w:val="18"/>
              </w:rPr>
              <w:t>Note 1:</w:t>
            </w:r>
          </w:p>
          <w:p>
            <w:pPr>
              <w:pStyle w:val="yTableNAm"/>
              <w:rPr>
                <w:sz w:val="18"/>
                <w:szCs w:val="18"/>
              </w:rPr>
            </w:pPr>
            <w:r>
              <w:rPr>
                <w:sz w:val="18"/>
                <w:szCs w:val="18"/>
              </w:rPr>
              <w:t>No fee is payable if the proceedings are of an interlocutory nature only.</w:t>
            </w:r>
          </w:p>
        </w:tc>
      </w:tr>
      <w:tr>
        <w:trPr>
          <w:cantSplit/>
          <w:trHeight w:val="1087"/>
        </w:trPr>
        <w:tc>
          <w:tcPr>
            <w:tcW w:w="673" w:type="dxa"/>
          </w:tcPr>
          <w:p>
            <w:pPr>
              <w:pStyle w:val="zyTableNAm"/>
              <w:rPr>
                <w:szCs w:val="22"/>
              </w:rPr>
            </w:pPr>
          </w:p>
        </w:tc>
        <w:tc>
          <w:tcPr>
            <w:tcW w:w="6415" w:type="dxa"/>
            <w:gridSpan w:val="4"/>
          </w:tcPr>
          <w:p>
            <w:pPr>
              <w:pStyle w:val="yTableNAm"/>
              <w:rPr>
                <w:sz w:val="18"/>
                <w:szCs w:val="18"/>
              </w:rPr>
            </w:pPr>
            <w:r>
              <w:rPr>
                <w:sz w:val="18"/>
                <w:szCs w:val="18"/>
              </w:rPr>
              <w:t>Note 2:</w:t>
            </w:r>
          </w:p>
          <w:p>
            <w:pPr>
              <w:pStyle w:val="yTableNAm"/>
              <w:rPr>
                <w:sz w:val="18"/>
                <w:szCs w:val="18"/>
              </w:rPr>
            </w:pPr>
            <w:r>
              <w:rPr>
                <w:sz w:val="18"/>
                <w:szCs w:val="18"/>
              </w:rPr>
              <w:t>The fee to be charged is to be paid in respect of any number of hearing days or half days greater than the number of hearing days for which a fee has been paid under item 5 or 7.</w:t>
            </w:r>
          </w:p>
        </w:tc>
      </w:tr>
      <w:tr>
        <w:trPr>
          <w:cantSplit/>
          <w:trHeight w:val="897"/>
        </w:trPr>
        <w:tc>
          <w:tcPr>
            <w:tcW w:w="673" w:type="dxa"/>
          </w:tcPr>
          <w:p>
            <w:pPr>
              <w:pStyle w:val="zyTableNAm"/>
              <w:rPr>
                <w:szCs w:val="22"/>
              </w:rPr>
            </w:pPr>
          </w:p>
        </w:tc>
        <w:tc>
          <w:tcPr>
            <w:tcW w:w="6415" w:type="dxa"/>
            <w:gridSpan w:val="4"/>
          </w:tcPr>
          <w:p>
            <w:pPr>
              <w:pStyle w:val="yTableNAm"/>
              <w:rPr>
                <w:sz w:val="18"/>
                <w:szCs w:val="18"/>
              </w:rPr>
            </w:pPr>
            <w:r>
              <w:rPr>
                <w:sz w:val="18"/>
                <w:szCs w:val="18"/>
              </w:rPr>
              <w:t>Note 3:</w:t>
            </w:r>
          </w:p>
          <w:p>
            <w:pPr>
              <w:pStyle w:val="yTableNAm"/>
              <w:rPr>
                <w:sz w:val="18"/>
                <w:szCs w:val="18"/>
              </w:rPr>
            </w:pPr>
            <w:r>
              <w:rPr>
                <w:sz w:val="18"/>
                <w:szCs w:val="18"/>
              </w:rPr>
              <w:t>If the Court only allocates a half day or less for the continuation of the hearing then a fee equal to half the prescribed amount is payable for that period.</w:t>
            </w:r>
          </w:p>
        </w:tc>
      </w:tr>
      <w:tr>
        <w:trPr>
          <w:cantSplit/>
          <w:trHeight w:val="829"/>
        </w:trPr>
        <w:tc>
          <w:tcPr>
            <w:tcW w:w="673" w:type="dxa"/>
          </w:tcPr>
          <w:p>
            <w:pPr>
              <w:pStyle w:val="zyTableNAm"/>
              <w:rPr>
                <w:szCs w:val="22"/>
              </w:rPr>
            </w:pPr>
          </w:p>
        </w:tc>
        <w:tc>
          <w:tcPr>
            <w:tcW w:w="6415" w:type="dxa"/>
            <w:gridSpan w:val="4"/>
          </w:tcPr>
          <w:p>
            <w:pPr>
              <w:pStyle w:val="yTableNAm"/>
              <w:rPr>
                <w:sz w:val="18"/>
                <w:szCs w:val="18"/>
              </w:rPr>
            </w:pPr>
            <w:r>
              <w:rPr>
                <w:sz w:val="18"/>
                <w:szCs w:val="18"/>
              </w:rPr>
              <w:t>Note 4:</w:t>
            </w:r>
          </w:p>
          <w:p>
            <w:pPr>
              <w:pStyle w:val="yTableNAm"/>
              <w:rPr>
                <w:sz w:val="18"/>
                <w:szCs w:val="18"/>
              </w:rPr>
            </w:pPr>
            <w:r>
              <w:rPr>
                <w:sz w:val="18"/>
                <w:szCs w:val="18"/>
              </w:rPr>
              <w:t>The daily fee becomes payable on a day to day basis and is payable prior to the daily reconvening of the hearing.</w:t>
            </w:r>
          </w:p>
        </w:tc>
      </w:tr>
      <w:tr>
        <w:trPr>
          <w:cantSplit/>
        </w:trPr>
        <w:tc>
          <w:tcPr>
            <w:tcW w:w="673" w:type="dxa"/>
          </w:tcPr>
          <w:p>
            <w:pPr>
              <w:pStyle w:val="yTableNAm"/>
            </w:pPr>
            <w:r>
              <w:rPr>
                <w:szCs w:val="22"/>
              </w:rPr>
              <w:t>9.</w:t>
            </w:r>
          </w:p>
        </w:tc>
        <w:tc>
          <w:tcPr>
            <w:tcW w:w="2588" w:type="dxa"/>
          </w:tcPr>
          <w:p>
            <w:pPr>
              <w:pStyle w:val="yTableNAm"/>
            </w:pPr>
            <w:r>
              <w:rPr>
                <w:szCs w:val="22"/>
              </w:rPr>
              <w:t xml:space="preserve">On filing, before a judge or registrar in chambers —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jc w:val="center"/>
            </w:pPr>
          </w:p>
        </w:tc>
      </w:tr>
      <w:tr>
        <w:trPr>
          <w:cantSplit/>
        </w:trPr>
        <w:tc>
          <w:tcPr>
            <w:tcW w:w="673" w:type="dxa"/>
          </w:tcPr>
          <w:p>
            <w:pPr>
              <w:pStyle w:val="zyTableNAm"/>
              <w:rPr>
                <w:szCs w:val="22"/>
              </w:rPr>
            </w:pPr>
          </w:p>
        </w:tc>
        <w:tc>
          <w:tcPr>
            <w:tcW w:w="2588" w:type="dxa"/>
          </w:tcPr>
          <w:p>
            <w:pPr>
              <w:pStyle w:val="yTableNAm"/>
              <w:ind w:left="567" w:hanging="567"/>
            </w:pPr>
            <w:r>
              <w:rPr>
                <w:szCs w:val="22"/>
              </w:rPr>
              <w:t>(a)</w:t>
            </w:r>
            <w:r>
              <w:rPr>
                <w:szCs w:val="22"/>
              </w:rPr>
              <w:tab/>
              <w:t>an interlocutory application or summons or motion returnable</w:t>
            </w:r>
          </w:p>
        </w:tc>
        <w:tc>
          <w:tcPr>
            <w:tcW w:w="1275" w:type="dxa"/>
            <w:vAlign w:val="bottom"/>
          </w:tcPr>
          <w:p>
            <w:pPr>
              <w:pStyle w:val="yTableNAm"/>
              <w:jc w:val="center"/>
            </w:pPr>
            <w:r>
              <w:t>220.00</w:t>
            </w:r>
          </w:p>
        </w:tc>
        <w:tc>
          <w:tcPr>
            <w:tcW w:w="1276" w:type="dxa"/>
            <w:vAlign w:val="bottom"/>
          </w:tcPr>
          <w:p>
            <w:pPr>
              <w:pStyle w:val="yTableNAm"/>
              <w:jc w:val="center"/>
            </w:pPr>
            <w:r>
              <w:t>429.00</w:t>
            </w:r>
          </w:p>
        </w:tc>
        <w:tc>
          <w:tcPr>
            <w:tcW w:w="1276" w:type="dxa"/>
            <w:vAlign w:val="bottom"/>
          </w:tcPr>
          <w:p>
            <w:pPr>
              <w:pStyle w:val="yTableNAm"/>
              <w:jc w:val="center"/>
            </w:pPr>
            <w:r>
              <w:t>66.00</w:t>
            </w:r>
          </w:p>
        </w:tc>
      </w:tr>
      <w:tr>
        <w:trPr>
          <w:cantSplit/>
        </w:trPr>
        <w:tc>
          <w:tcPr>
            <w:tcW w:w="673" w:type="dxa"/>
          </w:tcPr>
          <w:p>
            <w:pPr>
              <w:pStyle w:val="zyTableNAm"/>
              <w:rPr>
                <w:rStyle w:val="CommentReference"/>
                <w:rFonts w:ascii="Times" w:hAnsi="Times"/>
                <w:szCs w:val="22"/>
              </w:rPr>
            </w:pPr>
          </w:p>
        </w:tc>
        <w:tc>
          <w:tcPr>
            <w:tcW w:w="2588" w:type="dxa"/>
          </w:tcPr>
          <w:p>
            <w:pPr>
              <w:pStyle w:val="yTableNAm"/>
              <w:ind w:left="567" w:hanging="567"/>
            </w:pPr>
            <w:r>
              <w:rPr>
                <w:szCs w:val="22"/>
              </w:rPr>
              <w:t>(b)</w:t>
            </w:r>
            <w:r>
              <w:rPr>
                <w:szCs w:val="22"/>
              </w:rPr>
              <w:tab/>
              <w:t>an application for assessment of damages other than in an action for personal injury</w:t>
            </w:r>
          </w:p>
        </w:tc>
        <w:tc>
          <w:tcPr>
            <w:tcW w:w="1275" w:type="dxa"/>
            <w:vAlign w:val="bottom"/>
          </w:tcPr>
          <w:p>
            <w:pPr>
              <w:pStyle w:val="yTableNAm"/>
              <w:jc w:val="center"/>
            </w:pPr>
            <w:r>
              <w:t>220.00</w:t>
            </w:r>
          </w:p>
        </w:tc>
        <w:tc>
          <w:tcPr>
            <w:tcW w:w="1276" w:type="dxa"/>
            <w:vAlign w:val="bottom"/>
          </w:tcPr>
          <w:p>
            <w:pPr>
              <w:pStyle w:val="yTableNAm"/>
              <w:jc w:val="center"/>
            </w:pPr>
            <w:r>
              <w:t>429.00</w:t>
            </w:r>
          </w:p>
        </w:tc>
        <w:tc>
          <w:tcPr>
            <w:tcW w:w="1276" w:type="dxa"/>
            <w:vAlign w:val="bottom"/>
          </w:tcPr>
          <w:p>
            <w:pPr>
              <w:pStyle w:val="yTableNAm"/>
              <w:jc w:val="center"/>
            </w:pPr>
            <w:r>
              <w:t>66.00</w:t>
            </w:r>
          </w:p>
        </w:tc>
      </w:tr>
      <w:tr>
        <w:trPr>
          <w:cantSplit/>
        </w:trPr>
        <w:tc>
          <w:tcPr>
            <w:tcW w:w="673" w:type="dxa"/>
          </w:tcPr>
          <w:p>
            <w:pPr>
              <w:pStyle w:val="zyTableNAm"/>
              <w:rPr>
                <w:szCs w:val="22"/>
              </w:rPr>
            </w:pPr>
          </w:p>
        </w:tc>
        <w:tc>
          <w:tcPr>
            <w:tcW w:w="2588" w:type="dxa"/>
          </w:tcPr>
          <w:p>
            <w:pPr>
              <w:pStyle w:val="yTableNAm"/>
              <w:ind w:left="567" w:hanging="567"/>
            </w:pPr>
            <w:r>
              <w:rPr>
                <w:szCs w:val="22"/>
              </w:rPr>
              <w:t>(c)</w:t>
            </w:r>
            <w:r>
              <w:rPr>
                <w:szCs w:val="22"/>
              </w:rPr>
              <w:tab/>
              <w:t>an application for summary judgment</w:t>
            </w:r>
          </w:p>
        </w:tc>
        <w:tc>
          <w:tcPr>
            <w:tcW w:w="1275" w:type="dxa"/>
            <w:vAlign w:val="bottom"/>
          </w:tcPr>
          <w:p>
            <w:pPr>
              <w:pStyle w:val="yTableNAm"/>
              <w:jc w:val="center"/>
            </w:pPr>
            <w:r>
              <w:t>220.00</w:t>
            </w:r>
          </w:p>
        </w:tc>
        <w:tc>
          <w:tcPr>
            <w:tcW w:w="1276" w:type="dxa"/>
            <w:vAlign w:val="bottom"/>
          </w:tcPr>
          <w:p>
            <w:pPr>
              <w:pStyle w:val="yTableNAm"/>
              <w:jc w:val="center"/>
            </w:pPr>
            <w:r>
              <w:t>429.00</w:t>
            </w:r>
          </w:p>
        </w:tc>
        <w:tc>
          <w:tcPr>
            <w:tcW w:w="1276" w:type="dxa"/>
            <w:vAlign w:val="bottom"/>
          </w:tcPr>
          <w:p>
            <w:pPr>
              <w:pStyle w:val="yTableNAm"/>
              <w:jc w:val="center"/>
            </w:pPr>
            <w:r>
              <w:t>66.00</w:t>
            </w:r>
          </w:p>
        </w:tc>
      </w:tr>
      <w:tr>
        <w:trPr>
          <w:cantSplit/>
          <w:trHeight w:val="924"/>
        </w:trPr>
        <w:tc>
          <w:tcPr>
            <w:tcW w:w="673" w:type="dxa"/>
          </w:tcPr>
          <w:p>
            <w:pPr>
              <w:pStyle w:val="zyTableNAm"/>
              <w:rPr>
                <w:szCs w:val="22"/>
              </w:rPr>
            </w:pPr>
          </w:p>
        </w:tc>
        <w:tc>
          <w:tcPr>
            <w:tcW w:w="6415" w:type="dxa"/>
            <w:gridSpan w:val="4"/>
          </w:tcPr>
          <w:p>
            <w:pPr>
              <w:pStyle w:val="yTableNAm"/>
              <w:rPr>
                <w:sz w:val="18"/>
                <w:szCs w:val="18"/>
              </w:rPr>
            </w:pPr>
            <w:r>
              <w:rPr>
                <w:sz w:val="18"/>
                <w:szCs w:val="18"/>
              </w:rPr>
              <w:t>Note 1:</w:t>
            </w:r>
          </w:p>
          <w:p>
            <w:pPr>
              <w:pStyle w:val="yTableNAm"/>
              <w:rPr>
                <w:sz w:val="18"/>
                <w:szCs w:val="18"/>
              </w:rPr>
            </w:pPr>
            <w:r>
              <w:rPr>
                <w:sz w:val="18"/>
                <w:szCs w:val="18"/>
              </w:rPr>
              <w:t>This fee includes the first day of hearing of the application or summons and includes any adjournment of the hearing.</w:t>
            </w:r>
          </w:p>
        </w:tc>
      </w:tr>
      <w:tr>
        <w:trPr>
          <w:cantSplit/>
          <w:trHeight w:val="805"/>
        </w:trPr>
        <w:tc>
          <w:tcPr>
            <w:tcW w:w="673" w:type="dxa"/>
          </w:tcPr>
          <w:p>
            <w:pPr>
              <w:pStyle w:val="zyTableNAm"/>
              <w:rPr>
                <w:szCs w:val="22"/>
              </w:rPr>
            </w:pPr>
          </w:p>
        </w:tc>
        <w:tc>
          <w:tcPr>
            <w:tcW w:w="6415" w:type="dxa"/>
            <w:gridSpan w:val="4"/>
          </w:tcPr>
          <w:p>
            <w:pPr>
              <w:pStyle w:val="yTableNAm"/>
              <w:rPr>
                <w:sz w:val="18"/>
                <w:szCs w:val="18"/>
              </w:rPr>
            </w:pPr>
            <w:r>
              <w:rPr>
                <w:sz w:val="18"/>
                <w:szCs w:val="18"/>
              </w:rPr>
              <w:t>Note 2:</w:t>
            </w:r>
          </w:p>
          <w:p>
            <w:pPr>
              <w:pStyle w:val="yTableNAm"/>
              <w:rPr>
                <w:sz w:val="18"/>
                <w:szCs w:val="18"/>
              </w:rPr>
            </w:pPr>
            <w:r>
              <w:rPr>
                <w:sz w:val="18"/>
                <w:szCs w:val="18"/>
              </w:rPr>
              <w:t>This fee is payable in respect of any application exercising liberty to apply to relist.</w:t>
            </w:r>
          </w:p>
        </w:tc>
      </w:tr>
      <w:tr>
        <w:trPr>
          <w:cantSplit/>
        </w:trPr>
        <w:tc>
          <w:tcPr>
            <w:tcW w:w="673" w:type="dxa"/>
          </w:tcPr>
          <w:p>
            <w:pPr>
              <w:pStyle w:val="yTableNAm"/>
            </w:pPr>
            <w:r>
              <w:rPr>
                <w:szCs w:val="22"/>
              </w:rPr>
              <w:t>10.</w:t>
            </w:r>
          </w:p>
        </w:tc>
        <w:tc>
          <w:tcPr>
            <w:tcW w:w="2588" w:type="dxa"/>
          </w:tcPr>
          <w:p>
            <w:pPr>
              <w:pStyle w:val="yTableNAm"/>
            </w:pPr>
            <w:r>
              <w:rPr>
                <w:szCs w:val="22"/>
              </w:rPr>
              <w:t>If the hearing of a matter to which item 9 applies is listed for more than 1 day and proceeds for more than the number of days listed, the fee prescribed in item 9 is payable for each additional day or part day of hearing</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jc w:val="center"/>
            </w:pPr>
          </w:p>
        </w:tc>
      </w:tr>
      <w:tr>
        <w:trPr>
          <w:cantSplit/>
          <w:trHeight w:val="999"/>
        </w:trPr>
        <w:tc>
          <w:tcPr>
            <w:tcW w:w="673" w:type="dxa"/>
          </w:tcPr>
          <w:p>
            <w:pPr>
              <w:pStyle w:val="zyTableNAm"/>
              <w:rPr>
                <w:szCs w:val="22"/>
              </w:rPr>
            </w:pPr>
          </w:p>
        </w:tc>
        <w:tc>
          <w:tcPr>
            <w:tcW w:w="6415" w:type="dxa"/>
            <w:gridSpan w:val="4"/>
          </w:tcPr>
          <w:p>
            <w:pPr>
              <w:pStyle w:val="yTableNAm"/>
              <w:rPr>
                <w:sz w:val="18"/>
                <w:szCs w:val="18"/>
              </w:rPr>
            </w:pPr>
            <w:r>
              <w:rPr>
                <w:sz w:val="18"/>
                <w:szCs w:val="18"/>
              </w:rPr>
              <w:t>Note:</w:t>
            </w:r>
          </w:p>
          <w:p>
            <w:pPr>
              <w:pStyle w:val="yTableNAm"/>
              <w:rPr>
                <w:szCs w:val="22"/>
              </w:rPr>
            </w:pPr>
            <w:r>
              <w:rPr>
                <w:sz w:val="18"/>
                <w:szCs w:val="18"/>
              </w:rPr>
              <w:t>The daily fee becomes payable on a day to day basis and is payable prior to the daily reconvening of the hearing.</w:t>
            </w:r>
          </w:p>
        </w:tc>
      </w:tr>
      <w:tr>
        <w:trPr>
          <w:cantSplit/>
        </w:trPr>
        <w:tc>
          <w:tcPr>
            <w:tcW w:w="673" w:type="dxa"/>
          </w:tcPr>
          <w:p>
            <w:pPr>
              <w:pStyle w:val="yTableNAm"/>
            </w:pPr>
            <w:r>
              <w:rPr>
                <w:szCs w:val="22"/>
              </w:rPr>
              <w:t>11.</w:t>
            </w:r>
          </w:p>
        </w:tc>
        <w:tc>
          <w:tcPr>
            <w:tcW w:w="2588" w:type="dxa"/>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jc w:val="center"/>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lodgment fee</w:t>
            </w:r>
          </w:p>
        </w:tc>
        <w:tc>
          <w:tcPr>
            <w:tcW w:w="1275" w:type="dxa"/>
            <w:vAlign w:val="bottom"/>
          </w:tcPr>
          <w:p>
            <w:pPr>
              <w:pStyle w:val="yTableNAm"/>
              <w:jc w:val="center"/>
            </w:pPr>
            <w:r>
              <w:t>220.00</w:t>
            </w:r>
          </w:p>
        </w:tc>
        <w:tc>
          <w:tcPr>
            <w:tcW w:w="1276" w:type="dxa"/>
            <w:vAlign w:val="bottom"/>
          </w:tcPr>
          <w:p>
            <w:pPr>
              <w:pStyle w:val="yTableNAm"/>
              <w:jc w:val="center"/>
            </w:pPr>
            <w:r>
              <w:t>429.00</w:t>
            </w:r>
          </w:p>
        </w:tc>
        <w:tc>
          <w:tcPr>
            <w:tcW w:w="1276" w:type="dxa"/>
            <w:vAlign w:val="bottom"/>
          </w:tcPr>
          <w:p>
            <w:pPr>
              <w:pStyle w:val="yTableNAm"/>
              <w:jc w:val="center"/>
            </w:pPr>
            <w:r>
              <w:t>66.00</w:t>
            </w:r>
          </w:p>
        </w:tc>
      </w:tr>
      <w:tr>
        <w:trPr>
          <w:cantSplit/>
        </w:trPr>
        <w:tc>
          <w:tcPr>
            <w:tcW w:w="673" w:type="dxa"/>
          </w:tcPr>
          <w:p>
            <w:pPr>
              <w:pStyle w:val="zyTableNAm"/>
              <w:rPr>
                <w:szCs w:val="22"/>
              </w:rPr>
            </w:pPr>
          </w:p>
        </w:tc>
        <w:tc>
          <w:tcPr>
            <w:tcW w:w="2588" w:type="dxa"/>
          </w:tcPr>
          <w:p>
            <w:pPr>
              <w:pStyle w:val="yTableNAm"/>
              <w:ind w:left="567" w:hanging="567"/>
            </w:pPr>
            <w:r>
              <w:rPr>
                <w:szCs w:val="22"/>
              </w:rPr>
              <w:t>(b)</w:t>
            </w:r>
            <w:r>
              <w:rPr>
                <w:szCs w:val="22"/>
              </w:rPr>
              <w:tab/>
              <w:t>in addition to the lodgment fee, a taxing fee at the rate of</w:t>
            </w:r>
          </w:p>
        </w:tc>
        <w:tc>
          <w:tcPr>
            <w:tcW w:w="1275" w:type="dxa"/>
            <w:vAlign w:val="bottom"/>
          </w:tcPr>
          <w:p>
            <w:pPr>
              <w:pStyle w:val="yTableNAm"/>
              <w:jc w:val="center"/>
            </w:pPr>
            <w:r>
              <w:rPr>
                <w:szCs w:val="22"/>
              </w:rPr>
              <w:t>2.5%</w:t>
            </w:r>
          </w:p>
        </w:tc>
        <w:tc>
          <w:tcPr>
            <w:tcW w:w="1276" w:type="dxa"/>
            <w:vAlign w:val="bottom"/>
          </w:tcPr>
          <w:p>
            <w:pPr>
              <w:pStyle w:val="yTableNAm"/>
              <w:jc w:val="center"/>
            </w:pPr>
            <w:r>
              <w:rPr>
                <w:szCs w:val="22"/>
              </w:rPr>
              <w:t>2.5%</w:t>
            </w:r>
          </w:p>
        </w:tc>
        <w:tc>
          <w:tcPr>
            <w:tcW w:w="1276" w:type="dxa"/>
            <w:vAlign w:val="bottom"/>
          </w:tcPr>
          <w:p>
            <w:pPr>
              <w:pStyle w:val="yTableNAm"/>
              <w:jc w:val="center"/>
            </w:pPr>
            <w:r>
              <w:rPr>
                <w:szCs w:val="22"/>
              </w:rPr>
              <w:t>0.0%</w:t>
            </w:r>
          </w:p>
        </w:tc>
      </w:tr>
      <w:tr>
        <w:trPr>
          <w:cantSplit/>
          <w:trHeight w:val="656"/>
        </w:trPr>
        <w:tc>
          <w:tcPr>
            <w:tcW w:w="673" w:type="dxa"/>
          </w:tcPr>
          <w:p>
            <w:pPr>
              <w:pStyle w:val="zyTableNAm"/>
              <w:rPr>
                <w:szCs w:val="22"/>
              </w:rPr>
            </w:pPr>
          </w:p>
        </w:tc>
        <w:tc>
          <w:tcPr>
            <w:tcW w:w="6415" w:type="dxa"/>
            <w:gridSpan w:val="4"/>
          </w:tcPr>
          <w:p>
            <w:pPr>
              <w:pStyle w:val="yTableNAm"/>
              <w:rPr>
                <w:sz w:val="18"/>
                <w:szCs w:val="18"/>
              </w:rPr>
            </w:pPr>
            <w:r>
              <w:rPr>
                <w:sz w:val="18"/>
                <w:szCs w:val="18"/>
              </w:rPr>
              <w:t>Note 1:</w:t>
            </w:r>
          </w:p>
          <w:p>
            <w:pPr>
              <w:pStyle w:val="yTableNAm"/>
              <w:rPr>
                <w:sz w:val="18"/>
                <w:szCs w:val="18"/>
              </w:rPr>
            </w:pPr>
            <w:r>
              <w:rPr>
                <w:sz w:val="18"/>
                <w:szCs w:val="18"/>
              </w:rPr>
              <w:t>The % rate is to be applied to the amount at which the bill is drawn.</w:t>
            </w:r>
          </w:p>
        </w:tc>
      </w:tr>
      <w:tr>
        <w:trPr>
          <w:cantSplit/>
          <w:trHeight w:val="1143"/>
        </w:trPr>
        <w:tc>
          <w:tcPr>
            <w:tcW w:w="673" w:type="dxa"/>
          </w:tcPr>
          <w:p>
            <w:pPr>
              <w:pStyle w:val="zyTableNAm"/>
              <w:rPr>
                <w:szCs w:val="22"/>
              </w:rPr>
            </w:pPr>
          </w:p>
        </w:tc>
        <w:tc>
          <w:tcPr>
            <w:tcW w:w="6415" w:type="dxa"/>
            <w:gridSpan w:val="4"/>
          </w:tcPr>
          <w:p>
            <w:pPr>
              <w:pStyle w:val="yTableNAm"/>
              <w:rPr>
                <w:sz w:val="18"/>
                <w:szCs w:val="18"/>
              </w:rPr>
            </w:pPr>
            <w:r>
              <w:rPr>
                <w:sz w:val="18"/>
                <w:szCs w:val="18"/>
              </w:rPr>
              <w:t>Note 2:</w:t>
            </w:r>
          </w:p>
          <w:p>
            <w:pPr>
              <w:pStyle w:val="yTableNAm"/>
              <w:rPr>
                <w:sz w:val="18"/>
                <w:szCs w:val="18"/>
              </w:rPr>
            </w:pPr>
            <w:r>
              <w:rPr>
                <w:sz w:val="18"/>
                <w:szCs w:val="18"/>
              </w:rPr>
              <w:t>The taxing officer must allow, against the person chargeable with the costs as taxed, taxing fees at the rate indicated in item 11(b) of the amount found to be due on taxation.</w:t>
            </w:r>
          </w:p>
        </w:tc>
      </w:tr>
      <w:tr>
        <w:trPr>
          <w:cantSplit/>
          <w:trHeight w:val="2595"/>
        </w:trPr>
        <w:tc>
          <w:tcPr>
            <w:tcW w:w="673" w:type="dxa"/>
          </w:tcPr>
          <w:p>
            <w:pPr>
              <w:pStyle w:val="zyTableNAm"/>
              <w:rPr>
                <w:szCs w:val="22"/>
              </w:rPr>
            </w:pPr>
          </w:p>
        </w:tc>
        <w:tc>
          <w:tcPr>
            <w:tcW w:w="6415" w:type="dxa"/>
            <w:gridSpan w:val="4"/>
          </w:tcPr>
          <w:p>
            <w:pPr>
              <w:pStyle w:val="yTableNAm"/>
              <w:rPr>
                <w:sz w:val="18"/>
                <w:szCs w:val="18"/>
              </w:rPr>
            </w:pPr>
            <w:r>
              <w:rPr>
                <w:sz w:val="18"/>
                <w:szCs w:val="18"/>
              </w:rPr>
              <w:t>Note 3:</w:t>
            </w:r>
          </w:p>
          <w:p>
            <w:pPr>
              <w:pStyle w:val="yTableNAm"/>
              <w:rPr>
                <w:sz w:val="18"/>
                <w:szCs w:val="18"/>
              </w:rPr>
            </w:pPr>
            <w:r>
              <w:rPr>
                <w:sz w:val="18"/>
                <w:szCs w:val="18"/>
              </w:rPr>
              <w:t>If the parties agree on the bill of costs in a cause or matter or under the Commercial Arbitration Act 2012 and the appointment is cancelled, the following percentage of the fee paid is to be refunded —</w:t>
            </w:r>
          </w:p>
          <w:p>
            <w:pPr>
              <w:pStyle w:val="yTableNAm"/>
              <w:ind w:left="567" w:hanging="567"/>
              <w:rPr>
                <w:sz w:val="18"/>
                <w:szCs w:val="18"/>
              </w:rPr>
            </w:pPr>
            <w:r>
              <w:rPr>
                <w:sz w:val="18"/>
                <w:szCs w:val="18"/>
              </w:rPr>
              <w:t>(a)</w:t>
            </w:r>
            <w:r>
              <w:rPr>
                <w:sz w:val="18"/>
                <w:szCs w:val="18"/>
              </w:rPr>
              <w:tab/>
              <w:t>if the appointment is cancelled less than 3 days before the day of the appointment, nil;</w:t>
            </w:r>
          </w:p>
          <w:p>
            <w:pPr>
              <w:pStyle w:val="yTableNAm"/>
              <w:ind w:left="567" w:hanging="567"/>
              <w:rPr>
                <w:sz w:val="18"/>
                <w:szCs w:val="18"/>
              </w:rPr>
            </w:pPr>
            <w:r>
              <w:rPr>
                <w:sz w:val="18"/>
                <w:szCs w:val="18"/>
              </w:rPr>
              <w:t>(b)</w:t>
            </w:r>
            <w:r>
              <w:rPr>
                <w:sz w:val="18"/>
                <w:szCs w:val="18"/>
              </w:rPr>
              <w:tab/>
              <w:t>if the appointment is cancelled 3 days or more and less than 10 days before the day of the appointment, 50%;</w:t>
            </w:r>
          </w:p>
          <w:p>
            <w:pPr>
              <w:pStyle w:val="yTableNAm"/>
              <w:ind w:left="567" w:hanging="567"/>
              <w:rPr>
                <w:sz w:val="18"/>
                <w:szCs w:val="18"/>
              </w:rPr>
            </w:pPr>
            <w:r>
              <w:rPr>
                <w:sz w:val="18"/>
                <w:szCs w:val="18"/>
              </w:rPr>
              <w:t>(c)</w:t>
            </w:r>
            <w:r>
              <w:rPr>
                <w:sz w:val="18"/>
                <w:szCs w:val="18"/>
              </w:rPr>
              <w:tab/>
              <w:t>if the appointment is cancelled 10 days or more before the day of the appointment, 80%.</w:t>
            </w:r>
          </w:p>
        </w:tc>
      </w:tr>
      <w:tr>
        <w:trPr>
          <w:cantSplit/>
        </w:trPr>
        <w:tc>
          <w:tcPr>
            <w:tcW w:w="673" w:type="dxa"/>
          </w:tcPr>
          <w:p>
            <w:pPr>
              <w:pStyle w:val="yTableNAm"/>
            </w:pPr>
            <w:r>
              <w:rPr>
                <w:szCs w:val="22"/>
              </w:rPr>
              <w:t>12.</w:t>
            </w:r>
          </w:p>
        </w:tc>
        <w:tc>
          <w:tcPr>
            <w:tcW w:w="2588" w:type="dxa"/>
          </w:tcPr>
          <w:p>
            <w:pPr>
              <w:pStyle w:val="yTableNAm"/>
            </w:pPr>
            <w:r>
              <w:rPr>
                <w:szCs w:val="22"/>
              </w:rPr>
              <w:t>For searching any record or proceeding</w:t>
            </w:r>
          </w:p>
        </w:tc>
        <w:tc>
          <w:tcPr>
            <w:tcW w:w="1275" w:type="dxa"/>
            <w:vAlign w:val="bottom"/>
          </w:tcPr>
          <w:p>
            <w:pPr>
              <w:pStyle w:val="yTableNAm"/>
              <w:jc w:val="center"/>
            </w:pPr>
            <w:r>
              <w:t>44.50</w:t>
            </w:r>
          </w:p>
        </w:tc>
        <w:tc>
          <w:tcPr>
            <w:tcW w:w="1276" w:type="dxa"/>
            <w:vAlign w:val="bottom"/>
          </w:tcPr>
          <w:p>
            <w:pPr>
              <w:pStyle w:val="yTableNAm"/>
              <w:jc w:val="center"/>
            </w:pPr>
            <w:r>
              <w:t>44.50</w:t>
            </w:r>
          </w:p>
        </w:tc>
        <w:tc>
          <w:tcPr>
            <w:tcW w:w="1276" w:type="dxa"/>
            <w:vAlign w:val="bottom"/>
          </w:tcPr>
          <w:p>
            <w:pPr>
              <w:pStyle w:val="yTableNAm"/>
              <w:jc w:val="center"/>
            </w:pPr>
            <w:r>
              <w:t>13.35</w:t>
            </w:r>
          </w:p>
        </w:tc>
      </w:tr>
      <w:tr>
        <w:trPr>
          <w:cantSplit/>
        </w:trPr>
        <w:tc>
          <w:tcPr>
            <w:tcW w:w="673" w:type="dxa"/>
          </w:tcPr>
          <w:p>
            <w:pPr>
              <w:pStyle w:val="zyTableNAm"/>
              <w:rPr>
                <w:szCs w:val="22"/>
              </w:rPr>
            </w:pPr>
          </w:p>
        </w:tc>
        <w:tc>
          <w:tcPr>
            <w:tcW w:w="6415" w:type="dxa"/>
            <w:gridSpan w:val="4"/>
          </w:tcPr>
          <w:p>
            <w:pPr>
              <w:pStyle w:val="yTableNAm"/>
              <w:rPr>
                <w:sz w:val="18"/>
                <w:szCs w:val="18"/>
              </w:rPr>
            </w:pPr>
            <w:r>
              <w:rPr>
                <w:sz w:val="18"/>
                <w:szCs w:val="18"/>
              </w:rPr>
              <w:t>Note:</w:t>
            </w:r>
          </w:p>
          <w:p>
            <w:pPr>
              <w:pStyle w:val="yTableNAm"/>
              <w:rPr>
                <w:sz w:val="18"/>
                <w:szCs w:val="18"/>
              </w:rPr>
            </w:pPr>
            <w:r>
              <w:rPr>
                <w:sz w:val="18"/>
                <w:szCs w:val="18"/>
              </w:rPr>
              <w:t>No fee is payable under item 12 for a search made —</w:t>
            </w:r>
          </w:p>
          <w:p>
            <w:pPr>
              <w:pStyle w:val="yTableNAm"/>
              <w:rPr>
                <w:sz w:val="18"/>
                <w:szCs w:val="18"/>
              </w:rPr>
            </w:pPr>
            <w:r>
              <w:rPr>
                <w:sz w:val="18"/>
                <w:szCs w:val="18"/>
              </w:rPr>
              <w:t>(a)</w:t>
            </w:r>
            <w:r>
              <w:rPr>
                <w:sz w:val="18"/>
                <w:szCs w:val="18"/>
              </w:rPr>
              <w:tab/>
              <w:t>by or on behalf of a party to the proceedings; or</w:t>
            </w:r>
          </w:p>
          <w:p>
            <w:pPr>
              <w:pStyle w:val="yTableNAm"/>
              <w:ind w:left="567" w:hanging="567"/>
              <w:rPr>
                <w:sz w:val="18"/>
                <w:szCs w:val="18"/>
              </w:rPr>
            </w:pPr>
            <w:r>
              <w:rPr>
                <w:sz w:val="18"/>
                <w:szCs w:val="18"/>
              </w:rPr>
              <w:t>(b)</w:t>
            </w:r>
            <w:r>
              <w:rPr>
                <w:sz w:val="18"/>
                <w:szCs w:val="18"/>
              </w:rPr>
              <w:tab/>
              <w:t>by an approved recipient of searchable information provided to it under regulation 11A.</w:t>
            </w:r>
          </w:p>
        </w:tc>
      </w:tr>
      <w:tr>
        <w:trPr>
          <w:cantSplit/>
        </w:trPr>
        <w:tc>
          <w:tcPr>
            <w:tcW w:w="673" w:type="dxa"/>
          </w:tcPr>
          <w:p>
            <w:pPr>
              <w:pStyle w:val="yTableNAm"/>
            </w:pPr>
            <w:r>
              <w:rPr>
                <w:rFonts w:ascii="Times" w:hAnsi="Times"/>
                <w:spacing w:val="-6"/>
                <w:szCs w:val="22"/>
              </w:rPr>
              <w:t>13.</w:t>
            </w:r>
          </w:p>
        </w:tc>
        <w:tc>
          <w:tcPr>
            <w:tcW w:w="2588" w:type="dxa"/>
          </w:tcPr>
          <w:p>
            <w:pPr>
              <w:pStyle w:val="yTableNAm"/>
            </w:pPr>
            <w:r>
              <w:rPr>
                <w:szCs w:val="22"/>
              </w:rPr>
              <w:t xml:space="preserve">For provision of searchable information to approved recipients under regulation 11A —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jc w:val="center"/>
            </w:pPr>
          </w:p>
        </w:tc>
      </w:tr>
      <w:tr>
        <w:trPr>
          <w:cantSplit/>
        </w:trPr>
        <w:tc>
          <w:tcPr>
            <w:tcW w:w="673" w:type="dxa"/>
          </w:tcPr>
          <w:p>
            <w:pPr>
              <w:pStyle w:val="zyTableNAm"/>
              <w:rPr>
                <w:szCs w:val="22"/>
              </w:rPr>
            </w:pPr>
          </w:p>
        </w:tc>
        <w:tc>
          <w:tcPr>
            <w:tcW w:w="2588" w:type="dxa"/>
          </w:tcPr>
          <w:p>
            <w:pPr>
              <w:pStyle w:val="yTableNAm"/>
              <w:ind w:left="567" w:hanging="567"/>
            </w:pPr>
            <w:r>
              <w:rPr>
                <w:szCs w:val="22"/>
              </w:rPr>
              <w:t>(a)</w:t>
            </w:r>
            <w:r>
              <w:rPr>
                <w:szCs w:val="22"/>
              </w:rPr>
              <w:tab/>
              <w:t xml:space="preserve">fee per </w:t>
            </w:r>
            <w:r>
              <w:rPr>
                <w:rFonts w:eastAsia="MS Mincho"/>
                <w:szCs w:val="22"/>
              </w:rPr>
              <w:t xml:space="preserve">action or matter provided to </w:t>
            </w:r>
            <w:r>
              <w:rPr>
                <w:szCs w:val="22"/>
              </w:rPr>
              <w:t>recipient</w:t>
            </w:r>
          </w:p>
        </w:tc>
        <w:tc>
          <w:tcPr>
            <w:tcW w:w="1275" w:type="dxa"/>
            <w:vAlign w:val="bottom"/>
          </w:tcPr>
          <w:p>
            <w:pPr>
              <w:pStyle w:val="yTableNAm"/>
              <w:jc w:val="center"/>
            </w:pPr>
            <w:r>
              <w:t>2.00</w:t>
            </w:r>
          </w:p>
        </w:tc>
        <w:tc>
          <w:tcPr>
            <w:tcW w:w="1276" w:type="dxa"/>
            <w:vAlign w:val="bottom"/>
          </w:tcPr>
          <w:p>
            <w:pPr>
              <w:pStyle w:val="yTableNAm"/>
              <w:jc w:val="center"/>
            </w:pPr>
            <w:r>
              <w:t>2.00</w:t>
            </w:r>
          </w:p>
        </w:tc>
        <w:tc>
          <w:tcPr>
            <w:tcW w:w="1276" w:type="dxa"/>
            <w:vAlign w:val="bottom"/>
          </w:tcPr>
          <w:p>
            <w:pPr>
              <w:pStyle w:val="yTableNAm"/>
              <w:jc w:val="center"/>
            </w:pPr>
            <w:r>
              <w:t>0.60</w:t>
            </w:r>
          </w:p>
        </w:tc>
      </w:tr>
      <w:tr>
        <w:trPr>
          <w:cantSplit/>
        </w:trPr>
        <w:tc>
          <w:tcPr>
            <w:tcW w:w="673" w:type="dxa"/>
          </w:tcPr>
          <w:p>
            <w:pPr>
              <w:pStyle w:val="zyTableNAm"/>
              <w:rPr>
                <w:szCs w:val="22"/>
              </w:rPr>
            </w:pPr>
          </w:p>
        </w:tc>
        <w:tc>
          <w:tcPr>
            <w:tcW w:w="2588" w:type="dxa"/>
          </w:tcPr>
          <w:p>
            <w:pPr>
              <w:pStyle w:val="yTableNAm"/>
              <w:ind w:left="567" w:hanging="567"/>
            </w:pPr>
            <w:r>
              <w:rPr>
                <w:szCs w:val="22"/>
              </w:rPr>
              <w:t>(b)</w:t>
            </w:r>
            <w:r>
              <w:rPr>
                <w:szCs w:val="22"/>
              </w:rPr>
              <w:tab/>
              <w:t>annual fee for information provided by email to approved recipient</w:t>
            </w:r>
          </w:p>
        </w:tc>
        <w:tc>
          <w:tcPr>
            <w:tcW w:w="1275" w:type="dxa"/>
            <w:vAlign w:val="bottom"/>
          </w:tcPr>
          <w:p>
            <w:pPr>
              <w:pStyle w:val="yTableNAm"/>
              <w:jc w:val="center"/>
            </w:pPr>
            <w:r>
              <w:t>2 018.00</w:t>
            </w:r>
          </w:p>
        </w:tc>
        <w:tc>
          <w:tcPr>
            <w:tcW w:w="1276" w:type="dxa"/>
            <w:vAlign w:val="bottom"/>
          </w:tcPr>
          <w:p>
            <w:pPr>
              <w:pStyle w:val="yTableNAm"/>
              <w:jc w:val="center"/>
            </w:pPr>
            <w:r>
              <w:t>2 018.00</w:t>
            </w:r>
          </w:p>
        </w:tc>
        <w:tc>
          <w:tcPr>
            <w:tcW w:w="1276" w:type="dxa"/>
            <w:vAlign w:val="bottom"/>
          </w:tcPr>
          <w:p>
            <w:pPr>
              <w:pStyle w:val="yTableNAm"/>
              <w:jc w:val="center"/>
            </w:pPr>
            <w:r>
              <w:t>100.00</w:t>
            </w:r>
          </w:p>
        </w:tc>
      </w:tr>
      <w:tr>
        <w:trPr>
          <w:cantSplit/>
          <w:trHeight w:val="999"/>
        </w:trPr>
        <w:tc>
          <w:tcPr>
            <w:tcW w:w="673" w:type="dxa"/>
          </w:tcPr>
          <w:p>
            <w:pPr>
              <w:pStyle w:val="zyTableNAm"/>
              <w:rPr>
                <w:szCs w:val="22"/>
              </w:rPr>
            </w:pPr>
          </w:p>
        </w:tc>
        <w:tc>
          <w:tcPr>
            <w:tcW w:w="6415" w:type="dxa"/>
            <w:gridSpan w:val="4"/>
          </w:tcPr>
          <w:p>
            <w:pPr>
              <w:pStyle w:val="yTableNAm"/>
              <w:rPr>
                <w:sz w:val="18"/>
                <w:szCs w:val="18"/>
              </w:rPr>
            </w:pPr>
            <w:r>
              <w:rPr>
                <w:sz w:val="18"/>
                <w:szCs w:val="18"/>
              </w:rPr>
              <w:t>Note:</w:t>
            </w:r>
          </w:p>
          <w:p>
            <w:pPr>
              <w:pStyle w:val="yTableNAm"/>
              <w:rPr>
                <w:szCs w:val="22"/>
              </w:rPr>
            </w:pPr>
            <w:r>
              <w:rPr>
                <w:sz w:val="18"/>
                <w:szCs w:val="18"/>
              </w:rPr>
              <w:t>The fee under item 13(b) is payable on the date on which the recipient is approved by the Attorney General and on each anniversary of that date.</w:t>
            </w:r>
          </w:p>
        </w:tc>
      </w:tr>
      <w:tr>
        <w:trPr>
          <w:cantSplit/>
        </w:trPr>
        <w:tc>
          <w:tcPr>
            <w:tcW w:w="673" w:type="dxa"/>
          </w:tcPr>
          <w:p>
            <w:pPr>
              <w:pStyle w:val="yTableNAm"/>
            </w:pPr>
            <w:r>
              <w:rPr>
                <w:szCs w:val="22"/>
              </w:rPr>
              <w:t>14.</w:t>
            </w:r>
          </w:p>
        </w:tc>
        <w:tc>
          <w:tcPr>
            <w:tcW w:w="2588" w:type="dxa"/>
          </w:tcPr>
          <w:p>
            <w:pPr>
              <w:pStyle w:val="yTableNAm"/>
              <w:ind w:left="567" w:hanging="567"/>
            </w:pPr>
            <w:r>
              <w:rPr>
                <w:szCs w:val="22"/>
              </w:rPr>
              <w:t>(a)</w:t>
            </w:r>
            <w:r>
              <w:rPr>
                <w:szCs w:val="22"/>
              </w:rPr>
              <w:tab/>
              <w:t xml:space="preserve">On an application for the production of records or documents that are required to be produced to any court, tribunal, arbitrator or umpire </w:t>
            </w:r>
          </w:p>
        </w:tc>
        <w:tc>
          <w:tcPr>
            <w:tcW w:w="1275" w:type="dxa"/>
            <w:vAlign w:val="bottom"/>
          </w:tcPr>
          <w:p>
            <w:pPr>
              <w:pStyle w:val="yTableNAm"/>
              <w:jc w:val="center"/>
            </w:pPr>
            <w:r>
              <w:t>65.50</w:t>
            </w:r>
          </w:p>
        </w:tc>
        <w:tc>
          <w:tcPr>
            <w:tcW w:w="1276" w:type="dxa"/>
            <w:vAlign w:val="bottom"/>
          </w:tcPr>
          <w:p>
            <w:pPr>
              <w:pStyle w:val="yTableNAm"/>
              <w:jc w:val="center"/>
            </w:pPr>
            <w:r>
              <w:t>65.50</w:t>
            </w:r>
          </w:p>
        </w:tc>
        <w:tc>
          <w:tcPr>
            <w:tcW w:w="1276" w:type="dxa"/>
            <w:vAlign w:val="bottom"/>
          </w:tcPr>
          <w:p>
            <w:pPr>
              <w:pStyle w:val="yTableNAm"/>
              <w:jc w:val="center"/>
            </w:pPr>
            <w:r>
              <w:t>19.65</w:t>
            </w:r>
          </w:p>
        </w:tc>
      </w:tr>
      <w:tr>
        <w:trPr>
          <w:cantSplit/>
        </w:trPr>
        <w:tc>
          <w:tcPr>
            <w:tcW w:w="673" w:type="dxa"/>
          </w:tcPr>
          <w:p>
            <w:pPr>
              <w:pStyle w:val="zyTableNAm"/>
              <w:rPr>
                <w:szCs w:val="22"/>
              </w:rPr>
            </w:pPr>
          </w:p>
        </w:tc>
        <w:tc>
          <w:tcPr>
            <w:tcW w:w="2588" w:type="dxa"/>
          </w:tcPr>
          <w:p>
            <w:pPr>
              <w:pStyle w:val="yTableNAm"/>
              <w:ind w:left="567" w:hanging="567"/>
            </w:pPr>
            <w:r>
              <w:rPr>
                <w:szCs w:val="22"/>
              </w:rPr>
              <w:t>(b)</w:t>
            </w:r>
            <w:r>
              <w:rPr>
                <w:szCs w:val="22"/>
              </w:rPr>
              <w:tab/>
              <w:t>If an officer is required to attend at any court or place out of the District Court building, the officer’s reasonable expenses and, in addition for each hour when the officer is necessarily absent from the officer’s office</w:t>
            </w:r>
          </w:p>
        </w:tc>
        <w:tc>
          <w:tcPr>
            <w:tcW w:w="1275" w:type="dxa"/>
            <w:vAlign w:val="bottom"/>
          </w:tcPr>
          <w:p>
            <w:pPr>
              <w:pStyle w:val="yTableNAm"/>
              <w:jc w:val="center"/>
            </w:pPr>
            <w:r>
              <w:t>98.00</w:t>
            </w:r>
          </w:p>
        </w:tc>
        <w:tc>
          <w:tcPr>
            <w:tcW w:w="1276" w:type="dxa"/>
            <w:vAlign w:val="bottom"/>
          </w:tcPr>
          <w:p>
            <w:pPr>
              <w:pStyle w:val="yTableNAm"/>
              <w:jc w:val="center"/>
            </w:pPr>
            <w:r>
              <w:t>98.00</w:t>
            </w:r>
          </w:p>
        </w:tc>
        <w:tc>
          <w:tcPr>
            <w:tcW w:w="1276" w:type="dxa"/>
            <w:vAlign w:val="bottom"/>
          </w:tcPr>
          <w:p>
            <w:pPr>
              <w:pStyle w:val="yTableNAm"/>
              <w:jc w:val="center"/>
            </w:pPr>
            <w:r>
              <w:t>29.30</w:t>
            </w:r>
          </w:p>
        </w:tc>
      </w:tr>
      <w:tr>
        <w:trPr>
          <w:cantSplit/>
        </w:trPr>
        <w:tc>
          <w:tcPr>
            <w:tcW w:w="673" w:type="dxa"/>
          </w:tcPr>
          <w:p>
            <w:pPr>
              <w:pStyle w:val="yTableNAm"/>
            </w:pPr>
            <w:r>
              <w:rPr>
                <w:szCs w:val="22"/>
              </w:rPr>
              <w:t>15.</w:t>
            </w:r>
          </w:p>
        </w:tc>
        <w:tc>
          <w:tcPr>
            <w:tcW w:w="2588" w:type="dxa"/>
          </w:tcPr>
          <w:p>
            <w:pPr>
              <w:pStyle w:val="yTableNAm"/>
              <w:ind w:left="567" w:hanging="567"/>
            </w:pPr>
            <w:r>
              <w:rPr>
                <w:szCs w:val="22"/>
              </w:rPr>
              <w:t>(a)</w:t>
            </w:r>
            <w:r>
              <w:rPr>
                <w:szCs w:val="22"/>
              </w:rPr>
              <w:tab/>
              <w:t xml:space="preserve">For a copy of a document of any kind or an exhibit, including marking as an office copy if required, for each page or part thereof </w:t>
            </w:r>
          </w:p>
        </w:tc>
        <w:tc>
          <w:tcPr>
            <w:tcW w:w="1275" w:type="dxa"/>
            <w:vAlign w:val="bottom"/>
          </w:tcPr>
          <w:p>
            <w:pPr>
              <w:pStyle w:val="yTableNAm"/>
              <w:jc w:val="center"/>
            </w:pPr>
            <w:r>
              <w:rPr>
                <w:szCs w:val="22"/>
              </w:rPr>
              <w:t>1.85</w:t>
            </w:r>
          </w:p>
        </w:tc>
        <w:tc>
          <w:tcPr>
            <w:tcW w:w="1276" w:type="dxa"/>
            <w:vAlign w:val="bottom"/>
          </w:tcPr>
          <w:p>
            <w:pPr>
              <w:pStyle w:val="yTableNAm"/>
              <w:jc w:val="center"/>
            </w:pPr>
            <w:r>
              <w:rPr>
                <w:szCs w:val="22"/>
              </w:rPr>
              <w:t>1.85</w:t>
            </w:r>
          </w:p>
        </w:tc>
        <w:tc>
          <w:tcPr>
            <w:tcW w:w="1276" w:type="dxa"/>
            <w:vAlign w:val="bottom"/>
          </w:tcPr>
          <w:p>
            <w:pPr>
              <w:pStyle w:val="yTableNAm"/>
              <w:jc w:val="center"/>
            </w:pPr>
            <w:r>
              <w:rPr>
                <w:szCs w:val="22"/>
              </w:rPr>
              <w:t>0.55</w:t>
            </w:r>
          </w:p>
        </w:tc>
      </w:tr>
      <w:tr>
        <w:trPr>
          <w:cantSplit/>
        </w:trPr>
        <w:tc>
          <w:tcPr>
            <w:tcW w:w="673" w:type="dxa"/>
          </w:tcPr>
          <w:p>
            <w:pPr>
              <w:pStyle w:val="zyTableNAm"/>
              <w:keepNext/>
              <w:keepLines/>
              <w:rPr>
                <w:szCs w:val="22"/>
              </w:rPr>
            </w:pPr>
          </w:p>
        </w:tc>
        <w:tc>
          <w:tcPr>
            <w:tcW w:w="2588" w:type="dxa"/>
          </w:tcPr>
          <w:p>
            <w:pPr>
              <w:pStyle w:val="yTableNAm"/>
              <w:ind w:left="567" w:hanging="567"/>
            </w:pPr>
            <w:r>
              <w:rPr>
                <w:szCs w:val="22"/>
              </w:rPr>
              <w:t>(b)</w:t>
            </w:r>
            <w:r>
              <w:rPr>
                <w:szCs w:val="22"/>
              </w:rPr>
              <w:tab/>
              <w:t>For a copy of reasons for judgment —</w:t>
            </w:r>
          </w:p>
        </w:tc>
        <w:tc>
          <w:tcPr>
            <w:tcW w:w="1275" w:type="dxa"/>
            <w:vAlign w:val="bottom"/>
          </w:tcPr>
          <w:p>
            <w:pPr>
              <w:pStyle w:val="zyTableNAm"/>
              <w:keepNext/>
              <w:keepLines/>
              <w:jc w:val="center"/>
              <w:rPr>
                <w:szCs w:val="22"/>
              </w:rPr>
            </w:pPr>
          </w:p>
        </w:tc>
        <w:tc>
          <w:tcPr>
            <w:tcW w:w="1276" w:type="dxa"/>
            <w:vAlign w:val="bottom"/>
          </w:tcPr>
          <w:p>
            <w:pPr>
              <w:pStyle w:val="zyTableNAm"/>
              <w:keepNext/>
              <w:keepLines/>
              <w:jc w:val="center"/>
              <w:rPr>
                <w:szCs w:val="22"/>
              </w:rPr>
            </w:pPr>
          </w:p>
        </w:tc>
        <w:tc>
          <w:tcPr>
            <w:tcW w:w="1276" w:type="dxa"/>
            <w:vAlign w:val="bottom"/>
          </w:tcPr>
          <w:p>
            <w:pPr>
              <w:pStyle w:val="yTableNAm"/>
              <w:jc w:val="center"/>
            </w:pPr>
          </w:p>
        </w:tc>
      </w:tr>
      <w:tr>
        <w:trPr>
          <w:cantSplit/>
        </w:trPr>
        <w:tc>
          <w:tcPr>
            <w:tcW w:w="673" w:type="dxa"/>
          </w:tcPr>
          <w:p>
            <w:pPr>
              <w:pStyle w:val="zyTableNAm"/>
              <w:keepNext/>
              <w:keepLines/>
              <w:rPr>
                <w:szCs w:val="22"/>
              </w:rPr>
            </w:pPr>
          </w:p>
        </w:tc>
        <w:tc>
          <w:tcPr>
            <w:tcW w:w="2588" w:type="dxa"/>
          </w:tcPr>
          <w:p>
            <w:pPr>
              <w:pStyle w:val="yTableNAm"/>
              <w:ind w:left="1140" w:hanging="1140"/>
              <w:rPr>
                <w:szCs w:val="22"/>
              </w:rPr>
            </w:pPr>
            <w:r>
              <w:rPr>
                <w:szCs w:val="22"/>
              </w:rPr>
              <w:tab/>
              <w:t>(i)</w:t>
            </w:r>
            <w:r>
              <w:rPr>
                <w:szCs w:val="22"/>
              </w:rPr>
              <w:tab/>
              <w:t xml:space="preserve">for </w:t>
            </w:r>
            <w:r>
              <w:t>each</w:t>
            </w:r>
            <w:r>
              <w:rPr>
                <w:szCs w:val="22"/>
              </w:rPr>
              <w:t xml:space="preserve"> copy issued to a person not a party to the proceedings and for each copy in excess of 1 copy issued to a party to the proceedings</w:t>
            </w:r>
            <w:r>
              <w:rPr>
                <w:szCs w:val="22"/>
              </w:rPr>
              <w:tab/>
            </w:r>
          </w:p>
        </w:tc>
        <w:tc>
          <w:tcPr>
            <w:tcW w:w="1275" w:type="dxa"/>
            <w:vAlign w:val="bottom"/>
          </w:tcPr>
          <w:p>
            <w:pPr>
              <w:pStyle w:val="zyTableNAm"/>
              <w:keepNext/>
              <w:keepLines/>
              <w:jc w:val="center"/>
              <w:rPr>
                <w:szCs w:val="22"/>
              </w:rPr>
            </w:pPr>
            <w:r>
              <w:rPr>
                <w:szCs w:val="22"/>
              </w:rPr>
              <w:t>15.50</w:t>
            </w:r>
          </w:p>
        </w:tc>
        <w:tc>
          <w:tcPr>
            <w:tcW w:w="1276" w:type="dxa"/>
            <w:vAlign w:val="bottom"/>
          </w:tcPr>
          <w:p>
            <w:pPr>
              <w:pStyle w:val="zyTableNAm"/>
              <w:keepNext/>
              <w:keepLines/>
              <w:jc w:val="center"/>
              <w:rPr>
                <w:szCs w:val="22"/>
              </w:rPr>
            </w:pPr>
            <w:r>
              <w:rPr>
                <w:szCs w:val="22"/>
              </w:rPr>
              <w:t>15.50</w:t>
            </w:r>
          </w:p>
        </w:tc>
        <w:tc>
          <w:tcPr>
            <w:tcW w:w="1276" w:type="dxa"/>
            <w:vAlign w:val="bottom"/>
          </w:tcPr>
          <w:p>
            <w:pPr>
              <w:pStyle w:val="yTableNAm"/>
              <w:jc w:val="center"/>
            </w:pPr>
            <w:r>
              <w:t>4.55</w:t>
            </w:r>
          </w:p>
        </w:tc>
      </w:tr>
      <w:tr>
        <w:trPr>
          <w:cantSplit/>
        </w:trPr>
        <w:tc>
          <w:tcPr>
            <w:tcW w:w="673" w:type="dxa"/>
          </w:tcPr>
          <w:p>
            <w:pPr>
              <w:pStyle w:val="zyTableNAm"/>
              <w:rPr>
                <w:szCs w:val="22"/>
              </w:rPr>
            </w:pPr>
          </w:p>
        </w:tc>
        <w:tc>
          <w:tcPr>
            <w:tcW w:w="2588" w:type="dxa"/>
          </w:tcPr>
          <w:p>
            <w:pPr>
              <w:pStyle w:val="yTableNAm"/>
              <w:ind w:left="1140" w:hanging="1140"/>
              <w:rPr>
                <w:spacing w:val="-4"/>
              </w:rPr>
            </w:pPr>
            <w:r>
              <w:tab/>
            </w:r>
            <w:r>
              <w:rPr>
                <w:spacing w:val="-4"/>
              </w:rPr>
              <w:t>(ii)</w:t>
            </w:r>
            <w:r>
              <w:rPr>
                <w:spacing w:val="-4"/>
              </w:rPr>
              <w:tab/>
              <w:t xml:space="preserve">for </w:t>
            </w:r>
            <w:r>
              <w:t>each</w:t>
            </w:r>
            <w:r>
              <w:rPr>
                <w:spacing w:val="-4"/>
              </w:rPr>
              <w:t xml:space="preserve"> copy consisting of 10 or more pages an additional fee per page of</w:t>
            </w:r>
          </w:p>
        </w:tc>
        <w:tc>
          <w:tcPr>
            <w:tcW w:w="1275" w:type="dxa"/>
            <w:vAlign w:val="bottom"/>
          </w:tcPr>
          <w:p>
            <w:pPr>
              <w:pStyle w:val="zyTableNAm"/>
              <w:keepNext/>
              <w:keepLines/>
              <w:jc w:val="center"/>
            </w:pPr>
            <w:r>
              <w:t>2.00</w:t>
            </w:r>
          </w:p>
        </w:tc>
        <w:tc>
          <w:tcPr>
            <w:tcW w:w="1276" w:type="dxa"/>
            <w:vAlign w:val="bottom"/>
          </w:tcPr>
          <w:p>
            <w:pPr>
              <w:pStyle w:val="yTableNAm"/>
              <w:jc w:val="center"/>
            </w:pPr>
            <w:r>
              <w:t>2.00</w:t>
            </w:r>
          </w:p>
        </w:tc>
        <w:tc>
          <w:tcPr>
            <w:tcW w:w="1276" w:type="dxa"/>
            <w:vAlign w:val="bottom"/>
          </w:tcPr>
          <w:p>
            <w:pPr>
              <w:pStyle w:val="yTableNAm"/>
              <w:jc w:val="center"/>
            </w:pPr>
            <w:r>
              <w:t>0.60</w:t>
            </w:r>
          </w:p>
        </w:tc>
      </w:tr>
      <w:tr>
        <w:trPr>
          <w:cantSplit/>
        </w:trPr>
        <w:tc>
          <w:tcPr>
            <w:tcW w:w="673" w:type="dxa"/>
          </w:tcPr>
          <w:p>
            <w:pPr>
              <w:pStyle w:val="zyTableNAm"/>
              <w:rPr>
                <w:szCs w:val="22"/>
              </w:rPr>
            </w:pPr>
          </w:p>
        </w:tc>
        <w:tc>
          <w:tcPr>
            <w:tcW w:w="2588" w:type="dxa"/>
          </w:tcPr>
          <w:p>
            <w:pPr>
              <w:pStyle w:val="yTableNAm"/>
              <w:ind w:left="567" w:hanging="567"/>
            </w:pPr>
            <w:r>
              <w:rPr>
                <w:szCs w:val="22"/>
              </w:rPr>
              <w:t>(c)</w:t>
            </w:r>
            <w:r>
              <w:rPr>
                <w:szCs w:val="22"/>
              </w:rPr>
              <w:tab/>
              <w:t>For certifying under seal that a document is a true copy, an additional fee of</w:t>
            </w:r>
          </w:p>
        </w:tc>
        <w:tc>
          <w:tcPr>
            <w:tcW w:w="1275" w:type="dxa"/>
            <w:vAlign w:val="bottom"/>
          </w:tcPr>
          <w:p>
            <w:pPr>
              <w:pStyle w:val="yTableNAm"/>
              <w:jc w:val="center"/>
            </w:pPr>
            <w:r>
              <w:t>21.40</w:t>
            </w:r>
          </w:p>
        </w:tc>
        <w:tc>
          <w:tcPr>
            <w:tcW w:w="1276" w:type="dxa"/>
            <w:vAlign w:val="bottom"/>
          </w:tcPr>
          <w:p>
            <w:pPr>
              <w:pStyle w:val="yTableNAm"/>
              <w:jc w:val="center"/>
            </w:pPr>
            <w:r>
              <w:t>21.40</w:t>
            </w:r>
          </w:p>
        </w:tc>
        <w:tc>
          <w:tcPr>
            <w:tcW w:w="1276" w:type="dxa"/>
            <w:vAlign w:val="bottom"/>
          </w:tcPr>
          <w:p>
            <w:pPr>
              <w:pStyle w:val="yTableNAm"/>
              <w:jc w:val="center"/>
            </w:pPr>
            <w:r>
              <w:t>6.45</w:t>
            </w:r>
          </w:p>
        </w:tc>
      </w:tr>
      <w:tr>
        <w:trPr>
          <w:cantSplit/>
        </w:trPr>
        <w:tc>
          <w:tcPr>
            <w:tcW w:w="673" w:type="dxa"/>
          </w:tcPr>
          <w:p>
            <w:pPr>
              <w:pStyle w:val="zyTableNAm"/>
              <w:rPr>
                <w:szCs w:val="22"/>
              </w:rPr>
            </w:pPr>
          </w:p>
        </w:tc>
        <w:tc>
          <w:tcPr>
            <w:tcW w:w="2588" w:type="dxa"/>
          </w:tcPr>
          <w:p>
            <w:pPr>
              <w:pStyle w:val="yTableNAm"/>
              <w:ind w:left="567" w:hanging="567"/>
            </w:pPr>
            <w:r>
              <w:rPr>
                <w:szCs w:val="22"/>
              </w:rPr>
              <w:t>(d)</w:t>
            </w:r>
            <w:r>
              <w:rPr>
                <w:szCs w:val="22"/>
              </w:rPr>
              <w:tab/>
              <w:t>For a certificate under the hand of a registrar</w:t>
            </w:r>
          </w:p>
        </w:tc>
        <w:tc>
          <w:tcPr>
            <w:tcW w:w="1275" w:type="dxa"/>
            <w:vAlign w:val="bottom"/>
          </w:tcPr>
          <w:p>
            <w:pPr>
              <w:pStyle w:val="yTableNAm"/>
              <w:jc w:val="center"/>
            </w:pPr>
            <w:r>
              <w:t>42.10</w:t>
            </w:r>
          </w:p>
        </w:tc>
        <w:tc>
          <w:tcPr>
            <w:tcW w:w="1276" w:type="dxa"/>
            <w:vAlign w:val="bottom"/>
          </w:tcPr>
          <w:p>
            <w:pPr>
              <w:pStyle w:val="yTableNAm"/>
              <w:jc w:val="center"/>
            </w:pPr>
            <w:r>
              <w:t>42.10</w:t>
            </w:r>
          </w:p>
        </w:tc>
        <w:tc>
          <w:tcPr>
            <w:tcW w:w="1276" w:type="dxa"/>
            <w:vAlign w:val="bottom"/>
          </w:tcPr>
          <w:p>
            <w:pPr>
              <w:pStyle w:val="yTableNAm"/>
              <w:jc w:val="center"/>
            </w:pPr>
            <w:r>
              <w:t>12.70</w:t>
            </w:r>
          </w:p>
        </w:tc>
      </w:tr>
      <w:tr>
        <w:trPr>
          <w:cantSplit/>
        </w:trPr>
        <w:tc>
          <w:tcPr>
            <w:tcW w:w="673" w:type="dxa"/>
          </w:tcPr>
          <w:p>
            <w:pPr>
              <w:pStyle w:val="yTableNAm"/>
            </w:pPr>
            <w:r>
              <w:rPr>
                <w:szCs w:val="22"/>
              </w:rPr>
              <w:t>16.</w:t>
            </w:r>
          </w:p>
        </w:tc>
        <w:tc>
          <w:tcPr>
            <w:tcW w:w="2588" w:type="dxa"/>
          </w:tcPr>
          <w:p>
            <w:pPr>
              <w:pStyle w:val="yTableNAm"/>
              <w:ind w:left="567" w:hanging="567"/>
            </w:pPr>
            <w:r>
              <w:rPr>
                <w:szCs w:val="22"/>
              </w:rPr>
              <w:t>(a)</w:t>
            </w:r>
            <w:r>
              <w:rPr>
                <w:szCs w:val="22"/>
              </w:rPr>
              <w:tab/>
              <w:t xml:space="preserve">For a copy of a transcript, or part of a transcript — </w:t>
            </w:r>
          </w:p>
        </w:tc>
        <w:tc>
          <w:tcPr>
            <w:tcW w:w="1275" w:type="dxa"/>
          </w:tcPr>
          <w:p>
            <w:pPr>
              <w:pStyle w:val="zyTableNAm"/>
              <w:keepNext/>
              <w:keepLines/>
              <w:jc w:val="center"/>
              <w:rPr>
                <w:sz w:val="20"/>
              </w:rPr>
            </w:pPr>
          </w:p>
        </w:tc>
        <w:tc>
          <w:tcPr>
            <w:tcW w:w="1276" w:type="dxa"/>
          </w:tcPr>
          <w:p>
            <w:pPr>
              <w:pStyle w:val="zyTableNAm"/>
              <w:keepNext/>
              <w:keepLines/>
              <w:jc w:val="center"/>
              <w:rPr>
                <w:sz w:val="20"/>
              </w:rPr>
            </w:pPr>
          </w:p>
        </w:tc>
        <w:tc>
          <w:tcPr>
            <w:tcW w:w="1276" w:type="dxa"/>
          </w:tcPr>
          <w:p>
            <w:pPr>
              <w:pStyle w:val="yTableNAm"/>
              <w:jc w:val="center"/>
            </w:pPr>
          </w:p>
        </w:tc>
      </w:tr>
      <w:tr>
        <w:trPr>
          <w:cantSplit/>
        </w:trPr>
        <w:tc>
          <w:tcPr>
            <w:tcW w:w="673" w:type="dxa"/>
          </w:tcPr>
          <w:p>
            <w:pPr>
              <w:pStyle w:val="zyTableNAm"/>
              <w:rPr>
                <w:szCs w:val="22"/>
              </w:rPr>
            </w:pPr>
          </w:p>
        </w:tc>
        <w:tc>
          <w:tcPr>
            <w:tcW w:w="2588" w:type="dxa"/>
          </w:tcPr>
          <w:p>
            <w:pPr>
              <w:pStyle w:val="yTableNAm"/>
              <w:ind w:left="1140" w:hanging="1140"/>
            </w:pPr>
            <w:r>
              <w:rPr>
                <w:szCs w:val="22"/>
              </w:rPr>
              <w:tab/>
              <w:t>(i)</w:t>
            </w:r>
            <w:r>
              <w:rPr>
                <w:szCs w:val="22"/>
              </w:rPr>
              <w:tab/>
              <w:t>provided within 1 day after the day on which the fee is paid</w:t>
            </w:r>
          </w:p>
        </w:tc>
        <w:tc>
          <w:tcPr>
            <w:tcW w:w="1275" w:type="dxa"/>
          </w:tcPr>
          <w:p>
            <w:pPr>
              <w:pStyle w:val="yTableNAm"/>
              <w:jc w:val="center"/>
            </w:pPr>
            <w:r>
              <w:rPr>
                <w:szCs w:val="22"/>
              </w:rPr>
              <w:t>20.50 plus 8.45 per page</w:t>
            </w:r>
          </w:p>
        </w:tc>
        <w:tc>
          <w:tcPr>
            <w:tcW w:w="1276" w:type="dxa"/>
          </w:tcPr>
          <w:p>
            <w:pPr>
              <w:pStyle w:val="yTableNAm"/>
              <w:jc w:val="center"/>
            </w:pPr>
            <w:r>
              <w:rPr>
                <w:szCs w:val="22"/>
              </w:rPr>
              <w:t>20.50 plus 16.90 per page</w:t>
            </w:r>
          </w:p>
        </w:tc>
        <w:tc>
          <w:tcPr>
            <w:tcW w:w="1276" w:type="dxa"/>
          </w:tcPr>
          <w:p>
            <w:pPr>
              <w:pStyle w:val="yTableNAm"/>
              <w:jc w:val="center"/>
            </w:pPr>
            <w:r>
              <w:rPr>
                <w:szCs w:val="22"/>
              </w:rPr>
              <w:t xml:space="preserve">6.15 plus </w:t>
            </w:r>
            <w:r>
              <w:rPr>
                <w:szCs w:val="22"/>
              </w:rPr>
              <w:br/>
              <w:t>2.55 per page</w:t>
            </w:r>
          </w:p>
        </w:tc>
      </w:tr>
      <w:tr>
        <w:trPr>
          <w:cantSplit/>
        </w:trPr>
        <w:tc>
          <w:tcPr>
            <w:tcW w:w="673" w:type="dxa"/>
          </w:tcPr>
          <w:p>
            <w:pPr>
              <w:pStyle w:val="zyTableNAm"/>
              <w:rPr>
                <w:szCs w:val="22"/>
              </w:rPr>
            </w:pPr>
          </w:p>
        </w:tc>
        <w:tc>
          <w:tcPr>
            <w:tcW w:w="2588" w:type="dxa"/>
          </w:tcPr>
          <w:p>
            <w:pPr>
              <w:pStyle w:val="yTableNAm"/>
              <w:ind w:left="1140" w:hanging="1140"/>
            </w:pPr>
            <w:r>
              <w:rPr>
                <w:szCs w:val="22"/>
              </w:rPr>
              <w:tab/>
              <w:t>(ii)</w:t>
            </w:r>
            <w:r>
              <w:rPr>
                <w:szCs w:val="22"/>
              </w:rPr>
              <w:tab/>
              <w:t xml:space="preserve">provided within 4 days </w:t>
            </w:r>
            <w:r>
              <w:t>after</w:t>
            </w:r>
            <w:r>
              <w:rPr>
                <w:szCs w:val="22"/>
              </w:rPr>
              <w:t xml:space="preserve"> the day on which the fee is paid</w:t>
            </w:r>
          </w:p>
        </w:tc>
        <w:tc>
          <w:tcPr>
            <w:tcW w:w="1275" w:type="dxa"/>
          </w:tcPr>
          <w:p>
            <w:pPr>
              <w:pStyle w:val="yTableNAm"/>
              <w:jc w:val="center"/>
            </w:pPr>
            <w:r>
              <w:rPr>
                <w:szCs w:val="22"/>
              </w:rPr>
              <w:t>20.50 plus 7.30 per page</w:t>
            </w:r>
          </w:p>
        </w:tc>
        <w:tc>
          <w:tcPr>
            <w:tcW w:w="1276" w:type="dxa"/>
          </w:tcPr>
          <w:p>
            <w:pPr>
              <w:pStyle w:val="yTableNAm"/>
              <w:jc w:val="center"/>
            </w:pPr>
            <w:r>
              <w:rPr>
                <w:szCs w:val="22"/>
              </w:rPr>
              <w:t>20.50 plus 14.75 per page</w:t>
            </w:r>
          </w:p>
        </w:tc>
        <w:tc>
          <w:tcPr>
            <w:tcW w:w="1276" w:type="dxa"/>
          </w:tcPr>
          <w:p>
            <w:pPr>
              <w:pStyle w:val="yTableNAm"/>
              <w:jc w:val="center"/>
            </w:pPr>
            <w:r>
              <w:rPr>
                <w:szCs w:val="22"/>
              </w:rPr>
              <w:t xml:space="preserve">6.15 plus </w:t>
            </w:r>
            <w:r>
              <w:rPr>
                <w:szCs w:val="22"/>
              </w:rPr>
              <w:br/>
              <w:t>2.20 per page</w:t>
            </w:r>
          </w:p>
        </w:tc>
      </w:tr>
      <w:tr>
        <w:trPr>
          <w:cantSplit/>
        </w:trPr>
        <w:tc>
          <w:tcPr>
            <w:tcW w:w="673" w:type="dxa"/>
          </w:tcPr>
          <w:p>
            <w:pPr>
              <w:pStyle w:val="zyTableNAm"/>
              <w:rPr>
                <w:szCs w:val="22"/>
              </w:rPr>
            </w:pPr>
          </w:p>
        </w:tc>
        <w:tc>
          <w:tcPr>
            <w:tcW w:w="2588" w:type="dxa"/>
          </w:tcPr>
          <w:p>
            <w:pPr>
              <w:pStyle w:val="yTableNAm"/>
              <w:ind w:left="1140" w:hanging="1140"/>
            </w:pPr>
            <w:r>
              <w:rPr>
                <w:szCs w:val="22"/>
              </w:rPr>
              <w:tab/>
              <w:t>(iii)</w:t>
            </w:r>
            <w:r>
              <w:rPr>
                <w:szCs w:val="22"/>
              </w:rPr>
              <w:tab/>
              <w:t xml:space="preserve">provided within 7 days </w:t>
            </w:r>
            <w:r>
              <w:t>after</w:t>
            </w:r>
            <w:r>
              <w:rPr>
                <w:szCs w:val="22"/>
              </w:rPr>
              <w:t xml:space="preserve"> the day on which the fee is paid</w:t>
            </w:r>
          </w:p>
        </w:tc>
        <w:tc>
          <w:tcPr>
            <w:tcW w:w="1275" w:type="dxa"/>
          </w:tcPr>
          <w:p>
            <w:pPr>
              <w:pStyle w:val="yTableNAm"/>
              <w:jc w:val="center"/>
            </w:pPr>
            <w:r>
              <w:rPr>
                <w:szCs w:val="22"/>
              </w:rPr>
              <w:t>20.50 plus 7.05 per page</w:t>
            </w:r>
          </w:p>
        </w:tc>
        <w:tc>
          <w:tcPr>
            <w:tcW w:w="1276" w:type="dxa"/>
          </w:tcPr>
          <w:p>
            <w:pPr>
              <w:pStyle w:val="yTableNAm"/>
              <w:jc w:val="center"/>
            </w:pPr>
            <w:r>
              <w:rPr>
                <w:szCs w:val="22"/>
              </w:rPr>
              <w:t>20.50 plus</w:t>
            </w:r>
            <w:r>
              <w:rPr>
                <w:szCs w:val="22"/>
              </w:rPr>
              <w:br/>
              <w:t>14.05 per page</w:t>
            </w:r>
          </w:p>
        </w:tc>
        <w:tc>
          <w:tcPr>
            <w:tcW w:w="1276" w:type="dxa"/>
          </w:tcPr>
          <w:p>
            <w:pPr>
              <w:pStyle w:val="yTableNAm"/>
              <w:jc w:val="center"/>
            </w:pPr>
            <w:r>
              <w:rPr>
                <w:szCs w:val="22"/>
              </w:rPr>
              <w:t xml:space="preserve">6.15 plus </w:t>
            </w:r>
            <w:r>
              <w:rPr>
                <w:szCs w:val="22"/>
              </w:rPr>
              <w:br/>
              <w:t>2.15 per page</w:t>
            </w:r>
          </w:p>
        </w:tc>
      </w:tr>
      <w:tr>
        <w:trPr>
          <w:cantSplit/>
        </w:trPr>
        <w:tc>
          <w:tcPr>
            <w:tcW w:w="673" w:type="dxa"/>
          </w:tcPr>
          <w:p>
            <w:pPr>
              <w:pStyle w:val="zyTableNAm"/>
              <w:rPr>
                <w:szCs w:val="22"/>
              </w:rPr>
            </w:pPr>
          </w:p>
        </w:tc>
        <w:tc>
          <w:tcPr>
            <w:tcW w:w="2588" w:type="dxa"/>
          </w:tcPr>
          <w:p>
            <w:pPr>
              <w:pStyle w:val="yTableNAm"/>
              <w:ind w:left="567" w:hanging="567"/>
            </w:pPr>
            <w:r>
              <w:rPr>
                <w:szCs w:val="22"/>
              </w:rPr>
              <w:t>(b)</w:t>
            </w:r>
            <w:r>
              <w:rPr>
                <w:szCs w:val="22"/>
              </w:rPr>
              <w:tab/>
              <w:t xml:space="preserve">For an additional copy of the transcript, or part of the transcript, provided under paragraph (a) — </w:t>
            </w:r>
          </w:p>
        </w:tc>
        <w:tc>
          <w:tcPr>
            <w:tcW w:w="1275" w:type="dxa"/>
          </w:tcPr>
          <w:p>
            <w:pPr>
              <w:pStyle w:val="zyTableNAm"/>
              <w:jc w:val="center"/>
              <w:rPr>
                <w:szCs w:val="22"/>
              </w:rPr>
            </w:pPr>
          </w:p>
        </w:tc>
        <w:tc>
          <w:tcPr>
            <w:tcW w:w="1276" w:type="dxa"/>
          </w:tcPr>
          <w:p>
            <w:pPr>
              <w:pStyle w:val="zyTableNAm"/>
              <w:jc w:val="center"/>
              <w:rPr>
                <w:szCs w:val="22"/>
              </w:rPr>
            </w:pPr>
          </w:p>
        </w:tc>
        <w:tc>
          <w:tcPr>
            <w:tcW w:w="1276" w:type="dxa"/>
          </w:tcPr>
          <w:p>
            <w:pPr>
              <w:pStyle w:val="yTableNAm"/>
              <w:jc w:val="center"/>
            </w:pPr>
          </w:p>
        </w:tc>
      </w:tr>
      <w:tr>
        <w:trPr>
          <w:cantSplit/>
        </w:trPr>
        <w:tc>
          <w:tcPr>
            <w:tcW w:w="673" w:type="dxa"/>
          </w:tcPr>
          <w:p>
            <w:pPr>
              <w:pStyle w:val="zyTableNAm"/>
              <w:rPr>
                <w:szCs w:val="22"/>
              </w:rPr>
            </w:pPr>
          </w:p>
        </w:tc>
        <w:tc>
          <w:tcPr>
            <w:tcW w:w="2588" w:type="dxa"/>
          </w:tcPr>
          <w:p>
            <w:pPr>
              <w:pStyle w:val="yTableNAm"/>
              <w:ind w:left="1140" w:hanging="1140"/>
            </w:pPr>
            <w:r>
              <w:rPr>
                <w:szCs w:val="22"/>
              </w:rPr>
              <w:tab/>
              <w:t>(i)</w:t>
            </w:r>
            <w:r>
              <w:rPr>
                <w:szCs w:val="22"/>
              </w:rPr>
              <w:tab/>
              <w:t xml:space="preserve">in </w:t>
            </w:r>
            <w:r>
              <w:t>electronic</w:t>
            </w:r>
            <w:r>
              <w:rPr>
                <w:szCs w:val="22"/>
              </w:rPr>
              <w:t xml:space="preserve"> format</w:t>
            </w:r>
          </w:p>
        </w:tc>
        <w:tc>
          <w:tcPr>
            <w:tcW w:w="1275" w:type="dxa"/>
          </w:tcPr>
          <w:p>
            <w:pPr>
              <w:pStyle w:val="yTableNAm"/>
              <w:jc w:val="center"/>
            </w:pPr>
            <w:r>
              <w:rPr>
                <w:szCs w:val="22"/>
              </w:rPr>
              <w:t>21.40 per copy</w:t>
            </w:r>
          </w:p>
        </w:tc>
        <w:tc>
          <w:tcPr>
            <w:tcW w:w="1276" w:type="dxa"/>
          </w:tcPr>
          <w:p>
            <w:pPr>
              <w:pStyle w:val="yTableNAm"/>
              <w:jc w:val="center"/>
            </w:pPr>
            <w:r>
              <w:rPr>
                <w:szCs w:val="22"/>
              </w:rPr>
              <w:t>21.40 per copy</w:t>
            </w:r>
          </w:p>
        </w:tc>
        <w:tc>
          <w:tcPr>
            <w:tcW w:w="1276" w:type="dxa"/>
          </w:tcPr>
          <w:p>
            <w:pPr>
              <w:pStyle w:val="yTableNAm"/>
              <w:jc w:val="center"/>
            </w:pPr>
            <w:r>
              <w:rPr>
                <w:szCs w:val="22"/>
              </w:rPr>
              <w:t>6.45 per copy</w:t>
            </w:r>
          </w:p>
        </w:tc>
      </w:tr>
      <w:tr>
        <w:trPr>
          <w:cantSplit/>
        </w:trPr>
        <w:tc>
          <w:tcPr>
            <w:tcW w:w="673" w:type="dxa"/>
            <w:tcBorders>
              <w:bottom w:val="single" w:sz="4" w:space="0" w:color="auto"/>
            </w:tcBorders>
          </w:tcPr>
          <w:p>
            <w:pPr>
              <w:pStyle w:val="zyTableNAm"/>
              <w:rPr>
                <w:szCs w:val="22"/>
              </w:rPr>
            </w:pPr>
          </w:p>
        </w:tc>
        <w:tc>
          <w:tcPr>
            <w:tcW w:w="2588" w:type="dxa"/>
            <w:tcBorders>
              <w:bottom w:val="single" w:sz="4" w:space="0" w:color="auto"/>
            </w:tcBorders>
          </w:tcPr>
          <w:p>
            <w:pPr>
              <w:pStyle w:val="yTableNAm"/>
            </w:pPr>
            <w:r>
              <w:rPr>
                <w:szCs w:val="22"/>
              </w:rPr>
              <w:tab/>
              <w:t>(ii)</w:t>
            </w:r>
            <w:r>
              <w:rPr>
                <w:szCs w:val="22"/>
              </w:rPr>
              <w:tab/>
              <w:t>paper copy</w:t>
            </w:r>
          </w:p>
        </w:tc>
        <w:tc>
          <w:tcPr>
            <w:tcW w:w="1275" w:type="dxa"/>
            <w:tcBorders>
              <w:bottom w:val="single" w:sz="4" w:space="0" w:color="auto"/>
            </w:tcBorders>
          </w:tcPr>
          <w:p>
            <w:pPr>
              <w:pStyle w:val="yTableNAm"/>
              <w:jc w:val="center"/>
            </w:pPr>
            <w:r>
              <w:rPr>
                <w:szCs w:val="22"/>
              </w:rPr>
              <w:t>2.10 per page</w:t>
            </w:r>
          </w:p>
        </w:tc>
        <w:tc>
          <w:tcPr>
            <w:tcW w:w="1276" w:type="dxa"/>
            <w:tcBorders>
              <w:bottom w:val="single" w:sz="4" w:space="0" w:color="auto"/>
            </w:tcBorders>
          </w:tcPr>
          <w:p>
            <w:pPr>
              <w:pStyle w:val="yTableNAm"/>
              <w:jc w:val="center"/>
            </w:pPr>
            <w:r>
              <w:rPr>
                <w:szCs w:val="22"/>
              </w:rPr>
              <w:t>2.10 per page</w:t>
            </w:r>
          </w:p>
        </w:tc>
        <w:tc>
          <w:tcPr>
            <w:tcW w:w="1276" w:type="dxa"/>
            <w:tcBorders>
              <w:bottom w:val="single" w:sz="4" w:space="0" w:color="auto"/>
            </w:tcBorders>
          </w:tcPr>
          <w:p>
            <w:pPr>
              <w:pStyle w:val="yTableNAm"/>
              <w:jc w:val="center"/>
            </w:pPr>
            <w:r>
              <w:rPr>
                <w:szCs w:val="22"/>
              </w:rPr>
              <w:t>0.60 per page</w:t>
            </w:r>
          </w:p>
        </w:tc>
      </w:tr>
    </w:tbl>
    <w:p>
      <w:pPr>
        <w:pStyle w:val="BlankClose"/>
      </w:pPr>
    </w:p>
    <w:p>
      <w:pPr>
        <w:pStyle w:val="nzHeading5"/>
      </w:pPr>
      <w:bookmarkStart w:id="54" w:name="_Toc514414469"/>
      <w:bookmarkStart w:id="55" w:name="_Toc514666265"/>
      <w:r>
        <w:rPr>
          <w:rStyle w:val="CharSectno"/>
        </w:rPr>
        <w:t>13</w:t>
      </w:r>
      <w:r>
        <w:t>.</w:t>
      </w:r>
      <w:r>
        <w:tab/>
        <w:t>Schedule 2 replaced</w:t>
      </w:r>
      <w:bookmarkEnd w:id="54"/>
      <w:bookmarkEnd w:id="55"/>
    </w:p>
    <w:p>
      <w:pPr>
        <w:pStyle w:val="nzSubsection"/>
      </w:pPr>
      <w:r>
        <w:tab/>
      </w:r>
      <w:r>
        <w:tab/>
        <w:t>Delete Schedule 2 and insert:</w:t>
      </w:r>
    </w:p>
    <w:p>
      <w:pPr>
        <w:pStyle w:val="BlankOpen"/>
      </w:pPr>
    </w:p>
    <w:p>
      <w:pPr>
        <w:pStyle w:val="nzHeading2"/>
      </w:pPr>
      <w:bookmarkStart w:id="56" w:name="_Toc514321221"/>
      <w:bookmarkStart w:id="57" w:name="_Toc514321286"/>
      <w:bookmarkStart w:id="58" w:name="_Toc514330280"/>
      <w:bookmarkStart w:id="59" w:name="_Toc514334945"/>
      <w:bookmarkStart w:id="60" w:name="_Toc514336294"/>
      <w:bookmarkStart w:id="61" w:name="_Toc514336496"/>
      <w:bookmarkStart w:id="62" w:name="_Toc514414470"/>
      <w:bookmarkStart w:id="63" w:name="_Toc514414535"/>
      <w:bookmarkStart w:id="64" w:name="_Toc514657445"/>
      <w:bookmarkStart w:id="65" w:name="_Toc514666266"/>
      <w:r>
        <w:t>Schedule 2 — Sheriff’s fees</w:t>
      </w:r>
      <w:bookmarkEnd w:id="56"/>
      <w:bookmarkEnd w:id="57"/>
      <w:bookmarkEnd w:id="58"/>
      <w:bookmarkEnd w:id="59"/>
      <w:bookmarkEnd w:id="60"/>
      <w:bookmarkEnd w:id="61"/>
      <w:bookmarkEnd w:id="62"/>
      <w:bookmarkEnd w:id="63"/>
      <w:bookmarkEnd w:id="64"/>
      <w:bookmarkEnd w:id="65"/>
    </w:p>
    <w:p>
      <w:pPr>
        <w:pStyle w:val="nzShoulderClause"/>
      </w:pPr>
      <w:r>
        <w:t>[r. 4]</w:t>
      </w:r>
    </w:p>
    <w:tbl>
      <w:tblPr>
        <w:tblW w:w="0" w:type="auto"/>
        <w:tblInd w:w="108" w:type="dxa"/>
        <w:tblLayout w:type="fixed"/>
        <w:tblLook w:val="0000" w:firstRow="0" w:lastRow="0" w:firstColumn="0" w:lastColumn="0" w:noHBand="0" w:noVBand="0"/>
      </w:tblPr>
      <w:tblGrid>
        <w:gridCol w:w="669"/>
        <w:gridCol w:w="5103"/>
        <w:gridCol w:w="1316"/>
      </w:tblGrid>
      <w:tr>
        <w:trPr>
          <w:cantSplit/>
          <w:tblHeader/>
        </w:trPr>
        <w:tc>
          <w:tcPr>
            <w:tcW w:w="669" w:type="dxa"/>
            <w:tcBorders>
              <w:top w:val="single" w:sz="4" w:space="0" w:color="auto"/>
              <w:bottom w:val="single" w:sz="4" w:space="0" w:color="auto"/>
            </w:tcBorders>
          </w:tcPr>
          <w:p>
            <w:pPr>
              <w:pStyle w:val="yTableNAm"/>
            </w:pPr>
            <w:r>
              <w:rPr>
                <w:b/>
              </w:rPr>
              <w:t>Item</w:t>
            </w:r>
          </w:p>
        </w:tc>
        <w:tc>
          <w:tcPr>
            <w:tcW w:w="5103" w:type="dxa"/>
            <w:tcBorders>
              <w:top w:val="single" w:sz="4" w:space="0" w:color="auto"/>
              <w:bottom w:val="single" w:sz="4" w:space="0" w:color="auto"/>
            </w:tcBorders>
          </w:tcPr>
          <w:p>
            <w:pPr>
              <w:pStyle w:val="yTableNAm"/>
            </w:pPr>
            <w:r>
              <w:rPr>
                <w:b/>
              </w:rPr>
              <w:t>Matter</w:t>
            </w:r>
          </w:p>
        </w:tc>
        <w:tc>
          <w:tcPr>
            <w:tcW w:w="1316" w:type="dxa"/>
            <w:tcBorders>
              <w:top w:val="single" w:sz="4" w:space="0" w:color="auto"/>
              <w:bottom w:val="single" w:sz="4" w:space="0" w:color="auto"/>
            </w:tcBorders>
          </w:tcPr>
          <w:p>
            <w:pPr>
              <w:pStyle w:val="yTableNAm"/>
            </w:pPr>
            <w:r>
              <w:rPr>
                <w:b/>
              </w:rPr>
              <w:t>Fee</w:t>
            </w:r>
            <w:r>
              <w:rPr>
                <w:b/>
              </w:rPr>
              <w:br/>
              <w:t>$</w:t>
            </w:r>
          </w:p>
        </w:tc>
      </w:tr>
      <w:tr>
        <w:trPr>
          <w:cantSplit/>
        </w:trP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pPr>
          </w:p>
        </w:tc>
      </w:tr>
      <w:tr>
        <w:trPr>
          <w:cantSplit/>
        </w:trPr>
        <w:tc>
          <w:tcPr>
            <w:tcW w:w="669" w:type="dxa"/>
          </w:tcPr>
          <w:p>
            <w:pPr>
              <w:pStyle w:val="zyTableNAm"/>
            </w:pPr>
          </w:p>
        </w:tc>
        <w:tc>
          <w:tcPr>
            <w:tcW w:w="5103" w:type="dxa"/>
          </w:tcPr>
          <w:p>
            <w:pPr>
              <w:pStyle w:val="yTableNAm"/>
            </w:pPr>
            <w:r>
              <w:t>(a)</w:t>
            </w:r>
            <w:r>
              <w:tab/>
            </w:r>
            <w:r>
              <w:rPr>
                <w:szCs w:val="22"/>
              </w:rPr>
              <w:t>for</w:t>
            </w:r>
            <w:r>
              <w:t xml:space="preserve"> arresting the person </w:t>
            </w:r>
          </w:p>
        </w:tc>
        <w:tc>
          <w:tcPr>
            <w:tcW w:w="1316" w:type="dxa"/>
          </w:tcPr>
          <w:p>
            <w:pPr>
              <w:pStyle w:val="yTableNAm"/>
            </w:pPr>
            <w:r>
              <w:rPr>
                <w:szCs w:val="22"/>
              </w:rPr>
              <w:t>141.50</w:t>
            </w:r>
          </w:p>
        </w:tc>
      </w:tr>
      <w:tr>
        <w:trPr>
          <w:cantSplit/>
        </w:trPr>
        <w:tc>
          <w:tcPr>
            <w:tcW w:w="669" w:type="dxa"/>
          </w:tcPr>
          <w:p>
            <w:pPr>
              <w:pStyle w:val="zyTableNAm"/>
            </w:pPr>
          </w:p>
        </w:tc>
        <w:tc>
          <w:tcPr>
            <w:tcW w:w="5103" w:type="dxa"/>
          </w:tcPr>
          <w:p>
            <w:pPr>
              <w:pStyle w:val="yTableNAm"/>
            </w:pPr>
            <w:r>
              <w:t>(b)</w:t>
            </w:r>
            <w:r>
              <w:tab/>
              <w:t xml:space="preserve">for </w:t>
            </w:r>
            <w:r>
              <w:rPr>
                <w:szCs w:val="22"/>
              </w:rPr>
              <w:t>conveying</w:t>
            </w:r>
            <w:r>
              <w:t xml:space="preserve"> the person to a court or a custodial place and releasing the person from arrest or custody </w:t>
            </w:r>
          </w:p>
        </w:tc>
        <w:tc>
          <w:tcPr>
            <w:tcW w:w="1316" w:type="dxa"/>
          </w:tcPr>
          <w:p>
            <w:pPr>
              <w:pStyle w:val="yTableNAm"/>
            </w:pPr>
            <w:r>
              <w:br/>
            </w:r>
            <w:r>
              <w:br/>
              <w:t>140.00</w:t>
            </w:r>
          </w:p>
        </w:tc>
      </w:tr>
      <w:tr>
        <w:trPr>
          <w:cantSplit/>
        </w:trPr>
        <w:tc>
          <w:tcPr>
            <w:tcW w:w="669" w:type="dxa"/>
          </w:tcPr>
          <w:p>
            <w:pPr>
              <w:pStyle w:val="zyTableNAm"/>
            </w:pPr>
          </w:p>
        </w:tc>
        <w:tc>
          <w:tcPr>
            <w:tcW w:w="5103" w:type="dxa"/>
          </w:tcPr>
          <w:p>
            <w:pPr>
              <w:pStyle w:val="yTableNAm"/>
              <w:ind w:left="567" w:hanging="567"/>
            </w:pPr>
            <w:r>
              <w:t>(c)</w:t>
            </w:r>
            <w:r>
              <w:tab/>
              <w:t xml:space="preserve">for </w:t>
            </w:r>
            <w:r>
              <w:rPr>
                <w:szCs w:val="22"/>
              </w:rPr>
              <w:t>each</w:t>
            </w:r>
            <w:r>
              <w:t xml:space="preserve">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316" w:type="dxa"/>
          </w:tcPr>
          <w:p>
            <w:pPr>
              <w:pStyle w:val="yTableNAm"/>
            </w:pPr>
            <w:r>
              <w:br/>
            </w:r>
            <w:r>
              <w:br/>
            </w:r>
            <w:r>
              <w:br/>
            </w:r>
            <w:r>
              <w:br/>
              <w:t>37.10</w:t>
            </w:r>
          </w:p>
        </w:tc>
      </w:tr>
      <w:tr>
        <w:trPr>
          <w:cantSplit/>
          <w:trHeight w:val="1101"/>
        </w:trPr>
        <w:tc>
          <w:tcPr>
            <w:tcW w:w="669" w:type="dxa"/>
          </w:tcPr>
          <w:p>
            <w:pPr>
              <w:pStyle w:val="zyTableNAm"/>
            </w:pPr>
          </w:p>
        </w:tc>
        <w:tc>
          <w:tcPr>
            <w:tcW w:w="6419" w:type="dxa"/>
            <w:gridSpan w:val="2"/>
          </w:tcPr>
          <w:p>
            <w:pPr>
              <w:pStyle w:val="yTableNAm"/>
              <w:rPr>
                <w:sz w:val="18"/>
                <w:szCs w:val="18"/>
              </w:rPr>
            </w:pPr>
            <w:r>
              <w:rPr>
                <w:rFonts w:ascii="Arial" w:hAnsi="Arial" w:cs="Arial"/>
                <w:sz w:val="18"/>
                <w:szCs w:val="18"/>
              </w:rPr>
              <w:t>Note 1:</w:t>
            </w:r>
          </w:p>
          <w:p>
            <w:pPr>
              <w:pStyle w:val="yTableNAm"/>
            </w:pPr>
            <w:r>
              <w:rPr>
                <w:sz w:val="18"/>
                <w:szCs w:val="18"/>
              </w:rPr>
              <w:t>The fee under paragraph (a) is payable whether or not the sheriff’s functions under the warrant are performed and includes up to 3 attempts to perform the functions at the same address.</w:t>
            </w:r>
          </w:p>
        </w:tc>
      </w:tr>
      <w:tr>
        <w:trPr>
          <w:cantSplit/>
          <w:trHeight w:val="1820"/>
        </w:trPr>
        <w:tc>
          <w:tcPr>
            <w:tcW w:w="669" w:type="dxa"/>
          </w:tcPr>
          <w:p>
            <w:pPr>
              <w:pStyle w:val="zyTableNAm"/>
            </w:pPr>
          </w:p>
        </w:tc>
        <w:tc>
          <w:tcPr>
            <w:tcW w:w="6419" w:type="dxa"/>
            <w:gridSpan w:val="2"/>
          </w:tcPr>
          <w:p>
            <w:pPr>
              <w:pStyle w:val="yTableNAm"/>
              <w:rPr>
                <w:sz w:val="18"/>
                <w:szCs w:val="18"/>
              </w:rPr>
            </w:pPr>
            <w:r>
              <w:rPr>
                <w:rFonts w:ascii="Arial" w:hAnsi="Arial" w:cs="Arial"/>
                <w:sz w:val="18"/>
                <w:szCs w:val="18"/>
              </w:rPr>
              <w:t>Note 2:</w:t>
            </w:r>
          </w:p>
          <w:p>
            <w:pPr>
              <w:pStyle w:val="yTableNAm"/>
              <w:rPr>
                <w:sz w:val="18"/>
                <w:szCs w:val="18"/>
              </w:rPr>
            </w:pPr>
            <w:r>
              <w:rPr>
                <w:sz w:val="18"/>
                <w:szCs w:val="18"/>
              </w:rPr>
              <w:t>The fee under paragraph (a) includes the costs of —</w:t>
            </w:r>
          </w:p>
          <w:p>
            <w:pPr>
              <w:pStyle w:val="yTableNAm"/>
              <w:rPr>
                <w:sz w:val="18"/>
                <w:szCs w:val="18"/>
              </w:rPr>
            </w:pPr>
            <w:r>
              <w:rPr>
                <w:sz w:val="18"/>
                <w:szCs w:val="18"/>
              </w:rPr>
              <w:t>(a)</w:t>
            </w:r>
            <w:r>
              <w:rPr>
                <w:sz w:val="18"/>
                <w:szCs w:val="18"/>
              </w:rPr>
              <w:tab/>
              <w:t>receiving and printing the warrant; and</w:t>
            </w:r>
          </w:p>
          <w:p>
            <w:pPr>
              <w:pStyle w:val="yTableNAm"/>
              <w:rPr>
                <w:sz w:val="18"/>
                <w:szCs w:val="18"/>
              </w:rPr>
            </w:pPr>
            <w:r>
              <w:rPr>
                <w:sz w:val="18"/>
                <w:szCs w:val="18"/>
              </w:rPr>
              <w:t>(b)</w:t>
            </w:r>
            <w:r>
              <w:rPr>
                <w:sz w:val="18"/>
                <w:szCs w:val="18"/>
              </w:rPr>
              <w:tab/>
              <w:t>attendances and inquiries before attempting arrest; and</w:t>
            </w:r>
          </w:p>
          <w:p>
            <w:pPr>
              <w:pStyle w:val="yTableNAm"/>
              <w:rPr>
                <w:sz w:val="18"/>
                <w:szCs w:val="18"/>
              </w:rPr>
            </w:pPr>
            <w:r>
              <w:rPr>
                <w:sz w:val="18"/>
                <w:szCs w:val="18"/>
              </w:rPr>
              <w:t>(c)</w:t>
            </w:r>
            <w:r>
              <w:rPr>
                <w:sz w:val="18"/>
                <w:szCs w:val="18"/>
              </w:rPr>
              <w:tab/>
              <w:t>giving any notice; and</w:t>
            </w:r>
          </w:p>
          <w:p>
            <w:pPr>
              <w:pStyle w:val="yTableNAm"/>
            </w:pPr>
            <w:r>
              <w:rPr>
                <w:sz w:val="18"/>
                <w:szCs w:val="18"/>
              </w:rPr>
              <w:t>(d)</w:t>
            </w:r>
            <w:r>
              <w:rPr>
                <w:sz w:val="18"/>
                <w:szCs w:val="18"/>
              </w:rPr>
              <w:tab/>
              <w:t>making any report.</w:t>
            </w:r>
          </w:p>
        </w:tc>
      </w:tr>
      <w:tr>
        <w:trPr>
          <w:cantSplit/>
        </w:trPr>
        <w:tc>
          <w:tcPr>
            <w:tcW w:w="669" w:type="dxa"/>
          </w:tcPr>
          <w:p>
            <w:pPr>
              <w:pStyle w:val="yTableNAm"/>
            </w:pPr>
            <w:r>
              <w:t>2.</w:t>
            </w:r>
          </w:p>
        </w:tc>
        <w:tc>
          <w:tcPr>
            <w:tcW w:w="5103" w:type="dxa"/>
          </w:tcPr>
          <w:p>
            <w:pPr>
              <w:pStyle w:val="yTableNAm"/>
            </w:pPr>
            <w:r>
              <w:t xml:space="preserve">For the service of any writ, application, summons, originating process, notice or order of the Court or any other process requiring service </w:t>
            </w:r>
          </w:p>
        </w:tc>
        <w:tc>
          <w:tcPr>
            <w:tcW w:w="1316" w:type="dxa"/>
          </w:tcPr>
          <w:p>
            <w:pPr>
              <w:pStyle w:val="yTableNAm"/>
            </w:pPr>
            <w:r>
              <w:br/>
            </w:r>
            <w:r>
              <w:br/>
            </w:r>
            <w:r>
              <w:rPr>
                <w:szCs w:val="22"/>
              </w:rPr>
              <w:t>78.50</w:t>
            </w:r>
          </w:p>
        </w:tc>
      </w:tr>
      <w:tr>
        <w:trPr>
          <w:cantSplit/>
          <w:trHeight w:val="910"/>
        </w:trPr>
        <w:tc>
          <w:tcPr>
            <w:tcW w:w="669" w:type="dxa"/>
          </w:tcPr>
          <w:p>
            <w:pPr>
              <w:pStyle w:val="zyTableNAm"/>
            </w:pPr>
          </w:p>
        </w:tc>
        <w:tc>
          <w:tcPr>
            <w:tcW w:w="6419" w:type="dxa"/>
            <w:gridSpan w:val="2"/>
          </w:tcPr>
          <w:p>
            <w:pPr>
              <w:pStyle w:val="yTableNAm"/>
              <w:rPr>
                <w:sz w:val="18"/>
                <w:szCs w:val="18"/>
              </w:rPr>
            </w:pPr>
            <w:r>
              <w:rPr>
                <w:rFonts w:ascii="Arial" w:hAnsi="Arial" w:cs="Arial"/>
                <w:sz w:val="18"/>
                <w:szCs w:val="18"/>
              </w:rPr>
              <w:t>Note 1:</w:t>
            </w:r>
          </w:p>
          <w:p>
            <w:pPr>
              <w:pStyle w:val="yTableNAm"/>
              <w:rPr>
                <w:sz w:val="18"/>
                <w:szCs w:val="18"/>
              </w:rPr>
            </w:pPr>
            <w:r>
              <w:rPr>
                <w:sz w:val="18"/>
                <w:szCs w:val="18"/>
              </w:rPr>
              <w:t>The fee is payable whether or not the service is successful and covers up to 3 attempts at service at the same address.</w:t>
            </w:r>
          </w:p>
        </w:tc>
      </w:tr>
      <w:tr>
        <w:trPr>
          <w:cantSplit/>
          <w:trHeight w:val="598"/>
        </w:trPr>
        <w:tc>
          <w:tcPr>
            <w:tcW w:w="669" w:type="dxa"/>
          </w:tcPr>
          <w:p>
            <w:pPr>
              <w:pStyle w:val="zyTableNAm"/>
            </w:pPr>
          </w:p>
        </w:tc>
        <w:tc>
          <w:tcPr>
            <w:tcW w:w="6419" w:type="dxa"/>
            <w:gridSpan w:val="2"/>
          </w:tcPr>
          <w:p>
            <w:pPr>
              <w:pStyle w:val="yTableNAm"/>
              <w:rPr>
                <w:sz w:val="18"/>
                <w:szCs w:val="18"/>
              </w:rPr>
            </w:pPr>
            <w:r>
              <w:rPr>
                <w:rFonts w:ascii="Arial" w:hAnsi="Arial" w:cs="Arial"/>
                <w:sz w:val="18"/>
                <w:szCs w:val="18"/>
              </w:rPr>
              <w:t>Note 2:</w:t>
            </w:r>
          </w:p>
          <w:p>
            <w:pPr>
              <w:pStyle w:val="yTableNAm"/>
              <w:rPr>
                <w:sz w:val="18"/>
                <w:szCs w:val="18"/>
              </w:rPr>
            </w:pPr>
            <w:r>
              <w:rPr>
                <w:sz w:val="18"/>
                <w:szCs w:val="18"/>
              </w:rPr>
              <w:t>The fee includes the costs of receiving and printing the process.</w:t>
            </w:r>
          </w:p>
        </w:tc>
      </w:tr>
      <w:tr>
        <w:trPr>
          <w:cantSplit/>
        </w:trP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rPr>
          <w:cantSplit/>
        </w:trPr>
        <w:tc>
          <w:tcPr>
            <w:tcW w:w="669" w:type="dxa"/>
          </w:tcPr>
          <w:p>
            <w:pPr>
              <w:pStyle w:val="zyTableNAm"/>
            </w:pPr>
          </w:p>
        </w:tc>
        <w:tc>
          <w:tcPr>
            <w:tcW w:w="5103" w:type="dxa"/>
          </w:tcPr>
          <w:p>
            <w:pPr>
              <w:pStyle w:val="yTableNAm"/>
              <w:ind w:left="567" w:hanging="567"/>
            </w:pPr>
            <w:r>
              <w:t>(a)</w:t>
            </w:r>
            <w:r>
              <w:tab/>
              <w:t xml:space="preserve">for each </w:t>
            </w:r>
            <w:r>
              <w:rPr>
                <w:szCs w:val="22"/>
              </w:rPr>
              <w:t>kilometre</w:t>
            </w:r>
            <w:r>
              <w:t xml:space="preserve"> travelled (1 way) in the metropolitan area </w:t>
            </w:r>
          </w:p>
        </w:tc>
        <w:tc>
          <w:tcPr>
            <w:tcW w:w="1316" w:type="dxa"/>
          </w:tcPr>
          <w:p>
            <w:pPr>
              <w:pStyle w:val="yTableNAm"/>
            </w:pPr>
            <w:r>
              <w:br/>
              <w:t>2.00</w:t>
            </w:r>
          </w:p>
        </w:tc>
      </w:tr>
      <w:tr>
        <w:trPr>
          <w:cantSplit/>
        </w:trPr>
        <w:tc>
          <w:tcPr>
            <w:tcW w:w="669" w:type="dxa"/>
          </w:tcPr>
          <w:p>
            <w:pPr>
              <w:pStyle w:val="zyTableNAm"/>
            </w:pPr>
          </w:p>
        </w:tc>
        <w:tc>
          <w:tcPr>
            <w:tcW w:w="5103" w:type="dxa"/>
          </w:tcPr>
          <w:p>
            <w:pPr>
              <w:pStyle w:val="yTableNAm"/>
              <w:ind w:left="567" w:hanging="567"/>
            </w:pPr>
            <w:r>
              <w:t>(b)</w:t>
            </w:r>
            <w:r>
              <w:tab/>
              <w:t xml:space="preserve">for each </w:t>
            </w:r>
            <w:r>
              <w:rPr>
                <w:szCs w:val="22"/>
              </w:rPr>
              <w:t>kilometre</w:t>
            </w:r>
            <w:r>
              <w:t xml:space="preserve"> travelled (1 way) outside the metropolitan area </w:t>
            </w:r>
          </w:p>
        </w:tc>
        <w:tc>
          <w:tcPr>
            <w:tcW w:w="1316" w:type="dxa"/>
          </w:tcPr>
          <w:p>
            <w:pPr>
              <w:pStyle w:val="yTableNAm"/>
            </w:pPr>
            <w:r>
              <w:br/>
              <w:t>2.20</w:t>
            </w:r>
          </w:p>
        </w:tc>
      </w:tr>
      <w:tr>
        <w:trPr>
          <w:cantSplit/>
        </w:trPr>
        <w:tc>
          <w:tcPr>
            <w:tcW w:w="669" w:type="dxa"/>
          </w:tcPr>
          <w:p>
            <w:pPr>
              <w:pStyle w:val="zyTableNAm"/>
            </w:pPr>
          </w:p>
        </w:tc>
        <w:tc>
          <w:tcPr>
            <w:tcW w:w="6419" w:type="dxa"/>
            <w:gridSpan w:val="2"/>
          </w:tcPr>
          <w:p>
            <w:pPr>
              <w:pStyle w:val="yTableNAm"/>
              <w:rPr>
                <w:sz w:val="18"/>
                <w:szCs w:val="18"/>
              </w:rPr>
            </w:pPr>
            <w:r>
              <w:rPr>
                <w:rFonts w:ascii="Arial" w:hAnsi="Arial" w:cs="Arial"/>
                <w:sz w:val="18"/>
                <w:szCs w:val="18"/>
              </w:rPr>
              <w:t>Note:</w:t>
            </w:r>
          </w:p>
          <w:p>
            <w:pPr>
              <w:pStyle w:val="yTableNAm"/>
            </w:pPr>
            <w:r>
              <w:rPr>
                <w:sz w:val="18"/>
                <w:szCs w:val="18"/>
              </w:rPr>
              <w:t>If more than 1 process or document is executed or served by the sheriff or a bailiff at the same time on the same person or on different persons at the same address, only 1 allowance for kilometres is chargeable.</w:t>
            </w:r>
          </w:p>
        </w:tc>
      </w:tr>
      <w:tr>
        <w:trPr>
          <w:cantSplit/>
        </w:trPr>
        <w:tc>
          <w:tcPr>
            <w:tcW w:w="669" w:type="dxa"/>
          </w:tcPr>
          <w:p>
            <w:pPr>
              <w:pStyle w:val="yTableNAm"/>
            </w:pPr>
            <w:r>
              <w:t>4.</w:t>
            </w:r>
          </w:p>
        </w:tc>
        <w:tc>
          <w:tcPr>
            <w:tcW w:w="5103" w:type="dxa"/>
          </w:tcPr>
          <w:p>
            <w:pPr>
              <w:pStyle w:val="yTableNAm"/>
            </w:pPr>
            <w:r>
              <w:t xml:space="preserve">Fee to the sheriff for attending a view — per hour or part of an hour </w:t>
            </w:r>
          </w:p>
        </w:tc>
        <w:tc>
          <w:tcPr>
            <w:tcW w:w="1316" w:type="dxa"/>
          </w:tcPr>
          <w:p>
            <w:pPr>
              <w:pStyle w:val="yTableNAm"/>
            </w:pPr>
            <w:r>
              <w:br/>
              <w:t>74.00</w:t>
            </w:r>
          </w:p>
        </w:tc>
      </w:tr>
      <w:tr>
        <w:trPr>
          <w:cantSplit/>
        </w:trPr>
        <w:tc>
          <w:tcPr>
            <w:tcW w:w="669" w:type="dxa"/>
          </w:tcPr>
          <w:p>
            <w:pPr>
              <w:pStyle w:val="yTableNAm"/>
            </w:pPr>
            <w:r>
              <w:t>5.</w:t>
            </w:r>
          </w:p>
        </w:tc>
        <w:tc>
          <w:tcPr>
            <w:tcW w:w="5103" w:type="dxa"/>
          </w:tcPr>
          <w:p>
            <w:pPr>
              <w:pStyle w:val="yTableNAm"/>
            </w:pPr>
            <w:r>
              <w:t>(a)</w:t>
            </w:r>
            <w:r>
              <w:tab/>
              <w:t xml:space="preserve">For </w:t>
            </w:r>
            <w:r>
              <w:rPr>
                <w:szCs w:val="22"/>
              </w:rPr>
              <w:t>striking</w:t>
            </w:r>
            <w:r>
              <w:t xml:space="preserve"> a jury and preparing jury panel </w:t>
            </w:r>
          </w:p>
        </w:tc>
        <w:tc>
          <w:tcPr>
            <w:tcW w:w="1316" w:type="dxa"/>
          </w:tcPr>
          <w:p>
            <w:pPr>
              <w:pStyle w:val="yTableNAm"/>
            </w:pPr>
            <w:r>
              <w:t>238.00</w:t>
            </w:r>
          </w:p>
        </w:tc>
      </w:tr>
      <w:tr>
        <w:trPr>
          <w:cantSplit/>
        </w:trPr>
        <w:tc>
          <w:tcPr>
            <w:tcW w:w="669" w:type="dxa"/>
            <w:tcBorders>
              <w:bottom w:val="single" w:sz="4" w:space="0" w:color="auto"/>
            </w:tcBorders>
          </w:tcPr>
          <w:p>
            <w:pPr>
              <w:pStyle w:val="zyTableNAm"/>
            </w:pPr>
          </w:p>
        </w:tc>
        <w:tc>
          <w:tcPr>
            <w:tcW w:w="5103" w:type="dxa"/>
            <w:tcBorders>
              <w:bottom w:val="single" w:sz="4" w:space="0" w:color="auto"/>
            </w:tcBorders>
          </w:tcPr>
          <w:p>
            <w:pPr>
              <w:pStyle w:val="yTableNAm"/>
              <w:ind w:left="1140" w:hanging="1140"/>
            </w:pPr>
            <w:r>
              <w:t>(b)</w:t>
            </w:r>
            <w:r>
              <w:tab/>
              <w:t xml:space="preserve">For </w:t>
            </w:r>
            <w:r>
              <w:rPr>
                <w:szCs w:val="22"/>
              </w:rPr>
              <w:t>attendance</w:t>
            </w:r>
            <w:r>
              <w:t xml:space="preserv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BlankClose"/>
      </w:pPr>
    </w:p>
    <w:p>
      <w:pPr>
        <w:pStyle w:val="BlankOpen"/>
        <w:rPr>
          <w:snapToGrid w:val="0"/>
        </w:rPr>
      </w:pPr>
    </w:p>
    <w:p>
      <w:pPr>
        <w:rPr>
          <w:u w:val="words"/>
        </w:rPr>
      </w:pPr>
    </w:p>
    <w:p>
      <w:pPr>
        <w:rPr>
          <w:u w:val="words"/>
        </w:rPr>
        <w:sectPr>
          <w:headerReference w:type="even" r:id="rId31"/>
          <w:headerReference w:type="default" r:id="rId32"/>
          <w:headerReference w:type="first" r:id="rId33"/>
          <w:pgSz w:w="11907" w:h="16840" w:code="9"/>
          <w:pgMar w:top="2376" w:right="2404" w:bottom="3544" w:left="2404" w:header="720" w:footer="3380" w:gutter="0"/>
          <w:cols w:space="720"/>
          <w:noEndnote/>
          <w:docGrid w:linePitch="326"/>
        </w:sectPr>
      </w:pPr>
    </w:p>
    <w:p>
      <w:pPr>
        <w:pStyle w:val="nHeading2"/>
        <w:rPr>
          <w:sz w:val="28"/>
        </w:rPr>
      </w:pPr>
      <w:bookmarkStart w:id="67" w:name="_Toc516819540"/>
      <w:r>
        <w:rPr>
          <w:sz w:val="28"/>
        </w:rPr>
        <w:t>Defined terms</w:t>
      </w:r>
      <w:bookmarkEnd w:id="6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Centrelink</w:t>
      </w:r>
      <w:r>
        <w:tab/>
        <w:t>7(1)</w:t>
      </w:r>
    </w:p>
    <w:p>
      <w:pPr>
        <w:pStyle w:val="DefinedTerms"/>
      </w:pPr>
      <w:r>
        <w:t>corporation</w:t>
      </w:r>
      <w:r>
        <w:tab/>
        <w:t>3</w:t>
      </w:r>
    </w:p>
    <w:p>
      <w:pPr>
        <w:pStyle w:val="DefinedTerms"/>
      </w:pPr>
      <w:r>
        <w:t>eligible entity</w:t>
      </w:r>
      <w:r>
        <w:tab/>
        <w:t>3</w:t>
      </w:r>
    </w:p>
    <w:p>
      <w:pPr>
        <w:pStyle w:val="DefinedTerms"/>
      </w:pPr>
      <w:r>
        <w:t>eligible entity fee</w:t>
      </w:r>
      <w:r>
        <w:tab/>
        <w:t>3</w:t>
      </w:r>
    </w:p>
    <w:p>
      <w:pPr>
        <w:pStyle w:val="DefinedTerms"/>
      </w:pPr>
      <w:r>
        <w:t>eligible individual</w:t>
      </w:r>
      <w:r>
        <w:tab/>
        <w:t>3</w:t>
      </w:r>
    </w:p>
    <w:p>
      <w:pPr>
        <w:pStyle w:val="DefinedTerms"/>
      </w:pPr>
      <w:r>
        <w:t>eligible individual fee</w:t>
      </w:r>
      <w:r>
        <w:tab/>
        <w:t>3</w:t>
      </w:r>
    </w:p>
    <w:p>
      <w:pPr>
        <w:pStyle w:val="DefinedTerms"/>
      </w:pPr>
      <w:r>
        <w:t>entity</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person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subsidiary</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Jun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Jun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5" w:name="Schedule"/>
    <w:bookmarkEnd w:id="2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6" w:name="Compilation"/>
    <w:bookmarkEnd w:id="6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8" w:name="DefinedTerms"/>
    <w:bookmarkEnd w:id="6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9" w:name="Coversheet"/>
    <w:bookmarkEnd w:id="6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614130820"/>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73A74-CA18-4CF1-804C-0B4C02E2C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9744</Words>
  <Characters>46386</Characters>
  <Application>Microsoft Office Word</Application>
  <DocSecurity>0</DocSecurity>
  <Lines>2441</Lines>
  <Paragraphs>1403</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54727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2002 - 03-k0-00</dc:title>
  <dc:subject/>
  <dc:creator/>
  <cp:keywords/>
  <dc:description/>
  <cp:lastModifiedBy>svcMRProcess</cp:lastModifiedBy>
  <cp:revision>4</cp:revision>
  <cp:lastPrinted>2016-07-22T01:04:00Z</cp:lastPrinted>
  <dcterms:created xsi:type="dcterms:W3CDTF">2018-06-15T04:55:00Z</dcterms:created>
  <dcterms:modified xsi:type="dcterms:W3CDTF">2018-06-15T04:55:00Z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15 Jun 2018</vt:lpwstr>
  </property>
  <property fmtid="{D5CDD505-2E9C-101B-9397-08002B2CF9AE}" pid="8" name="Suffix">
    <vt:lpwstr>03-k0-00</vt:lpwstr>
  </property>
  <property fmtid="{D5CDD505-2E9C-101B-9397-08002B2CF9AE}" pid="9" name="CommencementDate">
    <vt:lpwstr>20180615</vt:lpwstr>
  </property>
</Properties>
</file>