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_Toc516821211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_Toc516821212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_Toc516821213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_Toc516821214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_Toc516821215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_Toc516821216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_Toc516821217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_Toc516821218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_Toc516821219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_Toc516821220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_Toc516821221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_Toc516821222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_Toc516821223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_Toc516821224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_Toc516821225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_Toc516821226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_Toc516821227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_Toc516821228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_Toc516821237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_Toc516821238 \h </w:instrText>
      </w:r>
      <w:r>
        <w:fldChar w:fldCharType="separate"/>
      </w:r>
      <w:r>
        <w:t>47</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General Division fees</w:t>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Court of Appeal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3"/>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1682121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682121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16821213"/>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516821214"/>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516821215"/>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8" w:name="_Toc516821216"/>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9" w:name="_Toc516821217"/>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0" w:name="_Toc516821218"/>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1" w:name="_Toc516821219"/>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2" w:name="_Toc516821220"/>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3" w:name="_Toc516821221"/>
      <w:r>
        <w:rPr>
          <w:rStyle w:val="CharSectno"/>
        </w:rPr>
        <w:t>8A</w:t>
      </w:r>
      <w:r>
        <w:t>.</w:t>
      </w:r>
      <w:r>
        <w:tab/>
        <w:t>Recognition as eligible individual or eligible entity</w:t>
      </w:r>
      <w:bookmarkEnd w:id="13"/>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4" w:name="_Toc516821222"/>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15" w:name="_Toc516821223"/>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16" w:name="_Toc516821224"/>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17" w:name="_Toc516821225"/>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18" w:name="_Toc516821226"/>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19" w:name="_Toc516821227"/>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0" w:name="_Toc516821228"/>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516821135"/>
      <w:bookmarkStart w:id="22" w:name="_Toc516821229"/>
      <w:r>
        <w:rPr>
          <w:rStyle w:val="CharSchNo"/>
        </w:rPr>
        <w:t>Schedule 1</w:t>
      </w:r>
      <w:r>
        <w:t> — </w:t>
      </w:r>
      <w:r>
        <w:rPr>
          <w:rStyle w:val="CharSchText"/>
        </w:rPr>
        <w:t>Fees</w:t>
      </w:r>
      <w:bookmarkEnd w:id="21"/>
      <w:bookmarkEnd w:id="22"/>
    </w:p>
    <w:p>
      <w:pPr>
        <w:pStyle w:val="zyShoulderClause"/>
      </w:pPr>
      <w:r>
        <w:t>[r. 4 and 4A]</w:t>
      </w:r>
    </w:p>
    <w:p>
      <w:pPr>
        <w:pStyle w:val="yFootnoteheading"/>
        <w:spacing w:after="60"/>
      </w:pPr>
      <w:r>
        <w:tab/>
        <w:t>[Heading inserted in Gazette 7 Jul 2017 p. 3781.]</w:t>
      </w:r>
    </w:p>
    <w:p>
      <w:pPr>
        <w:pStyle w:val="yHeading3"/>
      </w:pPr>
      <w:bookmarkStart w:id="23" w:name="_Toc516821136"/>
      <w:bookmarkStart w:id="24" w:name="_Toc516821230"/>
      <w:r>
        <w:rPr>
          <w:rStyle w:val="CharSDivNo"/>
        </w:rPr>
        <w:t>Division 1</w:t>
      </w:r>
      <w:r>
        <w:t> — </w:t>
      </w:r>
      <w:r>
        <w:rPr>
          <w:rStyle w:val="CharSDivText"/>
        </w:rPr>
        <w:t>General Division fees</w:t>
      </w:r>
      <w:bookmarkEnd w:id="23"/>
      <w:bookmarkEnd w:id="24"/>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25" w:name="_Toc516821137"/>
      <w:bookmarkStart w:id="26" w:name="_Toc516821231"/>
      <w:r>
        <w:rPr>
          <w:rStyle w:val="CharSDivNo"/>
        </w:rPr>
        <w:t>Division 2</w:t>
      </w:r>
      <w:r>
        <w:t> — </w:t>
      </w:r>
      <w:r>
        <w:rPr>
          <w:rStyle w:val="CharSDivText"/>
        </w:rPr>
        <w:t>Court of Appeal fees</w:t>
      </w:r>
      <w:bookmarkEnd w:id="25"/>
      <w:bookmarkEnd w:id="26"/>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27" w:name="_Toc516821138"/>
      <w:bookmarkStart w:id="28" w:name="_Toc516821232"/>
      <w:r>
        <w:rPr>
          <w:rStyle w:val="CharSchNo"/>
        </w:rPr>
        <w:t>Schedule 2</w:t>
      </w:r>
      <w:r>
        <w:rPr>
          <w:rStyle w:val="CharSDivNo"/>
        </w:rPr>
        <w:t> </w:t>
      </w:r>
      <w:r>
        <w:t>—</w:t>
      </w:r>
      <w:r>
        <w:rPr>
          <w:rStyle w:val="CharSDivText"/>
        </w:rPr>
        <w:t> </w:t>
      </w:r>
      <w:r>
        <w:rPr>
          <w:rStyle w:val="CharSchText"/>
        </w:rPr>
        <w:t>Sheriff’s fees</w:t>
      </w:r>
      <w:bookmarkEnd w:id="27"/>
      <w:bookmarkEnd w:id="28"/>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paragraph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The fee under paragraph (a) includes the costs of —</w:t>
            </w:r>
          </w:p>
          <w:p>
            <w:pPr>
              <w:pStyle w:val="yTableNAm"/>
              <w:tabs>
                <w:tab w:val="clear" w:pos="567"/>
                <w:tab w:val="left" w:leader="dot" w:pos="5041"/>
              </w:tabs>
              <w:spacing w:before="80"/>
              <w:ind w:left="482" w:hanging="482"/>
              <w:rPr>
                <w:sz w:val="20"/>
              </w:rPr>
            </w:pPr>
            <w:r>
              <w:rPr>
                <w:sz w:val="20"/>
              </w:rPr>
              <w:t>(a)</w:t>
            </w:r>
            <w:r>
              <w:rPr>
                <w:sz w:val="20"/>
              </w:rPr>
              <w:tab/>
              <w:t>receiving and printing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131.65</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spacing w:before="80"/>
              <w:rPr>
                <w:sz w:val="20"/>
              </w:rPr>
            </w:pPr>
            <w:r>
              <w:rPr>
                <w:sz w:val="20"/>
              </w:rPr>
              <w:t>NOTE 1: The fee is payable whether or not the service is successful and covers up to 3 attempts at service at the same address.</w:t>
            </w:r>
          </w:p>
          <w:p>
            <w:pPr>
              <w:pStyle w:val="yTableNAm"/>
            </w:pPr>
            <w:r>
              <w:rPr>
                <w:sz w:val="20"/>
              </w:rPr>
              <w:t>NOTE 2:</w:t>
            </w:r>
          </w:p>
          <w:p>
            <w:pPr>
              <w:pStyle w:val="yTableNAm"/>
              <w:spacing w:before="80"/>
              <w:rPr>
                <w:sz w:val="20"/>
              </w:rPr>
            </w:pPr>
            <w:r>
              <w:rPr>
                <w:sz w:val="20"/>
              </w:rPr>
              <w:t>The fee under paragraph (a) includes the costs of receiving and printing the process.</w:t>
            </w:r>
          </w:p>
        </w:tc>
        <w:tc>
          <w:tcPr>
            <w:tcW w:w="1382" w:type="dxa"/>
          </w:tcPr>
          <w:p>
            <w:pPr>
              <w:pStyle w:val="yTableNAm"/>
              <w:ind w:right="246"/>
              <w:jc w:val="right"/>
            </w:pPr>
            <w:r>
              <w:br/>
            </w:r>
            <w:r>
              <w:br/>
            </w:r>
            <w:r>
              <w:rPr>
                <w:szCs w:val="22"/>
              </w:rPr>
              <w:t>73.15</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 9 Feb 2018 p. 404</w:t>
      </w:r>
      <w:r>
        <w:noBreakHyphen/>
        <w:t>5.]</w:t>
      </w:r>
    </w:p>
    <w:p>
      <w:pPr>
        <w:pStyle w:val="yScheduleHeading"/>
      </w:pPr>
      <w:bookmarkStart w:id="29" w:name="_Toc516821139"/>
      <w:bookmarkStart w:id="30" w:name="_Toc516821233"/>
      <w:r>
        <w:rPr>
          <w:rStyle w:val="CharSchNo"/>
        </w:rPr>
        <w:t>Schedule 3</w:t>
      </w:r>
      <w:r>
        <w:t> — </w:t>
      </w:r>
      <w:r>
        <w:rPr>
          <w:rStyle w:val="CharSchText"/>
        </w:rPr>
        <w:t>Probate fees</w:t>
      </w:r>
      <w:bookmarkEnd w:id="29"/>
      <w:bookmarkEnd w:id="30"/>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2" w:name="_Toc516821140"/>
      <w:bookmarkStart w:id="33" w:name="_Toc516821234"/>
      <w:r>
        <w:rPr>
          <w:rStyle w:val="CharSchNo"/>
        </w:rPr>
        <w:t>Schedule 4</w:t>
      </w:r>
      <w:r>
        <w:t xml:space="preserve"> — </w:t>
      </w:r>
      <w:r>
        <w:rPr>
          <w:rStyle w:val="CharSchText"/>
        </w:rPr>
        <w:t>Forms</w:t>
      </w:r>
      <w:bookmarkEnd w:id="32"/>
      <w:bookmarkEnd w:id="33"/>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34" w:name="_Toc516821141"/>
            <w:bookmarkStart w:id="35" w:name="_Toc516821235"/>
            <w:r>
              <w:rPr>
                <w:rStyle w:val="CharSClsNo"/>
              </w:rPr>
              <w:t>Form 3</w:t>
            </w:r>
            <w:bookmarkEnd w:id="34"/>
            <w:bookmarkEnd w:id="35"/>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6" w:name="_Toc516821142"/>
      <w:bookmarkStart w:id="37" w:name="_Toc516821236"/>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 w:name="_Toc516821237"/>
      <w:r>
        <w:t>Compilation table</w:t>
      </w:r>
      <w:bookmarkEnd w:id="38"/>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22" w:type="dxa"/>
            <w:tcBorders>
              <w:bottom w:val="single" w:sz="4" w:space="0" w:color="auto"/>
            </w:tcBorders>
            <w:shd w:val="clear" w:color="auto" w:fill="auto"/>
          </w:tcPr>
          <w:p>
            <w:pPr>
              <w:pStyle w:val="nTable"/>
              <w:spacing w:after="40"/>
              <w:rPr>
                <w:i/>
              </w:rPr>
            </w:pPr>
            <w:r>
              <w:rPr>
                <w:i/>
              </w:rPr>
              <w:t>Attorney General Regulations Amendment (Bailiff Fees) Regulations 2018</w:t>
            </w:r>
            <w:r>
              <w:t xml:space="preserve"> Pt. 6</w:t>
            </w:r>
          </w:p>
        </w:tc>
        <w:tc>
          <w:tcPr>
            <w:tcW w:w="1277" w:type="dxa"/>
            <w:tcBorders>
              <w:bottom w:val="single" w:sz="4" w:space="0" w:color="auto"/>
            </w:tcBorders>
            <w:shd w:val="clear" w:color="auto" w:fill="auto"/>
          </w:tcPr>
          <w:p>
            <w:pPr>
              <w:pStyle w:val="nTable"/>
              <w:spacing w:after="40"/>
            </w:pPr>
            <w:r>
              <w:t>9 Feb 2018 p. 401</w:t>
            </w:r>
            <w:r>
              <w:noBreakHyphen/>
              <w:t>5</w:t>
            </w:r>
          </w:p>
        </w:tc>
        <w:tc>
          <w:tcPr>
            <w:tcW w:w="2803" w:type="dxa"/>
            <w:gridSpan w:val="2"/>
            <w:tcBorders>
              <w:bottom w:val="single" w:sz="4" w:space="0" w:color="auto"/>
            </w:tcBorders>
            <w:shd w:val="clear" w:color="auto" w:fill="auto"/>
          </w:tcPr>
          <w:p>
            <w:pPr>
              <w:pStyle w:val="nTable"/>
              <w:spacing w:after="40"/>
              <w:rPr>
                <w:snapToGrid w:val="0"/>
              </w:rPr>
            </w:pPr>
            <w:r>
              <w:rPr>
                <w:bCs/>
                <w:snapToGrid w:val="0"/>
              </w:rPr>
              <w:t>10 Feb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516821238"/>
      <w:r>
        <w:t>Provisions that have not come into operation</w:t>
      </w:r>
      <w:bookmarkEnd w:id="3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10 </w:t>
            </w:r>
            <w:r>
              <w:rPr>
                <w:vertAlign w:val="superscript"/>
              </w:rPr>
              <w:t>4</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keepNext/>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10</w:t>
      </w:r>
      <w:r>
        <w:rPr>
          <w:i/>
        </w:rPr>
        <w:t xml:space="preserve"> </w:t>
      </w:r>
      <w:r>
        <w:rPr>
          <w:snapToGrid w:val="0"/>
        </w:rPr>
        <w:t>had not come into operation.  It reads as follows:</w:t>
      </w:r>
    </w:p>
    <w:p>
      <w:pPr>
        <w:pStyle w:val="BlankOpen"/>
        <w:rPr>
          <w:snapToGrid w:val="0"/>
        </w:rPr>
      </w:pPr>
    </w:p>
    <w:p>
      <w:pPr>
        <w:pStyle w:val="nzHeading2"/>
      </w:pPr>
      <w:bookmarkStart w:id="40" w:name="_Toc514321249"/>
      <w:bookmarkStart w:id="41" w:name="_Toc514321314"/>
      <w:bookmarkStart w:id="42" w:name="_Toc514330308"/>
      <w:bookmarkStart w:id="43" w:name="_Toc514334973"/>
      <w:bookmarkStart w:id="44" w:name="_Toc514336322"/>
      <w:bookmarkStart w:id="45" w:name="_Toc514336524"/>
      <w:bookmarkStart w:id="46" w:name="_Toc514414498"/>
      <w:bookmarkStart w:id="47" w:name="_Toc514414563"/>
      <w:bookmarkStart w:id="48" w:name="_Toc514657473"/>
      <w:bookmarkStart w:id="49" w:name="_Toc514666294"/>
      <w:r>
        <w:rPr>
          <w:rStyle w:val="CharPartNo"/>
        </w:rPr>
        <w:t>Part 10</w:t>
      </w:r>
      <w:r>
        <w:rPr>
          <w:rStyle w:val="CharDivNo"/>
        </w:rPr>
        <w:t> </w:t>
      </w:r>
      <w:r>
        <w:t>—</w:t>
      </w:r>
      <w:r>
        <w:rPr>
          <w:rStyle w:val="CharDivText"/>
        </w:rPr>
        <w:t> </w:t>
      </w:r>
      <w:r>
        <w:rPr>
          <w:rStyle w:val="CharPartText"/>
          <w:i/>
        </w:rPr>
        <w:t>Supreme Court (Fees) Regulations 2002</w:t>
      </w:r>
      <w:r>
        <w:rPr>
          <w:rStyle w:val="CharPartText"/>
        </w:rPr>
        <w:t> amended</w:t>
      </w:r>
      <w:bookmarkEnd w:id="40"/>
      <w:bookmarkEnd w:id="41"/>
      <w:bookmarkEnd w:id="42"/>
      <w:bookmarkEnd w:id="43"/>
      <w:bookmarkEnd w:id="44"/>
      <w:bookmarkEnd w:id="45"/>
      <w:bookmarkEnd w:id="46"/>
      <w:bookmarkEnd w:id="47"/>
      <w:bookmarkEnd w:id="48"/>
      <w:bookmarkEnd w:id="49"/>
    </w:p>
    <w:p>
      <w:pPr>
        <w:pStyle w:val="nzHeading5"/>
        <w:rPr>
          <w:snapToGrid w:val="0"/>
        </w:rPr>
      </w:pPr>
      <w:bookmarkStart w:id="50" w:name="_Toc514414499"/>
      <w:bookmarkStart w:id="51" w:name="_Toc514666295"/>
      <w:r>
        <w:rPr>
          <w:rStyle w:val="CharSectno"/>
        </w:rPr>
        <w:t>25</w:t>
      </w:r>
      <w:r>
        <w:rPr>
          <w:snapToGrid w:val="0"/>
        </w:rPr>
        <w:t>.</w:t>
      </w:r>
      <w:r>
        <w:rPr>
          <w:snapToGrid w:val="0"/>
        </w:rPr>
        <w:tab/>
        <w:t>Regulations amended</w:t>
      </w:r>
      <w:bookmarkEnd w:id="50"/>
      <w:bookmarkEnd w:id="51"/>
    </w:p>
    <w:p>
      <w:pPr>
        <w:pStyle w:val="nzSubsection"/>
      </w:pPr>
      <w:r>
        <w:tab/>
      </w:r>
      <w:r>
        <w:tab/>
      </w:r>
      <w:r>
        <w:rPr>
          <w:spacing w:val="-2"/>
        </w:rPr>
        <w:t>This Part</w:t>
      </w:r>
      <w:r>
        <w:t xml:space="preserve"> amends the </w:t>
      </w:r>
      <w:r>
        <w:rPr>
          <w:i/>
        </w:rPr>
        <w:t>Supreme Court (Fees) Regulations 2002</w:t>
      </w:r>
      <w:r>
        <w:t>.</w:t>
      </w:r>
    </w:p>
    <w:p>
      <w:pPr>
        <w:pStyle w:val="nzHeading5"/>
      </w:pPr>
      <w:bookmarkStart w:id="52" w:name="_Toc514414500"/>
      <w:bookmarkStart w:id="53" w:name="_Toc514666296"/>
      <w:r>
        <w:rPr>
          <w:rStyle w:val="CharSectno"/>
        </w:rPr>
        <w:t>26</w:t>
      </w:r>
      <w:r>
        <w:t>.</w:t>
      </w:r>
      <w:r>
        <w:tab/>
        <w:t>Schedule 1 replaced</w:t>
      </w:r>
      <w:bookmarkEnd w:id="52"/>
      <w:bookmarkEnd w:id="53"/>
    </w:p>
    <w:p>
      <w:pPr>
        <w:pStyle w:val="nzSubsection"/>
      </w:pPr>
      <w:r>
        <w:tab/>
      </w:r>
      <w:r>
        <w:tab/>
        <w:t>Delete Schedule 1 and insert:</w:t>
      </w:r>
    </w:p>
    <w:p>
      <w:pPr>
        <w:pStyle w:val="BlankOpen"/>
      </w:pPr>
    </w:p>
    <w:p>
      <w:pPr>
        <w:pStyle w:val="zyHeading2"/>
      </w:pPr>
      <w:bookmarkStart w:id="54" w:name="_Toc514321252"/>
      <w:bookmarkStart w:id="55" w:name="_Toc514321317"/>
      <w:bookmarkStart w:id="56" w:name="_Toc514330311"/>
      <w:bookmarkStart w:id="57" w:name="_Toc514334976"/>
      <w:bookmarkStart w:id="58" w:name="_Toc514336325"/>
      <w:bookmarkStart w:id="59" w:name="_Toc514336527"/>
      <w:bookmarkStart w:id="60" w:name="_Toc514414501"/>
      <w:bookmarkStart w:id="61" w:name="_Toc514414566"/>
      <w:bookmarkStart w:id="62" w:name="_Toc514657476"/>
      <w:bookmarkStart w:id="63" w:name="_Toc514666297"/>
      <w:bookmarkStart w:id="64" w:name="_Toc516821145"/>
      <w:bookmarkStart w:id="65" w:name="_Toc516821239"/>
      <w:r>
        <w:t>Schedule 1 — Fees</w:t>
      </w:r>
      <w:bookmarkEnd w:id="54"/>
      <w:bookmarkEnd w:id="55"/>
      <w:bookmarkEnd w:id="56"/>
      <w:bookmarkEnd w:id="57"/>
      <w:bookmarkEnd w:id="58"/>
      <w:bookmarkEnd w:id="59"/>
      <w:bookmarkEnd w:id="60"/>
      <w:bookmarkEnd w:id="61"/>
      <w:bookmarkEnd w:id="62"/>
      <w:bookmarkEnd w:id="63"/>
      <w:bookmarkEnd w:id="64"/>
      <w:bookmarkEnd w:id="65"/>
    </w:p>
    <w:p>
      <w:pPr>
        <w:pStyle w:val="zyShoulderClause"/>
      </w:pPr>
      <w:r>
        <w:t>[r. 4 and 4A]</w:t>
      </w:r>
    </w:p>
    <w:p>
      <w:pPr>
        <w:pStyle w:val="zyHeading3"/>
        <w:spacing w:after="120"/>
      </w:pPr>
      <w:bookmarkStart w:id="66" w:name="_Toc514321253"/>
      <w:bookmarkStart w:id="67" w:name="_Toc514321318"/>
      <w:bookmarkStart w:id="68" w:name="_Toc514330312"/>
      <w:bookmarkStart w:id="69" w:name="_Toc514334977"/>
      <w:bookmarkStart w:id="70" w:name="_Toc514336326"/>
      <w:bookmarkStart w:id="71" w:name="_Toc514336528"/>
      <w:bookmarkStart w:id="72" w:name="_Toc514414502"/>
      <w:bookmarkStart w:id="73" w:name="_Toc514414567"/>
      <w:bookmarkStart w:id="74" w:name="_Toc514657477"/>
      <w:bookmarkStart w:id="75" w:name="_Toc514666298"/>
      <w:bookmarkStart w:id="76" w:name="_Toc516821146"/>
      <w:bookmarkStart w:id="77" w:name="_Toc516821240"/>
      <w:r>
        <w:t>Division 1</w:t>
      </w:r>
      <w:r>
        <w:rPr>
          <w:b w:val="0"/>
        </w:rPr>
        <w:t> — </w:t>
      </w:r>
      <w:r>
        <w:t>General Division fees</w:t>
      </w:r>
      <w:bookmarkEnd w:id="66"/>
      <w:bookmarkEnd w:id="67"/>
      <w:bookmarkEnd w:id="68"/>
      <w:bookmarkEnd w:id="69"/>
      <w:bookmarkEnd w:id="70"/>
      <w:bookmarkEnd w:id="71"/>
      <w:bookmarkEnd w:id="72"/>
      <w:bookmarkEnd w:id="73"/>
      <w:bookmarkEnd w:id="74"/>
      <w:bookmarkEnd w:id="75"/>
      <w:bookmarkEnd w:id="76"/>
      <w:bookmarkEnd w:id="77"/>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spacing w:before="60"/>
              <w:jc w:val="center"/>
              <w:rPr>
                <w:b/>
                <w:szCs w:val="22"/>
              </w:rPr>
            </w:pPr>
            <w:r>
              <w:rPr>
                <w:b/>
                <w:szCs w:val="22"/>
              </w:rPr>
              <w:t>Item</w:t>
            </w:r>
          </w:p>
        </w:tc>
        <w:tc>
          <w:tcPr>
            <w:tcW w:w="2562" w:type="dxa"/>
            <w:tcBorders>
              <w:left w:val="nil"/>
              <w:bottom w:val="single" w:sz="4" w:space="0" w:color="auto"/>
              <w:right w:val="nil"/>
            </w:tcBorders>
          </w:tcPr>
          <w:p>
            <w:pPr>
              <w:pStyle w:val="yTableNAm"/>
              <w:spacing w:before="60"/>
              <w:jc w:val="center"/>
              <w:rPr>
                <w:b/>
                <w:szCs w:val="22"/>
              </w:rPr>
            </w:pPr>
            <w:r>
              <w:rPr>
                <w:b/>
                <w:szCs w:val="22"/>
              </w:rPr>
              <w:t>Matter</w:t>
            </w:r>
          </w:p>
        </w:tc>
        <w:tc>
          <w:tcPr>
            <w:tcW w:w="1260" w:type="dxa"/>
            <w:tcBorders>
              <w:left w:val="nil"/>
              <w:bottom w:val="single" w:sz="4" w:space="0" w:color="auto"/>
              <w:right w:val="nil"/>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left w:val="nil"/>
              <w:bottom w:val="single" w:sz="4" w:space="0" w:color="auto"/>
              <w:right w:val="nil"/>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 xml:space="preserve">Fee for </w:t>
            </w:r>
            <w:r>
              <w:rPr>
                <w:b/>
                <w:szCs w:val="22"/>
              </w:rPr>
              <w:br/>
              <w:t>entity</w:t>
            </w:r>
            <w:r>
              <w:rPr>
                <w:b/>
                <w:szCs w:val="22"/>
              </w:rPr>
              <w:br/>
            </w:r>
            <w:r>
              <w:rPr>
                <w:b/>
                <w:szCs w:val="22"/>
              </w:rPr>
              <w:br/>
            </w:r>
            <w:r>
              <w:rPr>
                <w:b/>
                <w:szCs w:val="22"/>
              </w:rPr>
              <w:br/>
              <w:t>$</w:t>
            </w:r>
          </w:p>
        </w:tc>
        <w:tc>
          <w:tcPr>
            <w:tcW w:w="1176" w:type="dxa"/>
            <w:tcBorders>
              <w:left w:val="nil"/>
              <w:bottom w:val="single" w:sz="4" w:space="0" w:color="auto"/>
              <w:right w:val="nil"/>
            </w:tcBorders>
          </w:tcPr>
          <w:p>
            <w:pPr>
              <w:pStyle w:val="yTableNAm"/>
              <w:spacing w:before="60"/>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t>$</w:t>
            </w:r>
          </w:p>
        </w:tc>
      </w:tr>
      <w:tr>
        <w:trPr>
          <w:cantSplit/>
        </w:trPr>
        <w:tc>
          <w:tcPr>
            <w:tcW w:w="700" w:type="dxa"/>
            <w:tcBorders>
              <w:top w:val="single" w:sz="4" w:space="0" w:color="auto"/>
              <w:left w:val="nil"/>
              <w:bottom w:val="nil"/>
              <w:right w:val="nil"/>
            </w:tcBorders>
          </w:tcPr>
          <w:p>
            <w:pPr>
              <w:pStyle w:val="yTableNAm"/>
              <w:spacing w:before="60"/>
              <w:rPr>
                <w:szCs w:val="22"/>
              </w:rPr>
            </w:pPr>
            <w:r>
              <w:rPr>
                <w:szCs w:val="22"/>
              </w:rPr>
              <w:t>1.</w:t>
            </w:r>
          </w:p>
        </w:tc>
        <w:tc>
          <w:tcPr>
            <w:tcW w:w="2562" w:type="dxa"/>
            <w:tcBorders>
              <w:top w:val="single" w:sz="4" w:space="0" w:color="auto"/>
              <w:left w:val="nil"/>
              <w:bottom w:val="nil"/>
              <w:right w:val="nil"/>
            </w:tcBorders>
          </w:tcPr>
          <w:p>
            <w:pPr>
              <w:pStyle w:val="yTableNAm"/>
              <w:spacing w:before="60"/>
              <w:rPr>
                <w:szCs w:val="22"/>
              </w:rPr>
            </w:pPr>
            <w:r>
              <w:rPr>
                <w:szCs w:val="22"/>
              </w:rPr>
              <w:t>On filing —</w:t>
            </w:r>
          </w:p>
          <w:p>
            <w:pPr>
              <w:pStyle w:val="yTableNAm"/>
              <w:tabs>
                <w:tab w:val="clear" w:pos="567"/>
                <w:tab w:val="right" w:leader="dot" w:pos="2552"/>
              </w:tabs>
              <w:spacing w:before="60"/>
              <w:ind w:left="454" w:hanging="454"/>
              <w:rPr>
                <w:szCs w:val="22"/>
              </w:rPr>
            </w:pPr>
            <w:r>
              <w:rPr>
                <w:szCs w:val="22"/>
              </w:rPr>
              <w:t>(a)</w:t>
            </w:r>
            <w:r>
              <w:rPr>
                <w:szCs w:val="22"/>
              </w:rP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1 318.00</w:t>
            </w:r>
          </w:p>
        </w:tc>
        <w:tc>
          <w:tcPr>
            <w:tcW w:w="1259" w:type="dxa"/>
            <w:tcBorders>
              <w:top w:val="single" w:sz="4" w:space="0" w:color="auto"/>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2 568.00</w:t>
            </w:r>
          </w:p>
        </w:tc>
        <w:tc>
          <w:tcPr>
            <w:tcW w:w="1176" w:type="dxa"/>
            <w:tcBorders>
              <w:top w:val="single" w:sz="4" w:space="0" w:color="auto"/>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right" w:leader="dot" w:pos="2552"/>
              </w:tabs>
              <w:spacing w:before="60"/>
              <w:ind w:left="454" w:hanging="454"/>
              <w:rPr>
                <w:szCs w:val="22"/>
              </w:rPr>
            </w:pPr>
            <w:r>
              <w:rPr>
                <w:szCs w:val="22"/>
              </w:rPr>
              <w:t>(b)</w:t>
            </w:r>
            <w:r>
              <w:rPr>
                <w:szCs w:val="22"/>
              </w:rPr>
              <w:tab/>
              <w:t xml:space="preserve">a notice of appeal (whether in draft form or not)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1 318.00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2 568.00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100.00</w:t>
            </w:r>
          </w:p>
        </w:tc>
      </w:tr>
      <w:tr>
        <w:trPr>
          <w:cantSplit/>
        </w:trPr>
        <w:tc>
          <w:tcPr>
            <w:tcW w:w="700" w:type="dxa"/>
            <w:tcBorders>
              <w:top w:val="nil"/>
              <w:left w:val="nil"/>
              <w:bottom w:val="nil"/>
              <w:right w:val="nil"/>
            </w:tcBorders>
          </w:tcPr>
          <w:p>
            <w:pPr>
              <w:pStyle w:val="yTableNAm"/>
              <w:keepNext/>
              <w:spacing w:before="60"/>
              <w:rPr>
                <w:szCs w:val="22"/>
              </w:rPr>
            </w:pPr>
            <w:r>
              <w:rPr>
                <w:szCs w:val="22"/>
              </w:rPr>
              <w:t>2.</w:t>
            </w:r>
          </w:p>
        </w:tc>
        <w:tc>
          <w:tcPr>
            <w:tcW w:w="2562" w:type="dxa"/>
            <w:tcBorders>
              <w:top w:val="nil"/>
              <w:left w:val="nil"/>
              <w:bottom w:val="nil"/>
              <w:right w:val="nil"/>
            </w:tcBorders>
          </w:tcPr>
          <w:p>
            <w:pPr>
              <w:pStyle w:val="yTableNAm"/>
              <w:keepNext/>
              <w:spacing w:before="60"/>
              <w:rPr>
                <w:szCs w:val="22"/>
              </w:rPr>
            </w:pPr>
            <w:r>
              <w:rPr>
                <w:szCs w:val="22"/>
              </w:rPr>
              <w:t>On filing —</w:t>
            </w:r>
          </w:p>
          <w:p>
            <w:pPr>
              <w:pStyle w:val="yTableNAm"/>
              <w:keepNext/>
              <w:tabs>
                <w:tab w:val="right" w:leader="dot" w:pos="2552"/>
              </w:tabs>
              <w:spacing w:before="60"/>
              <w:ind w:left="454" w:hanging="454"/>
              <w:rPr>
                <w:szCs w:val="22"/>
              </w:rPr>
            </w:pPr>
            <w:r>
              <w:rPr>
                <w:szCs w:val="22"/>
              </w:rPr>
              <w:t>(a)</w:t>
            </w:r>
            <w:r>
              <w:rPr>
                <w:szCs w:val="22"/>
              </w:rPr>
              <w:tab/>
              <w:t xml:space="preserve">a counterclaim </w:t>
            </w:r>
          </w:p>
        </w:tc>
        <w:tc>
          <w:tcPr>
            <w:tcW w:w="1260" w:type="dxa"/>
            <w:tcBorders>
              <w:top w:val="nil"/>
              <w:left w:val="nil"/>
              <w:bottom w:val="nil"/>
              <w:right w:val="nil"/>
            </w:tcBorders>
          </w:tcPr>
          <w:p>
            <w:pPr>
              <w:pStyle w:val="yTableNAm"/>
              <w:keepNext/>
              <w:spacing w:before="60"/>
              <w:ind w:right="34"/>
              <w:jc w:val="right"/>
              <w:rPr>
                <w:szCs w:val="22"/>
              </w:rPr>
            </w:pPr>
          </w:p>
          <w:p>
            <w:pPr>
              <w:pStyle w:val="yTableNAm"/>
              <w:keepNext/>
              <w:spacing w:before="60"/>
              <w:ind w:right="34"/>
              <w:jc w:val="right"/>
              <w:rPr>
                <w:szCs w:val="22"/>
              </w:rPr>
            </w:pPr>
            <w:r>
              <w:rPr>
                <w:szCs w:val="22"/>
              </w:rPr>
              <w:t>1 318.00</w:t>
            </w:r>
          </w:p>
        </w:tc>
        <w:tc>
          <w:tcPr>
            <w:tcW w:w="1259" w:type="dxa"/>
            <w:tcBorders>
              <w:top w:val="nil"/>
              <w:left w:val="nil"/>
              <w:bottom w:val="nil"/>
              <w:right w:val="nil"/>
            </w:tcBorders>
          </w:tcPr>
          <w:p>
            <w:pPr>
              <w:pStyle w:val="yTableNAm"/>
              <w:keepNext/>
              <w:spacing w:before="60"/>
              <w:ind w:right="34"/>
              <w:jc w:val="right"/>
              <w:rPr>
                <w:szCs w:val="22"/>
              </w:rPr>
            </w:pPr>
          </w:p>
          <w:p>
            <w:pPr>
              <w:pStyle w:val="yTableNAm"/>
              <w:keepNext/>
              <w:spacing w:before="60"/>
              <w:ind w:right="34"/>
              <w:jc w:val="right"/>
              <w:rPr>
                <w:szCs w:val="22"/>
              </w:rPr>
            </w:pPr>
            <w:r>
              <w:rPr>
                <w:szCs w:val="22"/>
              </w:rPr>
              <w:t>2 568.00</w:t>
            </w:r>
          </w:p>
        </w:tc>
        <w:tc>
          <w:tcPr>
            <w:tcW w:w="1176" w:type="dxa"/>
            <w:tcBorders>
              <w:top w:val="nil"/>
              <w:left w:val="nil"/>
              <w:bottom w:val="nil"/>
              <w:right w:val="nil"/>
            </w:tcBorders>
          </w:tcPr>
          <w:p>
            <w:pPr>
              <w:pStyle w:val="yTableNAm"/>
              <w:keepNext/>
              <w:spacing w:before="60"/>
              <w:ind w:right="34"/>
              <w:jc w:val="right"/>
              <w:rPr>
                <w:szCs w:val="22"/>
              </w:rPr>
            </w:pPr>
          </w:p>
          <w:p>
            <w:pPr>
              <w:pStyle w:val="yTableNAm"/>
              <w:keepNext/>
              <w:spacing w:before="60"/>
              <w:ind w:right="34"/>
              <w:jc w:val="right"/>
              <w:rPr>
                <w:szCs w:val="22"/>
              </w:rPr>
            </w:pPr>
            <w:r>
              <w:rPr>
                <w:szCs w:val="22"/>
              </w:rP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(b)</w:t>
            </w:r>
            <w:r>
              <w:rPr>
                <w:szCs w:val="22"/>
              </w:rPr>
              <w:tab/>
              <w:t xml:space="preserve">a third party notice or a notice under the Rules O. 19 r. 8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1 318.00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2 568.00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2585"/>
              </w:tabs>
              <w:spacing w:before="60"/>
              <w:ind w:left="454" w:hanging="454"/>
              <w:rPr>
                <w:szCs w:val="22"/>
              </w:rPr>
            </w:pPr>
            <w:r>
              <w:rPr>
                <w:szCs w:val="22"/>
              </w:rPr>
              <w:t>(c)</w:t>
            </w:r>
            <w:r>
              <w:rPr>
                <w:szCs w:val="22"/>
              </w:rPr>
              <w:tab/>
              <w:t xml:space="preserve">an application — </w:t>
            </w:r>
          </w:p>
          <w:p>
            <w:pPr>
              <w:pStyle w:val="yTableNAm"/>
              <w:tabs>
                <w:tab w:val="left" w:pos="1021"/>
                <w:tab w:val="right" w:leader="dot" w:pos="2585"/>
              </w:tabs>
              <w:spacing w:before="60"/>
              <w:ind w:left="1021" w:hanging="1021"/>
              <w:rPr>
                <w:szCs w:val="22"/>
              </w:rPr>
            </w:pPr>
            <w:r>
              <w:rPr>
                <w:szCs w:val="22"/>
              </w:rPr>
              <w:tab/>
              <w:t>(i)</w:t>
            </w:r>
            <w:r>
              <w:rPr>
                <w:szCs w:val="22"/>
              </w:rP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p>
          <w:p>
            <w:pPr>
              <w:pStyle w:val="yTableNAm"/>
              <w:spacing w:before="60"/>
              <w:ind w:right="34"/>
              <w:jc w:val="right"/>
              <w:rPr>
                <w:szCs w:val="22"/>
              </w:rPr>
            </w:pPr>
            <w:r>
              <w:rPr>
                <w:szCs w:val="22"/>
              </w:rP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p>
          <w:p>
            <w:pPr>
              <w:pStyle w:val="yTableNAm"/>
              <w:spacing w:before="60"/>
              <w:ind w:right="34"/>
              <w:jc w:val="right"/>
              <w:rPr>
                <w:szCs w:val="22"/>
              </w:rPr>
            </w:pPr>
            <w:r>
              <w:rPr>
                <w:szCs w:val="22"/>
              </w:rP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p>
          <w:p>
            <w:pPr>
              <w:pStyle w:val="yTableNAm"/>
              <w:spacing w:before="60"/>
              <w:ind w:right="34"/>
              <w:jc w:val="right"/>
              <w:rPr>
                <w:szCs w:val="22"/>
              </w:rPr>
            </w:pPr>
            <w:r>
              <w:rPr>
                <w:szCs w:val="22"/>
              </w:rP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(iv)</w:t>
            </w:r>
            <w:r>
              <w:rPr>
                <w:szCs w:val="22"/>
              </w:rPr>
              <w:tab/>
              <w:t>to swear to the death of a person</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(v)</w:t>
            </w:r>
            <w:r>
              <w:rPr>
                <w:szCs w:val="22"/>
              </w:rPr>
              <w:tab/>
              <w:t>for leave to appeal</w:t>
            </w:r>
          </w:p>
        </w:tc>
        <w:tc>
          <w:tcPr>
            <w:tcW w:w="1260" w:type="dxa"/>
            <w:tcBorders>
              <w:top w:val="nil"/>
              <w:left w:val="nil"/>
              <w:bottom w:val="nil"/>
              <w:right w:val="nil"/>
            </w:tcBorders>
          </w:tcPr>
          <w:p>
            <w:pPr>
              <w:pStyle w:val="yTableNAm"/>
              <w:spacing w:before="60"/>
              <w:ind w:right="34"/>
              <w:jc w:val="right"/>
              <w:rPr>
                <w:szCs w:val="22"/>
              </w:rPr>
            </w:pP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(vi)</w:t>
            </w:r>
            <w:r>
              <w:rPr>
                <w:szCs w:val="22"/>
              </w:rPr>
              <w:tab/>
              <w:t xml:space="preserve">for leave to issue a subpoena under the </w:t>
            </w:r>
            <w:r>
              <w:rPr>
                <w:i/>
                <w:szCs w:val="22"/>
              </w:rPr>
              <w:t>Commercial Arbitration Act 2012</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96"/>
                <w:tab w:val="right" w:leader="dot" w:pos="2552"/>
                <w:tab w:val="left" w:pos="2585"/>
              </w:tabs>
              <w:spacing w:before="60"/>
              <w:ind w:left="1021" w:hanging="1021"/>
              <w:rPr>
                <w:szCs w:val="22"/>
              </w:rPr>
            </w:pPr>
            <w:r>
              <w:rPr>
                <w:szCs w:val="22"/>
              </w:rPr>
              <w:tab/>
              <w:t>(vii)</w:t>
            </w:r>
            <w:r>
              <w:rPr>
                <w:szCs w:val="22"/>
              </w:rPr>
              <w:tab/>
              <w:t xml:space="preserve">in a pending cause or matter in admiralty whether by summons or motion, other than an application by the Marshal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440.00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861.00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w:t>
            </w:r>
          </w:p>
          <w:p>
            <w:pPr>
              <w:pStyle w:val="yTableNAm"/>
              <w:spacing w:before="60"/>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spacing w:before="60"/>
              <w:rPr>
                <w:szCs w:val="22"/>
              </w:rPr>
            </w:pPr>
            <w:r>
              <w:rPr>
                <w:szCs w:val="22"/>
              </w:rPr>
              <w:t>3.</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 xml:space="preserve">Commencing an appeal to which the Rules O. 60A r. 4 applies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878.00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1 720.00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100.00</w:t>
            </w:r>
          </w:p>
        </w:tc>
      </w:tr>
      <w:tr>
        <w:trPr>
          <w:cantSplit/>
        </w:trPr>
        <w:tc>
          <w:tcPr>
            <w:tcW w:w="700" w:type="dxa"/>
            <w:tcBorders>
              <w:top w:val="nil"/>
              <w:left w:val="nil"/>
              <w:bottom w:val="nil"/>
              <w:right w:val="nil"/>
            </w:tcBorders>
          </w:tcPr>
          <w:p>
            <w:pPr>
              <w:pStyle w:val="yTableNAm"/>
              <w:spacing w:before="60"/>
              <w:rPr>
                <w:szCs w:val="22"/>
              </w:rPr>
            </w:pPr>
            <w:r>
              <w:rPr>
                <w:szCs w:val="22"/>
              </w:rPr>
              <w:t>4.</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1 318.00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2 568.00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keepNext/>
              <w:keepLines/>
              <w:spacing w:before="60"/>
              <w:rPr>
                <w:szCs w:val="22"/>
              </w:rPr>
            </w:pPr>
            <w:r>
              <w:rPr>
                <w:szCs w:val="22"/>
              </w:rPr>
              <w:t>5.</w:t>
            </w:r>
          </w:p>
        </w:tc>
        <w:tc>
          <w:tcPr>
            <w:tcW w:w="2562" w:type="dxa"/>
            <w:tcBorders>
              <w:top w:val="nil"/>
              <w:left w:val="nil"/>
              <w:bottom w:val="nil"/>
              <w:right w:val="nil"/>
            </w:tcBorders>
          </w:tcPr>
          <w:p>
            <w:pPr>
              <w:pStyle w:val="yTableNAm"/>
              <w:keepNext/>
              <w:keepLines/>
              <w:tabs>
                <w:tab w:val="clear" w:pos="567"/>
                <w:tab w:val="right" w:leader="dot" w:pos="2552"/>
              </w:tabs>
              <w:spacing w:before="60"/>
              <w:rPr>
                <w:szCs w:val="22"/>
              </w:rPr>
            </w:pPr>
            <w:r>
              <w:rPr>
                <w:szCs w:val="22"/>
              </w:rPr>
              <w:t xml:space="preserve">Allocation of hearing date </w:t>
            </w:r>
          </w:p>
        </w:tc>
        <w:tc>
          <w:tcPr>
            <w:tcW w:w="1260" w:type="dxa"/>
            <w:tcBorders>
              <w:top w:val="nil"/>
              <w:left w:val="nil"/>
              <w:bottom w:val="nil"/>
              <w:right w:val="nil"/>
            </w:tcBorders>
          </w:tcPr>
          <w:p>
            <w:pPr>
              <w:pStyle w:val="yTableNAm"/>
              <w:keepNext/>
              <w:keepLines/>
              <w:spacing w:before="60"/>
              <w:ind w:right="34"/>
              <w:rPr>
                <w:szCs w:val="22"/>
              </w:rPr>
            </w:pPr>
            <w:r>
              <w:rPr>
                <w:szCs w:val="22"/>
              </w:rPr>
              <w:t>883.00 for each day allocated</w:t>
            </w:r>
          </w:p>
        </w:tc>
        <w:tc>
          <w:tcPr>
            <w:tcW w:w="1259" w:type="dxa"/>
            <w:tcBorders>
              <w:top w:val="nil"/>
              <w:left w:val="nil"/>
              <w:bottom w:val="nil"/>
              <w:right w:val="nil"/>
            </w:tcBorders>
          </w:tcPr>
          <w:p>
            <w:pPr>
              <w:pStyle w:val="yTableNAm"/>
              <w:keepNext/>
              <w:keepLines/>
              <w:spacing w:before="60"/>
              <w:ind w:right="34"/>
              <w:rPr>
                <w:szCs w:val="22"/>
              </w:rPr>
            </w:pPr>
            <w:r>
              <w:rPr>
                <w:szCs w:val="22"/>
              </w:rPr>
              <w:t>2 291.00 for each day allocated</w:t>
            </w:r>
          </w:p>
        </w:tc>
        <w:tc>
          <w:tcPr>
            <w:tcW w:w="1176" w:type="dxa"/>
            <w:tcBorders>
              <w:top w:val="nil"/>
              <w:left w:val="nil"/>
              <w:bottom w:val="nil"/>
              <w:right w:val="nil"/>
            </w:tcBorders>
          </w:tcPr>
          <w:p>
            <w:pPr>
              <w:pStyle w:val="yTableNAm"/>
              <w:keepNext/>
              <w:keepLines/>
              <w:spacing w:before="60"/>
              <w:ind w:right="34"/>
              <w:jc w:val="right"/>
              <w:rPr>
                <w:szCs w:val="22"/>
              </w:rPr>
            </w:pPr>
            <w:r>
              <w:rPr>
                <w:szCs w:val="22"/>
              </w:rPr>
              <w:t>100.00</w:t>
            </w:r>
          </w:p>
        </w:tc>
      </w:tr>
      <w:tr>
        <w:trPr>
          <w:cantSplit/>
        </w:trPr>
        <w:tc>
          <w:tcPr>
            <w:tcW w:w="700" w:type="dxa"/>
            <w:tcBorders>
              <w:top w:val="nil"/>
              <w:left w:val="nil"/>
              <w:bottom w:val="nil"/>
              <w:right w:val="nil"/>
            </w:tcBorders>
          </w:tcPr>
          <w:p>
            <w:pPr>
              <w:pStyle w:val="yTableNAm"/>
              <w:spacing w:before="60"/>
              <w:ind w:right="34"/>
              <w:rPr>
                <w:rFonts w:ascii="Arial" w:hAnsi="Arial" w:cs="Arial"/>
                <w:sz w:val="18"/>
                <w:szCs w:val="18"/>
              </w:rPr>
            </w:pPr>
          </w:p>
        </w:tc>
        <w:tc>
          <w:tcPr>
            <w:tcW w:w="2562" w:type="dxa"/>
            <w:tcBorders>
              <w:top w:val="nil"/>
              <w:left w:val="nil"/>
              <w:bottom w:val="nil"/>
              <w:right w:val="nil"/>
            </w:tcBorders>
          </w:tcPr>
          <w:p>
            <w:pPr>
              <w:pStyle w:val="yTableNAm"/>
              <w:spacing w:before="60"/>
              <w:ind w:right="34"/>
              <w:rPr>
                <w:rFonts w:ascii="Arial" w:hAnsi="Arial" w:cs="Arial"/>
                <w:sz w:val="18"/>
                <w:szCs w:val="18"/>
              </w:rPr>
            </w:pPr>
            <w:r>
              <w:rPr>
                <w:rFonts w:ascii="Arial" w:hAnsi="Arial" w:cs="Arial"/>
                <w:sz w:val="18"/>
                <w:szCs w:val="18"/>
              </w:rPr>
              <w:t xml:space="preserve">Note: </w:t>
            </w:r>
          </w:p>
          <w:p>
            <w:pPr>
              <w:pStyle w:val="yTableNAm"/>
              <w:spacing w:before="60"/>
              <w:ind w:right="34"/>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yTableNAm"/>
              <w:spacing w:before="60"/>
              <w:ind w:right="34"/>
              <w:rPr>
                <w:rFonts w:ascii="Arial" w:hAnsi="Arial" w:cs="Arial"/>
                <w:sz w:val="18"/>
                <w:szCs w:val="18"/>
              </w:rPr>
            </w:pPr>
          </w:p>
        </w:tc>
        <w:tc>
          <w:tcPr>
            <w:tcW w:w="1259" w:type="dxa"/>
            <w:tcBorders>
              <w:top w:val="nil"/>
              <w:left w:val="nil"/>
              <w:bottom w:val="nil"/>
              <w:right w:val="nil"/>
            </w:tcBorders>
          </w:tcPr>
          <w:p>
            <w:pPr>
              <w:pStyle w:val="yTableNAm"/>
              <w:spacing w:before="60"/>
              <w:ind w:right="34"/>
              <w:rPr>
                <w:rFonts w:ascii="Arial" w:hAnsi="Arial" w:cs="Arial"/>
                <w:sz w:val="18"/>
                <w:szCs w:val="18"/>
              </w:rPr>
            </w:pPr>
          </w:p>
        </w:tc>
        <w:tc>
          <w:tcPr>
            <w:tcW w:w="1176" w:type="dxa"/>
            <w:tcBorders>
              <w:top w:val="nil"/>
              <w:left w:val="nil"/>
              <w:bottom w:val="nil"/>
              <w:right w:val="nil"/>
            </w:tcBorders>
          </w:tcPr>
          <w:p>
            <w:pPr>
              <w:pStyle w:val="yTableNAm"/>
              <w:spacing w:before="60"/>
              <w:ind w:right="34"/>
              <w:rPr>
                <w:rFonts w:ascii="Arial" w:hAnsi="Arial" w:cs="Arial"/>
                <w:sz w:val="18"/>
                <w:szCs w:val="18"/>
              </w:rPr>
            </w:pPr>
          </w:p>
        </w:tc>
      </w:tr>
      <w:tr>
        <w:trPr>
          <w:cantSplit/>
        </w:trPr>
        <w:tc>
          <w:tcPr>
            <w:tcW w:w="700" w:type="dxa"/>
            <w:tcBorders>
              <w:top w:val="nil"/>
              <w:left w:val="nil"/>
              <w:bottom w:val="nil"/>
              <w:right w:val="nil"/>
            </w:tcBorders>
          </w:tcPr>
          <w:p>
            <w:pPr>
              <w:pStyle w:val="yTableNAm"/>
              <w:keepNext/>
              <w:spacing w:before="60"/>
              <w:rPr>
                <w:szCs w:val="22"/>
              </w:rPr>
            </w:pPr>
            <w:r>
              <w:rPr>
                <w:szCs w:val="22"/>
              </w:rPr>
              <w:t>6.</w:t>
            </w:r>
          </w:p>
        </w:tc>
        <w:tc>
          <w:tcPr>
            <w:tcW w:w="2562" w:type="dxa"/>
            <w:tcBorders>
              <w:top w:val="nil"/>
              <w:left w:val="nil"/>
              <w:bottom w:val="nil"/>
              <w:right w:val="nil"/>
            </w:tcBorders>
          </w:tcPr>
          <w:p>
            <w:pPr>
              <w:pStyle w:val="yTableNAm"/>
              <w:keepNext/>
              <w:tabs>
                <w:tab w:val="clear" w:pos="567"/>
                <w:tab w:val="right" w:leader="dot" w:pos="2552"/>
              </w:tabs>
              <w:spacing w:before="60"/>
              <w:rPr>
                <w:szCs w:val="22"/>
              </w:rPr>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883.00</w:t>
            </w:r>
          </w:p>
        </w:tc>
        <w:tc>
          <w:tcPr>
            <w:tcW w:w="1259"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2 291.00</w:t>
            </w:r>
          </w:p>
        </w:tc>
        <w:tc>
          <w:tcPr>
            <w:tcW w:w="1176"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1:</w:t>
            </w:r>
          </w:p>
          <w:p>
            <w:pPr>
              <w:pStyle w:val="yTableNAm"/>
              <w:spacing w:before="60"/>
              <w:ind w:right="34"/>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rFonts w:ascii="Arial" w:hAnsi="Arial" w:cs="Arial"/>
                <w:sz w:val="18"/>
                <w:szCs w:val="18"/>
              </w:rPr>
            </w:pPr>
            <w:r>
              <w:rPr>
                <w:rFonts w:ascii="Arial" w:hAnsi="Arial" w:cs="Arial"/>
                <w:sz w:val="18"/>
                <w:szCs w:val="18"/>
              </w:rPr>
              <w:t>Note 2:</w:t>
            </w:r>
          </w:p>
          <w:p>
            <w:pPr>
              <w:pStyle w:val="yTableNAm"/>
              <w:spacing w:before="60"/>
              <w:ind w:right="34"/>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rFonts w:ascii="Arial" w:hAnsi="Arial" w:cs="Arial"/>
                <w:sz w:val="18"/>
                <w:szCs w:val="18"/>
              </w:rPr>
            </w:pPr>
            <w:r>
              <w:rPr>
                <w:rFonts w:ascii="Arial" w:hAnsi="Arial" w:cs="Arial"/>
                <w:sz w:val="18"/>
                <w:szCs w:val="18"/>
              </w:rPr>
              <w:t>Note 3:</w:t>
            </w:r>
          </w:p>
          <w:p>
            <w:pPr>
              <w:pStyle w:val="yTableNAm"/>
              <w:spacing w:before="60"/>
              <w:ind w:right="34"/>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4:</w:t>
            </w:r>
          </w:p>
          <w:p>
            <w:pPr>
              <w:pStyle w:val="yTableNAm"/>
              <w:spacing w:before="60"/>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spacing w:before="60"/>
              <w:rPr>
                <w:szCs w:val="22"/>
              </w:rPr>
            </w:pPr>
            <w:r>
              <w:rPr>
                <w:szCs w:val="22"/>
              </w:rPr>
              <w:t>7.</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On filing before a judge, master or registrar in chambers — </w:t>
            </w:r>
          </w:p>
          <w:p>
            <w:pPr>
              <w:pStyle w:val="yTableNAm"/>
              <w:tabs>
                <w:tab w:val="left" w:pos="1021"/>
              </w:tabs>
              <w:spacing w:before="60"/>
              <w:ind w:left="1021" w:hanging="1021"/>
              <w:rPr>
                <w:szCs w:val="22"/>
              </w:rPr>
            </w:pPr>
            <w:r>
              <w:rPr>
                <w:szCs w:val="22"/>
              </w:rPr>
              <w:tab/>
              <w:t>(i)</w:t>
            </w:r>
            <w:r>
              <w:rPr>
                <w:szCs w:val="22"/>
              </w:rPr>
              <w:tab/>
              <w:t>an interlocutory application or summons returnable</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keepNext/>
              <w:tabs>
                <w:tab w:val="left" w:pos="1021"/>
              </w:tabs>
              <w:spacing w:before="60"/>
              <w:ind w:left="1021" w:hanging="1021"/>
              <w:rPr>
                <w:szCs w:val="22"/>
              </w:rPr>
            </w:pPr>
            <w:r>
              <w:rPr>
                <w:szCs w:val="22"/>
              </w:rPr>
              <w:tab/>
              <w:t>(ii)</w:t>
            </w:r>
            <w:r>
              <w:rPr>
                <w:szCs w:val="22"/>
              </w:rPr>
              <w:tab/>
              <w:t>an application for assessment of damages</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93.00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s>
              <w:spacing w:before="60"/>
              <w:ind w:left="1021" w:hanging="1021"/>
              <w:rPr>
                <w:szCs w:val="22"/>
              </w:rPr>
            </w:pPr>
            <w:r>
              <w:rPr>
                <w:szCs w:val="22"/>
              </w:rPr>
              <w:tab/>
              <w:t>(iii)</w:t>
            </w:r>
            <w:r>
              <w:rPr>
                <w:szCs w:val="22"/>
              </w:rPr>
              <w:tab/>
              <w:t>an application for summary judgment</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93.00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szCs w:val="22"/>
              </w:rPr>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yTableNAm"/>
              <w:keepNext/>
              <w:spacing w:before="60"/>
              <w:ind w:right="34"/>
              <w:jc w:val="right"/>
              <w:rPr>
                <w:szCs w:val="22"/>
              </w:rPr>
            </w:pPr>
          </w:p>
        </w:tc>
        <w:tc>
          <w:tcPr>
            <w:tcW w:w="1259" w:type="dxa"/>
            <w:tcBorders>
              <w:top w:val="nil"/>
              <w:left w:val="nil"/>
              <w:bottom w:val="nil"/>
              <w:right w:val="nil"/>
            </w:tcBorders>
          </w:tcPr>
          <w:p>
            <w:pPr>
              <w:pStyle w:val="yTableNAm"/>
              <w:keepNext/>
              <w:spacing w:before="60"/>
              <w:ind w:right="34"/>
              <w:jc w:val="right"/>
              <w:rPr>
                <w:szCs w:val="22"/>
              </w:rPr>
            </w:pPr>
          </w:p>
        </w:tc>
        <w:tc>
          <w:tcPr>
            <w:tcW w:w="1176" w:type="dxa"/>
            <w:tcBorders>
              <w:top w:val="nil"/>
              <w:left w:val="nil"/>
              <w:bottom w:val="nil"/>
              <w:right w:val="nil"/>
            </w:tcBorders>
          </w:tcPr>
          <w:p>
            <w:pPr>
              <w:pStyle w:val="yTableNAm"/>
              <w:keepNext/>
              <w:spacing w:before="60"/>
              <w:ind w:right="34"/>
              <w:jc w:val="right"/>
              <w:rPr>
                <w:szCs w:val="22"/>
              </w:rPr>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w:t>
            </w:r>
            <w:r>
              <w:rPr>
                <w:szCs w:val="22"/>
              </w:rPr>
              <w:tab/>
              <w:t>on a reference for inquiry and report</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t>93.00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(ii)</w:t>
            </w:r>
            <w:r>
              <w:rPr>
                <w:szCs w:val="22"/>
              </w:rPr>
              <w:tab/>
              <w:t>to pass accounts</w:t>
            </w:r>
          </w:p>
        </w:tc>
        <w:tc>
          <w:tcPr>
            <w:tcW w:w="1260" w:type="dxa"/>
            <w:tcBorders>
              <w:top w:val="nil"/>
              <w:left w:val="nil"/>
              <w:bottom w:val="nil"/>
              <w:right w:val="nil"/>
            </w:tcBorders>
          </w:tcPr>
          <w:p>
            <w:pPr>
              <w:pStyle w:val="yTableNAm"/>
              <w:spacing w:before="60"/>
              <w:ind w:right="34"/>
              <w:jc w:val="right"/>
              <w:rPr>
                <w:szCs w:val="22"/>
              </w:rPr>
            </w:pP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t>93.00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szCs w:val="22"/>
              </w:rPr>
            </w:pPr>
            <w:r>
              <w:rPr>
                <w:szCs w:val="22"/>
              </w:rPr>
              <w:tab/>
              <w:t>(iii)</w:t>
            </w:r>
            <w:r>
              <w:rPr>
                <w:szCs w:val="22"/>
              </w:rPr>
              <w:tab/>
              <w:t>to settle the index of a transcript for use upon the hearing of an appeal</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(iv)</w:t>
            </w:r>
            <w:r>
              <w:rPr>
                <w:szCs w:val="22"/>
              </w:rPr>
              <w:tab/>
              <w:t>on a reference to a registrar in admiralty proceedings</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310.00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602.00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1:</w:t>
            </w:r>
          </w:p>
          <w:p>
            <w:pPr>
              <w:pStyle w:val="yTableNAm"/>
              <w:spacing w:before="60"/>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2:</w:t>
            </w:r>
          </w:p>
          <w:p>
            <w:pPr>
              <w:pStyle w:val="yTableNAm"/>
              <w:spacing w:before="60"/>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3:</w:t>
            </w:r>
          </w:p>
          <w:p>
            <w:pPr>
              <w:pStyle w:val="yTableNAm"/>
              <w:spacing w:before="60"/>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 4:</w:t>
            </w:r>
          </w:p>
          <w:p>
            <w:pPr>
              <w:pStyle w:val="yTableNAm"/>
              <w:spacing w:before="60"/>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spacing w:before="60"/>
              <w:rPr>
                <w:szCs w:val="22"/>
              </w:rPr>
            </w:pPr>
            <w:r>
              <w:rPr>
                <w:szCs w:val="22"/>
              </w:rPr>
              <w:t>8.</w:t>
            </w:r>
          </w:p>
        </w:tc>
        <w:tc>
          <w:tcPr>
            <w:tcW w:w="2562" w:type="dxa"/>
            <w:tcBorders>
              <w:top w:val="nil"/>
              <w:left w:val="nil"/>
              <w:bottom w:val="nil"/>
              <w:right w:val="nil"/>
            </w:tcBorders>
          </w:tcPr>
          <w:p>
            <w:pPr>
              <w:pStyle w:val="yTableNAm"/>
              <w:spacing w:before="60"/>
              <w:rPr>
                <w:szCs w:val="22"/>
              </w:rPr>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spacing w:before="60"/>
              <w:ind w:right="34"/>
              <w:jc w:val="right"/>
              <w:rPr>
                <w:szCs w:val="22"/>
              </w:rPr>
            </w:pPr>
          </w:p>
        </w:tc>
        <w:tc>
          <w:tcPr>
            <w:tcW w:w="1259" w:type="dxa"/>
            <w:tcBorders>
              <w:top w:val="nil"/>
              <w:left w:val="nil"/>
              <w:bottom w:val="nil"/>
              <w:right w:val="nil"/>
            </w:tcBorders>
          </w:tcPr>
          <w:p>
            <w:pPr>
              <w:pStyle w:val="yTableNAm"/>
              <w:spacing w:before="60"/>
              <w:ind w:right="34"/>
              <w:jc w:val="right"/>
              <w:rPr>
                <w:szCs w:val="22"/>
              </w:rPr>
            </w:pPr>
          </w:p>
        </w:tc>
        <w:tc>
          <w:tcPr>
            <w:tcW w:w="1176" w:type="dxa"/>
            <w:tcBorders>
              <w:top w:val="nil"/>
              <w:left w:val="nil"/>
              <w:bottom w:val="nil"/>
              <w:right w:val="nil"/>
            </w:tcBorders>
          </w:tcPr>
          <w:p>
            <w:pPr>
              <w:pStyle w:val="yTableNAm"/>
              <w:spacing w:before="60"/>
              <w:ind w:right="34"/>
              <w:jc w:val="right"/>
              <w:rPr>
                <w:szCs w:val="22"/>
              </w:rPr>
            </w:pPr>
          </w:p>
        </w:tc>
      </w:tr>
      <w:tr>
        <w:trPr>
          <w:cantSplit/>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spacing w:before="60"/>
              <w:rPr>
                <w:rFonts w:ascii="Arial" w:hAnsi="Arial" w:cs="Arial"/>
                <w:sz w:val="18"/>
                <w:szCs w:val="18"/>
              </w:rPr>
            </w:pPr>
            <w:r>
              <w:rPr>
                <w:rFonts w:ascii="Arial" w:hAnsi="Arial" w:cs="Arial"/>
                <w:sz w:val="18"/>
                <w:szCs w:val="18"/>
              </w:rPr>
              <w:t>Note:</w:t>
            </w:r>
          </w:p>
          <w:p>
            <w:pPr>
              <w:pStyle w:val="yTableNAm"/>
              <w:spacing w:before="60"/>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spacing w:before="60"/>
              <w:rPr>
                <w:szCs w:val="22"/>
              </w:rPr>
            </w:pPr>
            <w:r>
              <w:rPr>
                <w:szCs w:val="22"/>
              </w:rPr>
              <w:t>9.</w:t>
            </w:r>
          </w:p>
        </w:tc>
        <w:tc>
          <w:tcPr>
            <w:tcW w:w="2562" w:type="dxa"/>
            <w:tcBorders>
              <w:top w:val="nil"/>
              <w:left w:val="nil"/>
              <w:bottom w:val="nil"/>
              <w:right w:val="nil"/>
            </w:tcBorders>
          </w:tcPr>
          <w:p>
            <w:pPr>
              <w:pStyle w:val="yTableNAm"/>
              <w:spacing w:before="60"/>
              <w:rPr>
                <w:szCs w:val="22"/>
              </w:rPr>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yTableNAm"/>
              <w:spacing w:before="60"/>
              <w:ind w:right="34"/>
              <w:jc w:val="right"/>
              <w:rPr>
                <w:szCs w:val="22"/>
              </w:rPr>
            </w:pPr>
          </w:p>
        </w:tc>
        <w:tc>
          <w:tcPr>
            <w:tcW w:w="1259" w:type="dxa"/>
            <w:tcBorders>
              <w:top w:val="nil"/>
              <w:left w:val="nil"/>
              <w:bottom w:val="nil"/>
              <w:right w:val="nil"/>
            </w:tcBorders>
          </w:tcPr>
          <w:p>
            <w:pPr>
              <w:pStyle w:val="yTableNAm"/>
              <w:spacing w:before="60"/>
              <w:ind w:right="34"/>
              <w:jc w:val="right"/>
              <w:rPr>
                <w:szCs w:val="22"/>
              </w:rPr>
            </w:pPr>
          </w:p>
        </w:tc>
        <w:tc>
          <w:tcPr>
            <w:tcW w:w="1176" w:type="dxa"/>
            <w:tcBorders>
              <w:top w:val="nil"/>
              <w:left w:val="nil"/>
              <w:bottom w:val="nil"/>
              <w:right w:val="nil"/>
            </w:tcBorders>
          </w:tcPr>
          <w:p>
            <w:pPr>
              <w:pStyle w:val="yTableNAm"/>
              <w:spacing w:before="60"/>
              <w:ind w:right="34"/>
              <w:jc w:val="right"/>
              <w:rPr>
                <w:szCs w:val="22"/>
              </w:rPr>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lodgment fee </w:t>
            </w:r>
          </w:p>
        </w:tc>
        <w:tc>
          <w:tcPr>
            <w:tcW w:w="1260" w:type="dxa"/>
            <w:tcBorders>
              <w:top w:val="nil"/>
              <w:left w:val="nil"/>
              <w:bottom w:val="nil"/>
              <w:right w:val="nil"/>
            </w:tcBorders>
          </w:tcPr>
          <w:p>
            <w:pPr>
              <w:pStyle w:val="yTableNAm"/>
              <w:spacing w:before="60"/>
              <w:ind w:right="34"/>
              <w:jc w:val="right"/>
              <w:rPr>
                <w:szCs w:val="22"/>
              </w:rPr>
            </w:pPr>
            <w:r>
              <w:rPr>
                <w:szCs w:val="22"/>
              </w:rPr>
              <w:t>428.00</w:t>
            </w:r>
          </w:p>
        </w:tc>
        <w:tc>
          <w:tcPr>
            <w:tcW w:w="1259" w:type="dxa"/>
            <w:tcBorders>
              <w:top w:val="nil"/>
              <w:left w:val="nil"/>
              <w:bottom w:val="nil"/>
              <w:right w:val="nil"/>
            </w:tcBorders>
          </w:tcPr>
          <w:p>
            <w:pPr>
              <w:pStyle w:val="yTableNAm"/>
              <w:spacing w:before="60"/>
              <w:ind w:right="34"/>
              <w:jc w:val="right"/>
              <w:rPr>
                <w:szCs w:val="22"/>
              </w:rPr>
            </w:pPr>
            <w:r>
              <w:rPr>
                <w:szCs w:val="22"/>
              </w:rPr>
              <w:t>830.00</w:t>
            </w:r>
          </w:p>
        </w:tc>
        <w:tc>
          <w:tcPr>
            <w:tcW w:w="1176" w:type="dxa"/>
            <w:tcBorders>
              <w:top w:val="nil"/>
              <w:left w:val="nil"/>
              <w:bottom w:val="nil"/>
              <w:right w:val="nil"/>
            </w:tcBorders>
          </w:tcPr>
          <w:p>
            <w:pPr>
              <w:pStyle w:val="yTableNAm"/>
              <w:spacing w:before="60"/>
              <w:ind w:right="34"/>
              <w:jc w:val="right"/>
              <w:rPr>
                <w:szCs w:val="22"/>
              </w:rPr>
            </w:pPr>
            <w:r>
              <w:rPr>
                <w:szCs w:val="22"/>
              </w:rP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szCs w:val="22"/>
              </w:rPr>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1:</w:t>
            </w:r>
          </w:p>
          <w:p>
            <w:pPr>
              <w:pStyle w:val="yTableNAm"/>
              <w:tabs>
                <w:tab w:val="clear" w:pos="567"/>
              </w:tabs>
              <w:spacing w:before="60"/>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2:</w:t>
            </w:r>
          </w:p>
          <w:p>
            <w:pPr>
              <w:pStyle w:val="yTableNAm"/>
              <w:tabs>
                <w:tab w:val="clear" w:pos="567"/>
              </w:tabs>
              <w:spacing w:before="60"/>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3:</w:t>
            </w:r>
          </w:p>
          <w:p>
            <w:pPr>
              <w:pStyle w:val="yTableNAm"/>
              <w:tabs>
                <w:tab w:val="clear" w:pos="567"/>
              </w:tabs>
              <w:spacing w:before="60"/>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tabs>
                <w:tab w:val="clear" w:pos="567"/>
                <w:tab w:val="left" w:pos="582"/>
              </w:tabs>
              <w:spacing w:before="60"/>
              <w:ind w:left="592" w:hanging="592"/>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582"/>
              </w:tabs>
              <w:spacing w:before="60"/>
              <w:ind w:left="592" w:hanging="592"/>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582"/>
              </w:tabs>
              <w:spacing w:before="60"/>
              <w:ind w:left="592" w:hanging="592"/>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spacing w:before="60"/>
              <w:rPr>
                <w:szCs w:val="22"/>
              </w:rPr>
            </w:pPr>
            <w:r>
              <w:rPr>
                <w:szCs w:val="22"/>
              </w:rPr>
              <w:t>10.</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w:t>
            </w:r>
          </w:p>
          <w:p>
            <w:pPr>
              <w:pStyle w:val="yTableNAm"/>
              <w:tabs>
                <w:tab w:val="clear" w:pos="567"/>
              </w:tabs>
              <w:spacing w:before="60"/>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spacing w:before="60"/>
              <w:rPr>
                <w:szCs w:val="22"/>
              </w:rPr>
            </w:pPr>
            <w:r>
              <w:rPr>
                <w:szCs w:val="22"/>
              </w:rPr>
              <w:t>11.</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spacing w:before="60"/>
              <w:rPr>
                <w:szCs w:val="22"/>
              </w:rPr>
            </w:pPr>
            <w:r>
              <w:rPr>
                <w:szCs w:val="22"/>
              </w:rPr>
              <w:t>12.</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(b)</w:t>
            </w:r>
            <w:r>
              <w:rPr>
                <w:szCs w:val="22"/>
              </w:rPr>
              <w:tab/>
              <w:t>For a copy of reasons for judgment —</w:t>
            </w:r>
          </w:p>
          <w:p>
            <w:pPr>
              <w:pStyle w:val="yTableNAm"/>
              <w:tabs>
                <w:tab w:val="left" w:pos="1021"/>
                <w:tab w:val="right" w:leader="dot" w:pos="2552"/>
              </w:tabs>
              <w:spacing w:before="60"/>
              <w:ind w:left="1021" w:hanging="1021"/>
              <w:rPr>
                <w:szCs w:val="22"/>
              </w:rPr>
            </w:pPr>
            <w:r>
              <w:rPr>
                <w:szCs w:val="22"/>
              </w:rPr>
              <w:tab/>
              <w:t>(i)</w:t>
            </w:r>
            <w:r>
              <w:rPr>
                <w:szCs w:val="22"/>
              </w:rP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59"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176"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tabs>
                <w:tab w:val="clear" w:pos="567"/>
              </w:tabs>
              <w:spacing w:before="60"/>
              <w:ind w:right="34"/>
              <w:jc w:val="right"/>
              <w:rPr>
                <w:szCs w:val="22"/>
              </w:rPr>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(c)</w:t>
            </w:r>
            <w:r>
              <w:rPr>
                <w:szCs w:val="22"/>
              </w:rPr>
              <w:tab/>
              <w:t xml:space="preserve">For certifying under seal that a document is a true copy, an additional fee of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21.40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21.40</w:t>
            </w:r>
          </w:p>
        </w:tc>
        <w:tc>
          <w:tcPr>
            <w:tcW w:w="1176" w:type="dxa"/>
            <w:tcBorders>
              <w:top w:val="nil"/>
              <w:left w:val="nil"/>
              <w:bottom w:val="nil"/>
              <w:right w:val="nil"/>
            </w:tcBorders>
          </w:tcPr>
          <w:p>
            <w:pPr>
              <w:pStyle w:val="yTableNAm"/>
              <w:tabs>
                <w:tab w:val="clear" w:pos="567"/>
              </w:tabs>
              <w:spacing w:before="60"/>
              <w:ind w:right="34"/>
              <w:jc w:val="right"/>
              <w:rPr>
                <w:szCs w:val="22"/>
              </w:rPr>
            </w:pP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(d)</w:t>
            </w:r>
            <w:r>
              <w:rPr>
                <w:szCs w:val="22"/>
              </w:rPr>
              <w:tab/>
              <w:t xml:space="preserve">For a certificate under the hand of a registrar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t>39.20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t>39.20</w:t>
            </w:r>
          </w:p>
        </w:tc>
        <w:tc>
          <w:tcPr>
            <w:tcW w:w="1176" w:type="dxa"/>
            <w:tcBorders>
              <w:top w:val="nil"/>
              <w:left w:val="nil"/>
              <w:bottom w:val="nil"/>
              <w:right w:val="nil"/>
            </w:tcBorders>
          </w:tcPr>
          <w:p>
            <w:pPr>
              <w:pStyle w:val="yTableNAm"/>
              <w:tabs>
                <w:tab w:val="clear" w:pos="567"/>
              </w:tabs>
              <w:spacing w:before="60"/>
              <w:ind w:right="34"/>
              <w:jc w:val="right"/>
              <w:rPr>
                <w:szCs w:val="22"/>
              </w:rPr>
            </w:pPr>
            <w:r>
              <w:rPr>
                <w:szCs w:val="22"/>
              </w:rPr>
              <w:br/>
            </w:r>
            <w:r>
              <w:rPr>
                <w:szCs w:val="22"/>
              </w:rPr>
              <w:br/>
              <w:t>11.80</w:t>
            </w:r>
          </w:p>
        </w:tc>
      </w:tr>
      <w:tr>
        <w:trPr>
          <w:cantSplit/>
        </w:trPr>
        <w:tc>
          <w:tcPr>
            <w:tcW w:w="700" w:type="dxa"/>
            <w:tcBorders>
              <w:top w:val="nil"/>
              <w:left w:val="nil"/>
              <w:bottom w:val="nil"/>
              <w:right w:val="nil"/>
            </w:tcBorders>
          </w:tcPr>
          <w:p>
            <w:pPr>
              <w:pStyle w:val="yTableNAm"/>
              <w:spacing w:before="60"/>
              <w:jc w:val="center"/>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(e)</w:t>
            </w:r>
            <w:r>
              <w:rPr>
                <w:szCs w:val="22"/>
              </w:rP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keepNext/>
              <w:spacing w:before="60"/>
              <w:rPr>
                <w:szCs w:val="22"/>
              </w:rPr>
            </w:pPr>
            <w:r>
              <w:rPr>
                <w:szCs w:val="22"/>
              </w:rPr>
              <w:t>13.</w:t>
            </w:r>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nil"/>
              <w:left w:val="nil"/>
              <w:bottom w:val="nil"/>
              <w:right w:val="nil"/>
            </w:tcBorders>
          </w:tcPr>
          <w:p>
            <w:pPr>
              <w:pStyle w:val="yTableNAm"/>
              <w:keepNext/>
              <w:tabs>
                <w:tab w:val="clear" w:pos="567"/>
              </w:tabs>
              <w:spacing w:before="60"/>
              <w:ind w:right="206"/>
              <w:jc w:val="right"/>
              <w:rPr>
                <w:szCs w:val="22"/>
              </w:rPr>
            </w:pPr>
          </w:p>
        </w:tc>
        <w:tc>
          <w:tcPr>
            <w:tcW w:w="1259" w:type="dxa"/>
            <w:tcBorders>
              <w:top w:val="nil"/>
              <w:left w:val="nil"/>
              <w:bottom w:val="nil"/>
              <w:right w:val="nil"/>
            </w:tcBorders>
          </w:tcPr>
          <w:p>
            <w:pPr>
              <w:pStyle w:val="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rPr>
                <w:szCs w:val="22"/>
              </w:rPr>
            </w:pPr>
            <w:r>
              <w:rPr>
                <w:szCs w:val="22"/>
              </w:rPr>
              <w:t>20.50 plus 8.45 per page</w:t>
            </w:r>
          </w:p>
        </w:tc>
        <w:tc>
          <w:tcPr>
            <w:tcW w:w="1259" w:type="dxa"/>
            <w:tcBorders>
              <w:top w:val="nil"/>
              <w:left w:val="nil"/>
              <w:bottom w:val="nil"/>
              <w:right w:val="nil"/>
            </w:tcBorders>
          </w:tcPr>
          <w:p>
            <w:pPr>
              <w:pStyle w:val="yTableNAm"/>
              <w:tabs>
                <w:tab w:val="clear" w:pos="567"/>
                <w:tab w:val="left" w:leader="dot" w:pos="3119"/>
              </w:tabs>
              <w:spacing w:before="60"/>
              <w:rPr>
                <w:szCs w:val="22"/>
              </w:rPr>
            </w:pPr>
            <w:r>
              <w:rPr>
                <w:szCs w:val="22"/>
              </w:rPr>
              <w:t>20.50 plus 16.90 per page</w:t>
            </w:r>
          </w:p>
        </w:tc>
        <w:tc>
          <w:tcPr>
            <w:tcW w:w="1176" w:type="dxa"/>
            <w:tcBorders>
              <w:top w:val="nil"/>
              <w:left w:val="nil"/>
              <w:bottom w:val="nil"/>
              <w:right w:val="nil"/>
            </w:tcBorders>
          </w:tcPr>
          <w:p>
            <w:pPr>
              <w:pStyle w:val="yTableNAm"/>
              <w:tabs>
                <w:tab w:val="clear" w:pos="567"/>
                <w:tab w:val="left" w:leader="dot" w:pos="3119"/>
              </w:tabs>
              <w:spacing w:before="60"/>
              <w:rPr>
                <w:szCs w:val="22"/>
              </w:rPr>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rPr>
                <w:szCs w:val="22"/>
              </w:rPr>
            </w:pPr>
            <w:r>
              <w:rPr>
                <w:szCs w:val="22"/>
              </w:rPr>
              <w:t>20.50 plus 7.30 per page</w:t>
            </w:r>
          </w:p>
        </w:tc>
        <w:tc>
          <w:tcPr>
            <w:tcW w:w="1259" w:type="dxa"/>
            <w:tcBorders>
              <w:top w:val="nil"/>
              <w:left w:val="nil"/>
              <w:bottom w:val="nil"/>
              <w:right w:val="nil"/>
            </w:tcBorders>
          </w:tcPr>
          <w:p>
            <w:pPr>
              <w:pStyle w:val="yTableNAm"/>
              <w:tabs>
                <w:tab w:val="clear" w:pos="567"/>
                <w:tab w:val="left" w:leader="dot" w:pos="3119"/>
              </w:tabs>
              <w:spacing w:before="60"/>
              <w:rPr>
                <w:szCs w:val="22"/>
              </w:rPr>
            </w:pPr>
            <w:r>
              <w:rPr>
                <w:szCs w:val="22"/>
              </w:rPr>
              <w:t xml:space="preserve">20.50 plus </w:t>
            </w:r>
            <w:r>
              <w:rPr>
                <w:szCs w:val="22"/>
              </w:rPr>
              <w:br/>
              <w:t>14.75 per page</w:t>
            </w:r>
          </w:p>
        </w:tc>
        <w:tc>
          <w:tcPr>
            <w:tcW w:w="1176" w:type="dxa"/>
            <w:tcBorders>
              <w:top w:val="nil"/>
              <w:left w:val="nil"/>
              <w:bottom w:val="nil"/>
              <w:right w:val="nil"/>
            </w:tcBorders>
          </w:tcPr>
          <w:p>
            <w:pPr>
              <w:pStyle w:val="yTableNAm"/>
              <w:tabs>
                <w:tab w:val="clear" w:pos="567"/>
                <w:tab w:val="left" w:leader="dot" w:pos="3119"/>
              </w:tabs>
              <w:spacing w:before="60"/>
              <w:rPr>
                <w:szCs w:val="22"/>
              </w:rPr>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leader="dot" w:pos="3119"/>
              </w:tabs>
              <w:spacing w:before="60"/>
              <w:ind w:left="1021" w:hanging="1021"/>
              <w:rPr>
                <w:szCs w:val="22"/>
              </w:rPr>
            </w:pPr>
            <w:r>
              <w:rPr>
                <w:szCs w:val="22"/>
              </w:rPr>
              <w:tab/>
              <w:t>(iii)</w:t>
            </w:r>
            <w:r>
              <w:rPr>
                <w:szCs w:val="22"/>
              </w:rPr>
              <w:tab/>
              <w:t xml:space="preserve">provided within 7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tabs>
                <w:tab w:val="clear" w:pos="567"/>
                <w:tab w:val="left" w:leader="dot" w:pos="3119"/>
              </w:tabs>
              <w:spacing w:before="60"/>
              <w:rPr>
                <w:szCs w:val="22"/>
              </w:rPr>
            </w:pPr>
            <w:r>
              <w:rPr>
                <w:szCs w:val="22"/>
              </w:rPr>
              <w:t>20.50 plus</w:t>
            </w:r>
            <w:r>
              <w:rPr>
                <w:szCs w:val="22"/>
              </w:rPr>
              <w:br/>
              <w:t>14.05 per page</w:t>
            </w:r>
          </w:p>
        </w:tc>
        <w:tc>
          <w:tcPr>
            <w:tcW w:w="1176" w:type="dxa"/>
            <w:tcBorders>
              <w:top w:val="nil"/>
              <w:left w:val="nil"/>
              <w:bottom w:val="nil"/>
              <w:right w:val="nil"/>
            </w:tcBorders>
          </w:tcPr>
          <w:p>
            <w:pPr>
              <w:pStyle w:val="yTableNAm"/>
              <w:tabs>
                <w:tab w:val="clear" w:pos="567"/>
                <w:tab w:val="left" w:leader="dot" w:pos="3119"/>
              </w:tabs>
              <w:spacing w:before="60"/>
              <w:rPr>
                <w:szCs w:val="22"/>
              </w:rPr>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under paragraph (a) — </w:t>
            </w:r>
          </w:p>
        </w:tc>
        <w:tc>
          <w:tcPr>
            <w:tcW w:w="1260" w:type="dxa"/>
            <w:tcBorders>
              <w:top w:val="nil"/>
              <w:left w:val="nil"/>
              <w:bottom w:val="nil"/>
              <w:right w:val="nil"/>
            </w:tcBorders>
          </w:tcPr>
          <w:p>
            <w:pPr>
              <w:pStyle w:val="yTableNAm"/>
              <w:tabs>
                <w:tab w:val="clear" w:pos="567"/>
              </w:tabs>
              <w:spacing w:before="60"/>
              <w:ind w:right="206"/>
              <w:jc w:val="right"/>
              <w:rPr>
                <w:szCs w:val="22"/>
              </w:rPr>
            </w:pPr>
          </w:p>
        </w:tc>
        <w:tc>
          <w:tcPr>
            <w:tcW w:w="1259" w:type="dxa"/>
            <w:tcBorders>
              <w:top w:val="nil"/>
              <w:left w:val="nil"/>
              <w:bottom w:val="nil"/>
              <w:right w:val="nil"/>
            </w:tcBorders>
          </w:tcPr>
          <w:p>
            <w:pPr>
              <w:pStyle w:val="yTableNAm"/>
              <w:tabs>
                <w:tab w:val="clear" w:pos="567"/>
              </w:tabs>
              <w:spacing w:before="60"/>
              <w:ind w:right="203"/>
              <w:jc w:val="right"/>
              <w:rPr>
                <w:szCs w:val="22"/>
              </w:rPr>
            </w:pPr>
          </w:p>
        </w:tc>
        <w:tc>
          <w:tcPr>
            <w:tcW w:w="1176" w:type="dxa"/>
            <w:tcBorders>
              <w:top w:val="nil"/>
              <w:left w:val="nil"/>
              <w:bottom w:val="nil"/>
              <w:right w:val="nil"/>
            </w:tcBorders>
          </w:tcPr>
          <w:p>
            <w:pPr>
              <w:pStyle w:val="yTableNAm"/>
              <w:tabs>
                <w:tab w:val="clear" w:pos="567"/>
              </w:tabs>
              <w:spacing w:before="60"/>
              <w:ind w:right="206"/>
              <w:jc w:val="right"/>
              <w:rPr>
                <w:szCs w:val="22"/>
              </w:rPr>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in electronic format</w:t>
            </w:r>
          </w:p>
        </w:tc>
        <w:tc>
          <w:tcPr>
            <w:tcW w:w="1260" w:type="dxa"/>
            <w:tcBorders>
              <w:top w:val="nil"/>
              <w:left w:val="nil"/>
              <w:bottom w:val="nil"/>
              <w:right w:val="nil"/>
            </w:tcBorders>
          </w:tcPr>
          <w:p>
            <w:pPr>
              <w:pStyle w:val="yTableNAm"/>
              <w:tabs>
                <w:tab w:val="clear" w:pos="567"/>
              </w:tabs>
              <w:spacing w:before="60"/>
              <w:rPr>
                <w:szCs w:val="22"/>
              </w:rPr>
            </w:pPr>
            <w:r>
              <w:rPr>
                <w:szCs w:val="22"/>
              </w:rPr>
              <w:t>21.40 per copy</w:t>
            </w:r>
          </w:p>
        </w:tc>
        <w:tc>
          <w:tcPr>
            <w:tcW w:w="1259" w:type="dxa"/>
            <w:tcBorders>
              <w:top w:val="nil"/>
              <w:left w:val="nil"/>
              <w:bottom w:val="nil"/>
              <w:right w:val="nil"/>
            </w:tcBorders>
          </w:tcPr>
          <w:p>
            <w:pPr>
              <w:pStyle w:val="yTableNAm"/>
              <w:tabs>
                <w:tab w:val="clear" w:pos="567"/>
              </w:tabs>
              <w:spacing w:before="60"/>
              <w:rPr>
                <w:szCs w:val="22"/>
              </w:rPr>
            </w:pPr>
            <w:r>
              <w:rPr>
                <w:szCs w:val="22"/>
              </w:rPr>
              <w:t>21.40 per copy</w:t>
            </w:r>
          </w:p>
        </w:tc>
        <w:tc>
          <w:tcPr>
            <w:tcW w:w="1176" w:type="dxa"/>
            <w:tcBorders>
              <w:top w:val="nil"/>
              <w:left w:val="nil"/>
              <w:bottom w:val="nil"/>
              <w:right w:val="nil"/>
            </w:tcBorders>
          </w:tcPr>
          <w:p>
            <w:pPr>
              <w:pStyle w:val="yTableNAm"/>
              <w:tabs>
                <w:tab w:val="clear" w:pos="567"/>
              </w:tabs>
              <w:spacing w:before="60"/>
              <w:rPr>
                <w:szCs w:val="22"/>
              </w:rPr>
            </w:pPr>
            <w:r>
              <w:rPr>
                <w:szCs w:val="22"/>
              </w:rPr>
              <w:t>6.45 per copy</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tabs>
                <w:tab w:val="clear" w:pos="567"/>
              </w:tabs>
              <w:spacing w:before="60"/>
              <w:rPr>
                <w:szCs w:val="22"/>
              </w:rPr>
            </w:pPr>
            <w:r>
              <w:rPr>
                <w:szCs w:val="22"/>
              </w:rPr>
              <w:t>2.10 per page</w:t>
            </w:r>
          </w:p>
        </w:tc>
        <w:tc>
          <w:tcPr>
            <w:tcW w:w="1259" w:type="dxa"/>
            <w:tcBorders>
              <w:top w:val="nil"/>
              <w:left w:val="nil"/>
              <w:bottom w:val="nil"/>
              <w:right w:val="nil"/>
            </w:tcBorders>
          </w:tcPr>
          <w:p>
            <w:pPr>
              <w:pStyle w:val="yTableNAm"/>
              <w:tabs>
                <w:tab w:val="clear" w:pos="567"/>
              </w:tabs>
              <w:spacing w:before="60"/>
              <w:rPr>
                <w:szCs w:val="22"/>
              </w:rPr>
            </w:pPr>
            <w:r>
              <w:rPr>
                <w:szCs w:val="22"/>
              </w:rPr>
              <w:t>2.10 per page</w:t>
            </w:r>
          </w:p>
        </w:tc>
        <w:tc>
          <w:tcPr>
            <w:tcW w:w="1176" w:type="dxa"/>
            <w:tcBorders>
              <w:top w:val="nil"/>
              <w:left w:val="nil"/>
              <w:bottom w:val="nil"/>
              <w:right w:val="nil"/>
            </w:tcBorders>
          </w:tcPr>
          <w:p>
            <w:pPr>
              <w:pStyle w:val="yTableNAm"/>
              <w:tabs>
                <w:tab w:val="clear" w:pos="567"/>
              </w:tabs>
              <w:spacing w:before="60"/>
              <w:rPr>
                <w:szCs w:val="22"/>
              </w:rPr>
            </w:pPr>
            <w:r>
              <w:rPr>
                <w:szCs w:val="22"/>
              </w:rPr>
              <w:t>0.60 per page</w:t>
            </w:r>
          </w:p>
        </w:tc>
      </w:tr>
      <w:tr>
        <w:trPr>
          <w:cantSplit/>
        </w:trPr>
        <w:tc>
          <w:tcPr>
            <w:tcW w:w="700" w:type="dxa"/>
            <w:tcBorders>
              <w:top w:val="nil"/>
              <w:left w:val="nil"/>
              <w:right w:val="nil"/>
            </w:tcBorders>
          </w:tcPr>
          <w:p>
            <w:pPr>
              <w:pStyle w:val="yTableNAm"/>
              <w:spacing w:before="60"/>
              <w:rPr>
                <w:szCs w:val="22"/>
              </w:rPr>
            </w:pPr>
            <w:r>
              <w:rPr>
                <w:szCs w:val="22"/>
              </w:rPr>
              <w:t>14.</w:t>
            </w:r>
          </w:p>
        </w:tc>
        <w:tc>
          <w:tcPr>
            <w:tcW w:w="2562" w:type="dxa"/>
            <w:tcBorders>
              <w:top w:val="nil"/>
              <w:left w:val="nil"/>
              <w:right w:val="nil"/>
            </w:tcBorders>
          </w:tcPr>
          <w:p>
            <w:pPr>
              <w:pStyle w:val="yTableNAm"/>
              <w:tabs>
                <w:tab w:val="left" w:leader="dot" w:pos="3119"/>
              </w:tabs>
              <w:spacing w:before="60"/>
              <w:rPr>
                <w:szCs w:val="22"/>
              </w:rPr>
            </w:pPr>
            <w:r>
              <w:rPr>
                <w:szCs w:val="22"/>
              </w:rPr>
              <w:t xml:space="preserve">On filing an application for admission as a practitioner </w:t>
            </w:r>
          </w:p>
        </w:tc>
        <w:tc>
          <w:tcPr>
            <w:tcW w:w="1260" w:type="dxa"/>
            <w:tcBorders>
              <w:top w:val="nil"/>
              <w:left w:val="nil"/>
              <w:right w:val="nil"/>
            </w:tcBorders>
          </w:tcPr>
          <w:p>
            <w:pPr>
              <w:pStyle w:val="yTableNAm"/>
              <w:spacing w:before="60"/>
              <w:ind w:right="34"/>
              <w:jc w:val="right"/>
              <w:rPr>
                <w:szCs w:val="22"/>
              </w:rPr>
            </w:pPr>
            <w:r>
              <w:rPr>
                <w:szCs w:val="22"/>
              </w:rPr>
              <w:br/>
            </w:r>
            <w:r>
              <w:rPr>
                <w:szCs w:val="22"/>
              </w:rPr>
              <w:br/>
              <w:t>371.00</w:t>
            </w:r>
          </w:p>
        </w:tc>
        <w:tc>
          <w:tcPr>
            <w:tcW w:w="1259" w:type="dxa"/>
            <w:tcBorders>
              <w:top w:val="nil"/>
              <w:left w:val="nil"/>
              <w:right w:val="nil"/>
            </w:tcBorders>
            <w:vAlign w:val="center"/>
          </w:tcPr>
          <w:p>
            <w:pPr>
              <w:pStyle w:val="yTableNAm"/>
              <w:spacing w:before="60"/>
              <w:ind w:right="34"/>
              <w:jc w:val="right"/>
              <w:rPr>
                <w:szCs w:val="22"/>
              </w:rPr>
            </w:pPr>
            <w:r>
              <w:rPr>
                <w:szCs w:val="22"/>
              </w:rPr>
              <w:br/>
            </w:r>
            <w:r>
              <w:rPr>
                <w:szCs w:val="22"/>
              </w:rPr>
              <w:br/>
              <w:t>N/A</w:t>
            </w:r>
          </w:p>
        </w:tc>
        <w:tc>
          <w:tcPr>
            <w:tcW w:w="1176" w:type="dxa"/>
            <w:tcBorders>
              <w:top w:val="nil"/>
              <w:left w:val="nil"/>
              <w:right w:val="nil"/>
            </w:tcBorders>
          </w:tcPr>
          <w:p>
            <w:pPr>
              <w:pStyle w:val="yTableNAm"/>
              <w:spacing w:before="60"/>
              <w:ind w:right="34"/>
              <w:jc w:val="right"/>
              <w:rPr>
                <w:szCs w:val="22"/>
              </w:rPr>
            </w:pPr>
            <w:r>
              <w:rPr>
                <w:szCs w:val="22"/>
              </w:rPr>
              <w:br/>
            </w:r>
            <w:r>
              <w:rPr>
                <w:szCs w:val="22"/>
              </w:rPr>
              <w:br/>
              <w:t>N/A</w:t>
            </w:r>
          </w:p>
        </w:tc>
      </w:tr>
    </w:tbl>
    <w:p>
      <w:pPr>
        <w:pStyle w:val="zyHeading3"/>
        <w:spacing w:after="120"/>
      </w:pPr>
      <w:bookmarkStart w:id="78" w:name="_Toc514321254"/>
      <w:bookmarkStart w:id="79" w:name="_Toc514321319"/>
      <w:bookmarkStart w:id="80" w:name="_Toc514330313"/>
      <w:bookmarkStart w:id="81" w:name="_Toc514334978"/>
      <w:bookmarkStart w:id="82" w:name="_Toc514336327"/>
      <w:bookmarkStart w:id="83" w:name="_Toc514336529"/>
      <w:bookmarkStart w:id="84" w:name="_Toc514414503"/>
      <w:bookmarkStart w:id="85" w:name="_Toc514414568"/>
      <w:bookmarkStart w:id="86" w:name="_Toc514657478"/>
      <w:bookmarkStart w:id="87" w:name="_Toc514666299"/>
      <w:bookmarkStart w:id="88" w:name="_Toc516821147"/>
      <w:bookmarkStart w:id="89" w:name="_Toc516821241"/>
      <w:r>
        <w:t>Division 2</w:t>
      </w:r>
      <w:r>
        <w:rPr>
          <w:b w:val="0"/>
        </w:rPr>
        <w:t> — </w:t>
      </w:r>
      <w:r>
        <w:t>Court of Appeal fees</w:t>
      </w:r>
      <w:bookmarkEnd w:id="78"/>
      <w:bookmarkEnd w:id="79"/>
      <w:bookmarkEnd w:id="80"/>
      <w:bookmarkEnd w:id="81"/>
      <w:bookmarkEnd w:id="82"/>
      <w:bookmarkEnd w:id="83"/>
      <w:bookmarkEnd w:id="84"/>
      <w:bookmarkEnd w:id="85"/>
      <w:bookmarkEnd w:id="86"/>
      <w:bookmarkEnd w:id="87"/>
      <w:bookmarkEnd w:id="88"/>
      <w:bookmarkEnd w:id="89"/>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spacing w:before="60"/>
              <w:rPr>
                <w:b/>
                <w:szCs w:val="22"/>
              </w:rPr>
            </w:pPr>
            <w:r>
              <w:rPr>
                <w:b/>
                <w:szCs w:val="22"/>
              </w:rPr>
              <w:t>Item</w:t>
            </w:r>
          </w:p>
        </w:tc>
        <w:tc>
          <w:tcPr>
            <w:tcW w:w="2562" w:type="dxa"/>
            <w:tcBorders>
              <w:left w:val="nil"/>
              <w:bottom w:val="single" w:sz="4" w:space="0" w:color="auto"/>
              <w:right w:val="nil"/>
            </w:tcBorders>
          </w:tcPr>
          <w:p>
            <w:pPr>
              <w:pStyle w:val="yTableNAm"/>
              <w:spacing w:before="60"/>
              <w:jc w:val="center"/>
              <w:rPr>
                <w:b/>
                <w:szCs w:val="22"/>
              </w:rPr>
            </w:pPr>
            <w:r>
              <w:rPr>
                <w:b/>
                <w:szCs w:val="22"/>
              </w:rPr>
              <w:t>Matter</w:t>
            </w:r>
          </w:p>
        </w:tc>
        <w:tc>
          <w:tcPr>
            <w:tcW w:w="1246" w:type="dxa"/>
            <w:tcBorders>
              <w:left w:val="nil"/>
              <w:bottom w:val="single" w:sz="4" w:space="0" w:color="auto"/>
              <w:right w:val="nil"/>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20" w:type="dxa"/>
            <w:tcBorders>
              <w:left w:val="nil"/>
              <w:bottom w:val="single" w:sz="4" w:space="0" w:color="auto"/>
              <w:right w:val="nil"/>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 xml:space="preserve">Fee for </w:t>
            </w:r>
            <w:r>
              <w:rPr>
                <w:b/>
                <w:szCs w:val="22"/>
              </w:rPr>
              <w:br/>
              <w:t>entity</w:t>
            </w:r>
            <w:r>
              <w:rPr>
                <w:b/>
                <w:szCs w:val="22"/>
              </w:rPr>
              <w:br/>
            </w:r>
            <w:r>
              <w:rPr>
                <w:b/>
                <w:szCs w:val="22"/>
              </w:rPr>
              <w:br/>
            </w:r>
            <w:r>
              <w:rPr>
                <w:b/>
                <w:szCs w:val="22"/>
              </w:rPr>
              <w:br/>
              <w:t>$</w:t>
            </w:r>
          </w:p>
        </w:tc>
        <w:tc>
          <w:tcPr>
            <w:tcW w:w="1229" w:type="dxa"/>
            <w:tcBorders>
              <w:left w:val="nil"/>
              <w:bottom w:val="single" w:sz="4" w:space="0" w:color="auto"/>
              <w:right w:val="nil"/>
            </w:tcBorders>
          </w:tcPr>
          <w:p>
            <w:pPr>
              <w:pStyle w:val="yTableNAm"/>
              <w:spacing w:before="60"/>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14" w:type="dxa"/>
            <w:tcBorders>
              <w:left w:val="nil"/>
              <w:bottom w:val="nil"/>
              <w:right w:val="nil"/>
            </w:tcBorders>
          </w:tcPr>
          <w:p>
            <w:pPr>
              <w:pStyle w:val="yTableNAm"/>
              <w:spacing w:before="60"/>
              <w:rPr>
                <w:szCs w:val="22"/>
              </w:rPr>
            </w:pPr>
            <w:r>
              <w:rPr>
                <w:szCs w:val="22"/>
              </w:rPr>
              <w:t>1.</w:t>
            </w:r>
          </w:p>
        </w:tc>
        <w:tc>
          <w:tcPr>
            <w:tcW w:w="2562" w:type="dxa"/>
            <w:tcBorders>
              <w:left w:val="nil"/>
              <w:bottom w:val="nil"/>
              <w:right w:val="nil"/>
            </w:tcBorders>
          </w:tcPr>
          <w:p>
            <w:pPr>
              <w:pStyle w:val="yTableNAm"/>
              <w:tabs>
                <w:tab w:val="left" w:leader="dot" w:pos="3119"/>
              </w:tabs>
              <w:spacing w:before="60"/>
              <w:rPr>
                <w:szCs w:val="22"/>
              </w:rPr>
            </w:pPr>
            <w:r>
              <w:rPr>
                <w:szCs w:val="22"/>
              </w:rPr>
              <w:t xml:space="preserve">On filing an appeal notice </w:t>
            </w:r>
          </w:p>
        </w:tc>
        <w:tc>
          <w:tcPr>
            <w:tcW w:w="1246" w:type="dxa"/>
            <w:tcBorders>
              <w:left w:val="nil"/>
              <w:bottom w:val="nil"/>
              <w:right w:val="nil"/>
            </w:tcBorders>
          </w:tcPr>
          <w:p>
            <w:pPr>
              <w:pStyle w:val="yTableNAm"/>
              <w:spacing w:before="60"/>
              <w:ind w:right="34"/>
              <w:jc w:val="right"/>
              <w:rPr>
                <w:szCs w:val="22"/>
              </w:rPr>
            </w:pPr>
            <w:r>
              <w:rPr>
                <w:szCs w:val="22"/>
              </w:rPr>
              <w:t>220.00</w:t>
            </w:r>
          </w:p>
        </w:tc>
        <w:tc>
          <w:tcPr>
            <w:tcW w:w="1220" w:type="dxa"/>
            <w:tcBorders>
              <w:left w:val="nil"/>
              <w:bottom w:val="nil"/>
              <w:right w:val="nil"/>
            </w:tcBorders>
          </w:tcPr>
          <w:p>
            <w:pPr>
              <w:pStyle w:val="yTableNAm"/>
              <w:spacing w:before="60"/>
              <w:ind w:right="34"/>
              <w:jc w:val="right"/>
              <w:rPr>
                <w:szCs w:val="22"/>
              </w:rPr>
            </w:pPr>
            <w:r>
              <w:rPr>
                <w:szCs w:val="22"/>
              </w:rPr>
              <w:t>570.00</w:t>
            </w:r>
          </w:p>
        </w:tc>
        <w:tc>
          <w:tcPr>
            <w:tcW w:w="1229" w:type="dxa"/>
            <w:tcBorders>
              <w:left w:val="nil"/>
              <w:bottom w:val="nil"/>
              <w:right w:val="nil"/>
            </w:tcBorders>
          </w:tcPr>
          <w:p>
            <w:pPr>
              <w:pStyle w:val="yTableNAm"/>
              <w:spacing w:before="60"/>
              <w:ind w:right="34"/>
              <w:jc w:val="right"/>
              <w:rPr>
                <w:szCs w:val="22"/>
              </w:rPr>
            </w:pPr>
            <w:r>
              <w:rPr>
                <w:szCs w:val="22"/>
              </w:rPr>
              <w:t>66.00</w:t>
            </w:r>
          </w:p>
        </w:tc>
      </w:tr>
      <w:tr>
        <w:trPr>
          <w:cantSplit/>
        </w:trPr>
        <w:tc>
          <w:tcPr>
            <w:tcW w:w="714" w:type="dxa"/>
            <w:tcBorders>
              <w:top w:val="nil"/>
              <w:left w:val="nil"/>
              <w:bottom w:val="nil"/>
              <w:right w:val="nil"/>
            </w:tcBorders>
          </w:tcPr>
          <w:p>
            <w:pPr>
              <w:pStyle w:val="yTableNAm"/>
              <w:spacing w:before="60"/>
              <w:rPr>
                <w:szCs w:val="22"/>
              </w:rPr>
            </w:pPr>
            <w:r>
              <w:rPr>
                <w:szCs w:val="22"/>
              </w:rPr>
              <w:t>2.</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 xml:space="preserve">On filing — </w:t>
            </w:r>
          </w:p>
          <w:p>
            <w:pPr>
              <w:pStyle w:val="yTableNAm"/>
              <w:tabs>
                <w:tab w:val="right" w:leader="dot" w:pos="2552"/>
              </w:tabs>
              <w:spacing w:before="60"/>
              <w:ind w:left="454" w:hanging="454"/>
              <w:rPr>
                <w:szCs w:val="22"/>
              </w:rPr>
            </w:pPr>
            <w:r>
              <w:rPr>
                <w:szCs w:val="22"/>
              </w:rPr>
              <w:t>(a)</w:t>
            </w:r>
            <w:r>
              <w:rPr>
                <w:szCs w:val="22"/>
              </w:rPr>
              <w:tab/>
              <w:t>Appellant’s case</w:t>
            </w:r>
          </w:p>
          <w:p>
            <w:pPr>
              <w:pStyle w:val="yTableNAm"/>
              <w:tabs>
                <w:tab w:val="right" w:leader="dot" w:pos="2552"/>
              </w:tabs>
              <w:spacing w:before="60"/>
              <w:ind w:left="454" w:hanging="454"/>
              <w:rPr>
                <w:szCs w:val="22"/>
              </w:rPr>
            </w:pPr>
            <w:r>
              <w:rPr>
                <w:szCs w:val="22"/>
              </w:rPr>
              <w:t>(b)</w:t>
            </w:r>
            <w:r>
              <w:rPr>
                <w:szCs w:val="22"/>
              </w:rPr>
              <w:tab/>
              <w:t>Respondent’s case</w:t>
            </w:r>
          </w:p>
        </w:tc>
        <w:tc>
          <w:tcPr>
            <w:tcW w:w="1246" w:type="dxa"/>
            <w:tcBorders>
              <w:top w:val="nil"/>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t>3 313.00</w:t>
            </w:r>
          </w:p>
          <w:p>
            <w:pPr>
              <w:pStyle w:val="yTableNAm"/>
              <w:spacing w:before="60"/>
              <w:ind w:right="34"/>
              <w:jc w:val="right"/>
              <w:rPr>
                <w:szCs w:val="22"/>
              </w:rPr>
            </w:pPr>
            <w:r>
              <w:rPr>
                <w:szCs w:val="22"/>
              </w:rPr>
              <w:t>3 313.00</w:t>
            </w:r>
          </w:p>
        </w:tc>
        <w:tc>
          <w:tcPr>
            <w:tcW w:w="1220" w:type="dxa"/>
            <w:tcBorders>
              <w:top w:val="nil"/>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t>8 609.00</w:t>
            </w:r>
          </w:p>
          <w:p>
            <w:pPr>
              <w:pStyle w:val="yTableNAm"/>
              <w:spacing w:before="60"/>
              <w:ind w:right="34"/>
              <w:jc w:val="right"/>
              <w:rPr>
                <w:szCs w:val="22"/>
              </w:rPr>
            </w:pPr>
            <w:r>
              <w:rPr>
                <w:szCs w:val="22"/>
              </w:rPr>
              <w:t>8 609.00</w:t>
            </w:r>
          </w:p>
        </w:tc>
        <w:tc>
          <w:tcPr>
            <w:tcW w:w="1229" w:type="dxa"/>
            <w:tcBorders>
              <w:top w:val="nil"/>
              <w:left w:val="nil"/>
              <w:bottom w:val="nil"/>
              <w:right w:val="nil"/>
            </w:tcBorders>
          </w:tcPr>
          <w:p>
            <w:pPr>
              <w:pStyle w:val="yTableNAm"/>
              <w:spacing w:before="60"/>
              <w:ind w:right="34"/>
              <w:jc w:val="right"/>
              <w:rPr>
                <w:szCs w:val="22"/>
              </w:rPr>
            </w:pPr>
          </w:p>
          <w:p>
            <w:pPr>
              <w:pStyle w:val="yTableNAm"/>
              <w:spacing w:before="60"/>
              <w:ind w:right="34"/>
              <w:jc w:val="right"/>
              <w:rPr>
                <w:szCs w:val="22"/>
              </w:rPr>
            </w:pPr>
            <w:r>
              <w:rPr>
                <w:szCs w:val="22"/>
              </w:rPr>
              <w:t>100.00</w:t>
            </w:r>
          </w:p>
          <w:p>
            <w:pPr>
              <w:pStyle w:val="yTableNAm"/>
              <w:spacing w:before="60"/>
              <w:ind w:right="34"/>
              <w:jc w:val="right"/>
              <w:rPr>
                <w:szCs w:val="22"/>
              </w:rPr>
            </w:pPr>
            <w:r>
              <w:rPr>
                <w:szCs w:val="22"/>
              </w:rPr>
              <w:t>100.00</w:t>
            </w:r>
          </w:p>
        </w:tc>
      </w:tr>
      <w:tr>
        <w:trPr>
          <w:cantSplit/>
        </w:trPr>
        <w:tc>
          <w:tcPr>
            <w:tcW w:w="714" w:type="dxa"/>
            <w:tcBorders>
              <w:top w:val="nil"/>
              <w:left w:val="nil"/>
              <w:bottom w:val="nil"/>
              <w:right w:val="nil"/>
            </w:tcBorders>
          </w:tcPr>
          <w:p>
            <w:pPr>
              <w:pStyle w:val="yTableNAm"/>
              <w:spacing w:before="60"/>
              <w:rPr>
                <w:szCs w:val="22"/>
              </w:rPr>
            </w:pPr>
            <w:r>
              <w:rPr>
                <w:szCs w:val="22"/>
              </w:rPr>
              <w:t>3.</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spacing w:before="60"/>
              <w:rPr>
                <w:szCs w:val="22"/>
              </w:rPr>
            </w:pPr>
            <w:r>
              <w:rPr>
                <w:szCs w:val="22"/>
              </w:rPr>
              <w:t>4.</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310.00</w:t>
            </w:r>
          </w:p>
        </w:tc>
        <w:tc>
          <w:tcPr>
            <w:tcW w:w="1220"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602.00</w:t>
            </w:r>
          </w:p>
        </w:tc>
        <w:tc>
          <w:tcPr>
            <w:tcW w:w="1229" w:type="dxa"/>
            <w:tcBorders>
              <w:top w:val="nil"/>
              <w:left w:val="nil"/>
              <w:bottom w:val="nil"/>
              <w:right w:val="nil"/>
            </w:tcBorders>
          </w:tcPr>
          <w:p>
            <w:pPr>
              <w:pStyle w:val="yTableNAm"/>
              <w:keepNext/>
              <w:spacing w:before="60"/>
              <w:ind w:right="34"/>
              <w:jc w:val="right"/>
              <w:rPr>
                <w:szCs w:val="22"/>
              </w:rPr>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t>310.00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t>602.00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t>0.00</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1:</w:t>
            </w:r>
          </w:p>
          <w:p>
            <w:pPr>
              <w:pStyle w:val="yTableNAm"/>
              <w:tabs>
                <w:tab w:val="clear" w:pos="567"/>
              </w:tabs>
              <w:spacing w:before="60"/>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2:</w:t>
            </w:r>
          </w:p>
          <w:p>
            <w:pPr>
              <w:pStyle w:val="yTableNAm"/>
              <w:tabs>
                <w:tab w:val="clear" w:pos="567"/>
              </w:tabs>
              <w:spacing w:before="60"/>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3:</w:t>
            </w:r>
          </w:p>
          <w:p>
            <w:pPr>
              <w:pStyle w:val="yTableNAm"/>
              <w:tabs>
                <w:tab w:val="clear" w:pos="567"/>
              </w:tabs>
              <w:spacing w:before="60"/>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spacing w:before="60"/>
              <w:rPr>
                <w:szCs w:val="22"/>
              </w:rPr>
            </w:pPr>
            <w:r>
              <w:rPr>
                <w:szCs w:val="22"/>
              </w:rPr>
              <w:t>5.</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Setting down fee</w:t>
            </w:r>
          </w:p>
        </w:tc>
        <w:tc>
          <w:tcPr>
            <w:tcW w:w="1246" w:type="dxa"/>
            <w:tcBorders>
              <w:top w:val="nil"/>
              <w:left w:val="nil"/>
              <w:bottom w:val="nil"/>
              <w:right w:val="nil"/>
            </w:tcBorders>
          </w:tcPr>
          <w:p>
            <w:pPr>
              <w:pStyle w:val="yTableNAm"/>
              <w:spacing w:before="60"/>
              <w:ind w:right="34"/>
              <w:jc w:val="right"/>
              <w:rPr>
                <w:szCs w:val="22"/>
              </w:rPr>
            </w:pPr>
            <w:r>
              <w:rPr>
                <w:szCs w:val="22"/>
              </w:rPr>
              <w:t>1 105.00</w:t>
            </w:r>
          </w:p>
        </w:tc>
        <w:tc>
          <w:tcPr>
            <w:tcW w:w="1220" w:type="dxa"/>
            <w:tcBorders>
              <w:top w:val="nil"/>
              <w:left w:val="nil"/>
              <w:bottom w:val="nil"/>
              <w:right w:val="nil"/>
            </w:tcBorders>
          </w:tcPr>
          <w:p>
            <w:pPr>
              <w:pStyle w:val="yTableNAm"/>
              <w:spacing w:before="60"/>
              <w:ind w:right="34"/>
              <w:jc w:val="right"/>
              <w:rPr>
                <w:szCs w:val="22"/>
              </w:rPr>
            </w:pPr>
            <w:r>
              <w:rPr>
                <w:szCs w:val="22"/>
              </w:rPr>
              <w:t>2 148.00</w:t>
            </w:r>
          </w:p>
        </w:tc>
        <w:tc>
          <w:tcPr>
            <w:tcW w:w="1229" w:type="dxa"/>
            <w:tcBorders>
              <w:top w:val="nil"/>
              <w:left w:val="nil"/>
              <w:bottom w:val="nil"/>
              <w:right w:val="nil"/>
            </w:tcBorders>
          </w:tcPr>
          <w:p>
            <w:pPr>
              <w:pStyle w:val="yTableNAm"/>
              <w:spacing w:before="60"/>
              <w:ind w:right="34"/>
              <w:jc w:val="right"/>
              <w:rPr>
                <w:szCs w:val="22"/>
              </w:rPr>
            </w:pPr>
            <w:r>
              <w:rPr>
                <w:szCs w:val="22"/>
              </w:rPr>
              <w:t>100.00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1:</w:t>
            </w:r>
          </w:p>
          <w:p>
            <w:pPr>
              <w:pStyle w:val="yTableNAm"/>
              <w:tabs>
                <w:tab w:val="clear" w:pos="567"/>
              </w:tabs>
              <w:spacing w:before="60"/>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2:</w:t>
            </w:r>
          </w:p>
          <w:p>
            <w:pPr>
              <w:pStyle w:val="yTableNAm"/>
              <w:tabs>
                <w:tab w:val="clear" w:pos="567"/>
              </w:tabs>
              <w:spacing w:before="60"/>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spacing w:before="60"/>
              <w:rPr>
                <w:szCs w:val="22"/>
              </w:rPr>
            </w:pPr>
            <w:r>
              <w:rPr>
                <w:szCs w:val="22"/>
              </w:rPr>
              <w:t>6.</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 xml:space="preserve">Allocation of hearing date </w:t>
            </w:r>
          </w:p>
        </w:tc>
        <w:tc>
          <w:tcPr>
            <w:tcW w:w="1246" w:type="dxa"/>
            <w:tcBorders>
              <w:top w:val="nil"/>
              <w:left w:val="nil"/>
              <w:bottom w:val="nil"/>
              <w:right w:val="nil"/>
            </w:tcBorders>
          </w:tcPr>
          <w:p>
            <w:pPr>
              <w:pStyle w:val="yTableNAm"/>
              <w:spacing w:before="60"/>
              <w:ind w:right="34"/>
              <w:rPr>
                <w:szCs w:val="22"/>
              </w:rPr>
            </w:pPr>
            <w:r>
              <w:rPr>
                <w:szCs w:val="22"/>
              </w:rPr>
              <w:t>883.00 for each day estimated</w:t>
            </w:r>
          </w:p>
        </w:tc>
        <w:tc>
          <w:tcPr>
            <w:tcW w:w="1220" w:type="dxa"/>
            <w:tcBorders>
              <w:top w:val="nil"/>
              <w:left w:val="nil"/>
              <w:bottom w:val="nil"/>
              <w:right w:val="nil"/>
            </w:tcBorders>
          </w:tcPr>
          <w:p>
            <w:pPr>
              <w:pStyle w:val="yTableNAm"/>
              <w:spacing w:before="60"/>
              <w:ind w:right="34"/>
              <w:rPr>
                <w:szCs w:val="22"/>
              </w:rPr>
            </w:pPr>
            <w:r>
              <w:rPr>
                <w:szCs w:val="22"/>
              </w:rPr>
              <w:t>2 291.00 for each day estimated</w:t>
            </w:r>
          </w:p>
        </w:tc>
        <w:tc>
          <w:tcPr>
            <w:tcW w:w="1229" w:type="dxa"/>
            <w:tcBorders>
              <w:top w:val="nil"/>
              <w:left w:val="nil"/>
              <w:bottom w:val="nil"/>
              <w:right w:val="nil"/>
            </w:tcBorders>
          </w:tcPr>
          <w:p>
            <w:pPr>
              <w:pStyle w:val="yTableNAm"/>
              <w:spacing w:before="60"/>
              <w:ind w:right="34"/>
              <w:jc w:val="right"/>
              <w:rPr>
                <w:szCs w:val="22"/>
              </w:rPr>
            </w:pPr>
            <w:r>
              <w:rPr>
                <w:szCs w:val="22"/>
              </w:rPr>
              <w:t>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w:t>
            </w:r>
          </w:p>
          <w:p>
            <w:pPr>
              <w:pStyle w:val="yTableNAm"/>
              <w:tabs>
                <w:tab w:val="clear" w:pos="567"/>
              </w:tabs>
              <w:spacing w:before="60"/>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spacing w:before="60"/>
              <w:rPr>
                <w:szCs w:val="22"/>
              </w:rPr>
            </w:pPr>
            <w:r>
              <w:rPr>
                <w:szCs w:val="22"/>
              </w:rPr>
              <w:t>7.</w:t>
            </w:r>
          </w:p>
        </w:tc>
        <w:tc>
          <w:tcPr>
            <w:tcW w:w="2562" w:type="dxa"/>
            <w:tcBorders>
              <w:top w:val="nil"/>
              <w:left w:val="nil"/>
              <w:bottom w:val="nil"/>
              <w:right w:val="nil"/>
            </w:tcBorders>
          </w:tcPr>
          <w:p>
            <w:pPr>
              <w:pStyle w:val="yTableNAm"/>
              <w:keepNext/>
              <w:tabs>
                <w:tab w:val="clear" w:pos="567"/>
                <w:tab w:val="right" w:leader="dot" w:pos="2552"/>
              </w:tabs>
              <w:spacing w:before="60"/>
              <w:rPr>
                <w:szCs w:val="22"/>
              </w:rPr>
            </w:pPr>
            <w:r>
              <w:rPr>
                <w:szCs w:val="22"/>
              </w:rPr>
              <w:t xml:space="preserve">Daily hearing fee </w:t>
            </w:r>
          </w:p>
        </w:tc>
        <w:tc>
          <w:tcPr>
            <w:tcW w:w="1246" w:type="dxa"/>
            <w:tcBorders>
              <w:top w:val="nil"/>
              <w:left w:val="nil"/>
              <w:bottom w:val="nil"/>
              <w:right w:val="nil"/>
            </w:tcBorders>
          </w:tcPr>
          <w:p>
            <w:pPr>
              <w:pStyle w:val="yTableNAm"/>
              <w:keepNext/>
              <w:spacing w:before="60"/>
              <w:ind w:right="34"/>
              <w:jc w:val="right"/>
              <w:rPr>
                <w:szCs w:val="22"/>
              </w:rPr>
            </w:pPr>
            <w:r>
              <w:rPr>
                <w:szCs w:val="22"/>
              </w:rPr>
              <w:t>883.00</w:t>
            </w:r>
          </w:p>
        </w:tc>
        <w:tc>
          <w:tcPr>
            <w:tcW w:w="1220" w:type="dxa"/>
            <w:tcBorders>
              <w:top w:val="nil"/>
              <w:left w:val="nil"/>
              <w:bottom w:val="nil"/>
              <w:right w:val="nil"/>
            </w:tcBorders>
          </w:tcPr>
          <w:p>
            <w:pPr>
              <w:pStyle w:val="yTableNAm"/>
              <w:keepNext/>
              <w:spacing w:before="60"/>
              <w:ind w:right="34"/>
              <w:jc w:val="right"/>
              <w:rPr>
                <w:szCs w:val="22"/>
              </w:rPr>
            </w:pPr>
            <w:r>
              <w:rPr>
                <w:szCs w:val="22"/>
              </w:rPr>
              <w:t>2 291.00</w:t>
            </w:r>
          </w:p>
        </w:tc>
        <w:tc>
          <w:tcPr>
            <w:tcW w:w="1229" w:type="dxa"/>
            <w:tcBorders>
              <w:top w:val="nil"/>
              <w:left w:val="nil"/>
              <w:bottom w:val="nil"/>
              <w:right w:val="nil"/>
            </w:tcBorders>
          </w:tcPr>
          <w:p>
            <w:pPr>
              <w:pStyle w:val="yTableNAm"/>
              <w:keepNext/>
              <w:spacing w:before="60"/>
              <w:ind w:right="34"/>
              <w:jc w:val="right"/>
              <w:rPr>
                <w:szCs w:val="22"/>
              </w:rPr>
            </w:pPr>
            <w:r>
              <w:rPr>
                <w:szCs w:val="22"/>
              </w:rPr>
              <w:t>0.00</w:t>
            </w:r>
          </w:p>
        </w:tc>
      </w:tr>
      <w:tr>
        <w:trPr>
          <w:cantSplit/>
          <w:trHeight w:val="761"/>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1:</w:t>
            </w:r>
          </w:p>
          <w:p>
            <w:pPr>
              <w:pStyle w:val="yTableNAm"/>
              <w:tabs>
                <w:tab w:val="clear" w:pos="567"/>
              </w:tabs>
              <w:spacing w:before="60"/>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2:</w:t>
            </w:r>
          </w:p>
          <w:p>
            <w:pPr>
              <w:pStyle w:val="yTableNAm"/>
              <w:tabs>
                <w:tab w:val="clear" w:pos="567"/>
              </w:tabs>
              <w:spacing w:before="60"/>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3:</w:t>
            </w:r>
          </w:p>
          <w:p>
            <w:pPr>
              <w:pStyle w:val="yTableNAm"/>
              <w:tabs>
                <w:tab w:val="clear" w:pos="567"/>
              </w:tabs>
              <w:spacing w:before="60"/>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4:</w:t>
            </w:r>
          </w:p>
          <w:p>
            <w:pPr>
              <w:pStyle w:val="yTableNAm"/>
              <w:tabs>
                <w:tab w:val="clear" w:pos="567"/>
              </w:tabs>
              <w:spacing w:before="60"/>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spacing w:before="60"/>
              <w:rPr>
                <w:szCs w:val="22"/>
              </w:rPr>
            </w:pPr>
            <w:r>
              <w:rPr>
                <w:szCs w:val="22"/>
              </w:rPr>
              <w:t>8.</w:t>
            </w:r>
          </w:p>
        </w:tc>
        <w:tc>
          <w:tcPr>
            <w:tcW w:w="2562" w:type="dxa"/>
            <w:tcBorders>
              <w:top w:val="nil"/>
              <w:left w:val="nil"/>
              <w:bottom w:val="nil"/>
              <w:right w:val="nil"/>
            </w:tcBorders>
          </w:tcPr>
          <w:p>
            <w:pPr>
              <w:pStyle w:val="yTableNAm"/>
              <w:tabs>
                <w:tab w:val="clear" w:pos="567"/>
                <w:tab w:val="right" w:leader="dot" w:pos="2552"/>
              </w:tabs>
              <w:spacing w:before="60"/>
              <w:rPr>
                <w:szCs w:val="22"/>
              </w:rPr>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44.50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44.50</w:t>
            </w:r>
          </w:p>
        </w:tc>
        <w:tc>
          <w:tcPr>
            <w:tcW w:w="1229" w:type="dxa"/>
            <w:tcBorders>
              <w:top w:val="nil"/>
              <w:left w:val="nil"/>
              <w:bottom w:val="nil"/>
              <w:right w:val="nil"/>
            </w:tcBorders>
          </w:tcPr>
          <w:p>
            <w:pPr>
              <w:pStyle w:val="yTableNAm"/>
              <w:spacing w:before="60"/>
              <w:ind w:right="34"/>
              <w:jc w:val="right"/>
              <w:rPr>
                <w:rStyle w:val="DraftersNotes"/>
                <w:sz w:val="22"/>
                <w:szCs w:val="22"/>
              </w:rPr>
            </w:pP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w:t>
            </w:r>
          </w:p>
          <w:p>
            <w:pPr>
              <w:pStyle w:val="yTableNAm"/>
              <w:tabs>
                <w:tab w:val="clear" w:pos="567"/>
              </w:tabs>
              <w:spacing w:before="60"/>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spacing w:before="60"/>
              <w:rPr>
                <w:szCs w:val="22"/>
              </w:rPr>
            </w:pPr>
            <w:r>
              <w:rPr>
                <w:szCs w:val="22"/>
              </w:rPr>
              <w:t>9.</w:t>
            </w: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(a)</w:t>
            </w:r>
            <w:r>
              <w:rPr>
                <w:szCs w:val="22"/>
              </w:rP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(b)</w:t>
            </w:r>
            <w:r>
              <w:rPr>
                <w:szCs w:val="22"/>
              </w:rPr>
              <w:tab/>
              <w:t xml:space="preserve">For a copy of reasons for judgment — </w:t>
            </w:r>
          </w:p>
          <w:p>
            <w:pPr>
              <w:pStyle w:val="yTableNAm"/>
              <w:tabs>
                <w:tab w:val="left" w:pos="1021"/>
                <w:tab w:val="right" w:leader="dot" w:pos="2552"/>
              </w:tabs>
              <w:spacing w:before="60"/>
              <w:ind w:left="1021" w:hanging="1021"/>
              <w:rPr>
                <w:szCs w:val="22"/>
              </w:rPr>
            </w:pPr>
            <w:r>
              <w:rPr>
                <w:szCs w:val="22"/>
              </w:rPr>
              <w:tab/>
              <w:t>(i)</w:t>
            </w:r>
            <w:r>
              <w:rPr>
                <w:szCs w:val="22"/>
              </w:rP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15.55</w:t>
            </w:r>
          </w:p>
        </w:tc>
        <w:tc>
          <w:tcPr>
            <w:tcW w:w="1220"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15.55</w:t>
            </w:r>
          </w:p>
        </w:tc>
        <w:tc>
          <w:tcPr>
            <w:tcW w:w="1229" w:type="dxa"/>
            <w:tcBorders>
              <w:top w:val="nil"/>
              <w:left w:val="nil"/>
              <w:bottom w:val="nil"/>
              <w:right w:val="nil"/>
            </w:tcBorders>
          </w:tcPr>
          <w:p>
            <w:pPr>
              <w:pStyle w:val="yTableNAm"/>
              <w:spacing w:before="60"/>
              <w:ind w:right="34"/>
              <w:jc w:val="right"/>
              <w:rPr>
                <w:szCs w:val="22"/>
              </w:rPr>
            </w:pPr>
            <w:r>
              <w:rPr>
                <w:szCs w:val="22"/>
              </w:rPr>
              <w:br/>
            </w:r>
          </w:p>
          <w:p>
            <w:pPr>
              <w:pStyle w:val="yTableNAm"/>
              <w:spacing w:before="60"/>
              <w:ind w:right="34"/>
              <w:jc w:val="right"/>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4.75</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(ii)</w:t>
            </w:r>
            <w:r>
              <w:rPr>
                <w:szCs w:val="22"/>
              </w:rPr>
              <w:tab/>
              <w:t xml:space="preserve">for each copy consisting of more than 10 pages an additional fee per page of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21.40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21.40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right" w:leader="dot" w:pos="2552"/>
              </w:tabs>
              <w:spacing w:before="60"/>
              <w:ind w:left="454" w:hanging="454"/>
              <w:rPr>
                <w:szCs w:val="22"/>
              </w:rPr>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spacing w:before="60"/>
              <w:ind w:right="34"/>
              <w:jc w:val="right"/>
              <w:rPr>
                <w:szCs w:val="22"/>
              </w:rPr>
            </w:pPr>
            <w:r>
              <w:rPr>
                <w:szCs w:val="22"/>
              </w:rPr>
              <w:br/>
            </w:r>
            <w:r>
              <w:rPr>
                <w:szCs w:val="22"/>
              </w:rPr>
              <w:br/>
              <w:t>42.10</w:t>
            </w:r>
          </w:p>
        </w:tc>
        <w:tc>
          <w:tcPr>
            <w:tcW w:w="1220" w:type="dxa"/>
            <w:tcBorders>
              <w:top w:val="nil"/>
              <w:left w:val="nil"/>
              <w:bottom w:val="nil"/>
              <w:right w:val="nil"/>
            </w:tcBorders>
          </w:tcPr>
          <w:p>
            <w:pPr>
              <w:pStyle w:val="yTableNAm"/>
              <w:spacing w:before="60"/>
              <w:ind w:right="34"/>
              <w:jc w:val="right"/>
              <w:rPr>
                <w:szCs w:val="22"/>
              </w:rPr>
            </w:pPr>
            <w:r>
              <w:rPr>
                <w:szCs w:val="22"/>
              </w:rPr>
              <w:br/>
            </w:r>
            <w:r>
              <w:rPr>
                <w:szCs w:val="22"/>
              </w:rPr>
              <w:br/>
              <w:t>42.10</w:t>
            </w:r>
          </w:p>
        </w:tc>
        <w:tc>
          <w:tcPr>
            <w:tcW w:w="1229" w:type="dxa"/>
            <w:tcBorders>
              <w:top w:val="nil"/>
              <w:left w:val="nil"/>
              <w:bottom w:val="nil"/>
              <w:right w:val="nil"/>
            </w:tcBorders>
          </w:tcPr>
          <w:p>
            <w:pPr>
              <w:pStyle w:val="yTableNAm"/>
              <w:spacing w:before="60"/>
              <w:ind w:right="34"/>
              <w:jc w:val="right"/>
              <w:rPr>
                <w:szCs w:val="22"/>
              </w:rPr>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w:t>
            </w:r>
            <w:r>
              <w:rPr>
                <w:szCs w:val="22"/>
              </w:rPr>
              <w:tab/>
              <w:t xml:space="preserve">provided within 1 day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(ii)</w:t>
            </w:r>
            <w:r>
              <w:rPr>
                <w:szCs w:val="22"/>
              </w:rPr>
              <w:tab/>
              <w:t xml:space="preserve">provided within 4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(iii)</w:t>
            </w:r>
            <w:r>
              <w:rPr>
                <w:szCs w:val="22"/>
              </w:rPr>
              <w:tab/>
              <w:t xml:space="preserve">provided within 7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szCs w:val="22"/>
              </w:rPr>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szCs w:val="22"/>
              </w:rPr>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tabs>
                <w:tab w:val="left" w:pos="1021"/>
                <w:tab w:val="right" w:leader="dot" w:pos="2552"/>
              </w:tabs>
              <w:spacing w:before="60"/>
              <w:ind w:left="1021" w:hanging="1021"/>
              <w:rPr>
                <w:szCs w:val="22"/>
              </w:rPr>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BlankClose"/>
      </w:pPr>
    </w:p>
    <w:p>
      <w:pPr>
        <w:pStyle w:val="nzHeading5"/>
      </w:pPr>
      <w:bookmarkStart w:id="90" w:name="_Toc514414504"/>
      <w:bookmarkStart w:id="91" w:name="_Toc514666300"/>
      <w:r>
        <w:rPr>
          <w:rStyle w:val="CharSectno"/>
        </w:rPr>
        <w:t>27</w:t>
      </w:r>
      <w:r>
        <w:t>.</w:t>
      </w:r>
      <w:r>
        <w:tab/>
        <w:t>Schedule 2 replaced</w:t>
      </w:r>
      <w:bookmarkEnd w:id="90"/>
      <w:bookmarkEnd w:id="91"/>
    </w:p>
    <w:p>
      <w:pPr>
        <w:pStyle w:val="nzSubsection"/>
      </w:pPr>
      <w:r>
        <w:tab/>
      </w:r>
      <w:r>
        <w:tab/>
        <w:t>Delete Schedule 2 and insert:</w:t>
      </w:r>
    </w:p>
    <w:p>
      <w:pPr>
        <w:pStyle w:val="BlankOpen"/>
      </w:pPr>
    </w:p>
    <w:p>
      <w:pPr>
        <w:pStyle w:val="zyHeading2"/>
      </w:pPr>
      <w:bookmarkStart w:id="92" w:name="_Toc514321256"/>
      <w:bookmarkStart w:id="93" w:name="_Toc514321321"/>
      <w:bookmarkStart w:id="94" w:name="_Toc514330315"/>
      <w:bookmarkStart w:id="95" w:name="_Toc514334980"/>
      <w:bookmarkStart w:id="96" w:name="_Toc514336329"/>
      <w:bookmarkStart w:id="97" w:name="_Toc514336531"/>
      <w:bookmarkStart w:id="98" w:name="_Toc514414505"/>
      <w:bookmarkStart w:id="99" w:name="_Toc514414570"/>
      <w:bookmarkStart w:id="100" w:name="_Toc514657480"/>
      <w:bookmarkStart w:id="101" w:name="_Toc514666301"/>
      <w:bookmarkStart w:id="102" w:name="_Toc516821148"/>
      <w:bookmarkStart w:id="103" w:name="_Toc516821242"/>
      <w:r>
        <w:t>Schedule 2 — Sheriff’s fees</w:t>
      </w:r>
      <w:bookmarkEnd w:id="92"/>
      <w:bookmarkEnd w:id="93"/>
      <w:bookmarkEnd w:id="94"/>
      <w:bookmarkEnd w:id="95"/>
      <w:bookmarkEnd w:id="96"/>
      <w:bookmarkEnd w:id="97"/>
      <w:bookmarkEnd w:id="98"/>
      <w:bookmarkEnd w:id="99"/>
      <w:bookmarkEnd w:id="100"/>
      <w:bookmarkEnd w:id="101"/>
      <w:bookmarkEnd w:id="102"/>
      <w:bookmarkEnd w:id="103"/>
    </w:p>
    <w:p>
      <w:pPr>
        <w:pStyle w:val="zyShoulderClause"/>
      </w:pPr>
      <w:r>
        <w:t>[r. 4]</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ind w:left="584" w:hanging="584"/>
            </w:pPr>
            <w:r>
              <w:t>On the execution of an arrest warrant of any kind —</w:t>
            </w:r>
          </w:p>
          <w:p>
            <w:pPr>
              <w:pStyle w:val="yTableNAm"/>
              <w:ind w:left="584" w:hanging="584"/>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jc w:val="center"/>
            </w:pPr>
          </w:p>
          <w:p>
            <w:pPr>
              <w:pStyle w:val="yTableNAm"/>
              <w:jc w:val="center"/>
            </w:pPr>
            <w:r>
              <w:rPr>
                <w:szCs w:val="22"/>
              </w:rPr>
              <w:t>141.50</w:t>
            </w:r>
          </w:p>
          <w:p>
            <w:pPr>
              <w:pStyle w:val="yTableNAm"/>
              <w:jc w:val="center"/>
            </w:pPr>
            <w:r>
              <w:br/>
            </w:r>
            <w:r>
              <w:br/>
              <w:t>140.00</w:t>
            </w:r>
          </w:p>
        </w:tc>
      </w:tr>
      <w:tr>
        <w:tc>
          <w:tcPr>
            <w:tcW w:w="709" w:type="dxa"/>
            <w:tcBorders>
              <w:top w:val="nil"/>
              <w:left w:val="nil"/>
              <w:bottom w:val="nil"/>
              <w:right w:val="nil"/>
            </w:tcBorders>
          </w:tcPr>
          <w:p>
            <w:pPr>
              <w:pStyle w:val="yTableNAm"/>
              <w:keepNext/>
            </w:pPr>
          </w:p>
        </w:tc>
        <w:tc>
          <w:tcPr>
            <w:tcW w:w="4944" w:type="dxa"/>
            <w:tcBorders>
              <w:top w:val="nil"/>
              <w:left w:val="nil"/>
              <w:bottom w:val="nil"/>
              <w:right w:val="nil"/>
            </w:tcBorders>
          </w:tcPr>
          <w:p>
            <w:pPr>
              <w:pStyle w:val="yTableNAm"/>
              <w:keepNext/>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keepNext/>
              <w:jc w:val="center"/>
            </w:pPr>
            <w:r>
              <w:br/>
            </w:r>
            <w:r>
              <w:br/>
            </w:r>
            <w:r>
              <w:br/>
            </w:r>
            <w:r>
              <w:br/>
              <w:t>37.10</w:t>
            </w:r>
          </w:p>
        </w:tc>
      </w:tr>
      <w:tr>
        <w:trPr>
          <w:trHeight w:val="1046"/>
        </w:trPr>
        <w:tc>
          <w:tcPr>
            <w:tcW w:w="709"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tabs>
                <w:tab w:val="clear" w:pos="567"/>
              </w:tabs>
              <w:spacing w:before="60"/>
              <w:rPr>
                <w:rFonts w:ascii="Arial" w:hAnsi="Arial" w:cs="Arial"/>
                <w:sz w:val="18"/>
                <w:szCs w:val="18"/>
              </w:rPr>
            </w:pPr>
            <w:r>
              <w:rPr>
                <w:rFonts w:ascii="Arial" w:hAnsi="Arial" w:cs="Arial"/>
                <w:sz w:val="18"/>
                <w:szCs w:val="18"/>
              </w:rPr>
              <w:t>Note 1:</w:t>
            </w:r>
          </w:p>
          <w:p>
            <w:pPr>
              <w:pStyle w:val="yTableNAm"/>
              <w:tabs>
                <w:tab w:val="clear" w:pos="567"/>
              </w:tabs>
              <w:spacing w:before="60"/>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yTableNAm"/>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keepNext/>
              <w:keepLines/>
            </w:pPr>
            <w:r>
              <w:t>2.</w:t>
            </w:r>
          </w:p>
        </w:tc>
        <w:tc>
          <w:tcPr>
            <w:tcW w:w="4961" w:type="dxa"/>
            <w:gridSpan w:val="2"/>
            <w:tcBorders>
              <w:top w:val="nil"/>
              <w:left w:val="nil"/>
              <w:bottom w:val="nil"/>
              <w:right w:val="nil"/>
            </w:tcBorders>
          </w:tcPr>
          <w:p>
            <w:pPr>
              <w:pStyle w:val="yTableNAm"/>
              <w:keepNext/>
              <w:keepLines/>
              <w:rPr>
                <w:sz w:val="20"/>
              </w:rPr>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keepNext/>
              <w:keepLines/>
              <w:jc w:val="center"/>
            </w:pPr>
            <w:r>
              <w:br/>
            </w:r>
            <w:r>
              <w:br/>
            </w:r>
            <w:r>
              <w:rPr>
                <w:szCs w:val="22"/>
              </w:rPr>
              <w:t>78.50</w:t>
            </w:r>
          </w:p>
        </w:tc>
      </w:tr>
      <w:tr>
        <w:trPr>
          <w:trHeight w:val="737"/>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spacing w:before="60"/>
              <w:rPr>
                <w:spacing w:val="-4"/>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jc w:val="center"/>
            </w:pPr>
          </w:p>
        </w:tc>
      </w:tr>
      <w:tr>
        <w:trPr>
          <w:trHeight w:val="598"/>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spacing w:before="60"/>
              <w:jc w:val="both"/>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jc w:val="center"/>
            </w:pPr>
          </w:p>
        </w:tc>
      </w:tr>
      <w:tr>
        <w:tc>
          <w:tcPr>
            <w:tcW w:w="709" w:type="dxa"/>
            <w:tcBorders>
              <w:top w:val="nil"/>
              <w:left w:val="nil"/>
              <w:bottom w:val="nil"/>
              <w:right w:val="nil"/>
            </w:tcBorders>
          </w:tcPr>
          <w:p>
            <w:pPr>
              <w:pStyle w:val="yTableNAm"/>
              <w:keepNext/>
            </w:pPr>
            <w:r>
              <w:t>3.</w:t>
            </w:r>
          </w:p>
        </w:tc>
        <w:tc>
          <w:tcPr>
            <w:tcW w:w="4961" w:type="dxa"/>
            <w:gridSpan w:val="2"/>
            <w:tcBorders>
              <w:top w:val="nil"/>
              <w:left w:val="nil"/>
              <w:bottom w:val="nil"/>
              <w:right w:val="nil"/>
            </w:tcBorders>
          </w:tcPr>
          <w:p>
            <w:pPr>
              <w:pStyle w:val="yTableNAm"/>
              <w:keepNext/>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keepNext/>
              <w:ind w:left="584" w:hanging="584"/>
            </w:pPr>
            <w:r>
              <w:t>(a)</w:t>
            </w:r>
            <w:r>
              <w:tab/>
              <w:t>for each kilometre travelled (1 way) in the metropolitan area</w:t>
            </w:r>
          </w:p>
          <w:p>
            <w:pPr>
              <w:pStyle w:val="yTableNAm"/>
              <w:keepNext/>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keepNext/>
              <w:jc w:val="center"/>
            </w:pPr>
            <w:r>
              <w:br/>
            </w:r>
            <w:r>
              <w:br/>
            </w:r>
            <w:r>
              <w:br/>
            </w:r>
            <w:r>
              <w:br/>
            </w:r>
            <w:r>
              <w:br/>
            </w:r>
          </w:p>
          <w:p>
            <w:pPr>
              <w:pStyle w:val="yTableNAm"/>
              <w:keepNext/>
              <w:jc w:val="center"/>
            </w:pPr>
            <w:r>
              <w:br/>
              <w:t>2.00</w:t>
            </w:r>
          </w:p>
          <w:p>
            <w:pPr>
              <w:pStyle w:val="yTableNAm"/>
              <w:keepNext/>
              <w:jc w:val="center"/>
            </w:pPr>
            <w:r>
              <w:br/>
              <w:t>2.20</w:t>
            </w:r>
          </w:p>
        </w:tc>
      </w:tr>
      <w:tr>
        <w:tc>
          <w:tcPr>
            <w:tcW w:w="709" w:type="dxa"/>
            <w:tcBorders>
              <w:top w:val="nil"/>
              <w:left w:val="nil"/>
              <w:bottom w:val="nil"/>
              <w:right w:val="nil"/>
            </w:tcBorders>
          </w:tcPr>
          <w:p>
            <w:pPr>
              <w:pStyle w:val="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spacing w:before="60"/>
              <w:rPr>
                <w:rFonts w:ascii="Arial" w:hAnsi="Arial" w:cs="Arial"/>
                <w:spacing w:val="-4"/>
                <w:sz w:val="18"/>
                <w:szCs w:val="18"/>
              </w:rPr>
            </w:pPr>
            <w:r>
              <w:rPr>
                <w:rFonts w:ascii="Arial" w:hAnsi="Arial" w:cs="Arial"/>
                <w:spacing w:val="-4"/>
                <w:sz w:val="18"/>
                <w:szCs w:val="18"/>
              </w:rPr>
              <w:t>Note:</w:t>
            </w:r>
          </w:p>
          <w:p>
            <w:pPr>
              <w:pStyle w:val="yTableNAm"/>
              <w:spacing w:before="60"/>
              <w:rPr>
                <w:rFonts w:ascii="Arial" w:hAnsi="Arial" w:cs="Arial"/>
                <w:spacing w:val="-4"/>
                <w:sz w:val="18"/>
                <w:szCs w:val="18"/>
              </w:rPr>
            </w:pPr>
            <w:r>
              <w:rPr>
                <w:rFonts w:ascii="Arial" w:hAnsi="Arial" w:cs="Arial"/>
                <w:spacing w:val="-4"/>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jc w:val="center"/>
            </w:pPr>
            <w:r>
              <w:br/>
              <w:t>74.00</w:t>
            </w:r>
          </w:p>
        </w:tc>
      </w:tr>
      <w:tr>
        <w:tc>
          <w:tcPr>
            <w:tcW w:w="709" w:type="dxa"/>
            <w:tcBorders>
              <w:top w:val="nil"/>
              <w:left w:val="nil"/>
              <w:right w:val="nil"/>
            </w:tcBorders>
          </w:tcPr>
          <w:p>
            <w:pPr>
              <w:pStyle w:val="yTableNAm"/>
            </w:pPr>
            <w:r>
              <w:t>5.</w:t>
            </w:r>
          </w:p>
        </w:tc>
        <w:tc>
          <w:tcPr>
            <w:tcW w:w="4961" w:type="dxa"/>
            <w:gridSpan w:val="2"/>
            <w:tcBorders>
              <w:top w:val="nil"/>
              <w:left w:val="nil"/>
              <w:right w:val="nil"/>
            </w:tcBorders>
          </w:tcPr>
          <w:p>
            <w:pPr>
              <w:pStyle w:val="yTableNAm"/>
              <w:ind w:left="584" w:hanging="584"/>
            </w:pPr>
            <w:r>
              <w:t>(a)</w:t>
            </w:r>
            <w:r>
              <w:tab/>
              <w:t>For striking a jury and preparing jury panel</w:t>
            </w:r>
          </w:p>
          <w:p>
            <w:pPr>
              <w:pStyle w:val="yTableNAm"/>
              <w:ind w:left="584" w:hanging="584"/>
            </w:pPr>
            <w:r>
              <w:t>(b)</w:t>
            </w:r>
            <w:r>
              <w:tab/>
              <w:t>For attendance of sheriff’s officer at hearing (per day or part of a day)</w:t>
            </w:r>
          </w:p>
        </w:tc>
        <w:tc>
          <w:tcPr>
            <w:tcW w:w="1382" w:type="dxa"/>
            <w:tcBorders>
              <w:top w:val="nil"/>
              <w:left w:val="nil"/>
              <w:right w:val="nil"/>
            </w:tcBorders>
          </w:tcPr>
          <w:p>
            <w:pPr>
              <w:pStyle w:val="yTableNAm"/>
              <w:jc w:val="center"/>
            </w:pPr>
            <w:r>
              <w:t>238.00</w:t>
            </w:r>
          </w:p>
          <w:p>
            <w:pPr>
              <w:pStyle w:val="yTableNAm"/>
            </w:pPr>
            <w:r>
              <w:t>The sum actually and reasonably paid</w:t>
            </w:r>
          </w:p>
        </w:tc>
      </w:tr>
    </w:tbl>
    <w:p>
      <w:pPr>
        <w:pStyle w:val="BlankClose"/>
      </w:pPr>
    </w:p>
    <w:p>
      <w:pPr>
        <w:pStyle w:val="nzHeading5"/>
      </w:pPr>
      <w:bookmarkStart w:id="104" w:name="_Toc514414506"/>
      <w:bookmarkStart w:id="105" w:name="_Toc514666302"/>
      <w:r>
        <w:rPr>
          <w:rStyle w:val="CharSectno"/>
        </w:rPr>
        <w:t>28</w:t>
      </w:r>
      <w:r>
        <w:t>.</w:t>
      </w:r>
      <w:r>
        <w:tab/>
        <w:t>Schedule 3 replaced</w:t>
      </w:r>
      <w:bookmarkEnd w:id="104"/>
      <w:bookmarkEnd w:id="105"/>
    </w:p>
    <w:p>
      <w:pPr>
        <w:pStyle w:val="nzSubsection"/>
      </w:pPr>
      <w:r>
        <w:tab/>
      </w:r>
      <w:r>
        <w:tab/>
        <w:t>Delete Schedule 3 and insert:</w:t>
      </w:r>
    </w:p>
    <w:p>
      <w:pPr>
        <w:pStyle w:val="BlankOpen"/>
      </w:pPr>
    </w:p>
    <w:p>
      <w:pPr>
        <w:pStyle w:val="zyHeading2"/>
      </w:pPr>
      <w:bookmarkStart w:id="106" w:name="_Toc514321258"/>
      <w:bookmarkStart w:id="107" w:name="_Toc514321323"/>
      <w:bookmarkStart w:id="108" w:name="_Toc514330317"/>
      <w:bookmarkStart w:id="109" w:name="_Toc514334982"/>
      <w:bookmarkStart w:id="110" w:name="_Toc514336331"/>
      <w:bookmarkStart w:id="111" w:name="_Toc514336533"/>
      <w:bookmarkStart w:id="112" w:name="_Toc514414507"/>
      <w:bookmarkStart w:id="113" w:name="_Toc514414572"/>
      <w:bookmarkStart w:id="114" w:name="_Toc514657482"/>
      <w:bookmarkStart w:id="115" w:name="_Toc514666303"/>
      <w:bookmarkStart w:id="116" w:name="_Toc516821149"/>
      <w:bookmarkStart w:id="117" w:name="_Toc516821243"/>
      <w:r>
        <w:rPr>
          <w:rStyle w:val="CharSchNo"/>
        </w:rPr>
        <w:t>Schedule 3</w:t>
      </w:r>
      <w:r>
        <w:t> — </w:t>
      </w:r>
      <w:r>
        <w:rPr>
          <w:rStyle w:val="CharSchText"/>
        </w:rPr>
        <w:t>Probate fees</w:t>
      </w:r>
      <w:bookmarkEnd w:id="106"/>
      <w:bookmarkEnd w:id="107"/>
      <w:bookmarkEnd w:id="108"/>
      <w:bookmarkEnd w:id="109"/>
      <w:bookmarkEnd w:id="110"/>
      <w:bookmarkEnd w:id="111"/>
      <w:bookmarkEnd w:id="112"/>
      <w:bookmarkEnd w:id="113"/>
      <w:bookmarkEnd w:id="114"/>
      <w:bookmarkEnd w:id="115"/>
      <w:bookmarkEnd w:id="116"/>
      <w:bookmarkEnd w:id="117"/>
    </w:p>
    <w:p>
      <w:pPr>
        <w:pStyle w:val="zyShoulderClause"/>
        <w:spacing w:after="60"/>
      </w:pPr>
      <w:r>
        <w:t>[r. 4]</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keepNext/>
              <w:jc w:val="center"/>
              <w:rPr>
                <w:b/>
              </w:rPr>
            </w:pPr>
            <w:r>
              <w:rPr>
                <w:b/>
              </w:rPr>
              <w:t>Item</w:t>
            </w:r>
          </w:p>
        </w:tc>
        <w:tc>
          <w:tcPr>
            <w:tcW w:w="4961" w:type="dxa"/>
            <w:tcBorders>
              <w:left w:val="nil"/>
              <w:bottom w:val="single" w:sz="4" w:space="0" w:color="auto"/>
              <w:right w:val="nil"/>
            </w:tcBorders>
          </w:tcPr>
          <w:p>
            <w:pPr>
              <w:pStyle w:val="yTableNAm"/>
              <w:keepNext/>
              <w:jc w:val="center"/>
              <w:rPr>
                <w:b/>
              </w:rPr>
            </w:pPr>
            <w:r>
              <w:rPr>
                <w:b/>
              </w:rPr>
              <w:t>Matter</w:t>
            </w:r>
          </w:p>
        </w:tc>
        <w:tc>
          <w:tcPr>
            <w:tcW w:w="1382" w:type="dxa"/>
            <w:tcBorders>
              <w:left w:val="nil"/>
              <w:bottom w:val="single" w:sz="4" w:space="0" w:color="auto"/>
              <w:right w:val="nil"/>
            </w:tcBorders>
          </w:tcPr>
          <w:p>
            <w:pPr>
              <w:pStyle w:val="yTableNAm"/>
              <w:keepNext/>
              <w:jc w:val="center"/>
              <w:rPr>
                <w:b/>
              </w:rPr>
            </w:pPr>
            <w:r>
              <w:rPr>
                <w:b/>
              </w:rPr>
              <w:t>Fee</w:t>
            </w:r>
            <w:r>
              <w:rPr>
                <w:b/>
              </w:rPr>
              <w:br/>
              <w:t>$</w:t>
            </w:r>
          </w:p>
        </w:tc>
      </w:tr>
      <w:tr>
        <w:tc>
          <w:tcPr>
            <w:tcW w:w="709" w:type="dxa"/>
            <w:tcBorders>
              <w:left w:val="nil"/>
              <w:bottom w:val="nil"/>
              <w:right w:val="nil"/>
            </w:tcBorders>
          </w:tcPr>
          <w:p>
            <w:pPr>
              <w:pStyle w:val="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spacing w:before="60"/>
              <w:rPr>
                <w:rFonts w:ascii="Arial" w:hAnsi="Arial" w:cs="Arial"/>
                <w:spacing w:val="-4"/>
                <w:sz w:val="18"/>
                <w:szCs w:val="18"/>
              </w:rPr>
            </w:pPr>
            <w:r>
              <w:rPr>
                <w:rFonts w:ascii="Arial" w:hAnsi="Arial" w:cs="Arial"/>
                <w:spacing w:val="-4"/>
                <w:sz w:val="18"/>
                <w:szCs w:val="18"/>
              </w:rPr>
              <w:t>Note:</w:t>
            </w:r>
          </w:p>
          <w:p>
            <w:pPr>
              <w:pStyle w:val="yTableNAm"/>
              <w:spacing w:before="60"/>
              <w:rPr>
                <w:rFonts w:ascii="Arial" w:hAnsi="Arial" w:cs="Arial"/>
                <w:spacing w:val="-4"/>
                <w:sz w:val="18"/>
                <w:szCs w:val="18"/>
              </w:rPr>
            </w:pPr>
            <w:r>
              <w:rPr>
                <w:rFonts w:ascii="Arial" w:hAnsi="Arial" w:cs="Arial"/>
                <w:spacing w:val="-4"/>
                <w:sz w:val="18"/>
                <w:szCs w:val="18"/>
              </w:rPr>
              <w:t xml:space="preserve">In this Schedule, </w:t>
            </w:r>
            <w:r>
              <w:rPr>
                <w:rFonts w:ascii="Arial" w:hAnsi="Arial" w:cs="Arial"/>
                <w:b/>
                <w:i/>
                <w:spacing w:val="-4"/>
                <w:sz w:val="18"/>
                <w:szCs w:val="18"/>
              </w:rPr>
              <w:t>grant</w:t>
            </w:r>
            <w:r>
              <w:rPr>
                <w:rFonts w:ascii="Arial" w:hAnsi="Arial" w:cs="Arial"/>
                <w:spacing w:val="-4"/>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jc w:val="center"/>
            </w:pPr>
            <w:r>
              <w:br/>
            </w:r>
            <w:r>
              <w:br/>
              <w:t>370.00</w:t>
            </w:r>
          </w:p>
        </w:tc>
      </w:tr>
      <w:tr>
        <w:tc>
          <w:tcPr>
            <w:tcW w:w="709" w:type="dxa"/>
            <w:tcBorders>
              <w:top w:val="nil"/>
              <w:left w:val="nil"/>
              <w:bottom w:val="nil"/>
              <w:right w:val="nil"/>
            </w:tcBorders>
          </w:tcPr>
          <w:p>
            <w:pPr>
              <w:pStyle w:val="yTableNAm"/>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ind w:left="584" w:hanging="5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ind w:left="584" w:hanging="584"/>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jc w:val="center"/>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jc w:val="center"/>
            </w:pPr>
            <w:r>
              <w:br/>
              <w:t>87.50</w:t>
            </w:r>
          </w:p>
        </w:tc>
      </w:tr>
      <w:tr>
        <w:tc>
          <w:tcPr>
            <w:tcW w:w="709" w:type="dxa"/>
            <w:tcBorders>
              <w:top w:val="nil"/>
              <w:left w:val="nil"/>
              <w:bottom w:val="nil"/>
              <w:right w:val="nil"/>
            </w:tcBorders>
          </w:tcPr>
          <w:p>
            <w:pPr>
              <w:pStyle w:val="yTableNAm"/>
              <w:keepLines/>
            </w:pPr>
            <w:r>
              <w:t>4.</w:t>
            </w:r>
          </w:p>
        </w:tc>
        <w:tc>
          <w:tcPr>
            <w:tcW w:w="4961" w:type="dxa"/>
            <w:tcBorders>
              <w:top w:val="nil"/>
              <w:left w:val="nil"/>
              <w:bottom w:val="nil"/>
              <w:right w:val="nil"/>
            </w:tcBorders>
          </w:tcPr>
          <w:p>
            <w:pPr>
              <w:pStyle w:val="yTableNAm"/>
              <w:keepLines/>
              <w:ind w:left="584" w:hanging="584"/>
            </w:pPr>
            <w:r>
              <w:t>(a)</w:t>
            </w:r>
            <w:r>
              <w:tab/>
              <w:t xml:space="preserve">For the supply of copies of a will or other document, including marking as an office copy if required — for each page </w:t>
            </w:r>
          </w:p>
          <w:p>
            <w:pPr>
              <w:pStyle w:val="yTableNAm"/>
              <w:keepLines/>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keepLines/>
              <w:jc w:val="center"/>
            </w:pPr>
            <w:r>
              <w:br/>
            </w:r>
            <w:r>
              <w:br/>
              <w:t>1.85</w:t>
            </w:r>
          </w:p>
          <w:p>
            <w:pPr>
              <w:pStyle w:val="yTableNAm"/>
              <w:keepLines/>
              <w:jc w:val="center"/>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jc w:val="center"/>
            </w:pPr>
            <w:r>
              <w:br/>
              <w:t>110.50</w:t>
            </w:r>
          </w:p>
          <w:p>
            <w:pPr>
              <w:pStyle w:val="yTableNAm"/>
              <w:jc w:val="center"/>
            </w:pPr>
            <w:r>
              <w:br/>
              <w:t>110.50</w:t>
            </w:r>
          </w:p>
        </w:tc>
      </w:tr>
      <w:tr>
        <w:tc>
          <w:tcPr>
            <w:tcW w:w="709" w:type="dxa"/>
            <w:tcBorders>
              <w:top w:val="nil"/>
              <w:left w:val="nil"/>
              <w:right w:val="nil"/>
            </w:tcBorders>
          </w:tcPr>
          <w:p>
            <w:pPr>
              <w:pStyle w:val="yTableNAm"/>
              <w:keepNext/>
            </w:pPr>
            <w:r>
              <w:t>6.</w:t>
            </w:r>
          </w:p>
        </w:tc>
        <w:tc>
          <w:tcPr>
            <w:tcW w:w="4961" w:type="dxa"/>
            <w:tcBorders>
              <w:top w:val="nil"/>
              <w:left w:val="nil"/>
              <w:right w:val="nil"/>
            </w:tcBorders>
          </w:tcPr>
          <w:p>
            <w:pPr>
              <w:pStyle w:val="yTableNAm"/>
              <w:keepNext/>
            </w:pPr>
            <w:r>
              <w:t xml:space="preserve">For a search for and inspection of a document or file of documents </w:t>
            </w:r>
          </w:p>
        </w:tc>
        <w:tc>
          <w:tcPr>
            <w:tcW w:w="1382" w:type="dxa"/>
            <w:tcBorders>
              <w:top w:val="nil"/>
              <w:left w:val="nil"/>
              <w:right w:val="nil"/>
            </w:tcBorders>
          </w:tcPr>
          <w:p>
            <w:pPr>
              <w:pStyle w:val="yTableNAm"/>
              <w:keepNext/>
              <w:jc w:val="center"/>
            </w:pPr>
            <w:r>
              <w:br/>
              <w:t>44.50</w:t>
            </w:r>
          </w:p>
        </w:tc>
      </w:tr>
    </w:tbl>
    <w:p>
      <w:pPr>
        <w:pStyle w:val="BlankOpen"/>
        <w:rPr>
          <w:snapToGrid w:val="0"/>
        </w:rPr>
      </w:pP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19" w:name="_Toc516821150"/>
      <w:bookmarkStart w:id="120" w:name="_Toc516821244"/>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93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CA4C-DB80-4921-B355-C10079999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12707</Words>
  <Characters>59473</Characters>
  <Application>Microsoft Office Word</Application>
  <DocSecurity>0</DocSecurity>
  <Lines>4574</Lines>
  <Paragraphs>1899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2002 - 03-h0-00</dc:title>
  <dc:subject/>
  <dc:creator/>
  <cp:keywords/>
  <dc:description/>
  <cp:lastModifiedBy>svcMRProcess</cp:lastModifiedBy>
  <cp:revision>4</cp:revision>
  <cp:lastPrinted>2014-08-12T01:22:00Z</cp:lastPrinted>
  <dcterms:created xsi:type="dcterms:W3CDTF">2018-09-16T22:56:00Z</dcterms:created>
  <dcterms:modified xsi:type="dcterms:W3CDTF">2018-09-16T22:56:00Z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03-h0-00</vt:lpwstr>
  </property>
</Properties>
</file>