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rPr>
          <w:vertAlign w:val="superscript"/>
        </w:rPr>
      </w:pPr>
      <w:r>
        <w:fldChar w:fldCharType="begin"/>
      </w:r>
      <w:r>
        <w:instrText xml:space="preserve"> STYLEREF "PrincipalAct_Reg"</w:instrText>
      </w:r>
      <w:r>
        <w:fldChar w:fldCharType="separate"/>
      </w:r>
      <w:r>
        <w:rPr>
          <w:noProof/>
        </w:rPr>
        <w:t>Private Hospitals and Health Services Act 1927</w:t>
      </w:r>
      <w:r>
        <w:fldChar w:fldCharType="end"/>
      </w:r>
      <w:r>
        <w:t> </w:t>
      </w:r>
      <w:r>
        <w:rPr>
          <w:vertAlign w:val="superscript"/>
        </w:rPr>
        <w:t>2</w:t>
      </w:r>
    </w:p>
    <w:p>
      <w:pPr>
        <w:pStyle w:val="NameofActRegPage1"/>
        <w:spacing w:before="1800" w:after="4200"/>
        <w:outlineLvl w:val="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_Toc518028639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_Toc518028640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license</w:t>
      </w:r>
      <w:r>
        <w:tab/>
      </w:r>
      <w:r>
        <w:fldChar w:fldCharType="begin"/>
      </w:r>
      <w:r>
        <w:instrText xml:space="preserve"> PAGEREF _Toc518028641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grant or renewal of licence</w:t>
      </w:r>
      <w:r>
        <w:tab/>
      </w:r>
      <w:r>
        <w:fldChar w:fldCharType="begin"/>
      </w:r>
      <w:r>
        <w:instrText xml:space="preserve"> PAGEREF _Toc518028642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Endorsement of licence to allow admission etc. under </w:t>
      </w:r>
      <w:r>
        <w:rPr>
          <w:i/>
          <w:snapToGrid w:val="0"/>
        </w:rPr>
        <w:t>Mental Health Act 1996</w:t>
      </w:r>
      <w:r>
        <w:tab/>
      </w:r>
      <w:r>
        <w:fldChar w:fldCharType="begin"/>
      </w:r>
      <w:r>
        <w:instrText xml:space="preserve"> PAGEREF _Toc518028643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 for application for approval of premises</w:t>
      </w:r>
      <w:r>
        <w:tab/>
      </w:r>
      <w:r>
        <w:fldChar w:fldCharType="begin"/>
      </w:r>
      <w:r>
        <w:instrText xml:space="preserve"> PAGEREF _Toc518028644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General duties of licence holder</w:t>
      </w:r>
      <w:r>
        <w:tab/>
      </w:r>
      <w:r>
        <w:fldChar w:fldCharType="begin"/>
      </w:r>
      <w:r>
        <w:instrText xml:space="preserve"> PAGEREF _Toc518028645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Qualified staff to be provided</w:t>
      </w:r>
      <w:r>
        <w:tab/>
      </w:r>
      <w:r>
        <w:fldChar w:fldCharType="begin"/>
      </w:r>
      <w:r>
        <w:instrText xml:space="preserve"> PAGEREF _Toc518028646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Staff accommodation</w:t>
      </w:r>
      <w:r>
        <w:tab/>
      </w:r>
      <w:r>
        <w:fldChar w:fldCharType="begin"/>
      </w:r>
      <w:r>
        <w:instrText xml:space="preserve"> PAGEREF _Toc518028647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Information to be recorded</w:t>
      </w:r>
      <w:r>
        <w:tab/>
      </w:r>
      <w:r>
        <w:fldChar w:fldCharType="begin"/>
      </w:r>
      <w:r>
        <w:instrText xml:space="preserve"> PAGEREF _Toc518028648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and penalties</w:t>
      </w:r>
      <w:r>
        <w:tab/>
      </w:r>
      <w:r>
        <w:fldChar w:fldCharType="begin"/>
      </w:r>
      <w:r>
        <w:instrText xml:space="preserve"> PAGEREF _Toc518028649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_Toc518028652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Private Hospitals and Health Services Act 1927</w:t>
      </w:r>
    </w:p>
    <w:p>
      <w:pPr>
        <w:pStyle w:val="NameofActReg"/>
      </w:pPr>
      <w:r>
        <w:t>Hospitals (Licensing and Conduct of Private Hospitals) Regulations 1987</w:t>
      </w:r>
    </w:p>
    <w:p>
      <w:pPr>
        <w:pStyle w:val="Heading5"/>
        <w:rPr>
          <w:snapToGrid w:val="0"/>
        </w:rPr>
      </w:pPr>
      <w:bookmarkStart w:id="3" w:name="_Toc518028639"/>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pPr>
        <w:pStyle w:val="Heading5"/>
        <w:rPr>
          <w:snapToGrid w:val="0"/>
        </w:rPr>
      </w:pPr>
      <w:bookmarkStart w:id="4" w:name="_Toc518028640"/>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518028641"/>
      <w:r>
        <w:rPr>
          <w:rStyle w:val="CharSectno"/>
        </w:rPr>
        <w:t>3</w:t>
      </w:r>
      <w:r>
        <w:rPr>
          <w:snapToGrid w:val="0"/>
        </w:rPr>
        <w:t>.</w:t>
      </w:r>
      <w:r>
        <w:rPr>
          <w:snapToGrid w:val="0"/>
        </w:rPr>
        <w:tab/>
        <w:t>Term used: license</w:t>
      </w:r>
      <w:bookmarkEnd w:id="5"/>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6" w:name="_Toc518028642"/>
      <w:r>
        <w:rPr>
          <w:rStyle w:val="CharSectno"/>
        </w:rPr>
        <w:t>4</w:t>
      </w:r>
      <w:r>
        <w:rPr>
          <w:snapToGrid w:val="0"/>
        </w:rPr>
        <w:t>.</w:t>
      </w:r>
      <w:r>
        <w:rPr>
          <w:snapToGrid w:val="0"/>
        </w:rPr>
        <w:tab/>
        <w:t>Application for grant or renewal of licence</w:t>
      </w:r>
      <w:bookmarkEnd w:id="6"/>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Gazette 15 Dec 2006 p. 5626; 30 Oct 2009 p. 4306.] </w:t>
      </w:r>
    </w:p>
    <w:p>
      <w:pPr>
        <w:pStyle w:val="Heading5"/>
        <w:rPr>
          <w:snapToGrid w:val="0"/>
        </w:rPr>
      </w:pPr>
      <w:bookmarkStart w:id="7" w:name="_Toc518028643"/>
      <w:r>
        <w:rPr>
          <w:rStyle w:val="CharSectno"/>
        </w:rPr>
        <w:t>4A</w:t>
      </w:r>
      <w:r>
        <w:rPr>
          <w:snapToGrid w:val="0"/>
        </w:rPr>
        <w:t>.</w:t>
      </w:r>
      <w:r>
        <w:rPr>
          <w:snapToGrid w:val="0"/>
        </w:rPr>
        <w:tab/>
        <w:t xml:space="preserve">Endorsement of licence to allow admission etc. under </w:t>
      </w:r>
      <w:r>
        <w:rPr>
          <w:i/>
          <w:snapToGrid w:val="0"/>
        </w:rPr>
        <w:t>Mental Health Act 1996</w:t>
      </w:r>
      <w:bookmarkEnd w:id="7"/>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Gazette 7 Nov 1997 p. 6133; amended: Gazette 15 Dec 2006 p. 5626.] </w:t>
      </w:r>
    </w:p>
    <w:p>
      <w:pPr>
        <w:pStyle w:val="Heading5"/>
        <w:rPr>
          <w:snapToGrid w:val="0"/>
        </w:rPr>
      </w:pPr>
      <w:bookmarkStart w:id="8" w:name="_Toc518028644"/>
      <w:r>
        <w:rPr>
          <w:rStyle w:val="CharSectno"/>
        </w:rPr>
        <w:t>5</w:t>
      </w:r>
      <w:r>
        <w:rPr>
          <w:snapToGrid w:val="0"/>
        </w:rPr>
        <w:t>.</w:t>
      </w:r>
      <w:r>
        <w:rPr>
          <w:snapToGrid w:val="0"/>
        </w:rPr>
        <w:tab/>
        <w:t>Fee for application for approval of premises</w:t>
      </w:r>
      <w:bookmarkEnd w:id="8"/>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tab/>
        <w:t xml:space="preserve">[Regulation 5 amended: Gazette 15 Dec 2006 p. 5626; 30 Oct 2009 p. 4307.] </w:t>
      </w:r>
    </w:p>
    <w:p>
      <w:pPr>
        <w:pStyle w:val="Heading5"/>
        <w:rPr>
          <w:snapToGrid w:val="0"/>
        </w:rPr>
      </w:pPr>
      <w:bookmarkStart w:id="9" w:name="_Toc518028645"/>
      <w:r>
        <w:rPr>
          <w:rStyle w:val="CharSectno"/>
        </w:rPr>
        <w:t>6</w:t>
      </w:r>
      <w:r>
        <w:rPr>
          <w:snapToGrid w:val="0"/>
        </w:rPr>
        <w:t>.</w:t>
      </w:r>
      <w:r>
        <w:rPr>
          <w:snapToGrid w:val="0"/>
        </w:rPr>
        <w:tab/>
        <w:t>General duties of licence holder</w:t>
      </w:r>
      <w:bookmarkEnd w:id="9"/>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 and</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3</w:t>
      </w:r>
      <w:r>
        <w:rPr>
          <w:snapToGrid w:val="0"/>
        </w:rPr>
        <w:t xml:space="preserve"> of the Commonwealth are provided by that food; and</w:t>
      </w:r>
    </w:p>
    <w:p>
      <w:pPr>
        <w:pStyle w:val="Indenti"/>
        <w:rPr>
          <w:snapToGrid w:val="0"/>
        </w:rPr>
      </w:pPr>
      <w:r>
        <w:rPr>
          <w:snapToGrid w:val="0"/>
        </w:rPr>
        <w:tab/>
        <w:t>(ii)</w:t>
      </w:r>
      <w:r>
        <w:rPr>
          <w:snapToGrid w:val="0"/>
        </w:rPr>
        <w:tab/>
        <w:t>patients receive fresh fruit or fruit juice daily; and</w:t>
      </w:r>
    </w:p>
    <w:p>
      <w:pPr>
        <w:pStyle w:val="Indenti"/>
        <w:rPr>
          <w:snapToGrid w:val="0"/>
        </w:rPr>
      </w:pPr>
      <w:r>
        <w:rPr>
          <w:snapToGrid w:val="0"/>
        </w:rPr>
        <w:tab/>
        <w:t>(iii)</w:t>
      </w:r>
      <w:r>
        <w:rPr>
          <w:snapToGrid w:val="0"/>
        </w:rPr>
        <w:tab/>
        <w:t>patients on therapeutic diets or special diets are provided with food appropriate to those diets; and</w:t>
      </w:r>
    </w:p>
    <w:p>
      <w:pPr>
        <w:pStyle w:val="Indenti"/>
        <w:rPr>
          <w:snapToGrid w:val="0"/>
        </w:rPr>
      </w:pPr>
      <w:r>
        <w:rPr>
          <w:snapToGrid w:val="0"/>
        </w:rPr>
        <w:tab/>
        <w:t>(iv)</w:t>
      </w:r>
      <w:r>
        <w:rPr>
          <w:snapToGrid w:val="0"/>
        </w:rPr>
        <w:tab/>
        <w:t>a particular menu is not repeated at intervals of less than 4 weeks; and</w:t>
      </w:r>
    </w:p>
    <w:p>
      <w:pPr>
        <w:pStyle w:val="Indenti"/>
        <w:rPr>
          <w:snapToGrid w:val="0"/>
        </w:rPr>
      </w:pPr>
      <w:r>
        <w:rPr>
          <w:snapToGrid w:val="0"/>
        </w:rPr>
        <w:tab/>
        <w:t>(v)</w:t>
      </w:r>
      <w:r>
        <w:rPr>
          <w:snapToGrid w:val="0"/>
        </w:rPr>
        <w:tab/>
        <w:t>standard food portion sizes are developed and used as a guide to preparing and ordering food; and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Gazette 15 Dec 2006 p. 5626; 29 Jan 2016 p. 275.] </w:t>
      </w:r>
    </w:p>
    <w:p>
      <w:pPr>
        <w:pStyle w:val="Heading5"/>
        <w:rPr>
          <w:snapToGrid w:val="0"/>
        </w:rPr>
      </w:pPr>
      <w:bookmarkStart w:id="10" w:name="_Toc518028646"/>
      <w:r>
        <w:rPr>
          <w:rStyle w:val="CharSectno"/>
        </w:rPr>
        <w:t>7</w:t>
      </w:r>
      <w:r>
        <w:rPr>
          <w:snapToGrid w:val="0"/>
        </w:rPr>
        <w:t>.</w:t>
      </w:r>
      <w:r>
        <w:rPr>
          <w:snapToGrid w:val="0"/>
        </w:rPr>
        <w:tab/>
        <w:t>Qualified staff to be provided</w:t>
      </w:r>
      <w:bookmarkEnd w:id="10"/>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11" w:name="_Toc518028647"/>
      <w:r>
        <w:rPr>
          <w:rStyle w:val="CharSectno"/>
        </w:rPr>
        <w:t>8</w:t>
      </w:r>
      <w:r>
        <w:rPr>
          <w:snapToGrid w:val="0"/>
        </w:rPr>
        <w:t>.</w:t>
      </w:r>
      <w:r>
        <w:rPr>
          <w:snapToGrid w:val="0"/>
        </w:rPr>
        <w:tab/>
        <w:t>Staff accommodation</w:t>
      </w:r>
      <w:bookmarkEnd w:id="11"/>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 and</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12" w:name="_Toc518028648"/>
      <w:r>
        <w:rPr>
          <w:rStyle w:val="CharSectno"/>
        </w:rPr>
        <w:t>9</w:t>
      </w:r>
      <w:r>
        <w:rPr>
          <w:snapToGrid w:val="0"/>
        </w:rPr>
        <w:t>.</w:t>
      </w:r>
      <w:r>
        <w:rPr>
          <w:snapToGrid w:val="0"/>
        </w:rPr>
        <w:tab/>
        <w:t>Information to be recorded</w:t>
      </w:r>
      <w:bookmarkEnd w:id="12"/>
      <w:r>
        <w:rPr>
          <w:snapToGrid w:val="0"/>
        </w:rPr>
        <w:t xml:space="preserve"> </w:t>
      </w:r>
    </w:p>
    <w:p>
      <w:pPr>
        <w:pStyle w:val="Subsection"/>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 and</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Gazette 29 Jan 2016 p. 276.]</w:t>
      </w:r>
    </w:p>
    <w:p>
      <w:pPr>
        <w:pStyle w:val="Heading5"/>
        <w:rPr>
          <w:snapToGrid w:val="0"/>
        </w:rPr>
      </w:pPr>
      <w:bookmarkStart w:id="13" w:name="_Toc518028649"/>
      <w:r>
        <w:rPr>
          <w:rStyle w:val="CharSectno"/>
        </w:rPr>
        <w:t>10</w:t>
      </w:r>
      <w:r>
        <w:rPr>
          <w:snapToGrid w:val="0"/>
        </w:rPr>
        <w:t>.</w:t>
      </w:r>
      <w:r>
        <w:rPr>
          <w:snapToGrid w:val="0"/>
        </w:rPr>
        <w:tab/>
        <w:t>Offences and penalties</w:t>
      </w:r>
      <w:bookmarkEnd w:id="13"/>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rStyle w:val="CharSchText"/>
          <w:b w:val="0"/>
          <w:snapToGrid/>
          <w:sz w:val="24"/>
        </w:rPr>
      </w:pPr>
      <w:bookmarkStart w:id="15" w:name="_Toc512937917"/>
      <w:bookmarkStart w:id="16" w:name="_Toc512937948"/>
      <w:bookmarkStart w:id="17" w:name="_Toc512939234"/>
      <w:bookmarkStart w:id="18" w:name="_Toc512945329"/>
      <w:bookmarkStart w:id="19" w:name="_Toc512945529"/>
      <w:bookmarkStart w:id="20" w:name="_Toc512945602"/>
      <w:bookmarkStart w:id="21" w:name="_Toc513022104"/>
      <w:bookmarkStart w:id="22" w:name="_Toc518028650"/>
      <w:bookmarkStart w:id="23" w:name="_Toc514933509"/>
      <w:bookmarkStart w:id="24" w:name="_Toc514935257"/>
      <w:bookmarkStart w:id="25" w:name="_Toc514937696"/>
      <w:bookmarkStart w:id="26" w:name="_Toc515004442"/>
      <w:r>
        <w:rPr>
          <w:rStyle w:val="CharSchNo"/>
        </w:rPr>
        <w:t>Schedule 1</w:t>
      </w:r>
      <w:r>
        <w:rPr>
          <w:rStyle w:val="CharSDivNo"/>
        </w:rPr>
        <w:t> </w:t>
      </w:r>
      <w:r>
        <w:t>—</w:t>
      </w:r>
      <w:r>
        <w:rPr>
          <w:rStyle w:val="CharSDivText"/>
        </w:rPr>
        <w:t> </w:t>
      </w:r>
      <w:r>
        <w:rPr>
          <w:rStyle w:val="CharSchText"/>
        </w:rPr>
        <w:t>Fees</w:t>
      </w:r>
      <w:bookmarkEnd w:id="15"/>
      <w:bookmarkEnd w:id="16"/>
      <w:bookmarkEnd w:id="17"/>
      <w:bookmarkEnd w:id="18"/>
      <w:bookmarkEnd w:id="19"/>
      <w:bookmarkEnd w:id="20"/>
      <w:bookmarkEnd w:id="21"/>
      <w:bookmarkEnd w:id="22"/>
    </w:p>
    <w:p>
      <w:pPr>
        <w:pStyle w:val="yFootnoteheading"/>
        <w:spacing w:after="120"/>
      </w:pPr>
      <w:r>
        <w:tab/>
        <w:t>[Heading inserted: Gazette 25 May 2018 p. 1635.]</w:t>
      </w:r>
    </w:p>
    <w:tbl>
      <w:tblPr>
        <w:tblW w:w="637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410"/>
        <w:gridCol w:w="2126"/>
        <w:gridCol w:w="992"/>
      </w:tblGrid>
      <w:tr>
        <w:trPr>
          <w:cantSplit/>
          <w:tblHeader/>
        </w:trPr>
        <w:tc>
          <w:tcPr>
            <w:tcW w:w="851" w:type="dxa"/>
          </w:tcPr>
          <w:p>
            <w:pPr>
              <w:pStyle w:val="yTableNAm"/>
              <w:jc w:val="center"/>
            </w:pPr>
            <w:r>
              <w:rPr>
                <w:b/>
                <w:bCs/>
              </w:rPr>
              <w:t>Item</w:t>
            </w:r>
          </w:p>
        </w:tc>
        <w:tc>
          <w:tcPr>
            <w:tcW w:w="4536" w:type="dxa"/>
            <w:gridSpan w:val="2"/>
          </w:tcPr>
          <w:p>
            <w:pPr>
              <w:pStyle w:val="yTableNAm"/>
              <w:jc w:val="center"/>
            </w:pPr>
            <w:r>
              <w:rPr>
                <w:b/>
                <w:bCs/>
              </w:rPr>
              <w:t>Description</w:t>
            </w:r>
          </w:p>
        </w:tc>
        <w:tc>
          <w:tcPr>
            <w:tcW w:w="992" w:type="dxa"/>
          </w:tcPr>
          <w:p>
            <w:pPr>
              <w:pStyle w:val="yTableNAm"/>
              <w:jc w:val="center"/>
            </w:pPr>
            <w:r>
              <w:rPr>
                <w:b/>
                <w:bCs/>
              </w:rPr>
              <w:t>Fee ($)</w:t>
            </w:r>
          </w:p>
        </w:tc>
      </w:tr>
      <w:tr>
        <w:tc>
          <w:tcPr>
            <w:tcW w:w="851" w:type="dxa"/>
          </w:tcPr>
          <w:p>
            <w:pPr>
              <w:pStyle w:val="yTableNAm"/>
              <w:spacing w:before="0"/>
            </w:pPr>
            <w:r>
              <w:rPr>
                <w:sz w:val="24"/>
              </w:rPr>
              <w:br w:type="page"/>
            </w:r>
            <w:r>
              <w:t>1.</w:t>
            </w:r>
          </w:p>
        </w:tc>
        <w:tc>
          <w:tcPr>
            <w:tcW w:w="2410" w:type="dxa"/>
          </w:tcPr>
          <w:p>
            <w:pPr>
              <w:pStyle w:val="yTableNAm"/>
              <w:spacing w:before="0"/>
            </w:pPr>
            <w:r>
              <w:t>Grant of licence (r. 4(1))</w:t>
            </w:r>
          </w:p>
        </w:tc>
        <w:tc>
          <w:tcPr>
            <w:tcW w:w="2126" w:type="dxa"/>
          </w:tcPr>
          <w:p>
            <w:pPr>
              <w:pStyle w:val="zyTableNAm"/>
              <w:spacing w:before="0"/>
            </w:pPr>
          </w:p>
        </w:tc>
        <w:tc>
          <w:tcPr>
            <w:tcW w:w="992" w:type="dxa"/>
          </w:tcPr>
          <w:p>
            <w:pPr>
              <w:pStyle w:val="yTableNAm"/>
              <w:spacing w:before="0"/>
            </w:pPr>
            <w:r>
              <w:rPr>
                <w:szCs w:val="22"/>
              </w:rPr>
              <w:t>1 240</w:t>
            </w:r>
          </w:p>
        </w:tc>
      </w:tr>
      <w:tr>
        <w:tc>
          <w:tcPr>
            <w:tcW w:w="851" w:type="dxa"/>
          </w:tcPr>
          <w:p>
            <w:pPr>
              <w:pStyle w:val="yTableNAm"/>
              <w:spacing w:before="0"/>
            </w:pPr>
            <w:r>
              <w:t>2.</w:t>
            </w:r>
          </w:p>
        </w:tc>
        <w:tc>
          <w:tcPr>
            <w:tcW w:w="2410" w:type="dxa"/>
          </w:tcPr>
          <w:p>
            <w:pPr>
              <w:pStyle w:val="yTableNAm"/>
              <w:spacing w:before="0"/>
            </w:pPr>
            <w:r>
              <w:t>Renewal of licence (r. 4(3))</w:t>
            </w:r>
          </w:p>
        </w:tc>
        <w:tc>
          <w:tcPr>
            <w:tcW w:w="2126" w:type="dxa"/>
          </w:tcPr>
          <w:p>
            <w:pPr>
              <w:pStyle w:val="yTableNAm"/>
              <w:spacing w:before="0"/>
            </w:pPr>
            <w:r>
              <w:t xml:space="preserve">Number of persons licensed to be accommodated — </w:t>
            </w:r>
          </w:p>
          <w:p>
            <w:pPr>
              <w:pStyle w:val="yTableNAm"/>
              <w:spacing w:before="0"/>
            </w:pPr>
            <w:r>
              <w:t>Fewer than 25 …….</w:t>
            </w:r>
          </w:p>
          <w:p>
            <w:pPr>
              <w:pStyle w:val="yTableNAm"/>
              <w:spacing w:before="0"/>
            </w:pPr>
            <w:r>
              <w:t>25</w:t>
            </w:r>
            <w:r>
              <w:noBreakHyphen/>
              <w:t>100 ……………</w:t>
            </w:r>
          </w:p>
          <w:p>
            <w:pPr>
              <w:pStyle w:val="yTableNAm"/>
              <w:spacing w:before="0"/>
            </w:pPr>
            <w:r>
              <w:t>101</w:t>
            </w:r>
            <w:r>
              <w:noBreakHyphen/>
              <w:t>200 …………..</w:t>
            </w:r>
          </w:p>
          <w:p>
            <w:pPr>
              <w:pStyle w:val="yTableNAm"/>
              <w:spacing w:before="0"/>
            </w:pPr>
            <w:r>
              <w:t>more than 201 ……</w:t>
            </w:r>
          </w:p>
        </w:tc>
        <w:tc>
          <w:tcPr>
            <w:tcW w:w="992" w:type="dxa"/>
          </w:tcPr>
          <w:p>
            <w:pPr>
              <w:pStyle w:val="yTableNAm"/>
              <w:spacing w:before="0"/>
            </w:pPr>
            <w:r>
              <w:br/>
            </w:r>
            <w:r>
              <w:br/>
            </w:r>
          </w:p>
          <w:p>
            <w:pPr>
              <w:pStyle w:val="yTableNAm"/>
              <w:spacing w:before="0"/>
            </w:pPr>
            <w:r>
              <w:rPr>
                <w:szCs w:val="22"/>
              </w:rPr>
              <w:t>1 230</w:t>
            </w:r>
          </w:p>
          <w:p>
            <w:pPr>
              <w:pStyle w:val="yTableNAm"/>
              <w:spacing w:before="0"/>
            </w:pPr>
            <w:r>
              <w:rPr>
                <w:szCs w:val="22"/>
              </w:rPr>
              <w:t>1 280</w:t>
            </w:r>
          </w:p>
          <w:p>
            <w:pPr>
              <w:pStyle w:val="yTableNAm"/>
              <w:spacing w:before="0"/>
            </w:pPr>
            <w:r>
              <w:rPr>
                <w:szCs w:val="22"/>
              </w:rPr>
              <w:t>1 485</w:t>
            </w:r>
          </w:p>
          <w:p>
            <w:pPr>
              <w:pStyle w:val="yTableNAm"/>
              <w:spacing w:before="0"/>
            </w:pPr>
            <w:r>
              <w:rPr>
                <w:szCs w:val="22"/>
              </w:rPr>
              <w:t>2 040</w:t>
            </w:r>
          </w:p>
        </w:tc>
      </w:tr>
      <w:tr>
        <w:tc>
          <w:tcPr>
            <w:tcW w:w="851" w:type="dxa"/>
          </w:tcPr>
          <w:p>
            <w:pPr>
              <w:pStyle w:val="yTableNAm"/>
              <w:spacing w:before="0"/>
            </w:pPr>
            <w:r>
              <w:t>3.</w:t>
            </w:r>
          </w:p>
        </w:tc>
        <w:tc>
          <w:tcPr>
            <w:tcW w:w="2410" w:type="dxa"/>
          </w:tcPr>
          <w:p>
            <w:pPr>
              <w:pStyle w:val="yTableNAm"/>
              <w:spacing w:before="0"/>
            </w:pPr>
            <w:r>
              <w:t>Replacement licence (r. 4(6))</w:t>
            </w:r>
          </w:p>
        </w:tc>
        <w:tc>
          <w:tcPr>
            <w:tcW w:w="2126" w:type="dxa"/>
          </w:tcPr>
          <w:p>
            <w:pPr>
              <w:pStyle w:val="zyTableNAm"/>
              <w:spacing w:before="0"/>
            </w:pPr>
          </w:p>
        </w:tc>
        <w:tc>
          <w:tcPr>
            <w:tcW w:w="992" w:type="dxa"/>
          </w:tcPr>
          <w:p>
            <w:pPr>
              <w:pStyle w:val="yTableNAm"/>
              <w:spacing w:before="0"/>
            </w:pPr>
            <w:r>
              <w:rPr>
                <w:szCs w:val="22"/>
              </w:rPr>
              <w:br/>
              <w:t>355</w:t>
            </w:r>
          </w:p>
        </w:tc>
      </w:tr>
      <w:tr>
        <w:tc>
          <w:tcPr>
            <w:tcW w:w="851" w:type="dxa"/>
          </w:tcPr>
          <w:p>
            <w:pPr>
              <w:pStyle w:val="yTableNAm"/>
              <w:spacing w:before="0"/>
            </w:pPr>
            <w:r>
              <w:t>4.</w:t>
            </w:r>
          </w:p>
        </w:tc>
        <w:tc>
          <w:tcPr>
            <w:tcW w:w="2410" w:type="dxa"/>
          </w:tcPr>
          <w:p>
            <w:pPr>
              <w:pStyle w:val="yTableNAm"/>
              <w:spacing w:before="0"/>
            </w:pPr>
            <w:r>
              <w:t>Approval of premises as a private hospital (r. 5)</w:t>
            </w:r>
          </w:p>
        </w:tc>
        <w:tc>
          <w:tcPr>
            <w:tcW w:w="2126" w:type="dxa"/>
          </w:tcPr>
          <w:p>
            <w:pPr>
              <w:pStyle w:val="yTableNAm"/>
              <w:spacing w:before="0"/>
            </w:pPr>
            <w:r>
              <w:t xml:space="preserve">Number of persons licensed to be accommodated — </w:t>
            </w:r>
          </w:p>
          <w:p>
            <w:pPr>
              <w:pStyle w:val="yTableNAm"/>
              <w:spacing w:before="0"/>
            </w:pPr>
            <w:r>
              <w:t>Fewer than 25 …….</w:t>
            </w:r>
          </w:p>
          <w:p>
            <w:pPr>
              <w:pStyle w:val="yTableNAm"/>
              <w:spacing w:before="0"/>
            </w:pPr>
            <w:r>
              <w:t>25</w:t>
            </w:r>
            <w:r>
              <w:noBreakHyphen/>
              <w:t>100 ……………</w:t>
            </w:r>
          </w:p>
          <w:p>
            <w:pPr>
              <w:pStyle w:val="yTableNAm"/>
              <w:spacing w:before="0"/>
            </w:pPr>
            <w:r>
              <w:t>101</w:t>
            </w:r>
            <w:r>
              <w:noBreakHyphen/>
              <w:t>200 …………..</w:t>
            </w:r>
          </w:p>
          <w:p>
            <w:pPr>
              <w:pStyle w:val="yTableNAm"/>
              <w:spacing w:before="0"/>
            </w:pPr>
            <w:r>
              <w:t>more than 201 ……</w:t>
            </w:r>
          </w:p>
        </w:tc>
        <w:tc>
          <w:tcPr>
            <w:tcW w:w="992" w:type="dxa"/>
          </w:tcPr>
          <w:p>
            <w:pPr>
              <w:pStyle w:val="yTableNAm"/>
              <w:spacing w:before="0"/>
            </w:pPr>
            <w:r>
              <w:br/>
            </w:r>
            <w:r>
              <w:br/>
            </w:r>
          </w:p>
          <w:p>
            <w:pPr>
              <w:pStyle w:val="yTableNAm"/>
              <w:spacing w:before="0"/>
            </w:pPr>
            <w:r>
              <w:rPr>
                <w:szCs w:val="22"/>
              </w:rPr>
              <w:t>7 050</w:t>
            </w:r>
          </w:p>
          <w:p>
            <w:pPr>
              <w:pStyle w:val="yTableNAm"/>
              <w:spacing w:before="0"/>
            </w:pPr>
            <w:r>
              <w:rPr>
                <w:szCs w:val="22"/>
              </w:rPr>
              <w:t>8 150</w:t>
            </w:r>
          </w:p>
          <w:p>
            <w:pPr>
              <w:pStyle w:val="yTableNAm"/>
              <w:spacing w:before="0"/>
            </w:pPr>
            <w:r>
              <w:rPr>
                <w:szCs w:val="22"/>
              </w:rPr>
              <w:t>11 085</w:t>
            </w:r>
          </w:p>
          <w:p>
            <w:pPr>
              <w:pStyle w:val="yTableNAm"/>
              <w:spacing w:before="0"/>
            </w:pPr>
            <w:r>
              <w:rPr>
                <w:szCs w:val="22"/>
              </w:rPr>
              <w:t>14 185</w:t>
            </w:r>
          </w:p>
        </w:tc>
      </w:tr>
    </w:tbl>
    <w:p>
      <w:pPr>
        <w:pStyle w:val="yFootnotesection"/>
      </w:pPr>
      <w:r>
        <w:tab/>
        <w:t>[Schedule 1 inserted: Gazette 25 May 2018 p. 1635</w:t>
      </w:r>
      <w:r>
        <w:noBreakHyphen/>
        <w:t>6.]</w:t>
      </w:r>
    </w:p>
    <w:bookmarkEnd w:id="23"/>
    <w:bookmarkEnd w:id="24"/>
    <w:bookmarkEnd w:id="25"/>
    <w:bookmarkEnd w:id="26"/>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5"/>
          <w:pgSz w:w="11907" w:h="16840" w:code="9"/>
          <w:pgMar w:top="2376" w:right="2405" w:bottom="3542" w:left="2405" w:header="706" w:footer="3380" w:gutter="0"/>
          <w:cols w:space="720"/>
          <w:noEndnote/>
          <w:titlePg/>
          <w:docGrid w:linePitch="326"/>
        </w:sectPr>
      </w:pPr>
    </w:p>
    <w:p>
      <w:pPr>
        <w:pStyle w:val="nHeading2"/>
      </w:pPr>
      <w:bookmarkStart w:id="27" w:name="_Toc514933510"/>
      <w:bookmarkStart w:id="28" w:name="_Toc514935258"/>
      <w:bookmarkStart w:id="29" w:name="_Toc514937697"/>
      <w:bookmarkStart w:id="30" w:name="_Toc515004443"/>
      <w:bookmarkStart w:id="31" w:name="_Toc518028651"/>
      <w:r>
        <w:t>Notes</w:t>
      </w:r>
      <w:bookmarkEnd w:id="27"/>
      <w:bookmarkEnd w:id="28"/>
      <w:bookmarkEnd w:id="29"/>
      <w:bookmarkEnd w:id="30"/>
      <w:bookmarkEnd w:id="31"/>
    </w:p>
    <w:p>
      <w:pPr>
        <w:pStyle w:val="nSubsection"/>
      </w:pPr>
      <w:r>
        <w:rPr>
          <w:vertAlign w:val="superscript"/>
        </w:rPr>
        <w:t>1</w:t>
      </w:r>
      <w:r>
        <w:tab/>
        <w:t xml:space="preserve">This is a compilation of the </w:t>
      </w:r>
      <w:r>
        <w:rPr>
          <w:i/>
          <w:noProof/>
        </w:rPr>
        <w:t>Hospitals (Licensing and Conduct of Private Hospitals) Regulations 1987</w:t>
      </w:r>
      <w:r>
        <w:t xml:space="preserve"> and includes the amendments made by the other written laws referred to in the following table.  The table also contains information about any reprint.</w:t>
      </w:r>
    </w:p>
    <w:p>
      <w:pPr>
        <w:pStyle w:val="nHeading3"/>
        <w:rPr>
          <w:snapToGrid w:val="0"/>
        </w:rPr>
      </w:pPr>
      <w:bookmarkStart w:id="32" w:name="_Toc518028652"/>
      <w:r>
        <w:t>Compilation table</w:t>
      </w:r>
      <w:bookmarkEnd w:id="32"/>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r>
              <w:rPr>
                <w:i/>
              </w:rPr>
              <w:t>Hospitals (Licensing and Conduct of Private Hospitals) Regulations 1987</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c>
          <w:tcPr>
            <w:tcW w:w="3119"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rPr>
          <w:cantSplit/>
        </w:trPr>
        <w:tc>
          <w:tcPr>
            <w:tcW w:w="7088"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c>
          <w:tcPr>
            <w:tcW w:w="3119"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c>
          <w:tcPr>
            <w:tcW w:w="3119"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c>
          <w:tcPr>
            <w:tcW w:w="3119"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c>
          <w:tcPr>
            <w:tcW w:w="3119"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rFonts w:ascii="Times" w:hAnsi="Times"/>
                <w:bCs/>
                <w:snapToGrid w:val="0"/>
              </w:rPr>
              <w:t>r. 1 and 2: 6 Jun 2014 (see r. 2(a));</w:t>
            </w:r>
            <w:r>
              <w:rPr>
                <w:rFonts w:ascii="Times" w:hAnsi="Times"/>
                <w:bCs/>
                <w:snapToGrid w:val="0"/>
              </w:rPr>
              <w:br/>
              <w:t>Regulations other than r. 1 and 2: 1 Jul 2014 (see r. 2(b))</w:t>
            </w:r>
          </w:p>
        </w:tc>
      </w:tr>
      <w:tr>
        <w:tc>
          <w:tcPr>
            <w:tcW w:w="3119"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rFonts w:ascii="Times" w:hAnsi="Times"/>
                <w:bCs/>
                <w:snapToGrid w:val="0"/>
              </w:rPr>
            </w:pPr>
            <w:r>
              <w:rPr>
                <w:rFonts w:ascii="Times" w:hAnsi="Times"/>
                <w:bCs/>
                <w:snapToGrid w:val="0"/>
              </w:rPr>
              <w:t>r. 1 and 2: 29 Jan 2016 (see r. 2(a));</w:t>
            </w:r>
            <w:r>
              <w:rPr>
                <w:rFonts w:ascii="Times" w:hAnsi="Times"/>
                <w:bCs/>
                <w:snapToGrid w:val="0"/>
              </w:rPr>
              <w:br/>
              <w:t>Regulations other than r. 1 and 2: 30 Jan 2016 (see r. 2(b))</w:t>
            </w:r>
          </w:p>
        </w:tc>
      </w:tr>
      <w:tr>
        <w:tc>
          <w:tcPr>
            <w:tcW w:w="3119" w:type="dxa"/>
          </w:tcPr>
          <w:p>
            <w:pPr>
              <w:pStyle w:val="nTable"/>
              <w:spacing w:after="40"/>
            </w:pPr>
            <w:r>
              <w:rPr>
                <w:i/>
              </w:rPr>
              <w:t>Hospitals Regulations Amendment (Licensing and Conduct Fees) Regulations 2016</w:t>
            </w:r>
            <w:r>
              <w:t xml:space="preserve"> Pt. 2</w:t>
            </w:r>
          </w:p>
        </w:tc>
        <w:tc>
          <w:tcPr>
            <w:tcW w:w="1276" w:type="dxa"/>
          </w:tcPr>
          <w:p>
            <w:pPr>
              <w:pStyle w:val="nTable"/>
              <w:spacing w:after="40"/>
            </w:pPr>
            <w:r>
              <w:t>17 Jun 2016 p. 2099-100</w:t>
            </w:r>
          </w:p>
        </w:tc>
        <w:tc>
          <w:tcPr>
            <w:tcW w:w="2693" w:type="dxa"/>
          </w:tcPr>
          <w:p>
            <w:pPr>
              <w:pStyle w:val="nTable"/>
              <w:spacing w:after="40"/>
              <w:rPr>
                <w:rFonts w:ascii="Times" w:hAnsi="Times"/>
                <w:bCs/>
                <w:snapToGrid w:val="0"/>
              </w:rPr>
            </w:pPr>
            <w:r>
              <w:rPr>
                <w:rFonts w:ascii="Times" w:hAnsi="Times"/>
                <w:bCs/>
                <w:snapToGrid w:val="0"/>
              </w:rPr>
              <w:t>1 Jul 2016 (see r. 2(b))</w:t>
            </w:r>
          </w:p>
        </w:tc>
      </w:tr>
      <w:tr>
        <w:tc>
          <w:tcPr>
            <w:tcW w:w="7088" w:type="dxa"/>
            <w:gridSpan w:val="3"/>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Hospitals (Licensing and Conduct of Private Hospitals) Regulations 1987</w:t>
            </w:r>
            <w:r>
              <w:rPr>
                <w:rFonts w:ascii="Times" w:hAnsi="Times"/>
                <w:b/>
                <w:bCs/>
                <w:snapToGrid w:val="0"/>
              </w:rPr>
              <w:t xml:space="preserve"> as at 12 May 2017</w:t>
            </w:r>
            <w:r>
              <w:rPr>
                <w:rFonts w:ascii="Times" w:hAnsi="Times"/>
                <w:bCs/>
                <w:snapToGrid w:val="0"/>
              </w:rPr>
              <w:t xml:space="preserve"> (includes amendments listed above)</w:t>
            </w:r>
          </w:p>
        </w:tc>
      </w:tr>
      <w:tr>
        <w:tc>
          <w:tcPr>
            <w:tcW w:w="3119" w:type="dxa"/>
            <w:shd w:val="clear" w:color="auto" w:fill="auto"/>
          </w:tcPr>
          <w:p>
            <w:pPr>
              <w:pStyle w:val="nTable"/>
              <w:spacing w:after="40"/>
              <w:rPr>
                <w:rFonts w:ascii="Times" w:hAnsi="Times"/>
                <w:b/>
                <w:bCs/>
                <w:snapToGrid w:val="0"/>
              </w:rPr>
            </w:pPr>
            <w:r>
              <w:rPr>
                <w:i/>
              </w:rPr>
              <w:t>Health Regulations Amendment (Fees and Charges) Regulations 2017</w:t>
            </w:r>
            <w:r>
              <w:t xml:space="preserve"> Pt. 6</w:t>
            </w:r>
          </w:p>
        </w:tc>
        <w:tc>
          <w:tcPr>
            <w:tcW w:w="1276" w:type="dxa"/>
            <w:shd w:val="clear" w:color="auto" w:fill="auto"/>
          </w:tcPr>
          <w:p>
            <w:pPr>
              <w:pStyle w:val="nTable"/>
              <w:spacing w:after="40"/>
              <w:rPr>
                <w:rFonts w:ascii="Times" w:hAnsi="Times"/>
                <w:b/>
                <w:bCs/>
                <w:snapToGrid w:val="0"/>
              </w:rPr>
            </w:pPr>
            <w:r>
              <w:t>30 Jun 2017 p. 3568</w:t>
            </w:r>
            <w:r>
              <w:noBreakHyphen/>
              <w:t>74</w:t>
            </w:r>
          </w:p>
        </w:tc>
        <w:tc>
          <w:tcPr>
            <w:tcW w:w="2693" w:type="dxa"/>
            <w:shd w:val="clear" w:color="auto" w:fill="auto"/>
          </w:tcPr>
          <w:p>
            <w:pPr>
              <w:pStyle w:val="nTable"/>
              <w:spacing w:after="40"/>
              <w:rPr>
                <w:rFonts w:ascii="Times" w:hAnsi="Times"/>
                <w:b/>
                <w:bCs/>
                <w:snapToGrid w:val="0"/>
              </w:rPr>
            </w:pPr>
            <w:r>
              <w:rPr>
                <w:bCs/>
                <w:snapToGrid w:val="0"/>
              </w:rPr>
              <w:t>1 Jul 2017 (see r. 2(b))</w:t>
            </w:r>
          </w:p>
        </w:tc>
      </w:tr>
      <w:tr>
        <w:tc>
          <w:tcPr>
            <w:tcW w:w="3119" w:type="dxa"/>
            <w:tcBorders>
              <w:bottom w:val="single" w:sz="8" w:space="0" w:color="auto"/>
            </w:tcBorders>
            <w:shd w:val="clear" w:color="auto" w:fill="auto"/>
          </w:tcPr>
          <w:p>
            <w:pPr>
              <w:pStyle w:val="nTable"/>
              <w:spacing w:after="40"/>
              <w:rPr>
                <w:i/>
              </w:rPr>
            </w:pPr>
            <w:r>
              <w:rPr>
                <w:i/>
              </w:rPr>
              <w:t>Health Regulations Amendment (Fees and Charges) Regulations 2018</w:t>
            </w:r>
            <w:r>
              <w:t xml:space="preserve"> Pt. 6</w:t>
            </w:r>
          </w:p>
        </w:tc>
        <w:tc>
          <w:tcPr>
            <w:tcW w:w="1276" w:type="dxa"/>
            <w:tcBorders>
              <w:bottom w:val="single" w:sz="8" w:space="0" w:color="auto"/>
            </w:tcBorders>
            <w:shd w:val="clear" w:color="auto" w:fill="auto"/>
          </w:tcPr>
          <w:p>
            <w:pPr>
              <w:pStyle w:val="nTable"/>
              <w:spacing w:after="40"/>
            </w:pPr>
            <w:r>
              <w:t>25 May 2018 p. 1632</w:t>
            </w:r>
            <w:r>
              <w:noBreakHyphen/>
              <w:t>9</w:t>
            </w:r>
          </w:p>
        </w:tc>
        <w:tc>
          <w:tcPr>
            <w:tcW w:w="2693" w:type="dxa"/>
            <w:tcBorders>
              <w:bottom w:val="single" w:sz="8" w:space="0" w:color="auto"/>
            </w:tcBorders>
            <w:shd w:val="clear" w:color="auto" w:fill="auto"/>
          </w:tcPr>
          <w:p>
            <w:pPr>
              <w:pStyle w:val="nTable"/>
              <w:spacing w:after="40"/>
              <w:rPr>
                <w:bCs/>
                <w:snapToGrid w:val="0"/>
              </w:rPr>
            </w:pPr>
            <w:r>
              <w:t>1 Jul 2018 (see r. 2(b))</w:t>
            </w:r>
          </w:p>
        </w:tc>
      </w:tr>
    </w:tbl>
    <w:p>
      <w:pPr>
        <w:pStyle w:val="nSubsection"/>
        <w:spacing w:before="160"/>
      </w:pPr>
      <w:r>
        <w:rPr>
          <w:vertAlign w:val="superscript"/>
        </w:rPr>
        <w:t>2</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Subsection"/>
        <w:spacing w:before="160"/>
      </w:pPr>
      <w:r>
        <w:rPr>
          <w:vertAlign w:val="superscript"/>
        </w:rPr>
        <w:t>3</w:t>
      </w:r>
      <w:r>
        <w:tab/>
        <w:t xml:space="preserve">Repealed by the </w:t>
      </w:r>
      <w:r>
        <w:rPr>
          <w:i/>
        </w:rPr>
        <w:t>National Health and Medical Research Council Act 1992</w:t>
      </w:r>
      <w:r>
        <w:t xml:space="preserve"> s. 54 (No. 225 of 1992) of the Commonwealth.</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34" w:name="_Toc514933514"/>
      <w:bookmarkStart w:id="35" w:name="_Toc514935262"/>
      <w:bookmarkStart w:id="36" w:name="_Toc514937701"/>
      <w:bookmarkStart w:id="37" w:name="_Toc515004447"/>
      <w:bookmarkStart w:id="38" w:name="_Toc518028653"/>
      <w:r>
        <w:rPr>
          <w:sz w:val="28"/>
        </w:rPr>
        <w:t>Defined terms</w:t>
      </w:r>
      <w:bookmarkEnd w:id="34"/>
      <w:bookmarkEnd w:id="35"/>
      <w:bookmarkEnd w:id="36"/>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general private hospital</w:t>
      </w:r>
      <w:r>
        <w:tab/>
        <w:t>7(3)</w:t>
      </w:r>
    </w:p>
    <w:p>
      <w:pPr>
        <w:pStyle w:val="DefinedTerms"/>
      </w:pPr>
      <w:r>
        <w:t>licence</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4" w:name="Schedule"/>
    <w:bookmarkEnd w:id="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62984A"/>
    <w:lvl w:ilvl="0">
      <w:start w:val="1"/>
      <w:numFmt w:val="decimal"/>
      <w:lvlText w:val="%1."/>
      <w:lvlJc w:val="left"/>
      <w:pPr>
        <w:tabs>
          <w:tab w:val="num" w:pos="1492"/>
        </w:tabs>
        <w:ind w:left="1492" w:hanging="360"/>
      </w:pPr>
    </w:lvl>
  </w:abstractNum>
  <w:abstractNum w:abstractNumId="1">
    <w:nsid w:val="FFFFFF7D"/>
    <w:multiLevelType w:val="singleLevel"/>
    <w:tmpl w:val="87288C34"/>
    <w:lvl w:ilvl="0">
      <w:start w:val="1"/>
      <w:numFmt w:val="decimal"/>
      <w:lvlText w:val="%1."/>
      <w:lvlJc w:val="left"/>
      <w:pPr>
        <w:tabs>
          <w:tab w:val="num" w:pos="1209"/>
        </w:tabs>
        <w:ind w:left="1209" w:hanging="360"/>
      </w:pPr>
    </w:lvl>
  </w:abstractNum>
  <w:abstractNum w:abstractNumId="2">
    <w:nsid w:val="FFFFFF7E"/>
    <w:multiLevelType w:val="singleLevel"/>
    <w:tmpl w:val="993E6BBC"/>
    <w:lvl w:ilvl="0">
      <w:start w:val="1"/>
      <w:numFmt w:val="decimal"/>
      <w:lvlText w:val="%1."/>
      <w:lvlJc w:val="left"/>
      <w:pPr>
        <w:tabs>
          <w:tab w:val="num" w:pos="926"/>
        </w:tabs>
        <w:ind w:left="926" w:hanging="360"/>
      </w:pPr>
    </w:lvl>
  </w:abstractNum>
  <w:abstractNum w:abstractNumId="3">
    <w:nsid w:val="FFFFFF7F"/>
    <w:multiLevelType w:val="singleLevel"/>
    <w:tmpl w:val="D6C82EEC"/>
    <w:lvl w:ilvl="0">
      <w:start w:val="1"/>
      <w:numFmt w:val="decimal"/>
      <w:lvlText w:val="%1."/>
      <w:lvlJc w:val="left"/>
      <w:pPr>
        <w:tabs>
          <w:tab w:val="num" w:pos="643"/>
        </w:tabs>
        <w:ind w:left="643" w:hanging="360"/>
      </w:pPr>
    </w:lvl>
  </w:abstractNum>
  <w:abstractNum w:abstractNumId="4">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766EC40"/>
    <w:lvl w:ilvl="0">
      <w:start w:val="1"/>
      <w:numFmt w:val="decimal"/>
      <w:lvlText w:val="%1."/>
      <w:lvlJc w:val="left"/>
      <w:pPr>
        <w:tabs>
          <w:tab w:val="num" w:pos="360"/>
        </w:tabs>
        <w:ind w:left="360" w:hanging="360"/>
      </w:pPr>
    </w:lvl>
  </w:abstractNum>
  <w:abstractNum w:abstractNumId="9">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24100854"/>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 w:name="WAFER_20180524100854" w:val="RemoveTocBookmarks,RemoveUnusedBookmarks,RemoveLanguageTags,UsedStyles,ResetPageSize"/>
    <w:docVar w:name="WAFER_20180524100854_GUID" w:val="e8ca6265-5a0b-4be2-bbd4-1687fb220a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2133</Words>
  <Characters>10199</Characters>
  <Application>Microsoft Office Word</Application>
  <DocSecurity>0</DocSecurity>
  <Lines>377</Lines>
  <Paragraphs>220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1987 - 02-d0-02</dc:title>
  <dc:subject/>
  <dc:creator/>
  <cp:keywords/>
  <dc:description/>
  <cp:lastModifiedBy>svcMRProcess</cp:lastModifiedBy>
  <cp:revision>4</cp:revision>
  <cp:lastPrinted>2017-06-30T06:36:00Z</cp:lastPrinted>
  <dcterms:created xsi:type="dcterms:W3CDTF">2019-04-05T01:57:00Z</dcterms:created>
  <dcterms:modified xsi:type="dcterms:W3CDTF">2019-04-05T01:57:00Z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AsAtDate">
    <vt:lpwstr>01 Jul 2018</vt:lpwstr>
  </property>
  <property fmtid="{D5CDD505-2E9C-101B-9397-08002B2CF9AE}" pid="8" name="Suffix">
    <vt:lpwstr>02-d0-02</vt:lpwstr>
  </property>
  <property fmtid="{D5CDD505-2E9C-101B-9397-08002B2CF9AE}" pid="9" name="CommencementDate">
    <vt:lpwstr>20180701</vt:lpwstr>
  </property>
</Properties>
</file>