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_Toc517965278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_Toc517965279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_Toc517965280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_Toc517965281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_Toc517965282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_Toc517965283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_Toc517965284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_Toc517965285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_Toc517965286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_Toc517965287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_Toc517965288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_Toc517965289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_Toc517965290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_Toc517965291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_Toc517965292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_Toc517965293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_Toc517965294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_Toc517965295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_Toc517965296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_Toc517965297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_Toc517965298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_Toc517965299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_Toc517965300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_Toc517965301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_Toc517965302 \h </w:instrText>
      </w:r>
      <w:r>
        <w:fldChar w:fldCharType="separate"/>
      </w:r>
      <w:r>
        <w:t>9</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_Toc517965303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_Toc517965304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_Toc517965305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_Toc517965307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517965278"/>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17965279"/>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517965280"/>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517965281"/>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517965282"/>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517965283"/>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517965284"/>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517965285"/>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517965286"/>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517965287"/>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517965288"/>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517965289"/>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$50.35.</w:t>
      </w:r>
    </w:p>
    <w:p>
      <w:pPr>
        <w:pStyle w:val="Footnotesection"/>
        <w:ind w:left="890" w:hanging="890"/>
      </w:pPr>
      <w:r>
        <w:tab/>
        <w:t>[Regulation 8 inserted in Gazette 25 Jun 2010 p. 2880; amended in Gazette 5 Jun 2015 p. 1977; 24 Jun 2016 p. 2345; 27 Jun 2017 p. 3451; 12 Jun 2018 p. 1901.]</w:t>
      </w:r>
    </w:p>
    <w:p>
      <w:pPr>
        <w:pStyle w:val="Heading5"/>
      </w:pPr>
      <w:bookmarkStart w:id="26" w:name="_Toc408482383"/>
      <w:bookmarkStart w:id="27" w:name="_Toc517965290"/>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517965291"/>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517965292"/>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517965293"/>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517965294"/>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517965295"/>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517965296"/>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517965297"/>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517965298"/>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44" w:name="_Toc505958280"/>
      <w:bookmarkStart w:id="45" w:name="_Toc506205099"/>
      <w:bookmarkStart w:id="46" w:name="_Toc517965299"/>
      <w:bookmarkStart w:id="47" w:name="_Toc408482392"/>
      <w:r>
        <w:rPr>
          <w:rStyle w:val="CharSectno"/>
        </w:rPr>
        <w:t>13F</w:t>
      </w:r>
      <w:r>
        <w:t>.</w:t>
      </w:r>
      <w:r>
        <w:tab/>
        <w:t>Disclosure of information to Australian Border Force Commissioner (section 114(3)(g))</w:t>
      </w:r>
      <w:bookmarkEnd w:id="44"/>
      <w:bookmarkEnd w:id="45"/>
      <w:bookmarkEnd w:id="46"/>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48" w:name="_Toc505958281"/>
      <w:bookmarkStart w:id="49" w:name="_Toc506205100"/>
      <w:r>
        <w:tab/>
        <w:t>[Regulation 13F inserted in Gazette 6 Mar 2018 p. 709.]</w:t>
      </w:r>
    </w:p>
    <w:p>
      <w:pPr>
        <w:pStyle w:val="Heading5"/>
      </w:pPr>
      <w:bookmarkStart w:id="50" w:name="_Toc517965300"/>
      <w:r>
        <w:rPr>
          <w:rStyle w:val="CharSectno"/>
        </w:rPr>
        <w:t>13G</w:t>
      </w:r>
      <w:r>
        <w:t>.</w:t>
      </w:r>
      <w:r>
        <w:tab/>
        <w:t>Disclosure of information about employers of apprentices (section 114(3)(g))</w:t>
      </w:r>
      <w:bookmarkEnd w:id="48"/>
      <w:bookmarkEnd w:id="49"/>
      <w:bookmarkEnd w:id="5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51" w:name="_Toc505958282"/>
      <w:bookmarkStart w:id="52" w:name="_Toc506205101"/>
      <w:r>
        <w:tab/>
        <w:t>[Regulation 13G inserted in Gazette 6 Mar 2018 p. 710.]</w:t>
      </w:r>
    </w:p>
    <w:p>
      <w:pPr>
        <w:pStyle w:val="Heading5"/>
      </w:pPr>
      <w:bookmarkStart w:id="53" w:name="_Toc517965301"/>
      <w:r>
        <w:rPr>
          <w:rStyle w:val="CharSectno"/>
        </w:rPr>
        <w:t>13H</w:t>
      </w:r>
      <w:r>
        <w:t>.</w:t>
      </w:r>
      <w:r>
        <w:tab/>
        <w:t>Disclosure of information about charities and not</w:t>
      </w:r>
      <w:r>
        <w:noBreakHyphen/>
        <w:t>for</w:t>
      </w:r>
      <w:r>
        <w:noBreakHyphen/>
        <w:t>profits (section 114(3)(g))</w:t>
      </w:r>
      <w:bookmarkEnd w:id="51"/>
      <w:bookmarkEnd w:id="52"/>
      <w:bookmarkEnd w:id="5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in Gazette 6 Mar 2018 p. 710.]</w:t>
      </w:r>
    </w:p>
    <w:p>
      <w:pPr>
        <w:pStyle w:val="Heading5"/>
        <w:spacing w:before="180"/>
      </w:pPr>
      <w:bookmarkStart w:id="54" w:name="_Toc517965302"/>
      <w:r>
        <w:rPr>
          <w:rStyle w:val="CharSectno"/>
        </w:rPr>
        <w:t>13</w:t>
      </w:r>
      <w:r>
        <w:t>.</w:t>
      </w:r>
      <w:r>
        <w:tab/>
        <w:t>Disclosure of information about pastoral lessees (section 114(3)(g))</w:t>
      </w:r>
      <w:bookmarkEnd w:id="47"/>
      <w:bookmarkEnd w:id="5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55" w:name="_Toc408482393"/>
      <w:bookmarkStart w:id="56" w:name="_Toc517965303"/>
      <w:r>
        <w:rPr>
          <w:rStyle w:val="CharSectno"/>
        </w:rPr>
        <w:t>14A</w:t>
      </w:r>
      <w:r>
        <w:t>.</w:t>
      </w:r>
      <w:r>
        <w:tab/>
        <w:t>Disclosure of information about settlement agents (section 114)</w:t>
      </w:r>
      <w:bookmarkEnd w:id="55"/>
      <w:bookmarkEnd w:id="5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57" w:name="_Toc408482394"/>
      <w:bookmarkStart w:id="58" w:name="_Toc517965304"/>
      <w:r>
        <w:rPr>
          <w:rStyle w:val="CharSectno"/>
        </w:rPr>
        <w:t>14</w:t>
      </w:r>
      <w:r>
        <w:t>.</w:t>
      </w:r>
      <w:r>
        <w:tab/>
        <w:t>Service on Commissioner (section 115)</w:t>
      </w:r>
      <w:bookmarkEnd w:id="57"/>
      <w:bookmarkEnd w:id="5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 12 Jun 2018 p. 1901.]</w:t>
      </w:r>
    </w:p>
    <w:p>
      <w:pPr>
        <w:pStyle w:val="Heading5"/>
      </w:pPr>
      <w:bookmarkStart w:id="59" w:name="_Toc408482395"/>
      <w:bookmarkStart w:id="60" w:name="_Toc517965305"/>
      <w:r>
        <w:rPr>
          <w:rStyle w:val="CharSectno"/>
        </w:rPr>
        <w:t>15</w:t>
      </w:r>
      <w:r>
        <w:t>.</w:t>
      </w:r>
      <w:r>
        <w:tab/>
        <w:t>Prescription of Commissioner as State taxation officer</w:t>
      </w:r>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 w:name="_Toc408482396"/>
      <w:bookmarkStart w:id="62" w:name="_Toc417464582"/>
      <w:bookmarkStart w:id="63" w:name="_Toc417656667"/>
      <w:bookmarkStart w:id="64" w:name="_Toc421265595"/>
      <w:bookmarkStart w:id="65" w:name="_Toc421536755"/>
      <w:bookmarkStart w:id="66" w:name="_Toc421536795"/>
      <w:bookmarkStart w:id="67" w:name="_Toc421536955"/>
      <w:bookmarkStart w:id="68" w:name="_Toc423505599"/>
      <w:bookmarkStart w:id="69" w:name="_Toc423505626"/>
      <w:bookmarkStart w:id="70" w:name="_Toc439167812"/>
      <w:bookmarkStart w:id="71" w:name="_Toc455137830"/>
      <w:bookmarkStart w:id="72" w:name="_Toc469407571"/>
      <w:bookmarkStart w:id="73" w:name="_Toc486430060"/>
      <w:bookmarkStart w:id="74" w:name="_Toc486430089"/>
      <w:bookmarkStart w:id="75" w:name="_Toc508092206"/>
      <w:bookmarkStart w:id="76" w:name="_Toc516571730"/>
      <w:bookmarkStart w:id="77" w:name="_Toc517959637"/>
      <w:bookmarkStart w:id="78" w:name="_Toc517965275"/>
      <w:bookmarkStart w:id="79" w:name="_Toc517965306"/>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80" w:name="_Toc408482397"/>
      <w:bookmarkStart w:id="81" w:name="_Toc517965307"/>
      <w: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2018</w:t>
            </w:r>
          </w:p>
        </w:tc>
        <w:tc>
          <w:tcPr>
            <w:tcW w:w="1276" w:type="dxa"/>
            <w:tcBorders>
              <w:top w:val="nil"/>
              <w:bottom w:val="nil"/>
            </w:tcBorders>
          </w:tcPr>
          <w:p>
            <w:pPr>
              <w:pStyle w:val="nTable"/>
              <w:keepNext/>
              <w:spacing w:after="40"/>
            </w:pPr>
            <w:r>
              <w:t>6 Mar 2018 p. 709</w:t>
            </w:r>
            <w:r>
              <w:noBreakHyphen/>
              <w:t>10</w:t>
            </w:r>
          </w:p>
        </w:tc>
        <w:tc>
          <w:tcPr>
            <w:tcW w:w="2693" w:type="dxa"/>
            <w:tcBorders>
              <w:top w:val="nil"/>
              <w:bottom w:val="nil"/>
            </w:tcBorders>
          </w:tcPr>
          <w:p>
            <w:pPr>
              <w:pStyle w:val="nTable"/>
              <w:keepNext/>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pPr>
            <w:r>
              <w:rPr>
                <w:i/>
              </w:rPr>
              <w:t>Taxation Administration Amendment Regulations (No. 2) 2018</w:t>
            </w:r>
          </w:p>
        </w:tc>
        <w:tc>
          <w:tcPr>
            <w:tcW w:w="1276" w:type="dxa"/>
            <w:tcBorders>
              <w:top w:val="nil"/>
              <w:bottom w:val="single" w:sz="4" w:space="0" w:color="auto"/>
            </w:tcBorders>
          </w:tcPr>
          <w:p>
            <w:pPr>
              <w:pStyle w:val="nTable"/>
              <w:keepNext/>
              <w:spacing w:after="40"/>
            </w:pPr>
            <w:r>
              <w:t>12 Jun 2018 p. 1901</w:t>
            </w:r>
          </w:p>
        </w:tc>
        <w:tc>
          <w:tcPr>
            <w:tcW w:w="2693" w:type="dxa"/>
            <w:tcBorders>
              <w:top w:val="nil"/>
              <w:bottom w:val="single" w:sz="4" w:space="0" w:color="auto"/>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bookmarkStart w:id="82" w:name="Start_Cursor"/>
      <w:bookmarkEnd w:id="82"/>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508092208"/>
      <w:bookmarkStart w:id="85" w:name="_Toc516571733"/>
      <w:bookmarkStart w:id="86" w:name="_Toc517959640"/>
      <w:bookmarkStart w:id="87" w:name="_Toc517965277"/>
      <w:bookmarkStart w:id="88" w:name="_Toc517965308"/>
      <w:r>
        <w:rPr>
          <w:sz w:val="28"/>
        </w:rPr>
        <w:t>Defined terms</w:t>
      </w:r>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39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39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4143</Words>
  <Characters>20638</Characters>
  <Application>Microsoft Office Word</Application>
  <DocSecurity>0</DocSecurity>
  <Lines>665</Lines>
  <Paragraphs>381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2003 - 03-m0-00</dc:title>
  <dc:subject/>
  <dc:creator/>
  <cp:keywords/>
  <dc:description/>
  <cp:lastModifiedBy>svcMRProcess</cp:lastModifiedBy>
  <cp:revision>4</cp:revision>
  <cp:lastPrinted>2018-06-12T07:49:00Z</cp:lastPrinted>
  <dcterms:created xsi:type="dcterms:W3CDTF">2018-06-29T07:05:00Z</dcterms:created>
  <dcterms:modified xsi:type="dcterms:W3CDTF">2018-06-29T07:05:00Z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2018</vt:lpwstr>
  </property>
  <property fmtid="{D5CDD505-2E9C-101B-9397-08002B2CF9AE}" pid="8" name="Suffix">
    <vt:lpwstr>03-m0-00</vt:lpwstr>
  </property>
  <property fmtid="{D5CDD505-2E9C-101B-9397-08002B2CF9AE}" pid="9" name="CommencementDate">
    <vt:lpwstr>20180701</vt:lpwstr>
  </property>
</Properties>
</file>