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Coroners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Coroners Regulations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Coroners Regulations 1997</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_Toc517866232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_Toc517866233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_Toc517866234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Pathologist</w:t>
      </w:r>
      <w:r>
        <w:tab/>
      </w:r>
      <w:r>
        <w:fldChar w:fldCharType="begin"/>
      </w:r>
      <w:r>
        <w:instrText xml:space="preserve"> PAGEREF _Toc517866235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State Coroner — form of oath of office</w:t>
      </w:r>
      <w:r>
        <w:tab/>
      </w:r>
      <w:r>
        <w:fldChar w:fldCharType="begin"/>
      </w:r>
      <w:r>
        <w:instrText xml:space="preserve"> PAGEREF _Toc517866236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Restrict</w:t>
      </w:r>
      <w:r>
        <w:t>i</w:t>
      </w:r>
      <w:r>
        <w:rPr>
          <w:snapToGrid w:val="0"/>
        </w:rPr>
        <w:t>on on delegation</w:t>
      </w:r>
      <w:r>
        <w:tab/>
      </w:r>
      <w:r>
        <w:fldChar w:fldCharType="begin"/>
      </w:r>
      <w:r>
        <w:instrText xml:space="preserve"> PAGEREF _Toc517866237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Form of record of investigation into a death</w:t>
      </w:r>
      <w:r>
        <w:tab/>
      </w:r>
      <w:r>
        <w:fldChar w:fldCharType="begin"/>
      </w:r>
      <w:r>
        <w:instrText xml:space="preserve"> PAGEREF _Toc517866238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Form of certificate of disposal of body</w:t>
      </w:r>
      <w:r>
        <w:tab/>
      </w:r>
      <w:r>
        <w:fldChar w:fldCharType="begin"/>
      </w:r>
      <w:r>
        <w:instrText xml:space="preserve"> PAGEREF _Toc517866239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Request that post mortem be performed</w:t>
      </w:r>
      <w:r>
        <w:tab/>
      </w:r>
      <w:r>
        <w:fldChar w:fldCharType="begin"/>
      </w:r>
      <w:r>
        <w:instrText xml:space="preserve"> PAGEREF _Toc517866240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Direction to perform post mortem</w:t>
      </w:r>
      <w:r>
        <w:tab/>
      </w:r>
      <w:r>
        <w:fldChar w:fldCharType="begin"/>
      </w:r>
      <w:r>
        <w:instrText xml:space="preserve"> PAGEREF _Toc517866241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Form of order for exhumation</w:t>
      </w:r>
      <w:r>
        <w:tab/>
      </w:r>
      <w:r>
        <w:fldChar w:fldCharType="begin"/>
      </w:r>
      <w:r>
        <w:instrText xml:space="preserve"> PAGEREF _Toc517866242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Request not to exhume</w:t>
      </w:r>
      <w:r>
        <w:tab/>
      </w:r>
      <w:r>
        <w:fldChar w:fldCharType="begin"/>
      </w:r>
      <w:r>
        <w:instrText xml:space="preserve"> PAGEREF _Toc517866243 \h </w:instrText>
      </w:r>
      <w:r>
        <w:fldChar w:fldCharType="separate"/>
      </w:r>
      <w:r>
        <w:t>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 of notice of restriction of access to area</w:t>
      </w:r>
      <w:r>
        <w:tab/>
      </w:r>
      <w:r>
        <w:fldChar w:fldCharType="begin"/>
      </w:r>
      <w:r>
        <w:instrText xml:space="preserve"> PAGEREF _Toc517866244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Form of agreement of coroner to restricted access to area</w:t>
      </w:r>
      <w:r>
        <w:tab/>
      </w:r>
      <w:r>
        <w:fldChar w:fldCharType="begin"/>
      </w:r>
      <w:r>
        <w:instrText xml:space="preserve"> PAGEREF _Toc517866245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Form of authorisation, form of undertaking and requests for release of things</w:t>
      </w:r>
      <w:r>
        <w:tab/>
      </w:r>
      <w:r>
        <w:fldChar w:fldCharType="begin"/>
      </w:r>
      <w:r>
        <w:instrText xml:space="preserve"> PAGEREF _Toc517866246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Request for an inquest into a death</w:t>
      </w:r>
      <w:r>
        <w:tab/>
      </w:r>
      <w:r>
        <w:fldChar w:fldCharType="begin"/>
      </w:r>
      <w:r>
        <w:instrText xml:space="preserve"> PAGEREF _Toc517866247 \h </w:instrText>
      </w:r>
      <w:r>
        <w:fldChar w:fldCharType="separate"/>
      </w:r>
      <w:r>
        <w:t>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Form of summons and warrant, and service of summons</w:t>
      </w:r>
      <w:r>
        <w:tab/>
      </w:r>
      <w:r>
        <w:fldChar w:fldCharType="begin"/>
      </w:r>
      <w:r>
        <w:instrText xml:space="preserve"> PAGEREF _Toc517866248 \h </w:instrText>
      </w:r>
      <w:r>
        <w:fldChar w:fldCharType="separate"/>
      </w:r>
      <w:r>
        <w:t>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Interested persons for the purposes of section 44(3)</w:t>
      </w:r>
      <w:r>
        <w:tab/>
      </w:r>
      <w:r>
        <w:fldChar w:fldCharType="begin"/>
      </w:r>
      <w:r>
        <w:instrText xml:space="preserve"> PAGEREF _Toc517866249 \h </w:instrText>
      </w:r>
      <w:r>
        <w:fldChar w:fldCharType="separate"/>
      </w:r>
      <w:r>
        <w:t>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Form of order of exclusion from an inquest</w:t>
      </w:r>
      <w:r>
        <w:tab/>
      </w:r>
      <w:r>
        <w:fldChar w:fldCharType="begin"/>
      </w:r>
      <w:r>
        <w:instrText xml:space="preserve"> PAGEREF _Toc517866250 \h </w:instrText>
      </w:r>
      <w:r>
        <w:fldChar w:fldCharType="separate"/>
      </w:r>
      <w:r>
        <w:t>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Access to records</w:t>
      </w:r>
      <w:r>
        <w:tab/>
      </w:r>
      <w:r>
        <w:fldChar w:fldCharType="begin"/>
      </w:r>
      <w:r>
        <w:instrText xml:space="preserve"> PAGEREF _Toc517866251 \h </w:instrText>
      </w:r>
      <w:r>
        <w:fldChar w:fldCharType="separate"/>
      </w:r>
      <w:r>
        <w:t>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Form of oath or affirmation for witness</w:t>
      </w:r>
      <w:r>
        <w:tab/>
      </w:r>
      <w:r>
        <w:fldChar w:fldCharType="begin"/>
      </w:r>
      <w:r>
        <w:instrText xml:space="preserve"> PAGEREF _Toc517866252 \h </w:instrText>
      </w:r>
      <w:r>
        <w:fldChar w:fldCharType="separate"/>
      </w:r>
      <w:r>
        <w:t>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post mortem services</w:t>
      </w:r>
      <w:r>
        <w:tab/>
      </w:r>
      <w:r>
        <w:fldChar w:fldCharType="begin"/>
      </w:r>
      <w:r>
        <w:instrText xml:space="preserve"> PAGEREF _Toc517866253 \h </w:instrText>
      </w:r>
      <w:r>
        <w:fldChar w:fldCharType="separate"/>
      </w:r>
      <w:r>
        <w:t>5</w:t>
      </w:r>
      <w:r>
        <w:fldChar w:fldCharType="end"/>
      </w:r>
    </w:p>
    <w:p>
      <w:pPr>
        <w:pStyle w:val="TOC8"/>
        <w:rPr>
          <w:rFonts w:asciiTheme="minorHAnsi" w:eastAsiaTheme="minorEastAsia" w:hAnsiTheme="minorHAnsi" w:cstheme="minorBidi"/>
          <w:szCs w:val="22"/>
        </w:rPr>
      </w:pPr>
      <w:r>
        <w:t>22.</w:t>
      </w:r>
      <w:r>
        <w:tab/>
        <w:t>Other fees</w:t>
      </w:r>
      <w:r>
        <w:tab/>
      </w:r>
      <w:r>
        <w:fldChar w:fldCharType="begin"/>
      </w:r>
      <w:r>
        <w:instrText xml:space="preserve"> PAGEREF _Toc517866254 \h </w:instrText>
      </w:r>
      <w:r>
        <w:fldChar w:fldCharType="separate"/>
      </w:r>
      <w:r>
        <w:t>6</w:t>
      </w:r>
      <w:r>
        <w:fldChar w:fldCharType="end"/>
      </w:r>
    </w:p>
    <w:p>
      <w:pPr>
        <w:pStyle w:val="TOC8"/>
        <w:rPr>
          <w:rFonts w:asciiTheme="minorHAnsi" w:eastAsiaTheme="minorEastAsia" w:hAnsiTheme="minorHAnsi" w:cstheme="minorBidi"/>
          <w:szCs w:val="22"/>
        </w:rPr>
      </w:pPr>
      <w:r>
        <w:t>23A.</w:t>
      </w:r>
      <w:r>
        <w:tab/>
        <w:t>Fee exemptions</w:t>
      </w:r>
      <w:r>
        <w:tab/>
      </w:r>
      <w:r>
        <w:fldChar w:fldCharType="begin"/>
      </w:r>
      <w:r>
        <w:instrText xml:space="preserve"> PAGEREF _Toc517866255 \h </w:instrText>
      </w:r>
      <w:r>
        <w:fldChar w:fldCharType="separate"/>
      </w:r>
      <w:r>
        <w:t>6</w:t>
      </w:r>
      <w:r>
        <w:fldChar w:fldCharType="end"/>
      </w:r>
    </w:p>
    <w:p>
      <w:pPr>
        <w:pStyle w:val="TOC8"/>
        <w:rPr>
          <w:rFonts w:asciiTheme="minorHAnsi" w:eastAsiaTheme="minorEastAsia" w:hAnsiTheme="minorHAnsi" w:cstheme="minorBidi"/>
          <w:szCs w:val="22"/>
        </w:rPr>
      </w:pPr>
      <w:r>
        <w:t>23B.</w:t>
      </w:r>
      <w:r>
        <w:tab/>
        <w:t>Who is an eligible individual</w:t>
      </w:r>
      <w:r>
        <w:tab/>
      </w:r>
      <w:r>
        <w:fldChar w:fldCharType="begin"/>
      </w:r>
      <w:r>
        <w:instrText xml:space="preserve"> PAGEREF _Toc517866256 \h </w:instrText>
      </w:r>
      <w:r>
        <w:fldChar w:fldCharType="separate"/>
      </w:r>
      <w:r>
        <w:t>6</w:t>
      </w:r>
      <w:r>
        <w:fldChar w:fldCharType="end"/>
      </w:r>
    </w:p>
    <w:p>
      <w:pPr>
        <w:pStyle w:val="TOC8"/>
        <w:rPr>
          <w:rFonts w:asciiTheme="minorHAnsi" w:eastAsiaTheme="minorEastAsia" w:hAnsiTheme="minorHAnsi" w:cstheme="minorBidi"/>
          <w:szCs w:val="22"/>
        </w:rPr>
      </w:pPr>
      <w:r>
        <w:t>23C.</w:t>
      </w:r>
      <w:r>
        <w:tab/>
        <w:t>Application to be recognised as eligible individual</w:t>
      </w:r>
      <w:r>
        <w:tab/>
      </w:r>
      <w:r>
        <w:fldChar w:fldCharType="begin"/>
      </w:r>
      <w:r>
        <w:instrText xml:space="preserve"> PAGEREF _Toc517866257 \h </w:instrText>
      </w:r>
      <w:r>
        <w:fldChar w:fldCharType="separate"/>
      </w:r>
      <w:r>
        <w:t>7</w:t>
      </w:r>
      <w:r>
        <w:fldChar w:fldCharType="end"/>
      </w:r>
    </w:p>
    <w:p>
      <w:pPr>
        <w:pStyle w:val="TOC8"/>
        <w:rPr>
          <w:rFonts w:asciiTheme="minorHAnsi" w:eastAsiaTheme="minorEastAsia" w:hAnsiTheme="minorHAnsi" w:cstheme="minorBidi"/>
          <w:szCs w:val="22"/>
        </w:rPr>
      </w:pPr>
      <w:r>
        <w:t>23D.</w:t>
      </w:r>
      <w:r>
        <w:tab/>
        <w:t>Recognition as eligible individual</w:t>
      </w:r>
      <w:r>
        <w:tab/>
      </w:r>
      <w:r>
        <w:fldChar w:fldCharType="begin"/>
      </w:r>
      <w:r>
        <w:instrText xml:space="preserve"> PAGEREF _Toc517866258 \h </w:instrText>
      </w:r>
      <w:r>
        <w:fldChar w:fldCharType="separate"/>
      </w:r>
      <w:r>
        <w:t>8</w:t>
      </w:r>
      <w:r>
        <w:fldChar w:fldCharType="end"/>
      </w:r>
    </w:p>
    <w:p>
      <w:pPr>
        <w:pStyle w:val="TOC8"/>
        <w:rPr>
          <w:rFonts w:asciiTheme="minorHAnsi" w:eastAsiaTheme="minorEastAsia" w:hAnsiTheme="minorHAnsi" w:cstheme="minorBidi"/>
          <w:szCs w:val="22"/>
        </w:rPr>
      </w:pPr>
      <w:r>
        <w:t>23E.</w:t>
      </w:r>
      <w:r>
        <w:tab/>
        <w:t>False or misleading statements</w:t>
      </w:r>
      <w:r>
        <w:tab/>
      </w:r>
      <w:r>
        <w:fldChar w:fldCharType="begin"/>
      </w:r>
      <w:r>
        <w:instrText xml:space="preserve"> PAGEREF _Toc517866259 \h </w:instrText>
      </w:r>
      <w:r>
        <w:fldChar w:fldCharType="separate"/>
      </w:r>
      <w:r>
        <w:t>8</w:t>
      </w:r>
      <w:r>
        <w:fldChar w:fldCharType="end"/>
      </w:r>
    </w:p>
    <w:p>
      <w:pPr>
        <w:pStyle w:val="TOC8"/>
        <w:rPr>
          <w:rFonts w:asciiTheme="minorHAnsi" w:eastAsiaTheme="minorEastAsia" w:hAnsiTheme="minorHAnsi" w:cstheme="minorBidi"/>
          <w:szCs w:val="22"/>
        </w:rPr>
      </w:pPr>
      <w:r>
        <w:t>23.</w:t>
      </w:r>
      <w:r>
        <w:tab/>
        <w:t>Refunds</w:t>
      </w:r>
      <w:r>
        <w:tab/>
      </w:r>
      <w:r>
        <w:fldChar w:fldCharType="begin"/>
      </w:r>
      <w:r>
        <w:instrText xml:space="preserve"> PAGEREF _Toc517866260 \h </w:instrText>
      </w:r>
      <w:r>
        <w:fldChar w:fldCharType="separate"/>
      </w:r>
      <w:r>
        <w:t>9</w:t>
      </w:r>
      <w:r>
        <w:fldChar w:fldCharType="end"/>
      </w:r>
    </w:p>
    <w:p>
      <w:pPr>
        <w:pStyle w:val="TOC8"/>
        <w:rPr>
          <w:rFonts w:asciiTheme="minorHAnsi" w:eastAsiaTheme="minorEastAsia" w:hAnsiTheme="minorHAnsi" w:cstheme="minorBidi"/>
          <w:szCs w:val="22"/>
        </w:rPr>
      </w:pPr>
      <w:r>
        <w:t>23A.</w:t>
      </w:r>
      <w:r>
        <w:tab/>
        <w:t>Waiving fee for copy of document or transcript</w:t>
      </w:r>
      <w:r>
        <w:tab/>
      </w:r>
      <w:r>
        <w:fldChar w:fldCharType="begin"/>
      </w:r>
      <w:r>
        <w:instrText xml:space="preserve"> PAGEREF _Toc517866261 \h </w:instrText>
      </w:r>
      <w:r>
        <w:fldChar w:fldCharType="separate"/>
      </w:r>
      <w:r>
        <w:t>9</w:t>
      </w:r>
      <w:r>
        <w:fldChar w:fldCharType="end"/>
      </w:r>
    </w:p>
    <w:p>
      <w:pPr>
        <w:pStyle w:val="TOC8"/>
        <w:rPr>
          <w:rFonts w:asciiTheme="minorHAnsi" w:eastAsiaTheme="minorEastAsia" w:hAnsiTheme="minorHAnsi" w:cstheme="minorBidi"/>
          <w:szCs w:val="22"/>
        </w:rPr>
      </w:pPr>
      <w:r>
        <w:t>24.</w:t>
      </w:r>
      <w:r>
        <w:tab/>
        <w:t>Resolution of disputes as to fees</w:t>
      </w:r>
      <w:r>
        <w:tab/>
      </w:r>
      <w:r>
        <w:fldChar w:fldCharType="begin"/>
      </w:r>
      <w:r>
        <w:instrText xml:space="preserve"> PAGEREF _Toc517866262 \h </w:instrText>
      </w:r>
      <w:r>
        <w:fldChar w:fldCharType="separate"/>
      </w:r>
      <w:r>
        <w:t>10</w:t>
      </w:r>
      <w:r>
        <w:fldChar w:fldCharType="end"/>
      </w:r>
    </w:p>
    <w:p>
      <w:pPr>
        <w:pStyle w:val="TOC8"/>
        <w:rPr>
          <w:rFonts w:asciiTheme="minorHAnsi" w:eastAsiaTheme="minorEastAsia" w:hAnsiTheme="minorHAnsi" w:cstheme="minorBidi"/>
          <w:szCs w:val="22"/>
        </w:rPr>
      </w:pPr>
      <w:r>
        <w:t>25.</w:t>
      </w:r>
      <w:r>
        <w:tab/>
        <w:t>Recovery of unpaid fees</w:t>
      </w:r>
      <w:r>
        <w:tab/>
      </w:r>
      <w:r>
        <w:fldChar w:fldCharType="begin"/>
      </w:r>
      <w:r>
        <w:instrText xml:space="preserve"> PAGEREF _Toc517866263 \h </w:instrText>
      </w:r>
      <w:r>
        <w:fldChar w:fldCharType="separate"/>
      </w:r>
      <w:r>
        <w:t>10</w:t>
      </w:r>
      <w:r>
        <w:fldChar w:fldCharType="end"/>
      </w:r>
    </w:p>
    <w:p>
      <w:pPr>
        <w:pStyle w:val="TOC2"/>
        <w:tabs>
          <w:tab w:val="right" w:pos="7077"/>
        </w:tabs>
        <w:rPr>
          <w:rFonts w:asciiTheme="minorHAnsi" w:eastAsiaTheme="minorEastAsia" w:hAnsiTheme="minorHAnsi" w:cstheme="minorBidi"/>
          <w:b w:val="0"/>
          <w:sz w:val="22"/>
          <w:szCs w:val="22"/>
        </w:rPr>
      </w:pPr>
      <w:r>
        <w:t>Schedule 1 — Forms</w:t>
      </w:r>
    </w:p>
    <w:p>
      <w:pPr>
        <w:pStyle w:val="TOC2"/>
        <w:tabs>
          <w:tab w:val="right" w:pos="7077"/>
        </w:tabs>
        <w:rPr>
          <w:rFonts w:asciiTheme="minorHAnsi" w:eastAsiaTheme="minorEastAsia" w:hAnsiTheme="minorHAnsi" w:cstheme="minorBidi"/>
          <w:b w:val="0"/>
          <w:sz w:val="22"/>
          <w:szCs w:val="22"/>
        </w:rPr>
      </w:pPr>
      <w:r>
        <w:t>Schedule 2 </w:t>
      </w:r>
      <w:r>
        <w:rPr>
          <w:bCs/>
        </w:rPr>
        <w:t>—</w:t>
      </w:r>
      <w:r>
        <w:t> Fees for post mortem services</w:t>
      </w:r>
    </w:p>
    <w:p>
      <w:pPr>
        <w:pStyle w:val="TOC2"/>
        <w:tabs>
          <w:tab w:val="right" w:pos="7077"/>
        </w:tabs>
        <w:rPr>
          <w:rFonts w:asciiTheme="minorHAnsi" w:eastAsiaTheme="minorEastAsia" w:hAnsiTheme="minorHAnsi" w:cstheme="minorBidi"/>
          <w:b w:val="0"/>
          <w:sz w:val="22"/>
          <w:szCs w:val="22"/>
        </w:rPr>
      </w:pPr>
      <w:r>
        <w:t>Schedule 3 — Other fees</w:t>
      </w:r>
    </w:p>
    <w:p>
      <w:pPr>
        <w:pStyle w:val="TOC2"/>
        <w:tabs>
          <w:tab w:val="righ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_Toc517866268 \h </w:instrText>
      </w:r>
      <w:r>
        <w:fldChar w:fldCharType="separate"/>
      </w:r>
      <w:r>
        <w:t>28</w:t>
      </w:r>
      <w:r>
        <w:fldChar w:fldCharType="end"/>
      </w:r>
    </w:p>
    <w:p>
      <w:pPr>
        <w:pStyle w:val="TOC2"/>
        <w:tabs>
          <w:tab w:val="righ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after="600"/>
        <w:rPr>
          <w:snapToGrid w:val="0"/>
        </w:rPr>
      </w:pPr>
      <w:r>
        <w:rPr>
          <w:snapToGrid w:val="0"/>
        </w:rPr>
        <w:t>Coroners Act 1996</w:t>
      </w:r>
    </w:p>
    <w:p>
      <w:pPr>
        <w:pStyle w:val="NameofActReg"/>
        <w:spacing w:before="600" w:after="720"/>
      </w:pPr>
      <w:r>
        <w:t>Coroners Regulations 1997</w:t>
      </w:r>
    </w:p>
    <w:p>
      <w:pPr>
        <w:pStyle w:val="Heading5"/>
        <w:rPr>
          <w:snapToGrid w:val="0"/>
        </w:rPr>
      </w:pPr>
      <w:bookmarkStart w:id="3" w:name="_Toc517866232"/>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vertAlign w:val="superscript"/>
        </w:rPr>
        <w:t> 1</w:t>
      </w:r>
      <w:r>
        <w:rPr>
          <w:snapToGrid w:val="0"/>
        </w:rPr>
        <w:t>.</w:t>
      </w:r>
    </w:p>
    <w:p>
      <w:pPr>
        <w:pStyle w:val="Heading5"/>
        <w:rPr>
          <w:snapToGrid w:val="0"/>
        </w:rPr>
      </w:pPr>
      <w:bookmarkStart w:id="4" w:name="_Toc517866233"/>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r>
        <w:rPr>
          <w:snapToGrid w:val="0"/>
          <w:vertAlign w:val="superscript"/>
        </w:rPr>
        <w:t> 1</w:t>
      </w:r>
      <w:r>
        <w:rPr>
          <w:snapToGrid w:val="0"/>
        </w:rPr>
        <w:t>.</w:t>
      </w:r>
    </w:p>
    <w:p>
      <w:pPr>
        <w:pStyle w:val="Heading5"/>
      </w:pPr>
      <w:bookmarkStart w:id="5" w:name="_Toc517866234"/>
      <w:r>
        <w:rPr>
          <w:rStyle w:val="CharSectno"/>
        </w:rPr>
        <w:t>3A</w:t>
      </w:r>
      <w:r>
        <w:t>.</w:t>
      </w:r>
      <w:r>
        <w:tab/>
        <w:t>Terms used</w:t>
      </w:r>
      <w:bookmarkEnd w:id="5"/>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in Gazette 4 Sep 2009 p. 3491; amended in Gazette 14 Jun 2016 p. 1872.]</w:t>
      </w:r>
    </w:p>
    <w:p>
      <w:pPr>
        <w:pStyle w:val="Heading5"/>
        <w:rPr>
          <w:snapToGrid w:val="0"/>
        </w:rPr>
      </w:pPr>
      <w:bookmarkStart w:id="6" w:name="_Toc517866235"/>
      <w:r>
        <w:rPr>
          <w:rStyle w:val="CharSectno"/>
        </w:rPr>
        <w:t>3</w:t>
      </w:r>
      <w:r>
        <w:rPr>
          <w:snapToGrid w:val="0"/>
        </w:rPr>
        <w:t>.</w:t>
      </w:r>
      <w:r>
        <w:rPr>
          <w:snapToGrid w:val="0"/>
        </w:rPr>
        <w:tab/>
        <w:t>Pathologist</w:t>
      </w:r>
      <w:bookmarkEnd w:id="6"/>
      <w:r>
        <w:rPr>
          <w:snapToGrid w:val="0"/>
        </w:rPr>
        <w:t xml:space="preserve"> </w:t>
      </w:r>
    </w:p>
    <w:p>
      <w:pPr>
        <w:pStyle w:val="Subsection"/>
        <w:rPr>
          <w:snapToGrid w:val="0"/>
        </w:rPr>
      </w:pPr>
      <w:r>
        <w:rPr>
          <w:snapToGrid w:val="0"/>
        </w:rPr>
        <w:tab/>
      </w:r>
      <w:r>
        <w:rPr>
          <w:snapToGrid w:val="0"/>
        </w:rPr>
        <w:tab/>
        <w:t xml:space="preserve">For the purposes of the Act a pathologist is a doctor with a qualification in pathology recognized by the Royal College of Pathologists of </w:t>
      </w:r>
      <w:smartTag w:uri="urn:schemas-microsoft-com:office:smarttags" w:element="place">
        <w:r>
          <w:rPr>
            <w:snapToGrid w:val="0"/>
          </w:rPr>
          <w:t>Australasia</w:t>
        </w:r>
      </w:smartTag>
      <w:r>
        <w:rPr>
          <w:snapToGrid w:val="0"/>
        </w:rPr>
        <w:t>.</w:t>
      </w:r>
    </w:p>
    <w:p>
      <w:pPr>
        <w:pStyle w:val="Heading5"/>
        <w:rPr>
          <w:snapToGrid w:val="0"/>
        </w:rPr>
      </w:pPr>
      <w:bookmarkStart w:id="7" w:name="_Toc517866236"/>
      <w:r>
        <w:rPr>
          <w:rStyle w:val="CharSectno"/>
        </w:rPr>
        <w:t>4</w:t>
      </w:r>
      <w:r>
        <w:rPr>
          <w:snapToGrid w:val="0"/>
        </w:rPr>
        <w:t>.</w:t>
      </w:r>
      <w:r>
        <w:rPr>
          <w:snapToGrid w:val="0"/>
        </w:rPr>
        <w:tab/>
        <w:t>State Coroner — form of oath of office</w:t>
      </w:r>
      <w:bookmarkEnd w:id="7"/>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8" w:name="_Toc517866237"/>
      <w:r>
        <w:rPr>
          <w:rStyle w:val="CharSectno"/>
        </w:rPr>
        <w:t>5</w:t>
      </w:r>
      <w:r>
        <w:rPr>
          <w:snapToGrid w:val="0"/>
        </w:rPr>
        <w:t>.</w:t>
      </w:r>
      <w:r>
        <w:rPr>
          <w:snapToGrid w:val="0"/>
        </w:rPr>
        <w:tab/>
        <w:t>Restrict</w:t>
      </w:r>
      <w:r>
        <w:t>i</w:t>
      </w:r>
      <w:r>
        <w:rPr>
          <w:snapToGrid w:val="0"/>
        </w:rPr>
        <w:t>on on delegation</w:t>
      </w:r>
      <w:bookmarkEnd w:id="8"/>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in Gazette 11 Mar 2008 p. 816.]</w:t>
      </w:r>
    </w:p>
    <w:p>
      <w:pPr>
        <w:pStyle w:val="Heading5"/>
        <w:rPr>
          <w:snapToGrid w:val="0"/>
        </w:rPr>
      </w:pPr>
      <w:bookmarkStart w:id="9" w:name="_Toc517866238"/>
      <w:r>
        <w:rPr>
          <w:rStyle w:val="CharSectno"/>
        </w:rPr>
        <w:t>6</w:t>
      </w:r>
      <w:r>
        <w:rPr>
          <w:snapToGrid w:val="0"/>
        </w:rPr>
        <w:t>.</w:t>
      </w:r>
      <w:r>
        <w:rPr>
          <w:snapToGrid w:val="0"/>
        </w:rPr>
        <w:tab/>
        <w:t>Form of record of investigation into a death</w:t>
      </w:r>
      <w:bookmarkEnd w:id="9"/>
      <w:r>
        <w:rPr>
          <w:snapToGrid w:val="0"/>
        </w:rPr>
        <w:t xml:space="preserve"> </w:t>
      </w:r>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10" w:name="_Toc517866239"/>
      <w:r>
        <w:rPr>
          <w:rStyle w:val="CharSectno"/>
        </w:rPr>
        <w:t>7</w:t>
      </w:r>
      <w:r>
        <w:rPr>
          <w:snapToGrid w:val="0"/>
        </w:rPr>
        <w:t>.</w:t>
      </w:r>
      <w:r>
        <w:rPr>
          <w:snapToGrid w:val="0"/>
        </w:rPr>
        <w:tab/>
        <w:t>Form of certificate of disposal of body</w:t>
      </w:r>
      <w:bookmarkEnd w:id="10"/>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11" w:name="_Toc517866240"/>
      <w:r>
        <w:rPr>
          <w:rStyle w:val="CharSectno"/>
        </w:rPr>
        <w:t>8</w:t>
      </w:r>
      <w:r>
        <w:rPr>
          <w:snapToGrid w:val="0"/>
        </w:rPr>
        <w:t>.</w:t>
      </w:r>
      <w:r>
        <w:rPr>
          <w:snapToGrid w:val="0"/>
        </w:rPr>
        <w:tab/>
        <w:t>Request that post mortem be performed</w:t>
      </w:r>
      <w:bookmarkEnd w:id="11"/>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12" w:name="_Toc517866241"/>
      <w:r>
        <w:rPr>
          <w:rStyle w:val="CharSectno"/>
        </w:rPr>
        <w:t>9</w:t>
      </w:r>
      <w:r>
        <w:rPr>
          <w:snapToGrid w:val="0"/>
        </w:rPr>
        <w:t>.</w:t>
      </w:r>
      <w:r>
        <w:rPr>
          <w:snapToGrid w:val="0"/>
        </w:rPr>
        <w:tab/>
        <w:t>Direction to perform post mortem</w:t>
      </w:r>
      <w:bookmarkEnd w:id="12"/>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13" w:name="_Toc517866242"/>
      <w:r>
        <w:rPr>
          <w:rStyle w:val="CharSectno"/>
        </w:rPr>
        <w:t>10</w:t>
      </w:r>
      <w:r>
        <w:rPr>
          <w:snapToGrid w:val="0"/>
        </w:rPr>
        <w:t>.</w:t>
      </w:r>
      <w:r>
        <w:rPr>
          <w:snapToGrid w:val="0"/>
        </w:rPr>
        <w:tab/>
        <w:t>Form of order for exhumation</w:t>
      </w:r>
      <w:bookmarkEnd w:id="1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14" w:name="_Toc517866243"/>
      <w:r>
        <w:rPr>
          <w:rStyle w:val="CharSectno"/>
        </w:rPr>
        <w:t>11</w:t>
      </w:r>
      <w:r>
        <w:rPr>
          <w:snapToGrid w:val="0"/>
        </w:rPr>
        <w:t>.</w:t>
      </w:r>
      <w:r>
        <w:rPr>
          <w:snapToGrid w:val="0"/>
        </w:rPr>
        <w:tab/>
        <w:t>Request not to exhume</w:t>
      </w:r>
      <w:bookmarkEnd w:id="14"/>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15" w:name="_Toc517866244"/>
      <w:r>
        <w:rPr>
          <w:rStyle w:val="CharSectno"/>
        </w:rPr>
        <w:t>12</w:t>
      </w:r>
      <w:r>
        <w:rPr>
          <w:snapToGrid w:val="0"/>
        </w:rPr>
        <w:t>.</w:t>
      </w:r>
      <w:r>
        <w:rPr>
          <w:snapToGrid w:val="0"/>
        </w:rPr>
        <w:tab/>
        <w:t>Form of notice of restriction of access to area</w:t>
      </w:r>
      <w:bookmarkEnd w:id="15"/>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16" w:name="_Toc517866245"/>
      <w:r>
        <w:rPr>
          <w:rStyle w:val="CharSectno"/>
        </w:rPr>
        <w:t>13</w:t>
      </w:r>
      <w:r>
        <w:rPr>
          <w:snapToGrid w:val="0"/>
        </w:rPr>
        <w:t>.</w:t>
      </w:r>
      <w:r>
        <w:rPr>
          <w:snapToGrid w:val="0"/>
        </w:rPr>
        <w:tab/>
        <w:t>Form of agreement of coroner to restricted access to area</w:t>
      </w:r>
      <w:bookmarkEnd w:id="16"/>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17" w:name="_Toc517866246"/>
      <w:r>
        <w:rPr>
          <w:rStyle w:val="CharSectno"/>
        </w:rPr>
        <w:t>14</w:t>
      </w:r>
      <w:r>
        <w:rPr>
          <w:snapToGrid w:val="0"/>
        </w:rPr>
        <w:t>.</w:t>
      </w:r>
      <w:r>
        <w:rPr>
          <w:snapToGrid w:val="0"/>
        </w:rPr>
        <w:tab/>
        <w:t>Form of authorisation, form of undertaking and requests for release of things</w:t>
      </w:r>
      <w:bookmarkEnd w:id="17"/>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18" w:name="_Toc517866247"/>
      <w:r>
        <w:rPr>
          <w:rStyle w:val="CharSectno"/>
        </w:rPr>
        <w:t>15</w:t>
      </w:r>
      <w:r>
        <w:rPr>
          <w:snapToGrid w:val="0"/>
        </w:rPr>
        <w:t>.</w:t>
      </w:r>
      <w:r>
        <w:rPr>
          <w:snapToGrid w:val="0"/>
        </w:rPr>
        <w:tab/>
        <w:t>Request for an inquest into a death</w:t>
      </w:r>
      <w:bookmarkEnd w:id="18"/>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19" w:name="_Toc517866248"/>
      <w:r>
        <w:rPr>
          <w:rStyle w:val="CharSectno"/>
        </w:rPr>
        <w:t>16</w:t>
      </w:r>
      <w:r>
        <w:rPr>
          <w:snapToGrid w:val="0"/>
        </w:rPr>
        <w:t>.</w:t>
      </w:r>
      <w:r>
        <w:rPr>
          <w:snapToGrid w:val="0"/>
        </w:rPr>
        <w:tab/>
        <w:t>Form of summons and warrant, and service of summons</w:t>
      </w:r>
      <w:bookmarkEnd w:id="19"/>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20" w:name="_Toc517866249"/>
      <w:r>
        <w:rPr>
          <w:rStyle w:val="CharSectno"/>
        </w:rPr>
        <w:t>17</w:t>
      </w:r>
      <w:r>
        <w:rPr>
          <w:snapToGrid w:val="0"/>
        </w:rPr>
        <w:t>.</w:t>
      </w:r>
      <w:r>
        <w:rPr>
          <w:snapToGrid w:val="0"/>
        </w:rPr>
        <w:tab/>
        <w:t>Interested persons for the purposes of section 44(3)</w:t>
      </w:r>
      <w:bookmarkEnd w:id="20"/>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in Gazette 30 Jun 2003 p. 2600.]</w:t>
      </w:r>
    </w:p>
    <w:p>
      <w:pPr>
        <w:pStyle w:val="Heading5"/>
        <w:rPr>
          <w:snapToGrid w:val="0"/>
        </w:rPr>
      </w:pPr>
      <w:bookmarkStart w:id="21" w:name="_Toc517866250"/>
      <w:r>
        <w:rPr>
          <w:rStyle w:val="CharSectno"/>
        </w:rPr>
        <w:t>18</w:t>
      </w:r>
      <w:r>
        <w:rPr>
          <w:snapToGrid w:val="0"/>
        </w:rPr>
        <w:t>.</w:t>
      </w:r>
      <w:r>
        <w:rPr>
          <w:snapToGrid w:val="0"/>
        </w:rPr>
        <w:tab/>
        <w:t>Form of order of exclusion from an inquest</w:t>
      </w:r>
      <w:bookmarkEnd w:id="21"/>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22" w:name="_Toc517866251"/>
      <w:r>
        <w:rPr>
          <w:rStyle w:val="CharSectno"/>
        </w:rPr>
        <w:t>19</w:t>
      </w:r>
      <w:r>
        <w:rPr>
          <w:snapToGrid w:val="0"/>
        </w:rPr>
        <w:t>.</w:t>
      </w:r>
      <w:r>
        <w:rPr>
          <w:snapToGrid w:val="0"/>
        </w:rPr>
        <w:tab/>
        <w:t>Access to records</w:t>
      </w:r>
      <w:bookmarkEnd w:id="22"/>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23" w:name="_Toc517866252"/>
      <w:r>
        <w:rPr>
          <w:rStyle w:val="CharSectno"/>
        </w:rPr>
        <w:t>20</w:t>
      </w:r>
      <w:r>
        <w:rPr>
          <w:snapToGrid w:val="0"/>
        </w:rPr>
        <w:t>.</w:t>
      </w:r>
      <w:r>
        <w:rPr>
          <w:snapToGrid w:val="0"/>
        </w:rPr>
        <w:tab/>
        <w:t>Form of oath or affirmation for witness</w:t>
      </w:r>
      <w:bookmarkEnd w:id="2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24" w:name="_Toc517866253"/>
      <w:r>
        <w:rPr>
          <w:rStyle w:val="CharSectno"/>
        </w:rPr>
        <w:t>21</w:t>
      </w:r>
      <w:r>
        <w:rPr>
          <w:snapToGrid w:val="0"/>
        </w:rPr>
        <w:t>.</w:t>
      </w:r>
      <w:r>
        <w:rPr>
          <w:snapToGrid w:val="0"/>
        </w:rPr>
        <w:tab/>
        <w:t>Fees for post mortem services</w:t>
      </w:r>
      <w:bookmarkEnd w:id="24"/>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in Gazette 4 Sep 2009 p. 3491.]</w:t>
      </w:r>
    </w:p>
    <w:p>
      <w:pPr>
        <w:pStyle w:val="Heading5"/>
      </w:pPr>
      <w:bookmarkStart w:id="25" w:name="_Toc517866254"/>
      <w:r>
        <w:rPr>
          <w:rStyle w:val="CharSectno"/>
        </w:rPr>
        <w:t>22</w:t>
      </w:r>
      <w:r>
        <w:t>.</w:t>
      </w:r>
      <w:r>
        <w:tab/>
        <w:t>Other fees</w:t>
      </w:r>
      <w:bookmarkEnd w:id="25"/>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in Gazette 14 Jun 2016 p. 1872.]</w:t>
      </w:r>
    </w:p>
    <w:p>
      <w:pPr>
        <w:pStyle w:val="Heading5"/>
      </w:pPr>
      <w:bookmarkStart w:id="26" w:name="_Toc517866255"/>
      <w:r>
        <w:rPr>
          <w:rStyle w:val="CharSectno"/>
        </w:rPr>
        <w:t>23A</w:t>
      </w:r>
      <w:r>
        <w:t>.</w:t>
      </w:r>
      <w:r>
        <w:tab/>
        <w:t>Fee exemptions</w:t>
      </w:r>
      <w:bookmarkEnd w:id="26"/>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23A inserted in Gazette 14 Jun 2016 p. 1873.]</w:t>
      </w:r>
    </w:p>
    <w:p>
      <w:pPr>
        <w:pStyle w:val="Heading5"/>
      </w:pPr>
      <w:bookmarkStart w:id="27" w:name="_Toc517866256"/>
      <w:r>
        <w:rPr>
          <w:rStyle w:val="CharSectno"/>
        </w:rPr>
        <w:t>23B</w:t>
      </w:r>
      <w:r>
        <w:t>.</w:t>
      </w:r>
      <w:r>
        <w:tab/>
        <w:t>Who is an eligible individual</w:t>
      </w:r>
      <w:bookmarkEnd w:id="27"/>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23D(1)(b).</w:t>
      </w:r>
    </w:p>
    <w:p>
      <w:pPr>
        <w:pStyle w:val="Footnotesection"/>
        <w:spacing w:before="80"/>
      </w:pPr>
      <w:r>
        <w:tab/>
        <w:t>[Regulation 23B inserted in Gazette 14 Jun 2016 p. 1873</w:t>
      </w:r>
      <w:r>
        <w:noBreakHyphen/>
        <w:t>4.]</w:t>
      </w:r>
    </w:p>
    <w:p>
      <w:pPr>
        <w:pStyle w:val="Heading5"/>
      </w:pPr>
      <w:bookmarkStart w:id="28" w:name="_Toc517866257"/>
      <w:r>
        <w:rPr>
          <w:rStyle w:val="CharSectno"/>
        </w:rPr>
        <w:t>23C</w:t>
      </w:r>
      <w:r>
        <w:t>.</w:t>
      </w:r>
      <w:r>
        <w:tab/>
        <w:t>Application to be recognised as eligible individual</w:t>
      </w:r>
      <w:bookmarkEnd w:id="28"/>
    </w:p>
    <w:p>
      <w:pPr>
        <w:pStyle w:val="Subsection"/>
      </w:pPr>
      <w:r>
        <w:tab/>
        <w:t>(1)</w:t>
      </w:r>
      <w:r>
        <w:tab/>
        <w:t>A person may apply for a direction under regulation 23D(1) that the person is an eligible individual in respect of a matter specified in Schedule 3.</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in Gazette 14 Jun 2016 p. 1874.]</w:t>
      </w:r>
    </w:p>
    <w:p>
      <w:pPr>
        <w:pStyle w:val="Heading5"/>
      </w:pPr>
      <w:bookmarkStart w:id="29" w:name="_Toc517866258"/>
      <w:r>
        <w:rPr>
          <w:rStyle w:val="CharSectno"/>
        </w:rPr>
        <w:t>23D</w:t>
      </w:r>
      <w:r>
        <w:t>.</w:t>
      </w:r>
      <w:r>
        <w:tab/>
        <w:t>Recognition as eligible individual</w:t>
      </w:r>
      <w:bookmarkEnd w:id="29"/>
      <w:r>
        <w:t xml:space="preserve"> </w:t>
      </w:r>
    </w:p>
    <w:p>
      <w:pPr>
        <w:pStyle w:val="Subsection"/>
      </w:pPr>
      <w:r>
        <w:tab/>
        <w:t>(1)</w:t>
      </w:r>
      <w:r>
        <w:tab/>
        <w:t xml:space="preserve">A coroner or a coroner’s registrar may, on an application under regulation 23C(1) — </w:t>
      </w:r>
    </w:p>
    <w:p>
      <w:pPr>
        <w:pStyle w:val="Indenta"/>
      </w:pPr>
      <w:r>
        <w:tab/>
        <w:t>(a)</w:t>
      </w:r>
      <w:r>
        <w:tab/>
        <w:t>direct that a person is an eligible individual described in regulation 23B(2)(a)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23B(2)(f)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in Gazette 14 Jun 2016 p. 1874</w:t>
      </w:r>
      <w:r>
        <w:noBreakHyphen/>
        <w:t>5.]</w:t>
      </w:r>
    </w:p>
    <w:p>
      <w:pPr>
        <w:pStyle w:val="Heading5"/>
      </w:pPr>
      <w:bookmarkStart w:id="30" w:name="_Toc517866259"/>
      <w:r>
        <w:rPr>
          <w:rStyle w:val="CharSectno"/>
        </w:rPr>
        <w:t>23E</w:t>
      </w:r>
      <w:r>
        <w:t>.</w:t>
      </w:r>
      <w:r>
        <w:tab/>
        <w:t>False or misleading statements</w:t>
      </w:r>
      <w:bookmarkEnd w:id="30"/>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in Gazette 14 Jun 2016 p. 1875</w:t>
      </w:r>
      <w:r>
        <w:noBreakHyphen/>
        <w:t>6.]</w:t>
      </w:r>
    </w:p>
    <w:p>
      <w:pPr>
        <w:pStyle w:val="Heading5"/>
      </w:pPr>
      <w:bookmarkStart w:id="31" w:name="_Toc517866260"/>
      <w:r>
        <w:rPr>
          <w:rStyle w:val="CharSectno"/>
        </w:rPr>
        <w:t>23</w:t>
      </w:r>
      <w:r>
        <w:t>.</w:t>
      </w:r>
      <w:r>
        <w:tab/>
        <w:t>Refunds</w:t>
      </w:r>
      <w:bookmarkEnd w:id="31"/>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in Gazette 14 Jun 2016 p. 1876.]</w:t>
      </w:r>
    </w:p>
    <w:p>
      <w:pPr>
        <w:pStyle w:val="Heading5"/>
      </w:pPr>
      <w:bookmarkStart w:id="32" w:name="_Toc517866261"/>
      <w:r>
        <w:rPr>
          <w:rStyle w:val="CharSectno"/>
        </w:rPr>
        <w:t>23A</w:t>
      </w:r>
      <w:r>
        <w:t>.</w:t>
      </w:r>
      <w:r>
        <w:tab/>
        <w:t>Waiving fee for copy of document or transcript</w:t>
      </w:r>
      <w:bookmarkEnd w:id="32"/>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in Gazette 14 Jun 2016 p. 1876.]</w:t>
      </w:r>
    </w:p>
    <w:p>
      <w:pPr>
        <w:pStyle w:val="Heading5"/>
      </w:pPr>
      <w:bookmarkStart w:id="33" w:name="_Toc517866262"/>
      <w:r>
        <w:rPr>
          <w:rStyle w:val="CharSectno"/>
        </w:rPr>
        <w:t>24</w:t>
      </w:r>
      <w:r>
        <w:t>.</w:t>
      </w:r>
      <w:r>
        <w:tab/>
        <w:t>Resolution of disputes as to fees</w:t>
      </w:r>
      <w:bookmarkEnd w:id="3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in Gazette 4 Sep 2009 p. 3492.]</w:t>
      </w:r>
    </w:p>
    <w:p>
      <w:pPr>
        <w:pStyle w:val="Heading5"/>
      </w:pPr>
      <w:bookmarkStart w:id="34" w:name="_Toc517866263"/>
      <w:r>
        <w:rPr>
          <w:rStyle w:val="CharSectno"/>
        </w:rPr>
        <w:t>25</w:t>
      </w:r>
      <w:r>
        <w:t>.</w:t>
      </w:r>
      <w:r>
        <w:tab/>
        <w:t>Recovery of unpaid fees</w:t>
      </w:r>
      <w:bookmarkEnd w:id="34"/>
    </w:p>
    <w:p>
      <w:pPr>
        <w:pStyle w:val="Subsection"/>
      </w:pPr>
      <w:r>
        <w:tab/>
      </w:r>
      <w:r>
        <w:tab/>
        <w:t>Any unpaid fee is a debt due to the State and may be recovered by action in a court of competent jurisdiction.</w:t>
      </w:r>
    </w:p>
    <w:p>
      <w:pPr>
        <w:pStyle w:val="Footnotesection"/>
      </w:pPr>
      <w:r>
        <w:tab/>
        <w:t>[Regulation 25 inserted in Gazette 4 Sep 2009 p. 3492.]</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5" w:name="_Toc517774269"/>
      <w:bookmarkStart w:id="36" w:name="_Toc517774417"/>
      <w:bookmarkStart w:id="37" w:name="_Toc517788678"/>
      <w:bookmarkStart w:id="38" w:name="_Toc517866264"/>
      <w:r>
        <w:rPr>
          <w:rStyle w:val="CharSchNo"/>
        </w:rPr>
        <w:t>Schedule 1</w:t>
      </w:r>
      <w:r>
        <w:t> — </w:t>
      </w:r>
      <w:r>
        <w:rPr>
          <w:rStyle w:val="CharSchText"/>
        </w:rPr>
        <w:t>Forms</w:t>
      </w:r>
      <w:bookmarkEnd w:id="35"/>
      <w:bookmarkEnd w:id="36"/>
      <w:bookmarkEnd w:id="37"/>
      <w:bookmarkEnd w:id="38"/>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in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in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rPr>
          <w:snapToGrid w:val="0"/>
        </w:rPr>
      </w:pPr>
      <w:r>
        <w:rPr>
          <w:snapToGrid w:val="0"/>
        </w:rPr>
        <w:t>3.</w:t>
      </w:r>
      <w:r>
        <w:rPr>
          <w:snapToGrid w:val="0"/>
        </w:rPr>
        <w:tab/>
        <w:t>*Find that — </w:t>
      </w:r>
    </w:p>
    <w:p>
      <w:pPr>
        <w:pStyle w:val="yMiscellaneousBody"/>
        <w:ind w:left="567" w:hanging="567"/>
        <w:rPr>
          <w:snapToGrid w:val="0"/>
        </w:rPr>
      </w:pPr>
      <w:r>
        <w:rPr>
          <w:snapToGrid w:val="0"/>
        </w:rPr>
        <w:tab/>
        <w:t>*The identity of the deceased person was ............................ and that death</w:t>
      </w:r>
    </w:p>
    <w:p>
      <w:pPr>
        <w:pStyle w:val="yMiscellaneousBody"/>
        <w:ind w:left="567" w:hanging="567"/>
        <w:rPr>
          <w:snapToGrid w:val="0"/>
        </w:rPr>
      </w:pPr>
      <w:r>
        <w:rPr>
          <w:snapToGrid w:val="0"/>
        </w:rPr>
        <w:tab/>
        <w:t xml:space="preserve">occurred on </w:t>
      </w:r>
      <w:r>
        <w:rPr>
          <w:snapToGrid w:val="0"/>
        </w:rPr>
        <w:t> </w:t>
      </w:r>
      <w:r>
        <w:rPr>
          <w:snapToGrid w:val="0"/>
        </w:rPr>
        <w:t> </w:t>
      </w:r>
      <w:r>
        <w:rPr>
          <w:snapToGrid w:val="0"/>
        </w:rPr>
        <w:t>/</w:t>
      </w:r>
      <w:r>
        <w:rPr>
          <w:snapToGrid w:val="0"/>
        </w:rPr>
        <w:t> </w:t>
      </w:r>
      <w:r>
        <w:rPr>
          <w:snapToGrid w:val="0"/>
        </w:rPr>
        <w:t> </w:t>
      </w:r>
      <w:r>
        <w:rPr>
          <w:snapToGrid w:val="0"/>
        </w:rPr>
        <w:t>/</w:t>
      </w:r>
      <w:r>
        <w:rPr>
          <w:snapToGrid w:val="0"/>
        </w:rPr>
        <w:t> </w:t>
      </w:r>
      <w:r>
        <w:rPr>
          <w:snapToGrid w:val="0"/>
        </w:rPr>
        <w:t> </w:t>
      </w:r>
      <w:r>
        <w:rPr>
          <w:snapToGrid w:val="0"/>
        </w:rPr>
        <w:t>at ....................................................................</w:t>
      </w:r>
    </w:p>
    <w:p>
      <w:pPr>
        <w:pStyle w:val="yMiscellaneousBody"/>
        <w:ind w:left="567" w:hanging="567"/>
        <w:rPr>
          <w:snapToGrid w:val="0"/>
        </w:rPr>
      </w:pPr>
      <w:r>
        <w:rPr>
          <w:snapToGrid w:val="0"/>
        </w:rPr>
        <w:tab/>
        <w:t>from (</w:t>
      </w:r>
      <w:r>
        <w:rPr>
          <w:i/>
          <w:snapToGrid w:val="0"/>
        </w:rPr>
        <w:t>state cause of death</w:t>
      </w:r>
      <w:r>
        <w:rPr>
          <w:snapToGrid w:val="0"/>
        </w:rPr>
        <w:t>) in the following circumstances:</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ind w:left="567"/>
        <w:rPr>
          <w:snapToGrid w:val="0"/>
        </w:rPr>
      </w:pPr>
      <w:r>
        <w:rPr>
          <w:snapToGrid w:val="0"/>
        </w:rPr>
        <w:t>......................................................................................................................</w:t>
      </w:r>
    </w:p>
    <w:p>
      <w:pPr>
        <w:pStyle w:val="yMiscellaneousBody"/>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 xml:space="preserve">in the State of </w:t>
      </w:r>
      <w:smartTag w:uri="urn:schemas-microsoft-com:office:smarttags" w:element="State">
        <w:smartTag w:uri="urn:schemas-microsoft-com:office:smarttags" w:element="place">
          <w:r>
            <w:rPr>
              <w:snapToGrid w:val="0"/>
            </w:rPr>
            <w:t>Western Australia</w:t>
          </w:r>
        </w:smartTag>
      </w:smartTag>
      <w:r>
        <w:rPr>
          <w:snapToGrid w:val="0"/>
        </w:rPr>
        <w:t xml:space="preserve">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in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 xml:space="preserve">To all members of the Police Force of the State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in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0" w:name="_Toc517774270"/>
      <w:bookmarkStart w:id="41" w:name="_Toc517774418"/>
      <w:bookmarkStart w:id="42" w:name="_Toc517788679"/>
      <w:bookmarkStart w:id="43" w:name="_Toc517866265"/>
      <w:r>
        <w:rPr>
          <w:rStyle w:val="CharSchNo"/>
        </w:rPr>
        <w:t>Schedule 2</w:t>
      </w:r>
      <w:r>
        <w:rPr>
          <w:rStyle w:val="CharSDivNo"/>
        </w:rPr>
        <w:t> </w:t>
      </w:r>
      <w:r>
        <w:rPr>
          <w:bCs/>
        </w:rPr>
        <w:t>—</w:t>
      </w:r>
      <w:r>
        <w:rPr>
          <w:rStyle w:val="CharSDivText"/>
        </w:rPr>
        <w:t> </w:t>
      </w:r>
      <w:r>
        <w:rPr>
          <w:rStyle w:val="CharSchText"/>
        </w:rPr>
        <w:t>Fees for post mortem services</w:t>
      </w:r>
      <w:bookmarkEnd w:id="40"/>
      <w:bookmarkEnd w:id="41"/>
      <w:bookmarkEnd w:id="42"/>
      <w:bookmarkEnd w:id="43"/>
    </w:p>
    <w:p>
      <w:pPr>
        <w:pStyle w:val="yShoulderClause"/>
      </w:pPr>
      <w:r>
        <w:t>[r. 21]</w:t>
      </w:r>
    </w:p>
    <w:p>
      <w:pPr>
        <w:pStyle w:val="yFootnoteheading"/>
        <w:spacing w:after="120"/>
      </w:pPr>
      <w:r>
        <w:tab/>
        <w:t>[Heading inserted in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44" w:name="_Toc514321215"/>
      <w:bookmarkStart w:id="45" w:name="_Toc514321280"/>
      <w:bookmarkStart w:id="46" w:name="_Toc514330274"/>
      <w:bookmarkStart w:id="47" w:name="_Toc514334939"/>
      <w:bookmarkStart w:id="48" w:name="_Toc514336288"/>
      <w:bookmarkStart w:id="49" w:name="_Toc514336490"/>
      <w:bookmarkStart w:id="50" w:name="_Toc514414464"/>
      <w:bookmarkStart w:id="51" w:name="_Toc514414529"/>
      <w:bookmarkStart w:id="52" w:name="_Toc514657439"/>
      <w:bookmarkStart w:id="53" w:name="_Toc514666260"/>
      <w:bookmarkStart w:id="54" w:name="_Toc517774271"/>
      <w:bookmarkStart w:id="55" w:name="_Toc517774419"/>
      <w:bookmarkStart w:id="56" w:name="_Toc517788680"/>
      <w:bookmarkStart w:id="57" w:name="_Toc517866266"/>
      <w:r>
        <w:rPr>
          <w:rStyle w:val="CharSchNo"/>
        </w:rPr>
        <w:t>Schedule 3</w:t>
      </w:r>
      <w:r>
        <w:t> — </w:t>
      </w:r>
      <w:r>
        <w:rPr>
          <w:rStyle w:val="CharSchText"/>
        </w:rPr>
        <w:t>Other fees</w:t>
      </w:r>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yShoulderClause"/>
      </w:pPr>
      <w:r>
        <w:t>[r. 22]</w:t>
      </w:r>
    </w:p>
    <w:p>
      <w:pPr>
        <w:pStyle w:val="yFootnoteheading"/>
      </w:pPr>
      <w:r>
        <w:tab/>
        <w:t>[Heading inserted in Gazette 15 Jun 2018 p. 1983.]</w:t>
      </w:r>
    </w:p>
    <w:tbl>
      <w:tblPr>
        <w:tblW w:w="6946" w:type="dxa"/>
        <w:tblInd w:w="250" w:type="dxa"/>
        <w:tblBorders>
          <w:top w:val="single" w:sz="4" w:space="0" w:color="auto"/>
          <w:insideH w:val="single" w:sz="4" w:space="0" w:color="auto"/>
        </w:tblBorders>
        <w:tblLayout w:type="fixed"/>
        <w:tblCellMar>
          <w:bottom w:w="113" w:type="dxa"/>
        </w:tblCellMar>
        <w:tblLook w:val="0000" w:firstRow="0" w:lastRow="0" w:firstColumn="0" w:lastColumn="0" w:noHBand="0" w:noVBand="0"/>
      </w:tblPr>
      <w:tblGrid>
        <w:gridCol w:w="709"/>
        <w:gridCol w:w="3118"/>
        <w:gridCol w:w="1559"/>
        <w:gridCol w:w="1560"/>
      </w:tblGrid>
      <w:tr>
        <w:trPr>
          <w:cantSplit/>
          <w:tblHeader/>
        </w:trPr>
        <w:tc>
          <w:tcPr>
            <w:tcW w:w="709" w:type="dxa"/>
            <w:tcBorders>
              <w:bottom w:val="single" w:sz="4" w:space="0" w:color="auto"/>
            </w:tcBorders>
          </w:tcPr>
          <w:p>
            <w:pPr>
              <w:pStyle w:val="yTableNAm"/>
              <w:jc w:val="center"/>
            </w:pPr>
            <w:r>
              <w:rPr>
                <w:b/>
              </w:rPr>
              <w:t>Item</w:t>
            </w:r>
          </w:p>
        </w:tc>
        <w:tc>
          <w:tcPr>
            <w:tcW w:w="3118" w:type="dxa"/>
            <w:tcBorders>
              <w:bottom w:val="single" w:sz="4" w:space="0" w:color="auto"/>
            </w:tcBorders>
          </w:tcPr>
          <w:p>
            <w:pPr>
              <w:pStyle w:val="yTableNAm"/>
              <w:jc w:val="center"/>
            </w:pPr>
            <w:r>
              <w:rPr>
                <w:b/>
                <w:bCs/>
              </w:rPr>
              <w:t>Matter</w:t>
            </w:r>
          </w:p>
        </w:tc>
        <w:tc>
          <w:tcPr>
            <w:tcW w:w="1559" w:type="dxa"/>
            <w:tcBorders>
              <w:bottom w:val="single" w:sz="4" w:space="0" w:color="auto"/>
            </w:tcBorders>
            <w:vAlign w:val="center"/>
          </w:tcPr>
          <w:p>
            <w:pPr>
              <w:pStyle w:val="yTableNAm"/>
              <w:jc w:val="center"/>
            </w:pPr>
            <w:r>
              <w:rPr>
                <w:b/>
                <w:bCs/>
              </w:rPr>
              <w:t xml:space="preserve">Column A </w:t>
            </w:r>
            <w:r>
              <w:rPr>
                <w:b/>
                <w:bCs/>
              </w:rPr>
              <w:br/>
              <w:t xml:space="preserve">Fee for individual </w:t>
            </w:r>
            <w:r>
              <w:rPr>
                <w:b/>
                <w:bCs/>
              </w:rPr>
              <w:br/>
            </w:r>
            <w:r>
              <w:rPr>
                <w:b/>
                <w:bCs/>
              </w:rPr>
              <w:br/>
              <w:t>$</w:t>
            </w:r>
          </w:p>
        </w:tc>
        <w:tc>
          <w:tcPr>
            <w:tcW w:w="1560" w:type="dxa"/>
            <w:tcBorders>
              <w:bottom w:val="single" w:sz="4" w:space="0" w:color="auto"/>
            </w:tcBorders>
            <w:vAlign w:val="center"/>
          </w:tcPr>
          <w:p>
            <w:pPr>
              <w:pStyle w:val="yTableNAm"/>
              <w:jc w:val="center"/>
            </w:pPr>
            <w:r>
              <w:rPr>
                <w:b/>
                <w:bCs/>
              </w:rPr>
              <w:t xml:space="preserve">Column B </w:t>
            </w:r>
            <w:r>
              <w:rPr>
                <w:b/>
                <w:bCs/>
              </w:rPr>
              <w:br/>
              <w:t xml:space="preserve">Fee for eligible individual </w:t>
            </w:r>
            <w:r>
              <w:rPr>
                <w:b/>
                <w:bCs/>
              </w:rPr>
              <w:br/>
              <w:t>$</w:t>
            </w:r>
          </w:p>
        </w:tc>
      </w:tr>
      <w:tr>
        <w:trPr>
          <w:cantSplit/>
        </w:trPr>
        <w:tc>
          <w:tcPr>
            <w:tcW w:w="709" w:type="dxa"/>
            <w:tcBorders>
              <w:bottom w:val="nil"/>
            </w:tcBorders>
          </w:tcPr>
          <w:p>
            <w:pPr>
              <w:pStyle w:val="yTableNAm"/>
            </w:pPr>
            <w:r>
              <w:t>1.</w:t>
            </w:r>
          </w:p>
        </w:tc>
        <w:tc>
          <w:tcPr>
            <w:tcW w:w="3118" w:type="dxa"/>
            <w:tcBorders>
              <w:bottom w:val="nil"/>
            </w:tcBorders>
          </w:tcPr>
          <w:p>
            <w:pPr>
              <w:pStyle w:val="yTableNAm"/>
              <w:rPr>
                <w:rStyle w:val="DraftersNotes"/>
              </w:rPr>
            </w:pPr>
            <w:r>
              <w:t>Copy of document or exhibit, for each page or part of a page</w:t>
            </w:r>
          </w:p>
        </w:tc>
        <w:tc>
          <w:tcPr>
            <w:tcW w:w="1559" w:type="dxa"/>
            <w:tcBorders>
              <w:bottom w:val="nil"/>
            </w:tcBorders>
          </w:tcPr>
          <w:p>
            <w:pPr>
              <w:pStyle w:val="yTableNAm"/>
            </w:pPr>
            <w:r>
              <w:br/>
              <w:t>1.85</w:t>
            </w:r>
          </w:p>
        </w:tc>
        <w:tc>
          <w:tcPr>
            <w:tcW w:w="1560" w:type="dxa"/>
            <w:tcBorders>
              <w:bottom w:val="nil"/>
            </w:tcBorders>
          </w:tcPr>
          <w:p>
            <w:pPr>
              <w:pStyle w:val="yTableNAm"/>
            </w:pPr>
            <w:r>
              <w:br/>
              <w:t>0.55</w:t>
            </w:r>
          </w:p>
        </w:tc>
      </w:tr>
      <w:tr>
        <w:trPr>
          <w:cantSplit/>
        </w:trPr>
        <w:tc>
          <w:tcPr>
            <w:tcW w:w="709" w:type="dxa"/>
            <w:tcBorders>
              <w:top w:val="nil"/>
              <w:bottom w:val="nil"/>
            </w:tcBorders>
          </w:tcPr>
          <w:p>
            <w:pPr>
              <w:pStyle w:val="yTableNAm"/>
            </w:pPr>
            <w:r>
              <w:t>2.</w:t>
            </w:r>
          </w:p>
        </w:tc>
        <w:tc>
          <w:tcPr>
            <w:tcW w:w="3118" w:type="dxa"/>
            <w:tcBorders>
              <w:top w:val="nil"/>
              <w:bottom w:val="nil"/>
            </w:tcBorders>
          </w:tcPr>
          <w:p>
            <w:pPr>
              <w:pStyle w:val="yTableNAm"/>
            </w:pPr>
            <w:r>
              <w:t xml:space="preserve">Copy of record of investigation into a death — </w:t>
            </w:r>
          </w:p>
          <w:p>
            <w:pPr>
              <w:pStyle w:val="yTableNAm"/>
              <w:ind w:left="601" w:hanging="601"/>
              <w:rPr>
                <w:rStyle w:val="DraftersNotes"/>
              </w:rPr>
            </w:pPr>
            <w:r>
              <w:t>(a)</w:t>
            </w:r>
            <w:r>
              <w:tab/>
              <w:t>for 1 copy on the request of a person who is an interested person under regulation 17(a) or (b)</w:t>
            </w:r>
          </w:p>
        </w:tc>
        <w:tc>
          <w:tcPr>
            <w:tcW w:w="1559" w:type="dxa"/>
            <w:tcBorders>
              <w:top w:val="nil"/>
              <w:bottom w:val="nil"/>
            </w:tcBorders>
          </w:tcPr>
          <w:p>
            <w:pPr>
              <w:pStyle w:val="yTableNAm"/>
            </w:pPr>
            <w:r>
              <w:br/>
            </w:r>
          </w:p>
          <w:p>
            <w:pPr>
              <w:pStyle w:val="yTableNAm"/>
            </w:pPr>
            <w:r>
              <w:br/>
            </w:r>
            <w:r>
              <w:br/>
            </w:r>
            <w:r>
              <w:br/>
              <w:t>Nil</w:t>
            </w:r>
          </w:p>
        </w:tc>
        <w:tc>
          <w:tcPr>
            <w:tcW w:w="1560" w:type="dxa"/>
            <w:tcBorders>
              <w:top w:val="nil"/>
              <w:bottom w:val="nil"/>
            </w:tcBorders>
          </w:tcPr>
          <w:p>
            <w:pPr>
              <w:pStyle w:val="yTableNAm"/>
            </w:pPr>
            <w:r>
              <w:br/>
            </w:r>
          </w:p>
          <w:p>
            <w:pPr>
              <w:pStyle w:val="yTableNAm"/>
            </w:pPr>
            <w:r>
              <w:br/>
            </w:r>
            <w:r>
              <w:br/>
            </w:r>
            <w:r>
              <w:br/>
              <w:t>Nil</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(b)</w:t>
            </w:r>
            <w:r>
              <w:tab/>
              <w:t>for each additional copy on the request of a person who is an interested person under regulation 17(a) or (b), for each page or part of a page</w:t>
            </w:r>
          </w:p>
        </w:tc>
        <w:tc>
          <w:tcPr>
            <w:tcW w:w="1559" w:type="dxa"/>
            <w:tcBorders>
              <w:top w:val="nil"/>
              <w:bottom w:val="nil"/>
            </w:tcBorders>
          </w:tcPr>
          <w:p>
            <w:pPr>
              <w:pStyle w:val="yTableNAm"/>
            </w:pPr>
            <w:r>
              <w:br/>
            </w:r>
            <w:r>
              <w:rPr>
                <w:szCs w:val="22"/>
              </w:rPr>
              <w:br/>
            </w:r>
            <w:r>
              <w:rPr>
                <w:szCs w:val="22"/>
              </w:rPr>
              <w:br/>
            </w:r>
            <w:r>
              <w:rPr>
                <w:szCs w:val="22"/>
              </w:rPr>
              <w:br/>
            </w:r>
            <w:r>
              <w:rPr>
                <w:szCs w:val="22"/>
              </w:rPr>
              <w:br/>
              <w:t>1.50</w:t>
            </w:r>
          </w:p>
        </w:tc>
        <w:tc>
          <w:tcPr>
            <w:tcW w:w="1560" w:type="dxa"/>
            <w:tcBorders>
              <w:top w:val="nil"/>
              <w:bottom w:val="nil"/>
            </w:tcBorders>
          </w:tcPr>
          <w:p>
            <w:pPr>
              <w:pStyle w:val="yTableNAm"/>
            </w:pPr>
            <w:r>
              <w:br/>
            </w:r>
            <w:r>
              <w:rPr>
                <w:szCs w:val="22"/>
              </w:rPr>
              <w:br/>
            </w:r>
            <w:r>
              <w:rPr>
                <w:szCs w:val="22"/>
              </w:rPr>
              <w:br/>
            </w:r>
            <w:r>
              <w:rPr>
                <w:szCs w:val="22"/>
              </w:rPr>
              <w:br/>
            </w:r>
            <w:r>
              <w:rPr>
                <w:szCs w:val="22"/>
              </w:rPr>
              <w:br/>
              <w:t>0.50</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ind w:left="601" w:hanging="601"/>
            </w:pPr>
            <w:r>
              <w:t>(c)</w:t>
            </w:r>
            <w:r>
              <w:tab/>
              <w:t>for each copy on the request of any other person, for each page or part of a page</w:t>
            </w:r>
          </w:p>
        </w:tc>
        <w:tc>
          <w:tcPr>
            <w:tcW w:w="1559" w:type="dxa"/>
            <w:tcBorders>
              <w:top w:val="nil"/>
              <w:bottom w:val="nil"/>
            </w:tcBorders>
          </w:tcPr>
          <w:p>
            <w:pPr>
              <w:pStyle w:val="yTableNAm"/>
            </w:pPr>
            <w:r>
              <w:rPr>
                <w:szCs w:val="22"/>
              </w:rPr>
              <w:br/>
            </w:r>
            <w:r>
              <w:rPr>
                <w:szCs w:val="22"/>
              </w:rPr>
              <w:br/>
            </w:r>
            <w:r>
              <w:rPr>
                <w:szCs w:val="22"/>
              </w:rPr>
              <w:br/>
              <w:t>1.50</w:t>
            </w:r>
          </w:p>
        </w:tc>
        <w:tc>
          <w:tcPr>
            <w:tcW w:w="1560" w:type="dxa"/>
            <w:tcBorders>
              <w:top w:val="nil"/>
              <w:bottom w:val="nil"/>
            </w:tcBorders>
          </w:tcPr>
          <w:p>
            <w:pPr>
              <w:pStyle w:val="yTableNAm"/>
            </w:pPr>
            <w:r>
              <w:rPr>
                <w:szCs w:val="22"/>
              </w:rPr>
              <w:br/>
            </w:r>
            <w:r>
              <w:rPr>
                <w:szCs w:val="22"/>
              </w:rPr>
              <w:br/>
            </w:r>
            <w:r>
              <w:rPr>
                <w:szCs w:val="22"/>
              </w:rPr>
              <w:br/>
              <w:t>0.50</w:t>
            </w:r>
          </w:p>
        </w:tc>
      </w:tr>
      <w:tr>
        <w:trPr>
          <w:cantSplit/>
        </w:trPr>
        <w:tc>
          <w:tcPr>
            <w:tcW w:w="709" w:type="dxa"/>
            <w:tcBorders>
              <w:top w:val="nil"/>
              <w:bottom w:val="nil"/>
            </w:tcBorders>
          </w:tcPr>
          <w:p>
            <w:pPr>
              <w:pStyle w:val="yTableNAm"/>
            </w:pPr>
            <w:r>
              <w:t>3.</w:t>
            </w:r>
          </w:p>
        </w:tc>
        <w:tc>
          <w:tcPr>
            <w:tcW w:w="3118" w:type="dxa"/>
            <w:tcBorders>
              <w:top w:val="nil"/>
              <w:bottom w:val="nil"/>
            </w:tcBorders>
          </w:tcPr>
          <w:p>
            <w:pPr>
              <w:pStyle w:val="yTableNAm"/>
              <w:rPr>
                <w:rStyle w:val="DraftersNotes"/>
              </w:rPr>
            </w:pPr>
            <w:r>
              <w:t>Certifying under seal that a document is a true copy</w:t>
            </w:r>
          </w:p>
        </w:tc>
        <w:tc>
          <w:tcPr>
            <w:tcW w:w="1559" w:type="dxa"/>
            <w:tcBorders>
              <w:top w:val="nil"/>
              <w:bottom w:val="nil"/>
            </w:tcBorders>
          </w:tcPr>
          <w:p>
            <w:pPr>
              <w:pStyle w:val="yTableNAm"/>
            </w:pPr>
            <w:r>
              <w:rPr>
                <w:szCs w:val="22"/>
              </w:rPr>
              <w:br/>
              <w:t>21.40</w:t>
            </w:r>
          </w:p>
        </w:tc>
        <w:tc>
          <w:tcPr>
            <w:tcW w:w="1560" w:type="dxa"/>
            <w:tcBorders>
              <w:top w:val="nil"/>
              <w:bottom w:val="nil"/>
            </w:tcBorders>
          </w:tcPr>
          <w:p>
            <w:pPr>
              <w:pStyle w:val="yTableNAm"/>
            </w:pPr>
            <w:r>
              <w:rPr>
                <w:szCs w:val="22"/>
              </w:rPr>
              <w:br/>
              <w:t>6.45</w:t>
            </w:r>
          </w:p>
        </w:tc>
      </w:tr>
      <w:tr>
        <w:trPr>
          <w:cantSplit/>
        </w:trPr>
        <w:tc>
          <w:tcPr>
            <w:tcW w:w="709" w:type="dxa"/>
            <w:tcBorders>
              <w:top w:val="nil"/>
              <w:bottom w:val="nil"/>
            </w:tcBorders>
          </w:tcPr>
          <w:p>
            <w:pPr>
              <w:pStyle w:val="yTableNAm"/>
            </w:pPr>
            <w:r>
              <w:t>4.</w:t>
            </w:r>
          </w:p>
        </w:tc>
        <w:tc>
          <w:tcPr>
            <w:tcW w:w="3118" w:type="dxa"/>
            <w:tcBorders>
              <w:top w:val="nil"/>
              <w:bottom w:val="nil"/>
            </w:tcBorders>
          </w:tcPr>
          <w:p>
            <w:pPr>
              <w:pStyle w:val="yTableNAm"/>
            </w:pPr>
            <w:r>
              <w:t xml:space="preserve">Copy of transcript or notes of evidence — </w:t>
            </w:r>
          </w:p>
        </w:tc>
        <w:tc>
          <w:tcPr>
            <w:tcW w:w="1559" w:type="dxa"/>
            <w:tcBorders>
              <w:top w:val="nil"/>
              <w:bottom w:val="nil"/>
            </w:tcBorders>
          </w:tcPr>
          <w:p>
            <w:pPr>
              <w:pStyle w:val="zyTableNAm"/>
              <w:jc w:val="center"/>
              <w:rPr>
                <w:szCs w:val="22"/>
              </w:rPr>
            </w:pPr>
          </w:p>
        </w:tc>
        <w:tc>
          <w:tcPr>
            <w:tcW w:w="1560" w:type="dxa"/>
            <w:tcBorders>
              <w:top w:val="nil"/>
              <w:bottom w:val="nil"/>
            </w:tcBorders>
          </w:tcPr>
          <w:p>
            <w:pPr>
              <w:pStyle w:val="yTableNAm"/>
            </w:pP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601"/>
              </w:tabs>
              <w:ind w:left="601" w:hanging="601"/>
            </w:pPr>
            <w:r>
              <w:t>(a)</w:t>
            </w:r>
            <w:r>
              <w:tab/>
              <w:t>provided within 1 day after the day on which the fee is paid</w:t>
            </w:r>
          </w:p>
        </w:tc>
        <w:tc>
          <w:tcPr>
            <w:tcW w:w="1559" w:type="dxa"/>
            <w:tcBorders>
              <w:top w:val="nil"/>
              <w:bottom w:val="nil"/>
            </w:tcBorders>
          </w:tcPr>
          <w:p>
            <w:pPr>
              <w:pStyle w:val="yTableNAm"/>
            </w:pPr>
            <w:r>
              <w:rPr>
                <w:szCs w:val="22"/>
              </w:rPr>
              <w:t xml:space="preserve">20.50 plus </w:t>
            </w:r>
            <w:r>
              <w:rPr>
                <w:szCs w:val="22"/>
              </w:rPr>
              <w:br/>
              <w:t>8.45 per page</w:t>
            </w:r>
          </w:p>
        </w:tc>
        <w:tc>
          <w:tcPr>
            <w:tcW w:w="1560" w:type="dxa"/>
            <w:tcBorders>
              <w:top w:val="nil"/>
              <w:bottom w:val="nil"/>
            </w:tcBorders>
          </w:tcPr>
          <w:p>
            <w:pPr>
              <w:pStyle w:val="yTableNAm"/>
            </w:pPr>
            <w:r>
              <w:rPr>
                <w:szCs w:val="22"/>
              </w:rPr>
              <w:t xml:space="preserve">6.15 plus </w:t>
            </w:r>
            <w:r>
              <w:rPr>
                <w:szCs w:val="22"/>
              </w:rPr>
              <w:br/>
              <w:t>2.55 per page</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601"/>
              </w:tabs>
              <w:ind w:left="601" w:hanging="601"/>
            </w:pPr>
            <w:r>
              <w:t>(b)</w:t>
            </w:r>
            <w:r>
              <w:tab/>
              <w:t>provided within 4 days after the day on which the fee is paid</w:t>
            </w:r>
          </w:p>
        </w:tc>
        <w:tc>
          <w:tcPr>
            <w:tcW w:w="1559" w:type="dxa"/>
            <w:tcBorders>
              <w:top w:val="nil"/>
              <w:bottom w:val="nil"/>
            </w:tcBorders>
          </w:tcPr>
          <w:p>
            <w:pPr>
              <w:pStyle w:val="yTableNAm"/>
            </w:pPr>
            <w:r>
              <w:rPr>
                <w:szCs w:val="22"/>
              </w:rPr>
              <w:t xml:space="preserve">20.50 plus </w:t>
            </w:r>
            <w:r>
              <w:rPr>
                <w:szCs w:val="22"/>
              </w:rPr>
              <w:br/>
              <w:t>7.30 per page</w:t>
            </w:r>
          </w:p>
        </w:tc>
        <w:tc>
          <w:tcPr>
            <w:tcW w:w="1560" w:type="dxa"/>
            <w:tcBorders>
              <w:top w:val="nil"/>
              <w:bottom w:val="nil"/>
            </w:tcBorders>
          </w:tcPr>
          <w:p>
            <w:pPr>
              <w:pStyle w:val="yTableNAm"/>
            </w:pPr>
            <w:r>
              <w:rPr>
                <w:szCs w:val="22"/>
              </w:rPr>
              <w:t xml:space="preserve">6.15 plus </w:t>
            </w:r>
            <w:r>
              <w:rPr>
                <w:szCs w:val="22"/>
              </w:rPr>
              <w:br/>
              <w:t>2.20 per page</w:t>
            </w:r>
          </w:p>
        </w:tc>
      </w:tr>
      <w:tr>
        <w:trPr>
          <w:cantSplit/>
        </w:trPr>
        <w:tc>
          <w:tcPr>
            <w:tcW w:w="709" w:type="dxa"/>
            <w:tcBorders>
              <w:top w:val="nil"/>
              <w:bottom w:val="nil"/>
            </w:tcBorders>
          </w:tcPr>
          <w:p>
            <w:pPr>
              <w:pStyle w:val="zyTableNAm"/>
              <w:jc w:val="center"/>
            </w:pPr>
          </w:p>
        </w:tc>
        <w:tc>
          <w:tcPr>
            <w:tcW w:w="3118" w:type="dxa"/>
            <w:tcBorders>
              <w:top w:val="nil"/>
              <w:bottom w:val="nil"/>
            </w:tcBorders>
          </w:tcPr>
          <w:p>
            <w:pPr>
              <w:pStyle w:val="yTableNAm"/>
              <w:tabs>
                <w:tab w:val="clear" w:pos="567"/>
                <w:tab w:val="left" w:pos="601"/>
              </w:tabs>
              <w:ind w:left="601" w:hanging="601"/>
            </w:pPr>
            <w:r>
              <w:t>(c)</w:t>
            </w:r>
            <w:r>
              <w:tab/>
              <w:t>provided within 7 days after the day on which the fee is paid</w:t>
            </w:r>
          </w:p>
        </w:tc>
        <w:tc>
          <w:tcPr>
            <w:tcW w:w="1559" w:type="dxa"/>
            <w:tcBorders>
              <w:top w:val="nil"/>
              <w:bottom w:val="nil"/>
            </w:tcBorders>
          </w:tcPr>
          <w:p>
            <w:pPr>
              <w:pStyle w:val="yTableNAm"/>
            </w:pPr>
            <w:r>
              <w:rPr>
                <w:szCs w:val="22"/>
              </w:rPr>
              <w:t xml:space="preserve">20.50 plus </w:t>
            </w:r>
            <w:r>
              <w:rPr>
                <w:szCs w:val="22"/>
              </w:rPr>
              <w:br/>
              <w:t>7.05 per page</w:t>
            </w:r>
          </w:p>
        </w:tc>
        <w:tc>
          <w:tcPr>
            <w:tcW w:w="1560" w:type="dxa"/>
            <w:tcBorders>
              <w:top w:val="nil"/>
              <w:bottom w:val="nil"/>
            </w:tcBorders>
          </w:tcPr>
          <w:p>
            <w:pPr>
              <w:pStyle w:val="yTableNAm"/>
            </w:pPr>
            <w:r>
              <w:rPr>
                <w:szCs w:val="22"/>
              </w:rPr>
              <w:t xml:space="preserve">6.15 plus </w:t>
            </w:r>
            <w:r>
              <w:rPr>
                <w:szCs w:val="22"/>
              </w:rPr>
              <w:br/>
              <w:t>2.15 per page</w:t>
            </w:r>
          </w:p>
        </w:tc>
      </w:tr>
      <w:tr>
        <w:trPr>
          <w:cantSplit/>
        </w:trPr>
        <w:tc>
          <w:tcPr>
            <w:tcW w:w="709" w:type="dxa"/>
            <w:tcBorders>
              <w:top w:val="nil"/>
              <w:bottom w:val="nil"/>
            </w:tcBorders>
          </w:tcPr>
          <w:p>
            <w:pPr>
              <w:pStyle w:val="yTableNAm"/>
            </w:pPr>
            <w:r>
              <w:t>5.</w:t>
            </w:r>
          </w:p>
        </w:tc>
        <w:tc>
          <w:tcPr>
            <w:tcW w:w="3118" w:type="dxa"/>
            <w:tcBorders>
              <w:top w:val="nil"/>
              <w:bottom w:val="nil"/>
            </w:tcBorders>
          </w:tcPr>
          <w:p>
            <w:pPr>
              <w:pStyle w:val="yTableNAm"/>
            </w:pPr>
            <w:r>
              <w:t>Copy of transcript or notes of evidence in electronic format if a fee has been paid under item 4 by the applicant for a copy of the transcript or notes of evidence, for each day of transcript or notes of evidence</w:t>
            </w:r>
          </w:p>
        </w:tc>
        <w:tc>
          <w:tcPr>
            <w:tcW w:w="1559" w:type="dxa"/>
            <w:tcBorders>
              <w:top w:val="nil"/>
              <w:bottom w:val="nil"/>
            </w:tcBorders>
          </w:tcPr>
          <w:p>
            <w:pPr>
              <w:pStyle w:val="yTableNAm"/>
            </w:pPr>
            <w:r>
              <w:rPr>
                <w:szCs w:val="22"/>
              </w:rPr>
              <w:br/>
            </w:r>
            <w:r>
              <w:rPr>
                <w:szCs w:val="22"/>
              </w:rPr>
              <w:br/>
            </w:r>
            <w:r>
              <w:rPr>
                <w:szCs w:val="22"/>
              </w:rPr>
              <w:br/>
            </w:r>
            <w:r>
              <w:rPr>
                <w:szCs w:val="22"/>
              </w:rPr>
              <w:br/>
            </w:r>
            <w:r>
              <w:rPr>
                <w:szCs w:val="22"/>
              </w:rPr>
              <w:br/>
            </w:r>
            <w:r>
              <w:rPr>
                <w:szCs w:val="22"/>
              </w:rPr>
              <w:br/>
              <w:t>21.40</w:t>
            </w:r>
          </w:p>
        </w:tc>
        <w:tc>
          <w:tcPr>
            <w:tcW w:w="1560" w:type="dxa"/>
            <w:tcBorders>
              <w:top w:val="nil"/>
              <w:bottom w:val="nil"/>
            </w:tcBorders>
          </w:tcPr>
          <w:p>
            <w:pPr>
              <w:pStyle w:val="yTableNAm"/>
            </w:pPr>
            <w:r>
              <w:rPr>
                <w:szCs w:val="22"/>
              </w:rPr>
              <w:br/>
            </w:r>
            <w:r>
              <w:rPr>
                <w:szCs w:val="22"/>
              </w:rPr>
              <w:br/>
            </w:r>
            <w:r>
              <w:rPr>
                <w:szCs w:val="22"/>
              </w:rPr>
              <w:br/>
            </w:r>
            <w:r>
              <w:rPr>
                <w:szCs w:val="22"/>
              </w:rPr>
              <w:br/>
            </w:r>
            <w:r>
              <w:rPr>
                <w:szCs w:val="22"/>
              </w:rPr>
              <w:br/>
            </w:r>
            <w:r>
              <w:rPr>
                <w:szCs w:val="22"/>
              </w:rPr>
              <w:br/>
              <w:t>6.45</w:t>
            </w:r>
          </w:p>
        </w:tc>
      </w:tr>
      <w:tr>
        <w:trPr>
          <w:cantSplit/>
        </w:trPr>
        <w:tc>
          <w:tcPr>
            <w:tcW w:w="709" w:type="dxa"/>
            <w:tcBorders>
              <w:top w:val="nil"/>
              <w:bottom w:val="single" w:sz="4" w:space="0" w:color="auto"/>
            </w:tcBorders>
          </w:tcPr>
          <w:p>
            <w:pPr>
              <w:pStyle w:val="yTableNAm"/>
            </w:pPr>
            <w:r>
              <w:t>6.</w:t>
            </w:r>
          </w:p>
        </w:tc>
        <w:tc>
          <w:tcPr>
            <w:tcW w:w="3118" w:type="dxa"/>
            <w:tcBorders>
              <w:top w:val="nil"/>
              <w:bottom w:val="single" w:sz="4" w:space="0" w:color="auto"/>
            </w:tcBorders>
          </w:tcPr>
          <w:p>
            <w:pPr>
              <w:pStyle w:val="yTableNAm"/>
            </w:pPr>
            <w:r>
              <w:t>Copy of transcript or notes of evidence not in electronic format if a fee has been paid under item 4 by the applicant for a copy of the transcript or notes of evidence, for each page or part of a page</w:t>
            </w:r>
          </w:p>
        </w:tc>
        <w:tc>
          <w:tcPr>
            <w:tcW w:w="1559" w:type="dxa"/>
            <w:tcBorders>
              <w:top w:val="nil"/>
              <w:bottom w:val="single" w:sz="4" w:space="0" w:color="auto"/>
            </w:tcBorders>
          </w:tcPr>
          <w:p>
            <w:pPr>
              <w:pStyle w:val="yTableNAm"/>
            </w:pPr>
            <w:r>
              <w:rPr>
                <w:szCs w:val="22"/>
              </w:rPr>
              <w:br/>
            </w:r>
            <w:r>
              <w:rPr>
                <w:szCs w:val="22"/>
              </w:rPr>
              <w:br/>
            </w:r>
            <w:r>
              <w:rPr>
                <w:szCs w:val="22"/>
              </w:rPr>
              <w:br/>
            </w:r>
            <w:r>
              <w:rPr>
                <w:szCs w:val="22"/>
              </w:rPr>
              <w:br/>
            </w:r>
            <w:r>
              <w:rPr>
                <w:szCs w:val="22"/>
              </w:rPr>
              <w:br/>
            </w:r>
            <w:r>
              <w:rPr>
                <w:szCs w:val="22"/>
              </w:rPr>
              <w:br/>
              <w:t>2.10</w:t>
            </w:r>
          </w:p>
        </w:tc>
        <w:tc>
          <w:tcPr>
            <w:tcW w:w="1560" w:type="dxa"/>
            <w:tcBorders>
              <w:top w:val="nil"/>
              <w:bottom w:val="single" w:sz="4" w:space="0" w:color="auto"/>
            </w:tcBorders>
          </w:tcPr>
          <w:p>
            <w:pPr>
              <w:pStyle w:val="yTableNAm"/>
            </w:pPr>
            <w:r>
              <w:rPr>
                <w:szCs w:val="22"/>
              </w:rPr>
              <w:br/>
            </w:r>
            <w:r>
              <w:rPr>
                <w:szCs w:val="22"/>
              </w:rPr>
              <w:br/>
            </w:r>
            <w:r>
              <w:rPr>
                <w:szCs w:val="22"/>
              </w:rPr>
              <w:br/>
            </w:r>
            <w:r>
              <w:rPr>
                <w:szCs w:val="22"/>
              </w:rPr>
              <w:br/>
            </w:r>
            <w:r>
              <w:rPr>
                <w:szCs w:val="22"/>
              </w:rPr>
              <w:br/>
            </w:r>
            <w:r>
              <w:rPr>
                <w:szCs w:val="22"/>
              </w:rPr>
              <w:br/>
              <w:t>0.60</w:t>
            </w:r>
          </w:p>
        </w:tc>
      </w:tr>
    </w:tbl>
    <w:p>
      <w:pPr>
        <w:pStyle w:val="yFootnotesection"/>
      </w:pPr>
      <w:r>
        <w:tab/>
        <w:t>[Schedule 3 inserted in Gazette 15 Jun 2018 p. 1983</w:t>
      </w:r>
      <w:r>
        <w:noBreakHyphen/>
        <w:t>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outlineLvl w:val="0"/>
        <w:sectPr>
          <w:headerReference w:type="even" r:id="rId27"/>
          <w:headerReference w:type="default" r:id="rId28"/>
          <w:pgSz w:w="11907" w:h="16840" w:code="9"/>
          <w:pgMar w:top="2381" w:right="2410" w:bottom="3544" w:left="2410" w:header="720" w:footer="3544" w:gutter="0"/>
          <w:cols w:space="720"/>
        </w:sectPr>
      </w:pPr>
    </w:p>
    <w:p>
      <w:pPr>
        <w:pStyle w:val="nHeading2"/>
      </w:pPr>
      <w:bookmarkStart w:id="58" w:name="_Toc517774272"/>
      <w:bookmarkStart w:id="59" w:name="_Toc517774420"/>
      <w:bookmarkStart w:id="60" w:name="_Toc517788681"/>
      <w:bookmarkStart w:id="61" w:name="_Toc517866267"/>
      <w:r>
        <w:t>Notes</w:t>
      </w:r>
      <w:bookmarkEnd w:id="58"/>
      <w:bookmarkEnd w:id="59"/>
      <w:bookmarkEnd w:id="60"/>
      <w:bookmarkEnd w:id="61"/>
    </w:p>
    <w:p>
      <w:pPr>
        <w:pStyle w:val="nSubsection"/>
        <w:rPr>
          <w:snapToGrid w:val="0"/>
        </w:rPr>
      </w:pPr>
      <w:r>
        <w:rPr>
          <w:snapToGrid w:val="0"/>
          <w:vertAlign w:val="superscript"/>
        </w:rPr>
        <w:t>1</w:t>
      </w:r>
      <w:r>
        <w:rPr>
          <w:snapToGrid w:val="0"/>
        </w:rPr>
        <w:tab/>
        <w:t xml:space="preserve">This is a compilation of the </w:t>
      </w:r>
      <w:r>
        <w:rPr>
          <w:i/>
          <w:noProof/>
          <w:snapToGrid w:val="0"/>
        </w:rPr>
        <w:t>Coroners Regulations 1997</w:t>
      </w:r>
      <w:r>
        <w:rPr>
          <w:snapToGrid w:val="0"/>
        </w:rPr>
        <w:t xml:space="preserve"> and includes the amendments made by the other written laws referred to in the following table.  The table also contains information about any reprint.</w:t>
      </w:r>
    </w:p>
    <w:p>
      <w:pPr>
        <w:pStyle w:val="nHeading3"/>
      </w:pPr>
      <w:bookmarkStart w:id="62" w:name="_Toc517866268"/>
      <w:r>
        <w:t>Compilation table</w:t>
      </w:r>
      <w:bookmarkEnd w:id="62"/>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gridCol w:w="29"/>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rPr>
                <w:rFonts w:ascii="Times" w:hAnsi="Times"/>
              </w:rPr>
            </w:pPr>
            <w:r>
              <w:rPr>
                <w:rFonts w:ascii="Times" w:hAnsi="Times"/>
                <w:i/>
              </w:rPr>
              <w:t>Coroners Regulations 1997</w:t>
            </w:r>
          </w:p>
        </w:tc>
        <w:tc>
          <w:tcPr>
            <w:tcW w:w="1276" w:type="dxa"/>
            <w:tcBorders>
              <w:top w:val="single" w:sz="8" w:space="0" w:color="auto"/>
            </w:tcBorders>
          </w:tcPr>
          <w:p>
            <w:pPr>
              <w:pStyle w:val="nTable"/>
              <w:spacing w:after="40"/>
              <w:rPr>
                <w:rFonts w:ascii="Times" w:hAnsi="Times"/>
              </w:rPr>
            </w:pPr>
            <w:r>
              <w:rPr>
                <w:rFonts w:ascii="Times" w:hAnsi="Times"/>
              </w:rPr>
              <w:t>18 Mar 1997 p. 1551</w:t>
            </w:r>
            <w:r>
              <w:rPr>
                <w:rFonts w:ascii="Times" w:hAnsi="Times"/>
              </w:rPr>
              <w:noBreakHyphen/>
              <w:t>74</w:t>
            </w:r>
          </w:p>
        </w:tc>
        <w:tc>
          <w:tcPr>
            <w:tcW w:w="2722" w:type="dxa"/>
            <w:gridSpan w:val="2"/>
            <w:tcBorders>
              <w:top w:val="single" w:sz="8" w:space="0" w:color="auto"/>
            </w:tcBorders>
          </w:tcPr>
          <w:p>
            <w:pPr>
              <w:pStyle w:val="nTable"/>
              <w:spacing w:after="40"/>
              <w:rPr>
                <w:rFonts w:ascii="Times" w:hAnsi="Times"/>
              </w:rPr>
            </w:pPr>
            <w:r>
              <w:rPr>
                <w:rFonts w:ascii="Times" w:hAnsi="Times"/>
              </w:rPr>
              <w:t xml:space="preserve">7 Apr 1997 (see r. 2 and </w:t>
            </w:r>
            <w:r>
              <w:rPr>
                <w:rFonts w:ascii="Times" w:hAnsi="Times"/>
                <w:i/>
              </w:rPr>
              <w:t>Gazette</w:t>
            </w:r>
            <w:r>
              <w:rPr>
                <w:rFonts w:ascii="Times" w:hAnsi="Times"/>
              </w:rPr>
              <w:t xml:space="preserve"> 18 Mar 1997 p. 1529)</w:t>
            </w:r>
          </w:p>
        </w:tc>
      </w:tr>
      <w:tr>
        <w:tc>
          <w:tcPr>
            <w:tcW w:w="3118" w:type="dxa"/>
          </w:tcPr>
          <w:p>
            <w:pPr>
              <w:pStyle w:val="nTable"/>
              <w:spacing w:after="40"/>
              <w:rPr>
                <w:rFonts w:ascii="Times" w:hAnsi="Times"/>
              </w:rPr>
            </w:pPr>
            <w:r>
              <w:rPr>
                <w:rFonts w:ascii="Times" w:hAnsi="Times"/>
                <w:i/>
              </w:rPr>
              <w:t>Equality of Status Subsidiary Legislation Amendment Regulations 2003</w:t>
            </w:r>
            <w:r>
              <w:rPr>
                <w:rFonts w:ascii="Times" w:hAnsi="Times"/>
              </w:rPr>
              <w:t xml:space="preserve"> Pt. 10</w:t>
            </w:r>
          </w:p>
        </w:tc>
        <w:tc>
          <w:tcPr>
            <w:tcW w:w="1276" w:type="dxa"/>
          </w:tcPr>
          <w:p>
            <w:pPr>
              <w:pStyle w:val="nTable"/>
              <w:spacing w:after="40"/>
              <w:rPr>
                <w:rFonts w:ascii="Times" w:hAnsi="Times"/>
              </w:rPr>
            </w:pPr>
            <w:r>
              <w:rPr>
                <w:rFonts w:ascii="Times" w:hAnsi="Times"/>
              </w:rPr>
              <w:t>30 Jun 2003 p. 2581</w:t>
            </w:r>
            <w:r>
              <w:rPr>
                <w:rFonts w:ascii="Times" w:hAnsi="Times"/>
              </w:rPr>
              <w:noBreakHyphen/>
              <w:t>638</w:t>
            </w:r>
          </w:p>
        </w:tc>
        <w:tc>
          <w:tcPr>
            <w:tcW w:w="2722" w:type="dxa"/>
            <w:gridSpan w:val="2"/>
          </w:tcPr>
          <w:p>
            <w:pPr>
              <w:pStyle w:val="nTable"/>
              <w:spacing w:after="40"/>
              <w:rPr>
                <w:rFonts w:ascii="Times" w:hAnsi="Times"/>
              </w:rPr>
            </w:pPr>
            <w:r>
              <w:rPr>
                <w:rFonts w:ascii="Times" w:hAnsi="Times"/>
              </w:rPr>
              <w:t xml:space="preserve">1 Jul 2003 (see r. 2 and </w:t>
            </w:r>
            <w:r>
              <w:rPr>
                <w:rFonts w:ascii="Times" w:hAnsi="Times"/>
                <w:i/>
              </w:rPr>
              <w:t xml:space="preserve">Gazette </w:t>
            </w:r>
            <w:r>
              <w:rPr>
                <w:rFonts w:ascii="Times" w:hAnsi="Times"/>
              </w:rPr>
              <w:t>30 Jun 2003 p. 2579)</w:t>
            </w:r>
          </w:p>
        </w:tc>
      </w:tr>
      <w:tr>
        <w:trPr>
          <w:cantSplit/>
        </w:trPr>
        <w:tc>
          <w:tcPr>
            <w:tcW w:w="7116" w:type="dxa"/>
            <w:gridSpan w:val="4"/>
          </w:tcPr>
          <w:p>
            <w:pPr>
              <w:pStyle w:val="nTable"/>
              <w:spacing w:after="40"/>
              <w:rPr>
                <w:rFonts w:ascii="Times" w:hAnsi="Times"/>
              </w:rPr>
            </w:pPr>
            <w:r>
              <w:rPr>
                <w:rFonts w:ascii="Times" w:hAnsi="Times"/>
                <w:b/>
              </w:rPr>
              <w:t xml:space="preserve">Reprint 1: The </w:t>
            </w:r>
            <w:r>
              <w:rPr>
                <w:rFonts w:ascii="Times" w:hAnsi="Times"/>
                <w:b/>
                <w:i/>
              </w:rPr>
              <w:t>Coroners Regulations 1997</w:t>
            </w:r>
            <w:r>
              <w:rPr>
                <w:rFonts w:ascii="Times" w:hAnsi="Times"/>
                <w:b/>
              </w:rPr>
              <w:t xml:space="preserve"> as at 16 Jan 2004</w:t>
            </w:r>
            <w:r>
              <w:rPr>
                <w:rFonts w:ascii="Times" w:hAnsi="Times"/>
              </w:rPr>
              <w:t xml:space="preserve"> (includes amendments listed above)</w:t>
            </w:r>
          </w:p>
        </w:tc>
      </w:tr>
      <w:tr>
        <w:tc>
          <w:tcPr>
            <w:tcW w:w="3118" w:type="dxa"/>
          </w:tcPr>
          <w:p>
            <w:pPr>
              <w:pStyle w:val="nTable"/>
              <w:spacing w:after="40"/>
              <w:rPr>
                <w:rFonts w:ascii="Times" w:hAnsi="Times"/>
                <w:iCs/>
              </w:rPr>
            </w:pPr>
            <w:r>
              <w:rPr>
                <w:rFonts w:ascii="Times" w:hAnsi="Times"/>
                <w:i/>
              </w:rPr>
              <w:t>Courts and Legal Practice (Consequential Amendments) Regulations 2005</w:t>
            </w:r>
            <w:r>
              <w:rPr>
                <w:rFonts w:ascii="Times" w:hAnsi="Times"/>
                <w:iCs/>
              </w:rPr>
              <w:t xml:space="preserve"> r. 3</w:t>
            </w:r>
          </w:p>
        </w:tc>
        <w:tc>
          <w:tcPr>
            <w:tcW w:w="1276" w:type="dxa"/>
          </w:tcPr>
          <w:p>
            <w:pPr>
              <w:pStyle w:val="nTable"/>
              <w:spacing w:after="40"/>
              <w:rPr>
                <w:rFonts w:ascii="Times" w:hAnsi="Times"/>
              </w:rPr>
            </w:pPr>
            <w:r>
              <w:rPr>
                <w:rFonts w:ascii="Times" w:hAnsi="Times"/>
              </w:rPr>
              <w:t>19 Apr 2005 p. 1294</w:t>
            </w:r>
            <w:r>
              <w:rPr>
                <w:rFonts w:ascii="Times" w:hAnsi="Times"/>
              </w:rPr>
              <w:noBreakHyphen/>
              <w:t>302</w:t>
            </w:r>
          </w:p>
        </w:tc>
        <w:tc>
          <w:tcPr>
            <w:tcW w:w="2722" w:type="dxa"/>
            <w:gridSpan w:val="2"/>
          </w:tcPr>
          <w:p>
            <w:pPr>
              <w:pStyle w:val="nTable"/>
              <w:spacing w:after="40"/>
              <w:rPr>
                <w:rFonts w:ascii="Times" w:hAnsi="Times"/>
              </w:rPr>
            </w:pPr>
            <w:r>
              <w:rPr>
                <w:rFonts w:ascii="Times" w:hAnsi="Times"/>
              </w:rPr>
              <w:t>19 Apr 2005</w:t>
            </w:r>
          </w:p>
        </w:tc>
      </w:tr>
      <w:tr>
        <w:tc>
          <w:tcPr>
            <w:tcW w:w="3118" w:type="dxa"/>
          </w:tcPr>
          <w:p>
            <w:pPr>
              <w:pStyle w:val="nTable"/>
              <w:spacing w:after="40"/>
              <w:rPr>
                <w:rFonts w:ascii="Times" w:hAnsi="Times"/>
                <w:i/>
              </w:rPr>
            </w:pPr>
            <w:r>
              <w:rPr>
                <w:rFonts w:ascii="Times" w:hAnsi="Times"/>
                <w:i/>
              </w:rPr>
              <w:t>Coroners Amendment Regulations 2008</w:t>
            </w:r>
          </w:p>
        </w:tc>
        <w:tc>
          <w:tcPr>
            <w:tcW w:w="1276" w:type="dxa"/>
          </w:tcPr>
          <w:p>
            <w:pPr>
              <w:pStyle w:val="nTable"/>
              <w:spacing w:after="40"/>
              <w:rPr>
                <w:rFonts w:ascii="Times" w:hAnsi="Times"/>
              </w:rPr>
            </w:pPr>
            <w:r>
              <w:rPr>
                <w:rFonts w:ascii="Times" w:hAnsi="Times"/>
              </w:rPr>
              <w:t>11 Mar 2008 p. 816</w:t>
            </w:r>
          </w:p>
        </w:tc>
        <w:tc>
          <w:tcPr>
            <w:tcW w:w="2722" w:type="dxa"/>
            <w:gridSpan w:val="2"/>
          </w:tcPr>
          <w:p>
            <w:pPr>
              <w:pStyle w:val="nTable"/>
              <w:spacing w:after="40"/>
              <w:rPr>
                <w:rFonts w:ascii="Times" w:hAnsi="Times"/>
              </w:rPr>
            </w:pPr>
            <w:r>
              <w:rPr>
                <w:rFonts w:ascii="Times" w:hAnsi="Times"/>
                <w:snapToGrid w:val="0"/>
              </w:rPr>
              <w:t>r. 1 and 2: 11 Mar 2008 (see r. 2(a));</w:t>
            </w:r>
            <w:r>
              <w:rPr>
                <w:rFonts w:ascii="Times" w:hAnsi="Times"/>
                <w:snapToGrid w:val="0"/>
              </w:rPr>
              <w:br/>
              <w:t>Regulations other than r. 1 and 2: 12 Mar 2008 (see r. 2(b))</w:t>
            </w:r>
          </w:p>
        </w:tc>
      </w:tr>
      <w:tr>
        <w:tc>
          <w:tcPr>
            <w:tcW w:w="3118" w:type="dxa"/>
          </w:tcPr>
          <w:p>
            <w:pPr>
              <w:pStyle w:val="nTable"/>
              <w:spacing w:after="40"/>
              <w:rPr>
                <w:rFonts w:ascii="Times" w:hAnsi="Times"/>
                <w:i/>
              </w:rPr>
            </w:pPr>
            <w:r>
              <w:rPr>
                <w:rFonts w:ascii="Times" w:hAnsi="Times"/>
                <w:i/>
              </w:rPr>
              <w:t>Coroners Amendment Regulations 2009</w:t>
            </w:r>
          </w:p>
        </w:tc>
        <w:tc>
          <w:tcPr>
            <w:tcW w:w="1276" w:type="dxa"/>
          </w:tcPr>
          <w:p>
            <w:pPr>
              <w:pStyle w:val="nTable"/>
              <w:spacing w:after="40"/>
              <w:rPr>
                <w:rFonts w:ascii="Times" w:hAnsi="Times"/>
              </w:rPr>
            </w:pPr>
            <w:r>
              <w:rPr>
                <w:rFonts w:ascii="Times" w:hAnsi="Times"/>
              </w:rPr>
              <w:t>4 Sep 2009 p. 3491</w:t>
            </w:r>
            <w:r>
              <w:rPr>
                <w:rFonts w:ascii="Times" w:hAnsi="Times"/>
              </w:rPr>
              <w:noBreakHyphen/>
              <w:t>3</w:t>
            </w:r>
          </w:p>
        </w:tc>
        <w:tc>
          <w:tcPr>
            <w:tcW w:w="2722" w:type="dxa"/>
            <w:gridSpan w:val="2"/>
          </w:tcPr>
          <w:p>
            <w:pPr>
              <w:pStyle w:val="nTable"/>
              <w:spacing w:after="40"/>
              <w:rPr>
                <w:rFonts w:ascii="Times" w:hAnsi="Times"/>
                <w:snapToGrid w:val="0"/>
              </w:rPr>
            </w:pPr>
            <w:r>
              <w:rPr>
                <w:rFonts w:ascii="Times" w:hAnsi="Times"/>
                <w:snapToGrid w:val="0"/>
              </w:rPr>
              <w:t>r. 1 and 2: 4 Sep 2009 (see r. 2(a));</w:t>
            </w:r>
            <w:r>
              <w:rPr>
                <w:rFonts w:ascii="Times" w:hAnsi="Times"/>
                <w:snapToGrid w:val="0"/>
              </w:rPr>
              <w:br/>
              <w:t>Regulations other than r. 1 and 2: 5 Sep 2009 (see r. 2(b))</w:t>
            </w:r>
          </w:p>
        </w:tc>
      </w:tr>
      <w:tr>
        <w:trPr>
          <w:cantSplit/>
        </w:trPr>
        <w:tc>
          <w:tcPr>
            <w:tcW w:w="7116" w:type="dxa"/>
            <w:gridSpan w:val="4"/>
          </w:tcPr>
          <w:p>
            <w:pPr>
              <w:pStyle w:val="nTable"/>
              <w:spacing w:after="40"/>
              <w:rPr>
                <w:rFonts w:ascii="Times" w:hAnsi="Times"/>
                <w:snapToGrid w:val="0"/>
              </w:rPr>
            </w:pPr>
            <w:r>
              <w:rPr>
                <w:rFonts w:ascii="Times" w:hAnsi="Times"/>
                <w:b/>
              </w:rPr>
              <w:t xml:space="preserve">Reprint 2: The </w:t>
            </w:r>
            <w:r>
              <w:rPr>
                <w:rFonts w:ascii="Times" w:hAnsi="Times"/>
                <w:b/>
                <w:i/>
              </w:rPr>
              <w:t>Coroners Regulations 1997</w:t>
            </w:r>
            <w:r>
              <w:rPr>
                <w:rFonts w:ascii="Times" w:hAnsi="Times"/>
                <w:b/>
              </w:rPr>
              <w:t xml:space="preserve"> as at 6 Nov 2009</w:t>
            </w:r>
            <w:r>
              <w:rPr>
                <w:rFonts w:ascii="Times" w:hAnsi="Times"/>
              </w:rPr>
              <w:t xml:space="preserve"> (includes amendments listed above)</w:t>
            </w:r>
          </w:p>
        </w:tc>
      </w:tr>
      <w:tr>
        <w:tc>
          <w:tcPr>
            <w:tcW w:w="3118" w:type="dxa"/>
          </w:tcPr>
          <w:p>
            <w:pPr>
              <w:pStyle w:val="nTable"/>
              <w:spacing w:after="40"/>
              <w:rPr>
                <w:rFonts w:ascii="Times" w:hAnsi="Times"/>
                <w:i/>
              </w:rPr>
            </w:pPr>
            <w:r>
              <w:rPr>
                <w:rFonts w:ascii="Times" w:hAnsi="Times"/>
                <w:i/>
              </w:rPr>
              <w:t>Coroners Amendment Regulations 2011</w:t>
            </w:r>
          </w:p>
        </w:tc>
        <w:tc>
          <w:tcPr>
            <w:tcW w:w="1276" w:type="dxa"/>
          </w:tcPr>
          <w:p>
            <w:pPr>
              <w:pStyle w:val="nTable"/>
              <w:spacing w:after="40"/>
              <w:rPr>
                <w:rFonts w:ascii="Times" w:hAnsi="Times"/>
              </w:rPr>
            </w:pPr>
            <w:r>
              <w:rPr>
                <w:rFonts w:ascii="Times" w:hAnsi="Times"/>
              </w:rPr>
              <w:t>8 Mar 2011 p. 799</w:t>
            </w:r>
            <w:r>
              <w:rPr>
                <w:rFonts w:ascii="Times" w:hAnsi="Times"/>
              </w:rPr>
              <w:noBreakHyphen/>
              <w:t>800</w:t>
            </w:r>
          </w:p>
        </w:tc>
        <w:tc>
          <w:tcPr>
            <w:tcW w:w="2722" w:type="dxa"/>
            <w:gridSpan w:val="2"/>
          </w:tcPr>
          <w:p>
            <w:pPr>
              <w:pStyle w:val="nTable"/>
              <w:spacing w:after="40"/>
              <w:rPr>
                <w:rFonts w:ascii="Times" w:hAnsi="Times"/>
                <w:snapToGrid w:val="0"/>
              </w:rPr>
            </w:pPr>
            <w:r>
              <w:rPr>
                <w:rFonts w:ascii="Times" w:hAnsi="Times"/>
                <w:snapToGrid w:val="0"/>
              </w:rPr>
              <w:t>r. 1 and 2: 8 Mar 2011 (see r. 2(a));</w:t>
            </w:r>
            <w:r>
              <w:rPr>
                <w:rFonts w:ascii="Times" w:hAnsi="Times"/>
                <w:snapToGrid w:val="0"/>
              </w:rPr>
              <w:br/>
              <w:t>Regulations other than r. 1 and 2: 9 Mar 2011 (see r. 2(b))</w:t>
            </w:r>
          </w:p>
        </w:tc>
      </w:tr>
      <w:tr>
        <w:tc>
          <w:tcPr>
            <w:tcW w:w="3118" w:type="dxa"/>
          </w:tcPr>
          <w:p>
            <w:pPr>
              <w:pStyle w:val="nTable"/>
              <w:spacing w:after="40"/>
              <w:rPr>
                <w:rFonts w:ascii="Times" w:hAnsi="Times"/>
                <w:i/>
              </w:rPr>
            </w:pPr>
            <w:r>
              <w:rPr>
                <w:rFonts w:ascii="Times" w:hAnsi="Times"/>
                <w:i/>
              </w:rPr>
              <w:t>Coroners Amendment Regulations (No. 2) 2011</w:t>
            </w:r>
          </w:p>
        </w:tc>
        <w:tc>
          <w:tcPr>
            <w:tcW w:w="1276" w:type="dxa"/>
          </w:tcPr>
          <w:p>
            <w:pPr>
              <w:pStyle w:val="nTable"/>
              <w:spacing w:after="40"/>
              <w:rPr>
                <w:rFonts w:ascii="Times" w:hAnsi="Times"/>
              </w:rPr>
            </w:pPr>
            <w:r>
              <w:rPr>
                <w:rFonts w:ascii="Times" w:hAnsi="Times"/>
              </w:rPr>
              <w:t>20 Dec 2011 p. 5392</w:t>
            </w:r>
            <w:r>
              <w:rPr>
                <w:rFonts w:ascii="Times" w:hAnsi="Times"/>
              </w:rPr>
              <w:noBreakHyphen/>
              <w:t>3</w:t>
            </w:r>
          </w:p>
        </w:tc>
        <w:tc>
          <w:tcPr>
            <w:tcW w:w="2722" w:type="dxa"/>
            <w:gridSpan w:val="2"/>
          </w:tcPr>
          <w:p>
            <w:pPr>
              <w:pStyle w:val="nTable"/>
              <w:spacing w:after="40"/>
              <w:rPr>
                <w:rFonts w:ascii="Times" w:hAnsi="Times"/>
                <w:snapToGrid w:val="0"/>
              </w:rPr>
            </w:pPr>
            <w:r>
              <w:rPr>
                <w:rFonts w:ascii="Times" w:hAnsi="Times"/>
                <w:snapToGrid w:val="0"/>
              </w:rPr>
              <w:t>r. 1 and 2: 20 Dec 2011 (see r. 2(a));</w:t>
            </w:r>
            <w:r>
              <w:rPr>
                <w:rFonts w:ascii="Times" w:hAnsi="Times"/>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Coroners Amendment Regulations 2012</w:t>
            </w:r>
          </w:p>
        </w:tc>
        <w:tc>
          <w:tcPr>
            <w:tcW w:w="1276" w:type="dxa"/>
          </w:tcPr>
          <w:p>
            <w:pPr>
              <w:pStyle w:val="nTable"/>
              <w:spacing w:after="40"/>
              <w:rPr>
                <w:rFonts w:ascii="Times" w:hAnsi="Times"/>
              </w:rPr>
            </w:pPr>
            <w:r>
              <w:rPr>
                <w:rFonts w:ascii="Times" w:hAnsi="Times"/>
              </w:rPr>
              <w:t>30 Nov 2012 p. 5801</w:t>
            </w:r>
          </w:p>
        </w:tc>
        <w:tc>
          <w:tcPr>
            <w:tcW w:w="2722"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keepNext/>
              <w:spacing w:after="40"/>
              <w:rPr>
                <w:rFonts w:ascii="Times" w:hAnsi="Times"/>
                <w:i/>
              </w:rPr>
            </w:pPr>
            <w:r>
              <w:rPr>
                <w:rFonts w:ascii="Times" w:hAnsi="Times"/>
                <w:i/>
              </w:rPr>
              <w:t>Coroners Amendment Regulations (No. 2) 2012</w:t>
            </w:r>
          </w:p>
        </w:tc>
        <w:tc>
          <w:tcPr>
            <w:tcW w:w="1276" w:type="dxa"/>
          </w:tcPr>
          <w:p>
            <w:pPr>
              <w:pStyle w:val="nTable"/>
              <w:keepNext/>
              <w:spacing w:after="40"/>
              <w:rPr>
                <w:rFonts w:ascii="Times" w:hAnsi="Times"/>
              </w:rPr>
            </w:pPr>
            <w:r>
              <w:rPr>
                <w:rFonts w:ascii="Times" w:hAnsi="Times"/>
              </w:rPr>
              <w:t>12 Feb 2013 p. 921-2</w:t>
            </w:r>
          </w:p>
        </w:tc>
        <w:tc>
          <w:tcPr>
            <w:tcW w:w="2722" w:type="dxa"/>
            <w:gridSpan w:val="2"/>
          </w:tcPr>
          <w:p>
            <w:pPr>
              <w:pStyle w:val="nTable"/>
              <w:keepNext/>
              <w:spacing w:after="40"/>
              <w:rPr>
                <w:rFonts w:ascii="Times" w:hAnsi="Times"/>
                <w:snapToGrid w:val="0"/>
              </w:rPr>
            </w:pPr>
            <w:r>
              <w:rPr>
                <w:rFonts w:ascii="Times" w:hAnsi="Times"/>
                <w:snapToGrid w:val="0"/>
              </w:rPr>
              <w:t>r. 1 and 2: 12 Feb 2013 (see r. 2(a));</w:t>
            </w:r>
            <w:r>
              <w:rPr>
                <w:rFonts w:ascii="Times" w:hAnsi="Times"/>
                <w:snapToGrid w:val="0"/>
              </w:rPr>
              <w:br/>
              <w:t>Regulations other than r. 1 and 2: 13 Feb 2013 (see r. 2(b))</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2013</w:t>
            </w:r>
          </w:p>
        </w:tc>
        <w:tc>
          <w:tcPr>
            <w:tcW w:w="1276" w:type="dxa"/>
            <w:shd w:val="clear" w:color="auto" w:fill="auto"/>
          </w:tcPr>
          <w:p>
            <w:pPr>
              <w:pStyle w:val="nTable"/>
              <w:keepNext/>
              <w:spacing w:after="40"/>
              <w:rPr>
                <w:rFonts w:ascii="Times" w:hAnsi="Times"/>
              </w:rPr>
            </w:pPr>
            <w:r>
              <w:rPr>
                <w:rFonts w:ascii="Times" w:hAnsi="Times"/>
              </w:rPr>
              <w:t>15 Nov 2013 p. 5252</w:t>
            </w:r>
            <w:r>
              <w:rPr>
                <w:rFonts w:ascii="Times" w:hAnsi="Times"/>
              </w:rPr>
              <w:noBreakHyphen/>
              <w:t>3</w:t>
            </w:r>
          </w:p>
        </w:tc>
        <w:tc>
          <w:tcPr>
            <w:tcW w:w="2722" w:type="dxa"/>
            <w:gridSpan w:val="2"/>
            <w:shd w:val="clear" w:color="auto" w:fill="auto"/>
          </w:tcPr>
          <w:p>
            <w:pPr>
              <w:pStyle w:val="nTable"/>
              <w:keepNext/>
              <w:spacing w:after="40"/>
              <w:rPr>
                <w:rFonts w:ascii="Times" w:hAnsi="Times"/>
                <w:snapToGrid w:val="0"/>
              </w:rPr>
            </w:pPr>
            <w:r>
              <w:rPr>
                <w:rFonts w:ascii="Times" w:hAnsi="Times"/>
                <w:bCs/>
                <w:snapToGrid w:val="0"/>
              </w:rPr>
              <w:t>r. 1 and 2: 15 Nov 2013 (see r. 2(a));</w:t>
            </w:r>
            <w:r>
              <w:rPr>
                <w:rFonts w:ascii="Times" w:hAnsi="Times"/>
                <w:bCs/>
                <w:snapToGrid w:val="0"/>
              </w:rPr>
              <w:br/>
              <w:t>Regulations other than r. 1 and 2: 16 Nov 2013 (see r. 2(b)(ii))</w:t>
            </w:r>
          </w:p>
        </w:tc>
      </w:tr>
      <w:tr>
        <w:tc>
          <w:tcPr>
            <w:tcW w:w="7116" w:type="dxa"/>
            <w:gridSpan w:val="4"/>
            <w:shd w:val="clear" w:color="auto" w:fill="auto"/>
          </w:tcPr>
          <w:p>
            <w:pPr>
              <w:pStyle w:val="nTable"/>
              <w:keepNext/>
              <w:spacing w:after="40"/>
              <w:rPr>
                <w:rFonts w:ascii="Times" w:hAnsi="Times"/>
                <w:bCs/>
                <w:snapToGrid w:val="0"/>
              </w:rPr>
            </w:pPr>
            <w:r>
              <w:rPr>
                <w:rFonts w:ascii="Times" w:hAnsi="Times"/>
                <w:b/>
              </w:rPr>
              <w:t xml:space="preserve">Reprint 3: The </w:t>
            </w:r>
            <w:r>
              <w:rPr>
                <w:rFonts w:ascii="Times" w:hAnsi="Times"/>
                <w:b/>
                <w:i/>
              </w:rPr>
              <w:t>Coroners Regulations 1997</w:t>
            </w:r>
            <w:r>
              <w:rPr>
                <w:rFonts w:ascii="Times" w:hAnsi="Times"/>
                <w:b/>
              </w:rPr>
              <w:t xml:space="preserve"> as at 23 May 2014</w:t>
            </w:r>
            <w:r>
              <w:rPr>
                <w:rFonts w:ascii="Times" w:hAnsi="Times"/>
              </w:rPr>
              <w:t xml:space="preserve"> (includes amendments listed above)</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(No. 2) 2014</w:t>
            </w:r>
          </w:p>
        </w:tc>
        <w:tc>
          <w:tcPr>
            <w:tcW w:w="1276" w:type="dxa"/>
            <w:shd w:val="clear" w:color="auto" w:fill="auto"/>
          </w:tcPr>
          <w:p>
            <w:pPr>
              <w:pStyle w:val="nTable"/>
              <w:keepNext/>
              <w:spacing w:after="40"/>
              <w:rPr>
                <w:rFonts w:ascii="Times" w:hAnsi="Times"/>
              </w:rPr>
            </w:pPr>
            <w:r>
              <w:rPr>
                <w:rFonts w:ascii="Times" w:hAnsi="Times"/>
              </w:rPr>
              <w:t>27 Jun 2014 p. 2337</w:t>
            </w:r>
          </w:p>
        </w:tc>
        <w:tc>
          <w:tcPr>
            <w:tcW w:w="2722" w:type="dxa"/>
            <w:gridSpan w:val="2"/>
            <w:shd w:val="clear" w:color="auto" w:fill="auto"/>
          </w:tcPr>
          <w:p>
            <w:pPr>
              <w:pStyle w:val="nTable"/>
              <w:keepNext/>
              <w:spacing w:after="40"/>
              <w:rPr>
                <w:rFonts w:ascii="Times" w:hAnsi="Times"/>
                <w:snapToGrid w:val="0"/>
              </w:rPr>
            </w:pPr>
            <w:r>
              <w:rPr>
                <w:rFonts w:ascii="Times" w:hAnsi="Times"/>
                <w:bCs/>
                <w:snapToGrid w:val="0"/>
              </w:rPr>
              <w:t>r. 1 and 2: 27 Jun 2014 (see r. 2(a));</w:t>
            </w:r>
            <w:r>
              <w:rPr>
                <w:rFonts w:ascii="Times" w:hAnsi="Times"/>
                <w:bCs/>
                <w:snapToGrid w:val="0"/>
              </w:rPr>
              <w:br/>
              <w:t>Regulations other than r. 1 and 2: 1 Jul 2014 (see r. 2(b)(i))</w:t>
            </w:r>
          </w:p>
        </w:tc>
      </w:tr>
      <w:tr>
        <w:tc>
          <w:tcPr>
            <w:tcW w:w="3118" w:type="dxa"/>
            <w:shd w:val="clear" w:color="auto" w:fill="auto"/>
          </w:tcPr>
          <w:p>
            <w:pPr>
              <w:pStyle w:val="nTable"/>
              <w:keepNext/>
              <w:spacing w:after="40"/>
              <w:rPr>
                <w:rFonts w:ascii="Times" w:hAnsi="Times"/>
                <w:i/>
              </w:rPr>
            </w:pPr>
            <w:r>
              <w:rPr>
                <w:rFonts w:ascii="Times" w:hAnsi="Times"/>
                <w:i/>
              </w:rPr>
              <w:t>Coroners Amendment Regulations 2015</w:t>
            </w:r>
          </w:p>
        </w:tc>
        <w:tc>
          <w:tcPr>
            <w:tcW w:w="1276" w:type="dxa"/>
            <w:shd w:val="clear" w:color="auto" w:fill="auto"/>
          </w:tcPr>
          <w:p>
            <w:pPr>
              <w:pStyle w:val="nTable"/>
              <w:keepNext/>
              <w:spacing w:after="40"/>
              <w:rPr>
                <w:rFonts w:ascii="Times" w:hAnsi="Times"/>
              </w:rPr>
            </w:pPr>
            <w:r>
              <w:rPr>
                <w:rFonts w:ascii="Times" w:hAnsi="Times"/>
              </w:rPr>
              <w:t>19 Jun 2015 p. 2118</w:t>
            </w:r>
            <w:r>
              <w:rPr>
                <w:rFonts w:ascii="Times" w:hAnsi="Times"/>
              </w:rPr>
              <w:noBreakHyphen/>
              <w:t>19</w:t>
            </w:r>
          </w:p>
        </w:tc>
        <w:tc>
          <w:tcPr>
            <w:tcW w:w="2722" w:type="dxa"/>
            <w:gridSpan w:val="2"/>
            <w:shd w:val="clear" w:color="auto" w:fill="auto"/>
          </w:tcPr>
          <w:p>
            <w:pPr>
              <w:pStyle w:val="nTable"/>
              <w:keepNext/>
              <w:spacing w:after="40"/>
              <w:rPr>
                <w:rFonts w:ascii="Times" w:hAnsi="Times"/>
                <w:bCs/>
                <w:snapToGrid w:val="0"/>
              </w:rPr>
            </w:pPr>
            <w:r>
              <w:rPr>
                <w:rFonts w:ascii="Times" w:hAnsi="Times"/>
                <w:bCs/>
                <w:snapToGrid w:val="0"/>
              </w:rPr>
              <w:t>r. 1 and 2: 19 Jun 2015 (see r. 2(a));</w:t>
            </w:r>
            <w:r>
              <w:rPr>
                <w:rFonts w:ascii="Times" w:hAnsi="Times"/>
                <w:bCs/>
                <w:snapToGrid w:val="0"/>
              </w:rPr>
              <w:br/>
              <w:t>Regulations other than r. 1 and 2: 1 Jul 2015 (see r. 2(b)(i))</w:t>
            </w:r>
          </w:p>
        </w:tc>
      </w:tr>
      <w:tr>
        <w:tc>
          <w:tcPr>
            <w:tcW w:w="3118" w:type="dxa"/>
            <w:shd w:val="clear" w:color="auto" w:fill="auto"/>
          </w:tcPr>
          <w:p>
            <w:pPr>
              <w:pStyle w:val="nTable"/>
              <w:keepNext/>
              <w:spacing w:after="40"/>
              <w:rPr>
                <w:rFonts w:ascii="Times" w:hAnsi="Times"/>
                <w:i/>
              </w:rPr>
            </w:pPr>
            <w:r>
              <w:rPr>
                <w:i/>
              </w:rPr>
              <w:t>Attorney General Regulations Amendment (Fees) Regulations 2016</w:t>
            </w:r>
            <w:r>
              <w:t xml:space="preserve"> Pt. 4</w:t>
            </w:r>
          </w:p>
        </w:tc>
        <w:tc>
          <w:tcPr>
            <w:tcW w:w="1276" w:type="dxa"/>
            <w:shd w:val="clear" w:color="auto" w:fill="auto"/>
          </w:tcPr>
          <w:p>
            <w:pPr>
              <w:pStyle w:val="nTable"/>
              <w:keepNext/>
              <w:spacing w:after="40"/>
              <w:rPr>
                <w:rFonts w:ascii="Times" w:hAnsi="Times"/>
              </w:rPr>
            </w:pPr>
            <w:r>
              <w:t>14 Jun 2016 p. 1849</w:t>
            </w:r>
            <w:r>
              <w:noBreakHyphen/>
              <w:t>986</w:t>
            </w:r>
          </w:p>
        </w:tc>
        <w:tc>
          <w:tcPr>
            <w:tcW w:w="2722" w:type="dxa"/>
            <w:gridSpan w:val="2"/>
            <w:shd w:val="clear" w:color="auto" w:fill="auto"/>
          </w:tcPr>
          <w:p>
            <w:pPr>
              <w:pStyle w:val="nTable"/>
              <w:keepNext/>
              <w:spacing w:after="40"/>
              <w:rPr>
                <w:rFonts w:ascii="Times" w:hAnsi="Times"/>
                <w:bCs/>
                <w:snapToGrid w:val="0"/>
              </w:rPr>
            </w:pPr>
            <w:r>
              <w:t>4 Jul 2016 (see r. 2(b))</w:t>
            </w:r>
          </w:p>
        </w:tc>
      </w:tr>
      <w:tr>
        <w:trPr>
          <w:gridAfter w:val="1"/>
          <w:wAfter w:w="29" w:type="dxa"/>
        </w:trPr>
        <w:tc>
          <w:tcPr>
            <w:tcW w:w="3118"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rPr>
          <w:gridAfter w:val="1"/>
          <w:wAfter w:w="29" w:type="dxa"/>
        </w:trPr>
        <w:tc>
          <w:tcPr>
            <w:tcW w:w="3118" w:type="dxa"/>
            <w:tcBorders>
              <w:bottom w:val="single" w:sz="4" w:space="0" w:color="auto"/>
            </w:tcBorders>
            <w:shd w:val="clear" w:color="auto" w:fill="auto"/>
          </w:tcPr>
          <w:p>
            <w:pPr>
              <w:pStyle w:val="nTable"/>
              <w:spacing w:after="40"/>
              <w:rPr>
                <w:i/>
              </w:rPr>
            </w:pPr>
            <w:r>
              <w:rPr>
                <w:i/>
              </w:rPr>
              <w:t>Attorney General Regulations Amendment (Fees and Charges) Regulations 2018</w:t>
            </w:r>
            <w:r>
              <w:t xml:space="preserve"> Pt. 4</w:t>
            </w:r>
          </w:p>
        </w:tc>
        <w:tc>
          <w:tcPr>
            <w:tcW w:w="1276" w:type="dxa"/>
            <w:tcBorders>
              <w:bottom w:val="single" w:sz="4" w:space="0" w:color="auto"/>
            </w:tcBorders>
            <w:shd w:val="clear" w:color="auto" w:fill="auto"/>
          </w:tcPr>
          <w:p>
            <w:pPr>
              <w:pStyle w:val="nTable"/>
              <w:spacing w:after="40"/>
            </w:pPr>
            <w:r>
              <w:t>15 Jun 2018 p. 1963</w:t>
            </w:r>
            <w:r>
              <w:noBreakHyphen/>
              <w:t>2049</w:t>
            </w:r>
          </w:p>
        </w:tc>
        <w:tc>
          <w:tcPr>
            <w:tcW w:w="2693" w:type="dxa"/>
            <w:tcBorders>
              <w:bottom w:val="single" w:sz="4" w:space="0" w:color="auto"/>
            </w:tcBorders>
            <w:shd w:val="clear" w:color="auto" w:fill="auto"/>
          </w:tcPr>
          <w:p>
            <w:pPr>
              <w:pStyle w:val="nTable"/>
              <w:spacing w:after="40"/>
              <w:rPr>
                <w:bCs/>
                <w:snapToGrid w:val="0"/>
              </w:rPr>
            </w:pPr>
            <w:r>
              <w:rPr>
                <w:bCs/>
                <w:snapToGrid w:val="0"/>
              </w:rPr>
              <w:t>1 Jul 2018 (see r. 2(b))</w:t>
            </w:r>
          </w:p>
        </w:tc>
      </w:tr>
    </w:tbl>
    <w:p>
      <w:pPr>
        <w:pStyle w:val="BlankClose"/>
        <w:rPr>
          <w:i/>
          <w:sz w:val="19"/>
          <w:szCs w:val="20"/>
        </w:rPr>
      </w:pPr>
    </w:p>
    <w:p>
      <w:pPr>
        <w:rPr>
          <w:i/>
          <w:sz w:val="19"/>
        </w:r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64" w:name="_Toc517774275"/>
      <w:bookmarkStart w:id="65" w:name="_Toc517774423"/>
      <w:bookmarkStart w:id="66" w:name="_Toc517788684"/>
      <w:bookmarkStart w:id="67" w:name="_Toc517866269"/>
      <w:r>
        <w:rPr>
          <w:sz w:val="28"/>
        </w:rPr>
        <w:t>Defined terms</w:t>
      </w:r>
      <w:bookmarkEnd w:id="64"/>
      <w:bookmarkEnd w:id="65"/>
      <w:bookmarkEnd w:id="66"/>
      <w:bookmarkEnd w:id="6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form</w:t>
      </w:r>
      <w:r>
        <w:tab/>
        <w:t>3A</w:t>
      </w:r>
    </w:p>
    <w:p>
      <w:pPr>
        <w:pStyle w:val="DefinedTerms"/>
      </w:pPr>
      <w:r>
        <w:t>fee</w:t>
      </w:r>
      <w:r>
        <w:tab/>
        <w:t>3A</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39" w:name="Schedule"/>
    <w:bookmarkEnd w:id="3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3" w:name="Compilation"/>
    <w:bookmarkEnd w:id="63"/>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8" w:name="DefinedTerms"/>
    <w:bookmarkEnd w:id="68"/>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 w:name="Coversheet"/>
    <w:bookmarkEnd w:id="6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5153300"/>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5193</Words>
  <Characters>27731</Characters>
  <Application>Microsoft Office Word</Application>
  <DocSecurity>0</DocSecurity>
  <Lines>1027</Lines>
  <Paragraphs>633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32291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1997 - 03-h0-01</dc:title>
  <dc:subject/>
  <dc:creator/>
  <cp:keywords/>
  <dc:description/>
  <cp:lastModifiedBy>svcMRProcess</cp:lastModifiedBy>
  <cp:revision>4</cp:revision>
  <cp:lastPrinted>2014-05-19T03:28:00Z</cp:lastPrinted>
  <dcterms:created xsi:type="dcterms:W3CDTF">2018-07-10T06:36:00Z</dcterms:created>
  <dcterms:modified xsi:type="dcterms:W3CDTF">2018-07-10T06:36:00Z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AsAtDate">
    <vt:lpwstr>01 Jul 2018</vt:lpwstr>
  </property>
  <property fmtid="{D5CDD505-2E9C-101B-9397-08002B2CF9AE}" pid="8" name="Suffix">
    <vt:lpwstr>03-h0-01</vt:lpwstr>
  </property>
  <property fmtid="{D5CDD505-2E9C-101B-9397-08002B2CF9AE}" pid="9" name="CommencementDate">
    <vt:lpwstr>20180701</vt:lpwstr>
  </property>
</Properties>
</file>