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_Toc517867203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_Toc517867204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_Toc517867205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_Toc517867207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_Toc517867208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_Toc517867209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_Toc517867210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_Toc517867212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_Toc517867213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_Toc517867214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_Toc517867215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_Toc517867216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_Toc517867217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_Toc517867218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_Toc517867219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_Toc517867220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_Toc517867221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_Toc517867222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_Toc517867223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_Toc517867224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_Toc517867226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_Toc517867227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_Toc517867229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_Toc517867230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_Toc517867231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_Toc517867232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_Toc517867241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517786626"/>
      <w:bookmarkStart w:id="4" w:name="_Toc517788982"/>
      <w:bookmarkStart w:id="5" w:name="_Toc51786720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17867203"/>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8" w:name="_Toc51786720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9" w:name="_Toc517867205"/>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10" w:name="_Toc517786630"/>
      <w:bookmarkStart w:id="11" w:name="_Toc517788986"/>
      <w:bookmarkStart w:id="12" w:name="_Toc517867206"/>
      <w:r>
        <w:rPr>
          <w:rStyle w:val="CharPartNo"/>
        </w:rPr>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517867207"/>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517867208"/>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517867209"/>
      <w:r>
        <w:rPr>
          <w:rStyle w:val="CharSectno"/>
        </w:rPr>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517867210"/>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17" w:name="_Toc517786635"/>
      <w:bookmarkStart w:id="18" w:name="_Toc517788991"/>
      <w:bookmarkStart w:id="19" w:name="_Toc517867211"/>
      <w:r>
        <w:rPr>
          <w:rStyle w:val="CharPartNo"/>
        </w:rPr>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517867212"/>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21" w:name="_Toc517867213"/>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22" w:name="_Toc517867214"/>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23" w:name="_Toc517867215"/>
      <w:r>
        <w:rPr>
          <w:rStyle w:val="CharSectno"/>
        </w:rPr>
        <w:t>9C</w:t>
      </w:r>
      <w:r>
        <w:t>.</w:t>
      </w:r>
      <w:r>
        <w:tab/>
        <w:t>Recognition as eligible individual or eligible entity</w:t>
      </w:r>
      <w:bookmarkEnd w:id="23"/>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24" w:name="_Toc517867216"/>
      <w:r>
        <w:rPr>
          <w:rStyle w:val="CharSectno"/>
        </w:rPr>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25" w:name="_Toc517867217"/>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26" w:name="_Toc517867218"/>
      <w:r>
        <w:rPr>
          <w:rStyle w:val="CharSectno"/>
        </w:rPr>
        <w:t>9F</w:t>
      </w:r>
      <w:r>
        <w:t>.</w:t>
      </w:r>
      <w:r>
        <w:tab/>
        <w:t>Waiving fee for copy of document or transcript</w:t>
      </w:r>
      <w:bookmarkEnd w:id="26"/>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27" w:name="_Toc517867219"/>
      <w:r>
        <w:rPr>
          <w:rStyle w:val="CharSectno"/>
        </w:rPr>
        <w:t>9</w:t>
      </w:r>
      <w:r>
        <w:t>.</w:t>
      </w:r>
      <w:r>
        <w:tab/>
        <w:t>Fees relating to application under provision in Sch. 3, 4 or 6</w:t>
      </w:r>
      <w:bookmarkEnd w:id="27"/>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28" w:name="_Toc517867220"/>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1 109.00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ageBreakBefore/>
        <w:spacing w:before="0"/>
      </w:pPr>
      <w:bookmarkStart w:id="29" w:name="_Toc517867221"/>
      <w:r>
        <w:rPr>
          <w:rStyle w:val="CharSectno"/>
        </w:rPr>
        <w:t>11A</w:t>
      </w:r>
      <w:r>
        <w:t>.</w:t>
      </w:r>
      <w:r>
        <w:tab/>
        <w:t>No fee relating to application under provision in Sch. 7</w:t>
      </w:r>
      <w:bookmarkEnd w:id="2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30" w:name="_Toc517867222"/>
      <w:r>
        <w:rPr>
          <w:rStyle w:val="CharSectno"/>
        </w:rPr>
        <w:t>11B</w:t>
      </w:r>
      <w:r>
        <w:t>.</w:t>
      </w:r>
      <w:r>
        <w:tab/>
        <w:t>Fees relating to application not covered by r. 9, 10 or 11A</w:t>
      </w:r>
      <w:bookmarkEnd w:id="30"/>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 7 Jul 2017 p. 3777; 15 Jun 2018 p. 2025.]</w:t>
      </w:r>
    </w:p>
    <w:p>
      <w:pPr>
        <w:pStyle w:val="Heading5"/>
        <w:spacing w:before="180"/>
      </w:pPr>
      <w:bookmarkStart w:id="31" w:name="_Toc517867223"/>
      <w:r>
        <w:rPr>
          <w:rStyle w:val="CharSectno"/>
        </w:rPr>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32" w:name="_Toc517867224"/>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517786649"/>
      <w:bookmarkStart w:id="34" w:name="_Toc517789005"/>
      <w:bookmarkStart w:id="35" w:name="_Toc51786722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517867226"/>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37" w:name="_Toc517867227"/>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38" w:name="_Toc517786652"/>
      <w:bookmarkStart w:id="39" w:name="_Toc517789008"/>
      <w:bookmarkStart w:id="40" w:name="_Toc51786722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517867229"/>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42" w:name="_Toc517867230"/>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43" w:name="_Toc517867231"/>
      <w:r>
        <w:rPr>
          <w:rStyle w:val="CharSectno"/>
        </w:rPr>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44" w:name="_Toc517867232"/>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517786657"/>
      <w:bookmarkStart w:id="46" w:name="_Toc517789013"/>
      <w:bookmarkStart w:id="47" w:name="_Toc51786723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517786658"/>
      <w:bookmarkStart w:id="50" w:name="_Toc517789014"/>
      <w:bookmarkStart w:id="51" w:name="_Toc517867234"/>
      <w:r>
        <w:rPr>
          <w:rStyle w:val="CharSchNo"/>
        </w:rPr>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52" w:name="_Toc517786659"/>
      <w:bookmarkStart w:id="53" w:name="_Toc517789015"/>
      <w:bookmarkStart w:id="54" w:name="_Toc517867235"/>
      <w:r>
        <w:rPr>
          <w:rStyle w:val="CharSchNo"/>
        </w:rPr>
        <w:t>Schedule 3</w:t>
      </w:r>
      <w:r>
        <w:t> — </w:t>
      </w:r>
      <w:r>
        <w:rPr>
          <w:rStyle w:val="CharSchText"/>
        </w:rPr>
        <w:t>Provision under which proceedings commenced</w:t>
      </w:r>
      <w:bookmarkEnd w:id="52"/>
      <w:bookmarkEnd w:id="53"/>
      <w:bookmarkEnd w:id="54"/>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55" w:name="_Toc517786660"/>
      <w:bookmarkStart w:id="56" w:name="_Toc517789016"/>
      <w:bookmarkStart w:id="57" w:name="_Toc517867236"/>
      <w:r>
        <w:rPr>
          <w:rStyle w:val="CharSchNo"/>
        </w:rPr>
        <w:t>Schedule 4</w:t>
      </w:r>
      <w:r>
        <w:t> — </w:t>
      </w:r>
      <w:r>
        <w:rPr>
          <w:rStyle w:val="CharSchText"/>
        </w:rPr>
        <w:t>Provision under which proceedings commenced</w:t>
      </w:r>
      <w:bookmarkEnd w:id="55"/>
      <w:bookmarkEnd w:id="56"/>
      <w:bookmarkEnd w:id="57"/>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58" w:name="_Toc517786661"/>
      <w:bookmarkStart w:id="59" w:name="_Toc517789017"/>
      <w:bookmarkStart w:id="60" w:name="_Toc517867237"/>
      <w:r>
        <w:rPr>
          <w:rStyle w:val="CharSchNo"/>
        </w:rPr>
        <w:t>Schedule 6</w:t>
      </w:r>
      <w:r>
        <w:t> — </w:t>
      </w:r>
      <w:r>
        <w:rPr>
          <w:rStyle w:val="CharSchText"/>
        </w:rPr>
        <w:t>Provision under which proceedings commenced</w:t>
      </w:r>
      <w:bookmarkEnd w:id="58"/>
      <w:bookmarkEnd w:id="59"/>
      <w:bookmarkEnd w:id="60"/>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szCs w:val="22"/>
        </w:rPr>
        <w:t>Fair Trading (Retirement Villages Interim Code) Regulations 2018</w:t>
      </w:r>
      <w:r>
        <w:rPr>
          <w:szCs w:val="22"/>
        </w:rPr>
        <w:t xml:space="preserve"> Schedule 1 clause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 26 Jun 2018 p. 2383.]</w:t>
      </w:r>
    </w:p>
    <w:p>
      <w:pPr>
        <w:pStyle w:val="yScheduleHeading"/>
      </w:pPr>
      <w:bookmarkStart w:id="61" w:name="_Toc517786662"/>
      <w:bookmarkStart w:id="62" w:name="_Toc517789018"/>
      <w:bookmarkStart w:id="63" w:name="_Toc517867238"/>
      <w:r>
        <w:rPr>
          <w:rStyle w:val="CharSchNo"/>
        </w:rPr>
        <w:t>Schedule 7</w:t>
      </w:r>
      <w:r>
        <w:t> — </w:t>
      </w:r>
      <w:r>
        <w:rPr>
          <w:rStyle w:val="CharSchText"/>
        </w:rPr>
        <w:t>Enactments under which proceedings commenced</w:t>
      </w:r>
      <w:bookmarkEnd w:id="61"/>
      <w:bookmarkEnd w:id="62"/>
      <w:bookmarkEnd w:id="63"/>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64" w:name="_Toc514321248"/>
      <w:bookmarkStart w:id="65" w:name="_Toc514321313"/>
      <w:bookmarkStart w:id="66" w:name="_Toc514330307"/>
      <w:bookmarkStart w:id="67" w:name="_Toc514334972"/>
      <w:bookmarkStart w:id="68" w:name="_Toc514336321"/>
      <w:bookmarkStart w:id="69" w:name="_Toc514336523"/>
      <w:bookmarkStart w:id="70" w:name="_Toc514414497"/>
      <w:bookmarkStart w:id="71" w:name="_Toc514414562"/>
      <w:bookmarkStart w:id="72" w:name="_Toc514657472"/>
      <w:bookmarkStart w:id="73" w:name="_Toc514666293"/>
      <w:bookmarkStart w:id="74" w:name="_Toc517786663"/>
      <w:bookmarkStart w:id="75" w:name="_Toc517789019"/>
      <w:bookmarkStart w:id="76" w:name="_Toc517867239"/>
      <w:r>
        <w:rPr>
          <w:rStyle w:val="CharSchNo"/>
        </w:rPr>
        <w:t>Schedule 20</w:t>
      </w:r>
      <w:r>
        <w:rPr>
          <w:rStyle w:val="CharSDivNo"/>
        </w:rPr>
        <w:t> </w:t>
      </w:r>
      <w:r>
        <w:t>—</w:t>
      </w:r>
      <w:r>
        <w:rPr>
          <w:rStyle w:val="CharSDivText"/>
        </w:rPr>
        <w:t> </w:t>
      </w:r>
      <w:r>
        <w:rPr>
          <w:rStyle w:val="CharSchText"/>
        </w:rPr>
        <w:t>Other fees</w:t>
      </w:r>
      <w:bookmarkEnd w:id="64"/>
      <w:bookmarkEnd w:id="65"/>
      <w:bookmarkEnd w:id="66"/>
      <w:bookmarkEnd w:id="67"/>
      <w:bookmarkEnd w:id="68"/>
      <w:bookmarkEnd w:id="69"/>
      <w:bookmarkEnd w:id="70"/>
      <w:bookmarkEnd w:id="71"/>
      <w:bookmarkEnd w:id="72"/>
      <w:bookmarkEnd w:id="73"/>
      <w:bookmarkEnd w:id="74"/>
      <w:bookmarkEnd w:id="75"/>
      <w:bookmarkEnd w:id="76"/>
    </w:p>
    <w:p>
      <w:pPr>
        <w:pStyle w:val="yShoulderClause"/>
      </w:pPr>
      <w:r>
        <w:t>[r. 27]</w:t>
      </w:r>
    </w:p>
    <w:p>
      <w:pPr>
        <w:pStyle w:val="yFootnoteheading"/>
      </w:pPr>
      <w:r>
        <w:tab/>
        <w:t>[Heading inserted in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pPr>
            <w:r>
              <w:rPr>
                <w:szCs w:val="22"/>
              </w:rPr>
              <w:t>5.</w:t>
            </w:r>
          </w:p>
        </w:tc>
        <w:tc>
          <w:tcPr>
            <w:tcW w:w="2495" w:type="dxa"/>
            <w:tcBorders>
              <w:top w:val="nil"/>
              <w:left w:val="nil"/>
              <w:bottom w:val="nil"/>
              <w:right w:val="nil"/>
            </w:tcBorders>
          </w:tcPr>
          <w:p>
            <w:pPr>
              <w:pStyle w:val="yTableNAm"/>
              <w:ind w:left="601" w:hanging="601"/>
            </w:pPr>
            <w:r>
              <w:rPr>
                <w:szCs w:val="22"/>
              </w:rPr>
              <w:t>(a)</w:t>
            </w:r>
            <w:r>
              <w:rPr>
                <w:szCs w:val="22"/>
              </w:rPr>
              <w:tab/>
              <w:t xml:space="preserve">For a copy of a </w:t>
            </w:r>
            <w:r>
              <w:t>transcript</w:t>
            </w:r>
            <w:r>
              <w:rPr>
                <w:szCs w:val="22"/>
              </w:rPr>
              <w:t xml:space="preserve">, or part of a transcript — </w:t>
            </w:r>
          </w:p>
        </w:tc>
        <w:tc>
          <w:tcPr>
            <w:tcW w:w="1260" w:type="dxa"/>
            <w:tcBorders>
              <w:top w:val="nil"/>
              <w:left w:val="nil"/>
              <w:bottom w:val="nil"/>
              <w:right w:val="nil"/>
            </w:tcBorders>
          </w:tcPr>
          <w:p>
            <w:pPr>
              <w:pStyle w:val="zyTableNAm"/>
              <w:keepNext/>
              <w:tabs>
                <w:tab w:val="clear" w:pos="567"/>
              </w:tabs>
              <w:spacing w:before="60"/>
              <w:ind w:right="206"/>
              <w:jc w:val="center"/>
              <w:rPr>
                <w:szCs w:val="22"/>
              </w:rPr>
            </w:pPr>
          </w:p>
        </w:tc>
        <w:tc>
          <w:tcPr>
            <w:tcW w:w="1259" w:type="dxa"/>
            <w:tcBorders>
              <w:top w:val="nil"/>
              <w:left w:val="nil"/>
              <w:bottom w:val="nil"/>
              <w:right w:val="nil"/>
            </w:tcBorders>
          </w:tcPr>
          <w:p>
            <w:pPr>
              <w:pStyle w:val="zyTableNAm"/>
              <w:keepNext/>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provided to a party within 1 day after the day on which the fee is paid </w:t>
            </w:r>
          </w:p>
        </w:tc>
        <w:tc>
          <w:tcPr>
            <w:tcW w:w="1260" w:type="dxa"/>
            <w:tcBorders>
              <w:top w:val="nil"/>
              <w:left w:val="nil"/>
              <w:bottom w:val="nil"/>
              <w:right w:val="nil"/>
            </w:tcBorders>
          </w:tcPr>
          <w:p>
            <w:pPr>
              <w:pStyle w:val="yTableNAm"/>
            </w:pPr>
            <w:r>
              <w:rPr>
                <w:szCs w:val="22"/>
              </w:rPr>
              <w:t>20.50 plus 8.45 per page</w:t>
            </w:r>
          </w:p>
        </w:tc>
        <w:tc>
          <w:tcPr>
            <w:tcW w:w="1259" w:type="dxa"/>
            <w:tcBorders>
              <w:top w:val="nil"/>
              <w:left w:val="nil"/>
              <w:bottom w:val="nil"/>
              <w:right w:val="nil"/>
            </w:tcBorders>
          </w:tcPr>
          <w:p>
            <w:pPr>
              <w:pStyle w:val="yTableNAm"/>
            </w:pPr>
            <w:r>
              <w:rPr>
                <w:szCs w:val="22"/>
              </w:rPr>
              <w:t>20.50 plus 16.90 per page</w:t>
            </w:r>
          </w:p>
        </w:tc>
        <w:tc>
          <w:tcPr>
            <w:tcW w:w="1223" w:type="dxa"/>
            <w:tcBorders>
              <w:top w:val="nil"/>
              <w:left w:val="nil"/>
              <w:bottom w:val="nil"/>
              <w:right w:val="nil"/>
            </w:tcBorders>
          </w:tcPr>
          <w:p>
            <w:pPr>
              <w:pStyle w:val="yTableNAm"/>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w:t>
            </w:r>
            <w:r>
              <w:rPr>
                <w:szCs w:val="22"/>
              </w:rPr>
              <w:tab/>
              <w:t xml:space="preserve">provided to a party within 4 days after the day on which the fee is paid </w:t>
            </w:r>
          </w:p>
        </w:tc>
        <w:tc>
          <w:tcPr>
            <w:tcW w:w="1260" w:type="dxa"/>
            <w:tcBorders>
              <w:top w:val="nil"/>
              <w:left w:val="nil"/>
              <w:bottom w:val="nil"/>
              <w:right w:val="nil"/>
            </w:tcBorders>
          </w:tcPr>
          <w:p>
            <w:pPr>
              <w:pStyle w:val="yTableNAm"/>
            </w:pPr>
            <w:r>
              <w:rPr>
                <w:szCs w:val="22"/>
              </w:rPr>
              <w:t>20.50 plus 7.30 per page</w:t>
            </w:r>
          </w:p>
        </w:tc>
        <w:tc>
          <w:tcPr>
            <w:tcW w:w="1259" w:type="dxa"/>
            <w:tcBorders>
              <w:top w:val="nil"/>
              <w:left w:val="nil"/>
              <w:bottom w:val="nil"/>
              <w:right w:val="nil"/>
            </w:tcBorders>
          </w:tcPr>
          <w:p>
            <w:pPr>
              <w:pStyle w:val="yTableNAm"/>
            </w:pPr>
            <w:r>
              <w:rPr>
                <w:szCs w:val="22"/>
              </w:rPr>
              <w:t xml:space="preserve">20.50 plus </w:t>
            </w:r>
            <w:r>
              <w:rPr>
                <w:szCs w:val="22"/>
              </w:rPr>
              <w:br/>
              <w:t>14.75 per page</w:t>
            </w:r>
          </w:p>
        </w:tc>
        <w:tc>
          <w:tcPr>
            <w:tcW w:w="1223" w:type="dxa"/>
            <w:tcBorders>
              <w:top w:val="nil"/>
              <w:left w:val="nil"/>
              <w:bottom w:val="nil"/>
              <w:right w:val="nil"/>
            </w:tcBorders>
          </w:tcPr>
          <w:p>
            <w:pPr>
              <w:pStyle w:val="yTableNAm"/>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(iii)</w:t>
            </w:r>
            <w:r>
              <w:rPr>
                <w:szCs w:val="22"/>
              </w:rPr>
              <w:tab/>
              <w:t xml:space="preserve">provided to a party within 7 days after the day on which the fee is paid </w:t>
            </w:r>
          </w:p>
        </w:tc>
        <w:tc>
          <w:tcPr>
            <w:tcW w:w="1260" w:type="dxa"/>
            <w:tcBorders>
              <w:top w:val="nil"/>
              <w:left w:val="nil"/>
              <w:bottom w:val="nil"/>
              <w:right w:val="nil"/>
            </w:tcBorders>
          </w:tcPr>
          <w:p>
            <w:pPr>
              <w:pStyle w:val="yTableNAm"/>
            </w:pPr>
            <w:r>
              <w:rPr>
                <w:szCs w:val="22"/>
              </w:rPr>
              <w:t xml:space="preserve">20.50 plus </w:t>
            </w:r>
            <w:r>
              <w:rPr>
                <w:szCs w:val="22"/>
              </w:rPr>
              <w:br/>
              <w:t>7.05 per page</w:t>
            </w:r>
          </w:p>
        </w:tc>
        <w:tc>
          <w:tcPr>
            <w:tcW w:w="1259" w:type="dxa"/>
            <w:tcBorders>
              <w:top w:val="nil"/>
              <w:left w:val="nil"/>
              <w:bottom w:val="nil"/>
              <w:right w:val="nil"/>
            </w:tcBorders>
          </w:tcPr>
          <w:p>
            <w:pPr>
              <w:pStyle w:val="yTableNAm"/>
            </w:pPr>
            <w:r>
              <w:rPr>
                <w:szCs w:val="22"/>
              </w:rPr>
              <w:t>20.50 plus</w:t>
            </w:r>
            <w:r>
              <w:rPr>
                <w:szCs w:val="22"/>
              </w:rPr>
              <w:br/>
              <w:t>14.05 per page</w:t>
            </w:r>
          </w:p>
        </w:tc>
        <w:tc>
          <w:tcPr>
            <w:tcW w:w="1223" w:type="dxa"/>
            <w:tcBorders>
              <w:top w:val="nil"/>
              <w:left w:val="nil"/>
              <w:bottom w:val="nil"/>
              <w:right w:val="nil"/>
            </w:tcBorders>
          </w:tcPr>
          <w:p>
            <w:pPr>
              <w:pStyle w:val="yTableNAm"/>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t xml:space="preserve">For an additional copy of the transcript, or part </w:t>
            </w:r>
            <w:r>
              <w:t>of</w:t>
            </w:r>
            <w:r>
              <w:rPr>
                <w:szCs w:val="22"/>
              </w:rPr>
              <w:t xml:space="preserve"> the transcript, provided to a party under paragraph (a) — </w:t>
            </w:r>
          </w:p>
        </w:tc>
        <w:tc>
          <w:tcPr>
            <w:tcW w:w="1260" w:type="dxa"/>
            <w:tcBorders>
              <w:top w:val="nil"/>
              <w:left w:val="nil"/>
              <w:bottom w:val="nil"/>
              <w:right w:val="nil"/>
            </w:tcBorders>
          </w:tcPr>
          <w:p>
            <w:pPr>
              <w:pStyle w:val="zyTableNAm"/>
              <w:tabs>
                <w:tab w:val="clear" w:pos="567"/>
              </w:tabs>
              <w:spacing w:before="60"/>
              <w:ind w:right="206"/>
              <w:jc w:val="center"/>
              <w:rPr>
                <w:szCs w:val="22"/>
              </w:rPr>
            </w:pPr>
          </w:p>
        </w:tc>
        <w:tc>
          <w:tcPr>
            <w:tcW w:w="1259" w:type="dxa"/>
            <w:tcBorders>
              <w:top w:val="nil"/>
              <w:left w:val="nil"/>
              <w:bottom w:val="nil"/>
              <w:right w:val="nil"/>
            </w:tcBorders>
          </w:tcPr>
          <w:p>
            <w:pPr>
              <w:pStyle w:val="zyTableNAm"/>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in electronic format </w:t>
            </w:r>
          </w:p>
        </w:tc>
        <w:tc>
          <w:tcPr>
            <w:tcW w:w="1260" w:type="dxa"/>
            <w:tcBorders>
              <w:top w:val="nil"/>
              <w:left w:val="nil"/>
              <w:bottom w:val="nil"/>
              <w:right w:val="nil"/>
            </w:tcBorders>
          </w:tcPr>
          <w:p>
            <w:pPr>
              <w:pStyle w:val="yTableNAm"/>
            </w:pPr>
            <w:r>
              <w:rPr>
                <w:szCs w:val="22"/>
              </w:rPr>
              <w:t>21.40 per copy</w:t>
            </w:r>
          </w:p>
        </w:tc>
        <w:tc>
          <w:tcPr>
            <w:tcW w:w="1259" w:type="dxa"/>
            <w:tcBorders>
              <w:top w:val="nil"/>
              <w:left w:val="nil"/>
              <w:bottom w:val="nil"/>
              <w:right w:val="nil"/>
            </w:tcBorders>
          </w:tcPr>
          <w:p>
            <w:pPr>
              <w:pStyle w:val="yTableNAm"/>
            </w:pPr>
            <w:r>
              <w:rPr>
                <w:szCs w:val="22"/>
              </w:rPr>
              <w:t>21.40 per copy</w:t>
            </w:r>
          </w:p>
        </w:tc>
        <w:tc>
          <w:tcPr>
            <w:tcW w:w="1223" w:type="dxa"/>
            <w:tcBorders>
              <w:top w:val="nil"/>
              <w:left w:val="nil"/>
              <w:bottom w:val="nil"/>
              <w:right w:val="nil"/>
            </w:tcBorders>
          </w:tcPr>
          <w:p>
            <w:pPr>
              <w:pStyle w:val="yTableNAm"/>
            </w:pPr>
            <w:r>
              <w:rPr>
                <w:szCs w:val="22"/>
              </w:rPr>
              <w:t>6.45 per copy</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pPr>
            <w:r>
              <w:rPr>
                <w:szCs w:val="22"/>
              </w:rPr>
              <w:tab/>
              <w:t>(ii)</w:t>
            </w:r>
            <w:r>
              <w:rPr>
                <w:szCs w:val="22"/>
              </w:rPr>
              <w:tab/>
              <w:t xml:space="preserve">paper copy </w:t>
            </w:r>
          </w:p>
        </w:tc>
        <w:tc>
          <w:tcPr>
            <w:tcW w:w="1260" w:type="dxa"/>
            <w:tcBorders>
              <w:top w:val="nil"/>
              <w:left w:val="nil"/>
              <w:bottom w:val="nil"/>
              <w:right w:val="nil"/>
            </w:tcBorders>
          </w:tcPr>
          <w:p>
            <w:pPr>
              <w:pStyle w:val="yTableNAm"/>
            </w:pPr>
            <w:r>
              <w:rPr>
                <w:szCs w:val="22"/>
              </w:rPr>
              <w:t>2.10 per page</w:t>
            </w:r>
          </w:p>
        </w:tc>
        <w:tc>
          <w:tcPr>
            <w:tcW w:w="1259" w:type="dxa"/>
            <w:tcBorders>
              <w:top w:val="nil"/>
              <w:left w:val="nil"/>
              <w:bottom w:val="nil"/>
              <w:right w:val="nil"/>
            </w:tcBorders>
          </w:tcPr>
          <w:p>
            <w:pPr>
              <w:pStyle w:val="yTableNAm"/>
            </w:pPr>
            <w:r>
              <w:rPr>
                <w:szCs w:val="22"/>
              </w:rPr>
              <w:t>2.10 per page</w:t>
            </w:r>
          </w:p>
        </w:tc>
        <w:tc>
          <w:tcPr>
            <w:tcW w:w="1223" w:type="dxa"/>
            <w:tcBorders>
              <w:top w:val="nil"/>
              <w:left w:val="nil"/>
              <w:bottom w:val="nil"/>
              <w:right w:val="nil"/>
            </w:tcBorders>
          </w:tcPr>
          <w:p>
            <w:pPr>
              <w:pStyle w:val="yTableNAm"/>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in Gazette 15 Jun 2018 p. 2026</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77" w:name="_Toc517786664"/>
      <w:bookmarkStart w:id="78" w:name="_Toc517789020"/>
      <w:bookmarkStart w:id="79" w:name="_Toc517867240"/>
      <w:r>
        <w:t>Notes</w:t>
      </w:r>
      <w:bookmarkEnd w:id="77"/>
      <w:bookmarkEnd w:id="78"/>
      <w:bookmarkEnd w:id="79"/>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80" w:name="_Toc517867241"/>
      <w:r>
        <w:t>Compilation table</w:t>
      </w:r>
      <w:bookmarkEnd w:id="8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cantSplit/>
        </w:trPr>
        <w:tc>
          <w:tcPr>
            <w:tcW w:w="7087" w:type="dxa"/>
            <w:gridSpan w:val="3"/>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693"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cantSplit/>
        </w:trPr>
        <w:tc>
          <w:tcPr>
            <w:tcW w:w="3118" w:type="dxa"/>
            <w:tcBorders>
              <w:bottom w:val="single" w:sz="4" w:space="0" w:color="auto"/>
            </w:tcBorders>
            <w:shd w:val="clear" w:color="auto" w:fill="auto"/>
          </w:tcPr>
          <w:p>
            <w:pPr>
              <w:pStyle w:val="nTable"/>
              <w:spacing w:after="40"/>
            </w:pPr>
            <w:r>
              <w:rPr>
                <w:i/>
              </w:rPr>
              <w:t>Attorney General Regulations Amendment (Fees and Charges) Regulations 2018</w:t>
            </w:r>
            <w:r>
              <w:t xml:space="preserve"> Pt. 9</w:t>
            </w:r>
          </w:p>
        </w:tc>
        <w:tc>
          <w:tcPr>
            <w:tcW w:w="1276" w:type="dxa"/>
            <w:tcBorders>
              <w:bottom w:val="single" w:sz="4" w:space="0" w:color="auto"/>
            </w:tcBorders>
            <w:shd w:val="clear" w:color="auto" w:fill="auto"/>
          </w:tcPr>
          <w:p>
            <w:pPr>
              <w:pStyle w:val="nTable"/>
              <w:spacing w:after="40"/>
            </w:pPr>
            <w:r>
              <w:t>15 Jun 2018 p. 1963</w:t>
            </w:r>
            <w:r>
              <w:noBreakHyphen/>
              <w:t>2049</w:t>
            </w:r>
          </w:p>
        </w:tc>
        <w:tc>
          <w:tcPr>
            <w:tcW w:w="2693" w:type="dxa"/>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BlankClose"/>
      </w:pP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2" w:name="_Toc517786668"/>
      <w:bookmarkStart w:id="83" w:name="_Toc517789024"/>
      <w:bookmarkStart w:id="84" w:name="_Toc517867242"/>
      <w:r>
        <w:rPr>
          <w:sz w:val="28"/>
        </w:rPr>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515340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AEAF7-9DD3-46D9-BC7E-036CFFB9D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8097</Words>
  <Characters>38547</Characters>
  <Application>Microsoft Office Word</Application>
  <DocSecurity>0</DocSecurity>
  <Lines>1752</Lines>
  <Paragraphs>932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45712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2004 - 05-d0-01</dc:title>
  <dc:subject/>
  <dc:creator/>
  <cp:keywords/>
  <dc:description/>
  <cp:lastModifiedBy>svcMRProcess</cp:lastModifiedBy>
  <cp:revision>4</cp:revision>
  <cp:lastPrinted>2018-01-22T02:06:00Z</cp:lastPrinted>
  <dcterms:created xsi:type="dcterms:W3CDTF">2018-07-10T06:39:00Z</dcterms:created>
  <dcterms:modified xsi:type="dcterms:W3CDTF">2018-07-10T06:39:00Z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Jul 2018</vt:lpwstr>
  </property>
  <property fmtid="{D5CDD505-2E9C-101B-9397-08002B2CF9AE}" pid="8" name="Suffix">
    <vt:lpwstr>05-d0-01</vt:lpwstr>
  </property>
  <property fmtid="{D5CDD505-2E9C-101B-9397-08002B2CF9AE}" pid="9" name="CommencementDate">
    <vt:lpwstr>20180701</vt:lpwstr>
  </property>
</Properties>
</file>