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_Toc517878124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_Toc517878125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_Toc517878126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_Toc517878127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_Toc517878128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_Toc517878129 \h </w:instrText>
      </w:r>
      <w:r>
        <w:fldChar w:fldCharType="separate"/>
      </w:r>
      <w:r>
        <w:t>3</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_Toc517878130 \h </w:instrText>
      </w:r>
      <w:r>
        <w:fldChar w:fldCharType="separate"/>
      </w:r>
      <w:r>
        <w:t>4</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_Toc517878131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_Toc517878132 \h </w:instrText>
      </w:r>
      <w:r>
        <w:fldChar w:fldCharType="separate"/>
      </w:r>
      <w:r>
        <w:t>5</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_Toc517878133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_Toc517878134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4"/>
        <w:tabs>
          <w:tab w:val="right" w:leader="dot" w:pos="7077"/>
        </w:tabs>
        <w:rPr>
          <w:rFonts w:asciiTheme="minorHAnsi" w:eastAsiaTheme="minorEastAsia" w:hAnsiTheme="minorHAnsi" w:cstheme="minorBidi"/>
          <w:b w:val="0"/>
          <w:szCs w:val="22"/>
        </w:rPr>
      </w:pPr>
      <w:r>
        <w:t>Division 1 — Tariffs other than MyPower tariffs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_Toc517878137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_Toc517878138 \h </w:instrText>
      </w:r>
      <w:r>
        <w:fldChar w:fldCharType="separate"/>
      </w:r>
      <w:r>
        <w:t>6</w:t>
      </w:r>
      <w:r>
        <w:fldChar w:fldCharType="end"/>
      </w:r>
    </w:p>
    <w:p>
      <w:pPr>
        <w:pStyle w:val="TOC8"/>
        <w:rPr>
          <w:rFonts w:asciiTheme="minorHAnsi" w:eastAsiaTheme="minorEastAsia" w:hAnsiTheme="minorHAnsi" w:cstheme="minorBidi"/>
          <w:szCs w:val="22"/>
        </w:rPr>
      </w:pPr>
      <w:r>
        <w:t>3.</w:t>
      </w:r>
      <w:r>
        <w:tab/>
        <w:t>Tariff A2 (residential tariff)</w:t>
      </w:r>
      <w:r>
        <w:tab/>
      </w:r>
      <w:r>
        <w:fldChar w:fldCharType="begin"/>
      </w:r>
      <w:r>
        <w:instrText xml:space="preserve"> PAGEREF _Toc517878139 \h </w:instrText>
      </w:r>
      <w:r>
        <w:fldChar w:fldCharType="separate"/>
      </w:r>
      <w:r>
        <w:t>7</w:t>
      </w:r>
      <w:r>
        <w:fldChar w:fldCharType="end"/>
      </w:r>
    </w:p>
    <w:p>
      <w:pPr>
        <w:pStyle w:val="TOC8"/>
        <w:rPr>
          <w:rFonts w:asciiTheme="minorHAnsi" w:eastAsiaTheme="minorEastAsia" w:hAnsiTheme="minorHAnsi" w:cstheme="minorBidi"/>
          <w:szCs w:val="22"/>
        </w:rPr>
      </w:pPr>
      <w:r>
        <w:t>4.</w:t>
      </w:r>
      <w:r>
        <w:tab/>
        <w:t>Tariff C2 (special community service tariff)</w:t>
      </w:r>
      <w:r>
        <w:tab/>
      </w:r>
      <w:r>
        <w:fldChar w:fldCharType="begin"/>
      </w:r>
      <w:r>
        <w:instrText xml:space="preserve"> PAGEREF _Toc517878140 \h </w:instrText>
      </w:r>
      <w:r>
        <w:fldChar w:fldCharType="separate"/>
      </w:r>
      <w:r>
        <w:t>7</w:t>
      </w:r>
      <w:r>
        <w:fldChar w:fldCharType="end"/>
      </w:r>
    </w:p>
    <w:p>
      <w:pPr>
        <w:pStyle w:val="TOC8"/>
        <w:rPr>
          <w:rFonts w:asciiTheme="minorHAnsi" w:eastAsiaTheme="minorEastAsia" w:hAnsiTheme="minorHAnsi" w:cstheme="minorBidi"/>
          <w:szCs w:val="22"/>
        </w:rPr>
      </w:pPr>
      <w:r>
        <w:t>5.</w:t>
      </w:r>
      <w:r>
        <w:tab/>
        <w:t>Tariff D2 (special tariff for certain premises)</w:t>
      </w:r>
      <w:r>
        <w:tab/>
      </w:r>
      <w:r>
        <w:fldChar w:fldCharType="begin"/>
      </w:r>
      <w:r>
        <w:instrText xml:space="preserve"> PAGEREF _Toc517878141 \h </w:instrText>
      </w:r>
      <w:r>
        <w:fldChar w:fldCharType="separate"/>
      </w:r>
      <w:r>
        <w:t>8</w:t>
      </w:r>
      <w:r>
        <w:fldChar w:fldCharType="end"/>
      </w:r>
    </w:p>
    <w:p>
      <w:pPr>
        <w:pStyle w:val="TOC8"/>
        <w:rPr>
          <w:rFonts w:asciiTheme="minorHAnsi" w:eastAsiaTheme="minorEastAsia" w:hAnsiTheme="minorHAnsi" w:cstheme="minorBidi"/>
          <w:szCs w:val="22"/>
        </w:rPr>
      </w:pPr>
      <w:r>
        <w:t>6.</w:t>
      </w:r>
      <w:r>
        <w:tab/>
        <w:t>Tariff K2 (general supply with residential tariff)</w:t>
      </w:r>
      <w:r>
        <w:tab/>
      </w:r>
      <w:r>
        <w:fldChar w:fldCharType="begin"/>
      </w:r>
      <w:r>
        <w:instrText xml:space="preserve"> PAGEREF _Toc517878142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MyPower tariffs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_Toc517878144 \h </w:instrText>
      </w:r>
      <w:r>
        <w:fldChar w:fldCharType="separate"/>
      </w:r>
      <w:r>
        <w:t>9</w:t>
      </w:r>
      <w:r>
        <w:fldChar w:fldCharType="end"/>
      </w:r>
    </w:p>
    <w:p>
      <w:pPr>
        <w:pStyle w:val="TOC8"/>
        <w:rPr>
          <w:rFonts w:asciiTheme="minorHAnsi" w:eastAsiaTheme="minorEastAsia" w:hAnsiTheme="minorHAnsi" w:cstheme="minorBidi"/>
          <w:szCs w:val="22"/>
        </w:rPr>
      </w:pPr>
      <w:r>
        <w:t>8.</w:t>
      </w:r>
      <w:r>
        <w:tab/>
        <w:t>MyPower residential tariffs</w:t>
      </w:r>
      <w:r>
        <w:tab/>
      </w:r>
      <w:r>
        <w:fldChar w:fldCharType="begin"/>
      </w:r>
      <w:r>
        <w:instrText xml:space="preserve"> PAGEREF _Toc517878145 \h </w:instrText>
      </w:r>
      <w:r>
        <w:fldChar w:fldCharType="separate"/>
      </w:r>
      <w:r>
        <w:t>10</w:t>
      </w:r>
      <w:r>
        <w:fldChar w:fldCharType="end"/>
      </w:r>
    </w:p>
    <w:p>
      <w:pPr>
        <w:pStyle w:val="TOC8"/>
        <w:rPr>
          <w:rFonts w:asciiTheme="minorHAnsi" w:eastAsiaTheme="minorEastAsia" w:hAnsiTheme="minorHAnsi" w:cstheme="minorBidi"/>
          <w:szCs w:val="22"/>
        </w:rPr>
      </w:pPr>
      <w:r>
        <w:t>9.</w:t>
      </w:r>
      <w:r>
        <w:tab/>
        <w:t>MyPower non</w:t>
      </w:r>
      <w:r>
        <w:noBreakHyphen/>
        <w:t>residential tariffs</w:t>
      </w:r>
      <w:r>
        <w:tab/>
      </w:r>
      <w:r>
        <w:fldChar w:fldCharType="begin"/>
      </w:r>
      <w:r>
        <w:instrText xml:space="preserve"> PAGEREF _Toc517878146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_Toc517878150 \h </w:instrText>
      </w:r>
      <w:r>
        <w:fldChar w:fldCharType="separate"/>
      </w:r>
      <w:r>
        <w:t>17</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_Toc517878151 \h </w:instrText>
      </w:r>
      <w:r>
        <w:fldChar w:fldCharType="separate"/>
      </w:r>
      <w:r>
        <w:t>17</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_Toc517878152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_Toc517878156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3" w:name="_Toc517878124"/>
      <w:r>
        <w:rPr>
          <w:rStyle w:val="CharSectno"/>
        </w:rPr>
        <w:t>1</w:t>
      </w:r>
      <w:r>
        <w:t>.</w:t>
      </w:r>
      <w:r>
        <w:tab/>
        <w:t>Citation</w:t>
      </w:r>
      <w:bookmarkEnd w:id="3"/>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4" w:name="_Toc517878125"/>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517878126"/>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6" w:name="_Toc517878127"/>
      <w:r>
        <w:rPr>
          <w:rStyle w:val="CharSectno"/>
        </w:rPr>
        <w:t>4</w:t>
      </w:r>
      <w:r>
        <w:t>.</w:t>
      </w:r>
      <w:r>
        <w:tab/>
      </w:r>
      <w:r>
        <w:rPr>
          <w:snapToGrid w:val="0"/>
        </w:rPr>
        <w:t>Electricity charges</w:t>
      </w:r>
      <w:bookmarkEnd w:id="6"/>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w:t>
      </w:r>
    </w:p>
    <w:p>
      <w:pPr>
        <w:pStyle w:val="Heading5"/>
      </w:pPr>
      <w:bookmarkStart w:id="7" w:name="_Toc517878128"/>
      <w:r>
        <w:rPr>
          <w:rStyle w:val="CharSectno"/>
        </w:rPr>
        <w:t>5</w:t>
      </w:r>
      <w:r>
        <w:t>.</w:t>
      </w:r>
      <w:r>
        <w:tab/>
        <w:t>Application of residential tariffs</w:t>
      </w:r>
      <w:bookmarkEnd w:id="7"/>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8" w:name="_Toc517878129"/>
      <w:r>
        <w:rPr>
          <w:rStyle w:val="CharSectno"/>
        </w:rPr>
        <w:t>6</w:t>
      </w:r>
      <w:r>
        <w:t>.</w:t>
      </w:r>
      <w:r>
        <w:tab/>
        <w:t>Meter rental</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9" w:name="_Toc517878130"/>
      <w:r>
        <w:rPr>
          <w:rStyle w:val="CharSectno"/>
        </w:rPr>
        <w:t>7</w:t>
      </w:r>
      <w:r>
        <w:t>.</w:t>
      </w:r>
      <w:r>
        <w:tab/>
        <w:t>Fees</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0" w:name="_Toc517878131"/>
      <w:r>
        <w:rPr>
          <w:rStyle w:val="CharSectno"/>
        </w:rPr>
        <w:t>8</w:t>
      </w:r>
      <w:r>
        <w:t>.</w:t>
      </w:r>
      <w:r>
        <w:tab/>
        <w:t>Payment</w:t>
      </w:r>
      <w:bookmarkEnd w:id="10"/>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1" w:name="_Toc517878132"/>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Gazette 27 Jun 2014 p. 2320.]</w:t>
      </w:r>
    </w:p>
    <w:p>
      <w:pPr>
        <w:pStyle w:val="Heading5"/>
      </w:pPr>
      <w:bookmarkStart w:id="12" w:name="_Toc517878133"/>
      <w:r>
        <w:rPr>
          <w:rStyle w:val="CharSectno"/>
        </w:rPr>
        <w:t>11</w:t>
      </w:r>
      <w:r>
        <w:t>.</w:t>
      </w:r>
      <w:r>
        <w:tab/>
        <w:t>Changes in rates</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517878134"/>
      <w:r>
        <w:rPr>
          <w:rStyle w:val="CharSectno"/>
        </w:rPr>
        <w:t>12</w:t>
      </w:r>
      <w:r>
        <w:t>.</w:t>
      </w:r>
      <w:r>
        <w:tab/>
        <w:t>Prescribed rate of interest for s. 62(16) of Act</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514925376"/>
      <w:bookmarkStart w:id="15" w:name="_Toc514925425"/>
      <w:bookmarkStart w:id="16" w:name="_Toc514926057"/>
      <w:bookmarkStart w:id="17" w:name="_Toc514927933"/>
      <w:bookmarkStart w:id="18" w:name="_Toc514930157"/>
      <w:bookmarkStart w:id="19" w:name="_Toc514931739"/>
      <w:bookmarkStart w:id="20" w:name="_Toc514934396"/>
      <w:bookmarkStart w:id="21" w:name="_Toc515024459"/>
      <w:bookmarkStart w:id="22" w:name="_Toc515024598"/>
      <w:bookmarkStart w:id="23" w:name="_Toc515026535"/>
      <w:bookmarkStart w:id="24" w:name="_Toc515027465"/>
      <w:bookmarkStart w:id="25" w:name="_Toc515027885"/>
      <w:bookmarkStart w:id="26" w:name="_Toc515267656"/>
      <w:bookmarkStart w:id="27" w:name="_Toc517878101"/>
      <w:bookmarkStart w:id="28" w:name="_Toc517878135"/>
      <w:bookmarkStart w:id="29" w:name="_Toc501633152"/>
      <w:bookmarkStart w:id="30" w:name="_Toc501633205"/>
      <w:bookmarkStart w:id="31" w:name="_Toc502736800"/>
      <w:r>
        <w:rPr>
          <w:rStyle w:val="CharSchNo"/>
        </w:rPr>
        <w:t>Schedule 1</w:t>
      </w:r>
      <w:r>
        <w:t> — </w:t>
      </w:r>
      <w:r>
        <w:rPr>
          <w:rStyle w:val="CharSchText"/>
        </w:rPr>
        <w:t>Supply charges</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yShoulderClause"/>
      </w:pPr>
      <w:r>
        <w:t>[bl. 3, 4(1) and 10(1)]</w:t>
      </w:r>
    </w:p>
    <w:p>
      <w:pPr>
        <w:pStyle w:val="yFootnoteheading"/>
      </w:pPr>
      <w:bookmarkStart w:id="32" w:name="_Toc515026536"/>
      <w:bookmarkStart w:id="33" w:name="_Toc515027466"/>
      <w:bookmarkStart w:id="34" w:name="_Toc515027886"/>
      <w:bookmarkStart w:id="35" w:name="_Toc515267657"/>
      <w:r>
        <w:tab/>
        <w:t>[Heading inserted: Gazette 26 Jun 2018 p. 2362.]</w:t>
      </w:r>
    </w:p>
    <w:p>
      <w:pPr>
        <w:pStyle w:val="yHeading3"/>
      </w:pPr>
      <w:bookmarkStart w:id="36" w:name="_Toc517878102"/>
      <w:bookmarkStart w:id="37" w:name="_Toc517878136"/>
      <w:r>
        <w:rPr>
          <w:rStyle w:val="CharSDivNo"/>
        </w:rPr>
        <w:t>Division 1</w:t>
      </w:r>
      <w:r>
        <w:t> — </w:t>
      </w:r>
      <w:r>
        <w:rPr>
          <w:rStyle w:val="CharSDivText"/>
        </w:rPr>
        <w:t>Tariffs other than MyPower tariffs</w:t>
      </w:r>
      <w:bookmarkEnd w:id="32"/>
      <w:bookmarkEnd w:id="33"/>
      <w:bookmarkEnd w:id="34"/>
      <w:bookmarkEnd w:id="35"/>
      <w:bookmarkEnd w:id="36"/>
      <w:bookmarkEnd w:id="37"/>
    </w:p>
    <w:p>
      <w:pPr>
        <w:pStyle w:val="yFootnoteheading"/>
      </w:pPr>
      <w:bookmarkStart w:id="38" w:name="_Toc484511999"/>
      <w:bookmarkStart w:id="39" w:name="_Toc484513764"/>
      <w:bookmarkStart w:id="40" w:name="_Toc515027887"/>
      <w:bookmarkStart w:id="41" w:name="_Toc515267658"/>
      <w:r>
        <w:tab/>
        <w:t>[Heading inserted: Gazette 26 Jun 2018 p. 2362.]</w:t>
      </w:r>
    </w:p>
    <w:p>
      <w:pPr>
        <w:pStyle w:val="yHeading5"/>
      </w:pPr>
      <w:bookmarkStart w:id="42" w:name="_Toc517878137"/>
      <w:r>
        <w:rPr>
          <w:rStyle w:val="CharSClsNo"/>
        </w:rPr>
        <w:t>1</w:t>
      </w:r>
      <w:r>
        <w:t>.</w:t>
      </w:r>
      <w:r>
        <w:tab/>
        <w:t>Tariff L2 (general supply — low/medium voltage tariff)</w:t>
      </w:r>
      <w:bookmarkEnd w:id="38"/>
      <w:bookmarkEnd w:id="39"/>
      <w:bookmarkEnd w:id="40"/>
      <w:bookmarkEnd w:id="41"/>
      <w:bookmarkEnd w:id="42"/>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$1.7154 per day; and</w:t>
      </w:r>
    </w:p>
    <w:p>
      <w:pPr>
        <w:pStyle w:val="yIndenta"/>
      </w:pPr>
      <w:r>
        <w:tab/>
        <w:t>(b)</w:t>
      </w:r>
      <w:r>
        <w:tab/>
        <w:t xml:space="preserve">a charge for metered consumption at the rate of — </w:t>
      </w:r>
    </w:p>
    <w:p>
      <w:pPr>
        <w:pStyle w:val="yIndenti0"/>
      </w:pPr>
      <w:r>
        <w:tab/>
        <w:t>(i)</w:t>
      </w:r>
      <w:r>
        <w:tab/>
        <w:t>26.6946 cents per unit for the first 1 650 units per day; and</w:t>
      </w:r>
    </w:p>
    <w:p>
      <w:pPr>
        <w:pStyle w:val="yIndenti0"/>
      </w:pPr>
      <w:r>
        <w:tab/>
        <w:t>(ii)</w:t>
      </w:r>
      <w:r>
        <w:tab/>
        <w:t>30.0972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bookmarkStart w:id="43" w:name="_Toc484512000"/>
      <w:bookmarkStart w:id="44" w:name="_Toc484513765"/>
      <w:bookmarkStart w:id="45" w:name="_Toc515027888"/>
      <w:bookmarkStart w:id="46" w:name="_Toc515267659"/>
      <w:r>
        <w:tab/>
        <w:t>[Clause 1 inserted: Gazette 26 Jun 2018 p. 2362.]</w:t>
      </w:r>
    </w:p>
    <w:p>
      <w:pPr>
        <w:pStyle w:val="yHeading5"/>
      </w:pPr>
      <w:bookmarkStart w:id="47" w:name="_Toc517878138"/>
      <w:r>
        <w:rPr>
          <w:rStyle w:val="CharSClsNo"/>
        </w:rPr>
        <w:t>2</w:t>
      </w:r>
      <w:r>
        <w:t>.</w:t>
      </w:r>
      <w:r>
        <w:tab/>
        <w:t>Tariff L4 (general supply — low/medium voltage tariff)</w:t>
      </w:r>
      <w:bookmarkEnd w:id="43"/>
      <w:bookmarkEnd w:id="44"/>
      <w:bookmarkEnd w:id="45"/>
      <w:bookmarkEnd w:id="46"/>
      <w:bookmarkEnd w:id="47"/>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55.7410 cents per day; and</w:t>
      </w:r>
    </w:p>
    <w:p>
      <w:pPr>
        <w:pStyle w:val="yIndenta"/>
      </w:pPr>
      <w:r>
        <w:tab/>
        <w:t>(b)</w:t>
      </w:r>
      <w:r>
        <w:tab/>
        <w:t xml:space="preserve">a charge for metered consumption at the rate of — </w:t>
      </w:r>
    </w:p>
    <w:p>
      <w:pPr>
        <w:pStyle w:val="yIndenti0"/>
      </w:pPr>
      <w:r>
        <w:tab/>
        <w:t>(i)</w:t>
      </w:r>
      <w:r>
        <w:tab/>
        <w:t>36</w:t>
      </w:r>
      <w:r>
        <w:rPr>
          <w:szCs w:val="22"/>
        </w:rPr>
        <w:t xml:space="preserve">.6265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bookmarkStart w:id="48" w:name="_Toc484512001"/>
      <w:bookmarkStart w:id="49" w:name="_Toc484513766"/>
      <w:bookmarkStart w:id="50" w:name="_Toc515027889"/>
      <w:bookmarkStart w:id="51" w:name="_Toc515267660"/>
      <w:r>
        <w:tab/>
        <w:t>[Clause 2 inserted: Gazette 26 Jun 2018 p. 2363.]</w:t>
      </w:r>
    </w:p>
    <w:p>
      <w:pPr>
        <w:pStyle w:val="yHeading5"/>
      </w:pPr>
      <w:bookmarkStart w:id="52" w:name="_Toc517878139"/>
      <w:r>
        <w:rPr>
          <w:rStyle w:val="CharSClsNo"/>
        </w:rPr>
        <w:t>3</w:t>
      </w:r>
      <w:r>
        <w:t>.</w:t>
      </w:r>
      <w:r>
        <w:tab/>
        <w:t>Tariff A2 (residential tariff)</w:t>
      </w:r>
      <w:bookmarkEnd w:id="48"/>
      <w:bookmarkEnd w:id="49"/>
      <w:bookmarkEnd w:id="50"/>
      <w:bookmarkEnd w:id="51"/>
      <w:bookmarkEnd w:id="52"/>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$1.0155 per day or, for multiple dwellings supplied through one metered supply point, a fixed charge at the rate of —</w:t>
      </w:r>
    </w:p>
    <w:p>
      <w:pPr>
        <w:pStyle w:val="yIndenti0"/>
      </w:pPr>
      <w:r>
        <w:tab/>
        <w:t>(i)</w:t>
      </w:r>
      <w:r>
        <w:tab/>
        <w:t>$1.0155 per day for the first dwelling; and</w:t>
      </w:r>
    </w:p>
    <w:p>
      <w:pPr>
        <w:pStyle w:val="yIndenti0"/>
      </w:pPr>
      <w:r>
        <w:tab/>
        <w:t>(ii)</w:t>
      </w:r>
      <w:r>
        <w:tab/>
        <w:t>40.3762 cents per day for each additional dwelling;</w:t>
      </w:r>
    </w:p>
    <w:p>
      <w:pPr>
        <w:pStyle w:val="yIndenta"/>
      </w:pPr>
      <w:r>
        <w:tab/>
      </w:r>
      <w:r>
        <w:tab/>
        <w:t>and</w:t>
      </w:r>
    </w:p>
    <w:p>
      <w:pPr>
        <w:pStyle w:val="yIndenta"/>
      </w:pPr>
      <w:r>
        <w:tab/>
        <w:t>(b)</w:t>
      </w:r>
      <w:r>
        <w:tab/>
        <w:t>a charge for metered consumption at the rate of 28.3272 cents per unit.</w:t>
      </w:r>
    </w:p>
    <w:p>
      <w:pPr>
        <w:pStyle w:val="yFootnotesection"/>
      </w:pPr>
      <w:bookmarkStart w:id="53" w:name="_Toc484512002"/>
      <w:bookmarkStart w:id="54" w:name="_Toc484513767"/>
      <w:bookmarkStart w:id="55" w:name="_Toc515027890"/>
      <w:bookmarkStart w:id="56" w:name="_Toc515267661"/>
      <w:r>
        <w:tab/>
        <w:t>[Clause 3 inserted: Gazette 26 Jun 2018 p. 2363.]</w:t>
      </w:r>
    </w:p>
    <w:p>
      <w:pPr>
        <w:pStyle w:val="yHeading5"/>
      </w:pPr>
      <w:bookmarkStart w:id="57" w:name="_Toc517878140"/>
      <w:r>
        <w:rPr>
          <w:rStyle w:val="CharSClsNo"/>
        </w:rPr>
        <w:t>4</w:t>
      </w:r>
      <w:r>
        <w:t>.</w:t>
      </w:r>
      <w:r>
        <w:tab/>
        <w:t>Tariff C2 (special community service tariff)</w:t>
      </w:r>
      <w:bookmarkEnd w:id="53"/>
      <w:bookmarkEnd w:id="54"/>
      <w:bookmarkEnd w:id="55"/>
      <w:bookmarkEnd w:id="56"/>
      <w:bookmarkEnd w:id="57"/>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94.9058 cents per day; and</w:t>
      </w:r>
    </w:p>
    <w:p>
      <w:pPr>
        <w:pStyle w:val="yIndenta"/>
      </w:pPr>
      <w:r>
        <w:tab/>
        <w:t>(b)</w:t>
      </w:r>
      <w:r>
        <w:tab/>
        <w:t xml:space="preserve">a charge for metered consumption at the rate of — </w:t>
      </w:r>
    </w:p>
    <w:p>
      <w:pPr>
        <w:pStyle w:val="yIndenti0"/>
      </w:pPr>
      <w:r>
        <w:tab/>
        <w:t>(i)</w:t>
      </w:r>
      <w:r>
        <w:tab/>
        <w:t>22.1733 cents per unit for the first 20 units per day; and</w:t>
      </w:r>
    </w:p>
    <w:p>
      <w:pPr>
        <w:pStyle w:val="yIndenti0"/>
      </w:pPr>
      <w:r>
        <w:tab/>
        <w:t>(ii)</w:t>
      </w:r>
      <w:r>
        <w:tab/>
        <w:t>23.6574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bookmarkStart w:id="58" w:name="_Toc484512003"/>
      <w:bookmarkStart w:id="59" w:name="_Toc484513768"/>
      <w:bookmarkStart w:id="60" w:name="_Toc515027891"/>
      <w:bookmarkStart w:id="61" w:name="_Toc515267662"/>
      <w:r>
        <w:tab/>
        <w:t>[Clause 4 inserted: Gazette 26 Jun 2018 p. 2363</w:t>
      </w:r>
      <w:r>
        <w:noBreakHyphen/>
        <w:t>4.]</w:t>
      </w:r>
    </w:p>
    <w:p>
      <w:pPr>
        <w:pStyle w:val="yHeading5"/>
      </w:pPr>
      <w:bookmarkStart w:id="62" w:name="_Toc517878141"/>
      <w:r>
        <w:rPr>
          <w:rStyle w:val="CharSClsNo"/>
        </w:rPr>
        <w:t>5</w:t>
      </w:r>
      <w:r>
        <w:t>.</w:t>
      </w:r>
      <w:r>
        <w:tab/>
        <w:t>Tariff D2 (special tariff for certain premises)</w:t>
      </w:r>
      <w:bookmarkEnd w:id="58"/>
      <w:bookmarkEnd w:id="59"/>
      <w:bookmarkEnd w:id="60"/>
      <w:bookmarkEnd w:id="61"/>
      <w:bookmarkEnd w:id="62"/>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94.9058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24.1118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63" w:name="_Toc484512004"/>
      <w:bookmarkStart w:id="64" w:name="_Toc484513769"/>
      <w:bookmarkStart w:id="65" w:name="_Toc515027892"/>
      <w:bookmarkStart w:id="66" w:name="_Toc515267663"/>
      <w:r>
        <w:tab/>
        <w:t>[Clause 5 inserted: Gazette 26 Jun 2018 p. 2364.]</w:t>
      </w:r>
    </w:p>
    <w:p>
      <w:pPr>
        <w:pStyle w:val="yHeading5"/>
      </w:pPr>
      <w:bookmarkStart w:id="67" w:name="_Toc517878142"/>
      <w:r>
        <w:rPr>
          <w:rStyle w:val="CharSClsNo"/>
        </w:rPr>
        <w:t>6</w:t>
      </w:r>
      <w:r>
        <w:t>.</w:t>
      </w:r>
      <w:r>
        <w:tab/>
        <w:t>Tariff K2 (general supply with residential tariff)</w:t>
      </w:r>
      <w:bookmarkEnd w:id="63"/>
      <w:bookmarkEnd w:id="64"/>
      <w:bookmarkEnd w:id="65"/>
      <w:bookmarkEnd w:id="66"/>
      <w:bookmarkEnd w:id="67"/>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$1.7154 per day; and</w:t>
      </w:r>
    </w:p>
    <w:p>
      <w:pPr>
        <w:pStyle w:val="yIndenta"/>
      </w:pPr>
      <w:r>
        <w:tab/>
        <w:t>(b)</w:t>
      </w:r>
      <w:r>
        <w:tab/>
        <w:t>a charge for metered consumption at the rate of —</w:t>
      </w:r>
    </w:p>
    <w:p>
      <w:pPr>
        <w:pStyle w:val="yIndenti0"/>
      </w:pPr>
      <w:r>
        <w:tab/>
        <w:t>(i)</w:t>
      </w:r>
      <w:r>
        <w:tab/>
        <w:t>28.3272 cents per unit for the first 20 units per day; and</w:t>
      </w:r>
    </w:p>
    <w:p>
      <w:pPr>
        <w:pStyle w:val="yIndenti0"/>
      </w:pPr>
      <w:r>
        <w:tab/>
        <w:t>(ii)</w:t>
      </w:r>
      <w:r>
        <w:tab/>
        <w:t>26.6946 cents per unit for the next 1 630 units per day; and</w:t>
      </w:r>
    </w:p>
    <w:p>
      <w:pPr>
        <w:pStyle w:val="yIndenti0"/>
      </w:pPr>
      <w:r>
        <w:tab/>
        <w:t>(iii)</w:t>
      </w:r>
      <w:r>
        <w:tab/>
        <w:t>30.0972 cents per unit for all units exceeding 1 650 units per day.</w:t>
      </w:r>
    </w:p>
    <w:p>
      <w:pPr>
        <w:pStyle w:val="yFootnotesection"/>
      </w:pPr>
      <w:bookmarkStart w:id="68" w:name="_Toc500409574"/>
      <w:bookmarkStart w:id="69" w:name="_Toc500409586"/>
      <w:bookmarkStart w:id="70" w:name="_Toc500580940"/>
      <w:bookmarkStart w:id="71" w:name="_Toc500580951"/>
      <w:bookmarkStart w:id="72" w:name="_Toc500581032"/>
      <w:bookmarkStart w:id="73" w:name="_Toc500745780"/>
      <w:bookmarkStart w:id="74" w:name="_Toc500746224"/>
      <w:bookmarkStart w:id="75" w:name="_Toc514925383"/>
      <w:bookmarkStart w:id="76" w:name="_Toc514925432"/>
      <w:bookmarkStart w:id="77" w:name="_Toc514926064"/>
      <w:bookmarkStart w:id="78" w:name="_Toc514927940"/>
      <w:bookmarkStart w:id="79" w:name="_Toc514930164"/>
      <w:bookmarkStart w:id="80" w:name="_Toc514931746"/>
      <w:bookmarkStart w:id="81" w:name="_Toc514934403"/>
      <w:bookmarkStart w:id="82" w:name="_Toc515024467"/>
      <w:bookmarkStart w:id="83" w:name="_Toc515024606"/>
      <w:bookmarkStart w:id="84" w:name="_Toc515026543"/>
      <w:bookmarkStart w:id="85" w:name="_Toc515027473"/>
      <w:bookmarkStart w:id="86" w:name="_Toc515027893"/>
      <w:bookmarkStart w:id="87" w:name="_Toc515267664"/>
      <w:r>
        <w:tab/>
        <w:t>[Clause 6 inserted: Gazette 26 Jun 2018 p. 2364.]</w:t>
      </w:r>
    </w:p>
    <w:p>
      <w:pPr>
        <w:pStyle w:val="yHeading3"/>
      </w:pPr>
      <w:bookmarkStart w:id="88" w:name="_Toc517878109"/>
      <w:bookmarkStart w:id="89" w:name="_Toc517878143"/>
      <w:r>
        <w:rPr>
          <w:rStyle w:val="CharSDivNo"/>
        </w:rPr>
        <w:t>Division 2</w:t>
      </w:r>
      <w:r>
        <w:t> — </w:t>
      </w:r>
      <w:r>
        <w:rPr>
          <w:rStyle w:val="CharSDivText"/>
        </w:rPr>
        <w:t>MyPower tariffs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yFootnoteheading"/>
      </w:pPr>
      <w:bookmarkStart w:id="90" w:name="_Toc500745781"/>
      <w:bookmarkStart w:id="91" w:name="_Toc500746225"/>
      <w:bookmarkStart w:id="92" w:name="_Toc515027894"/>
      <w:bookmarkStart w:id="93" w:name="_Toc515267665"/>
      <w:r>
        <w:tab/>
        <w:t>[Heading inserted: Gazette 26 Jun 2018 p. 2365.]</w:t>
      </w:r>
    </w:p>
    <w:p>
      <w:pPr>
        <w:pStyle w:val="yHeading5"/>
      </w:pPr>
      <w:bookmarkStart w:id="94" w:name="_Toc517878144"/>
      <w:r>
        <w:rPr>
          <w:rStyle w:val="CharSClsNo"/>
        </w:rPr>
        <w:t>7</w:t>
      </w:r>
      <w:r>
        <w:t>.</w:t>
      </w:r>
      <w:r>
        <w:tab/>
        <w:t>Terms used</w:t>
      </w:r>
      <w:bookmarkEnd w:id="90"/>
      <w:bookmarkEnd w:id="91"/>
      <w:bookmarkEnd w:id="92"/>
      <w:bookmarkEnd w:id="93"/>
      <w:bookmarkEnd w:id="94"/>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 of Esperance and surrounding areas;</w:t>
      </w:r>
    </w:p>
    <w:p>
      <w:pPr>
        <w:pStyle w:val="yDefstart"/>
      </w:pPr>
      <w:r>
        <w:tab/>
      </w:r>
      <w:r>
        <w:rPr>
          <w:rStyle w:val="CharDefText"/>
        </w:rPr>
        <w:t>peak day</w:t>
      </w:r>
      <w:r>
        <w:t xml:space="preserve"> means — </w:t>
      </w:r>
    </w:p>
    <w:p>
      <w:pPr>
        <w:pStyle w:val="yDefpara"/>
      </w:pPr>
      <w:r>
        <w:tab/>
        <w:t>(a)</w:t>
      </w:r>
      <w:r>
        <w:tab/>
        <w:t>in relation to a tariff determined under clause 8 — a day that is in a peak period and is not a Saturday, a Sunday or a public holiday in the place in which the relevant premises to which electricity is supplied are situated; or</w:t>
      </w:r>
    </w:p>
    <w:p>
      <w:pPr>
        <w:pStyle w:val="yDefpara"/>
      </w:pPr>
      <w:r>
        <w:tab/>
        <w:t>(b)</w:t>
      </w:r>
      <w:r>
        <w:tab/>
        <w:t>in relation to a tariff determined under clause 9 — a day that is in a peak period and is not a public holiday in the place in which the relevant premises to which electricity is supplied are situated;</w:t>
      </w:r>
    </w:p>
    <w:p>
      <w:pPr>
        <w:pStyle w:val="yDefstart"/>
        <w:keepNex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w:t>
      </w:r>
      <w:r>
        <w:rPr>
          <w:rStyle w:val="CharDefText"/>
        </w:rPr>
        <w:t>exceeds the applicable peak allowance</w:t>
      </w:r>
      <w:r>
        <w:t xml:space="preserve"> in relation to a tariff if, on a peak day, the consumer consumes more electricity during 1 or more hours in a peak time than the applicable peak allowance for the tariff, unless — </w:t>
      </w:r>
    </w:p>
    <w:p>
      <w:pPr>
        <w:pStyle w:val="yIndenta"/>
      </w:pPr>
      <w:r>
        <w:tab/>
        <w:t>(a)</w:t>
      </w:r>
      <w:r>
        <w:tab/>
        <w:t>the contract under which the electricity is supplied has been in force for a period of 14 days or fewer; or</w:t>
      </w:r>
    </w:p>
    <w:p>
      <w:pPr>
        <w:pStyle w:val="yIndenta"/>
      </w:pPr>
      <w:r>
        <w:tab/>
        <w:t>(b)</w:t>
      </w:r>
      <w:r>
        <w:tab/>
        <w:t>the corporation considers that on the relevant day the consumer was affected by an emergency event (for example, a cyclone or bushfire).</w:t>
      </w:r>
    </w:p>
    <w:p>
      <w:pPr>
        <w:pStyle w:val="yFootnotesection"/>
      </w:pPr>
      <w:bookmarkStart w:id="95" w:name="_Toc500745782"/>
      <w:bookmarkStart w:id="96" w:name="_Toc500746226"/>
      <w:bookmarkStart w:id="97" w:name="_Toc515027895"/>
      <w:bookmarkStart w:id="98" w:name="_Toc515267666"/>
      <w:r>
        <w:tab/>
        <w:t>[Clause 7 inserted: Gazette 26 Jun 2018 p. 2365.]</w:t>
      </w:r>
    </w:p>
    <w:p>
      <w:pPr>
        <w:pStyle w:val="yHeading5"/>
      </w:pPr>
      <w:bookmarkStart w:id="99" w:name="_Toc517878145"/>
      <w:r>
        <w:rPr>
          <w:rStyle w:val="CharSClsNo"/>
        </w:rPr>
        <w:t>8</w:t>
      </w:r>
      <w:r>
        <w:t>.</w:t>
      </w:r>
      <w:r>
        <w:tab/>
        <w:t>MyPower residential tariffs</w:t>
      </w:r>
      <w:bookmarkEnd w:id="95"/>
      <w:bookmarkEnd w:id="96"/>
      <w:bookmarkEnd w:id="97"/>
      <w:bookmarkEnd w:id="98"/>
      <w:bookmarkEnd w:id="99"/>
    </w:p>
    <w:p>
      <w:pPr>
        <w:pStyle w:val="ySubsection"/>
      </w:pPr>
      <w:r>
        <w:tab/>
        <w:t>(1)</w:t>
      </w:r>
      <w:r>
        <w:tab/>
        <w:t xml:space="preserve">Each tariff determined under this clause (a </w:t>
      </w:r>
      <w:r>
        <w:rPr>
          <w:rStyle w:val="CharDefText"/>
        </w:rPr>
        <w:t>MyPower residential tariff</w:t>
      </w:r>
      <w:r>
        <w:t xml:space="preserve">) is available only — </w:t>
      </w:r>
    </w:p>
    <w:p>
      <w:pPr>
        <w:pStyle w:val="yIndenta"/>
      </w:pPr>
      <w:r>
        <w:tab/>
        <w:t>(a)</w:t>
      </w:r>
      <w:r>
        <w:tab/>
        <w:t>for 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keepNext/>
      </w:pPr>
      <w:r>
        <w:tab/>
        <w:t>(3)</w:t>
      </w:r>
      <w:r>
        <w:tab/>
        <w:t>Each MyPower residential tariff is available subject to the condition that the consumer does not exceed the applicable peak allowance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pPr>
            <w:r>
              <w:rPr>
                <w:b/>
              </w:rPr>
              <w:t>Tariff name</w:t>
            </w:r>
          </w:p>
        </w:tc>
        <w:tc>
          <w:tcPr>
            <w:tcW w:w="1417" w:type="dxa"/>
          </w:tcPr>
          <w:p>
            <w:pPr>
              <w:pStyle w:val="yTableNAm"/>
            </w:pPr>
            <w:r>
              <w:rPr>
                <w:b/>
              </w:rPr>
              <w:t>Rate of fixed charge</w:t>
            </w:r>
          </w:p>
        </w:tc>
        <w:tc>
          <w:tcPr>
            <w:tcW w:w="1560" w:type="dxa"/>
          </w:tcPr>
          <w:p>
            <w:pPr>
              <w:pStyle w:val="yTableNAm"/>
            </w:pPr>
            <w:r>
              <w:rPr>
                <w:b/>
              </w:rPr>
              <w:t>Rate of metered consumption charge</w:t>
            </w:r>
          </w:p>
        </w:tc>
        <w:tc>
          <w:tcPr>
            <w:tcW w:w="1275" w:type="dxa"/>
          </w:tcPr>
          <w:p>
            <w:pPr>
              <w:pStyle w:val="yTableNAm"/>
            </w:pPr>
            <w:r>
              <w:rPr>
                <w:b/>
              </w:rPr>
              <w:t>Peak allowance</w:t>
            </w:r>
          </w:p>
        </w:tc>
      </w:tr>
      <w:tr>
        <w:trPr>
          <w:cantSplit/>
        </w:trPr>
        <w:tc>
          <w:tcPr>
            <w:tcW w:w="1276" w:type="dxa"/>
          </w:tcPr>
          <w:p>
            <w:pPr>
              <w:pStyle w:val="yTableNAm"/>
            </w:pPr>
            <w:r>
              <w:t>MyPower residential 1.5 fixed plan price</w:t>
            </w:r>
          </w:p>
        </w:tc>
        <w:tc>
          <w:tcPr>
            <w:tcW w:w="1417" w:type="dxa"/>
          </w:tcPr>
          <w:p>
            <w:pPr>
              <w:pStyle w:val="yTableNAm"/>
            </w:pPr>
            <w:r>
              <w:t>$1.085704 per day</w:t>
            </w:r>
          </w:p>
        </w:tc>
        <w:tc>
          <w:tcPr>
            <w:tcW w:w="1560" w:type="dxa"/>
          </w:tcPr>
          <w:p>
            <w:pPr>
              <w:pStyle w:val="yTableNAm"/>
            </w:pPr>
            <w:r>
              <w:t>$0.100000 per unit</w:t>
            </w:r>
          </w:p>
        </w:tc>
        <w:tc>
          <w:tcPr>
            <w:tcW w:w="1275" w:type="dxa"/>
          </w:tcPr>
          <w:p>
            <w:pPr>
              <w:pStyle w:val="yTableNAm"/>
            </w:pPr>
            <w:r>
              <w:t>1.5 units per hour</w:t>
            </w:r>
          </w:p>
        </w:tc>
      </w:tr>
      <w:tr>
        <w:trPr>
          <w:cantSplit/>
        </w:trPr>
        <w:tc>
          <w:tcPr>
            <w:tcW w:w="1276" w:type="dxa"/>
          </w:tcPr>
          <w:p>
            <w:pPr>
              <w:pStyle w:val="yTableNAm"/>
            </w:pPr>
            <w:r>
              <w:t>MyPower residential 3 fixed plan price</w:t>
            </w:r>
          </w:p>
        </w:tc>
        <w:tc>
          <w:tcPr>
            <w:tcW w:w="1417" w:type="dxa"/>
          </w:tcPr>
          <w:p>
            <w:pPr>
              <w:pStyle w:val="yTableNAm"/>
            </w:pPr>
            <w:r>
              <w:t>$2.349424 per day</w:t>
            </w:r>
          </w:p>
        </w:tc>
        <w:tc>
          <w:tcPr>
            <w:tcW w:w="1560" w:type="dxa"/>
          </w:tcPr>
          <w:p>
            <w:pPr>
              <w:pStyle w:val="yTableNAm"/>
            </w:pPr>
            <w:r>
              <w:t>$0.100000 per unit</w:t>
            </w:r>
          </w:p>
        </w:tc>
        <w:tc>
          <w:tcPr>
            <w:tcW w:w="1275" w:type="dxa"/>
          </w:tcPr>
          <w:p>
            <w:pPr>
              <w:pStyle w:val="yTableNAm"/>
            </w:pPr>
            <w:r>
              <w:t xml:space="preserve">3 units </w:t>
            </w:r>
            <w:r>
              <w:br/>
              <w:t>per hour</w:t>
            </w:r>
          </w:p>
        </w:tc>
      </w:tr>
      <w:tr>
        <w:trPr>
          <w:cantSplit/>
        </w:trPr>
        <w:tc>
          <w:tcPr>
            <w:tcW w:w="1276" w:type="dxa"/>
          </w:tcPr>
          <w:p>
            <w:pPr>
              <w:pStyle w:val="yTableNAm"/>
            </w:pPr>
            <w:r>
              <w:t>MyPower residential 5 fixed plan price</w:t>
            </w:r>
          </w:p>
        </w:tc>
        <w:tc>
          <w:tcPr>
            <w:tcW w:w="1417" w:type="dxa"/>
          </w:tcPr>
          <w:p>
            <w:pPr>
              <w:pStyle w:val="yTableNAm"/>
            </w:pPr>
            <w:r>
              <w:t>$4.754144 per day</w:t>
            </w:r>
          </w:p>
        </w:tc>
        <w:tc>
          <w:tcPr>
            <w:tcW w:w="1560" w:type="dxa"/>
          </w:tcPr>
          <w:p>
            <w:pPr>
              <w:pStyle w:val="yTableNAm"/>
            </w:pPr>
            <w:r>
              <w:t>$0.100000 per unit</w:t>
            </w:r>
          </w:p>
        </w:tc>
        <w:tc>
          <w:tcPr>
            <w:tcW w:w="1275" w:type="dxa"/>
          </w:tcPr>
          <w:p>
            <w:pPr>
              <w:pStyle w:val="yTableNAm"/>
            </w:pPr>
            <w:r>
              <w:t xml:space="preserve">5 units </w:t>
            </w:r>
            <w:r>
              <w:br/>
              <w:t>per hour</w:t>
            </w:r>
          </w:p>
        </w:tc>
      </w:tr>
      <w:tr>
        <w:trPr>
          <w:cantSplit/>
        </w:trPr>
        <w:tc>
          <w:tcPr>
            <w:tcW w:w="1276" w:type="dxa"/>
          </w:tcPr>
          <w:p>
            <w:pPr>
              <w:pStyle w:val="yTableNAm"/>
            </w:pPr>
            <w:r>
              <w:t>MyPower residential 7 fixed plan price</w:t>
            </w:r>
          </w:p>
        </w:tc>
        <w:tc>
          <w:tcPr>
            <w:tcW w:w="1417" w:type="dxa"/>
          </w:tcPr>
          <w:p>
            <w:pPr>
              <w:pStyle w:val="yTableNAm"/>
            </w:pPr>
            <w:r>
              <w:t>$7.830263 per day</w:t>
            </w:r>
          </w:p>
        </w:tc>
        <w:tc>
          <w:tcPr>
            <w:tcW w:w="1560" w:type="dxa"/>
          </w:tcPr>
          <w:p>
            <w:pPr>
              <w:pStyle w:val="yTableNAm"/>
            </w:pPr>
            <w:r>
              <w:t>$0.100000 per unit</w:t>
            </w:r>
          </w:p>
        </w:tc>
        <w:tc>
          <w:tcPr>
            <w:tcW w:w="1275" w:type="dxa"/>
          </w:tcPr>
          <w:p>
            <w:pPr>
              <w:pStyle w:val="yTableNAm"/>
            </w:pPr>
            <w:r>
              <w:t xml:space="preserve">7 units </w:t>
            </w:r>
            <w:r>
              <w:br/>
              <w:t>per hour</w:t>
            </w:r>
          </w:p>
        </w:tc>
      </w:tr>
      <w:tr>
        <w:trPr>
          <w:cantSplit/>
        </w:trPr>
        <w:tc>
          <w:tcPr>
            <w:tcW w:w="1276" w:type="dxa"/>
          </w:tcPr>
          <w:p>
            <w:pPr>
              <w:pStyle w:val="yTableNAm"/>
            </w:pPr>
            <w:r>
              <w:t>MyPower residential 10 fixed plan price</w:t>
            </w:r>
          </w:p>
        </w:tc>
        <w:tc>
          <w:tcPr>
            <w:tcW w:w="1417" w:type="dxa"/>
          </w:tcPr>
          <w:p>
            <w:pPr>
              <w:pStyle w:val="yTableNAm"/>
            </w:pPr>
            <w:r>
              <w:t>$11.820120 per day</w:t>
            </w:r>
          </w:p>
        </w:tc>
        <w:tc>
          <w:tcPr>
            <w:tcW w:w="1560" w:type="dxa"/>
          </w:tcPr>
          <w:p>
            <w:pPr>
              <w:pStyle w:val="yTableNAm"/>
            </w:pPr>
            <w:r>
              <w:t>$0.100000 per unit</w:t>
            </w:r>
          </w:p>
        </w:tc>
        <w:tc>
          <w:tcPr>
            <w:tcW w:w="1275" w:type="dxa"/>
          </w:tcPr>
          <w:p>
            <w:pPr>
              <w:pStyle w:val="yTableNAm"/>
            </w:pPr>
            <w:r>
              <w:t>10 units per hour</w:t>
            </w:r>
          </w:p>
        </w:tc>
      </w:tr>
      <w:tr>
        <w:trPr>
          <w:cantSplit/>
        </w:trPr>
        <w:tc>
          <w:tcPr>
            <w:tcW w:w="1276" w:type="dxa"/>
          </w:tcPr>
          <w:p>
            <w:pPr>
              <w:pStyle w:val="yTableNAm"/>
            </w:pPr>
            <w:r>
              <w:t>MyPower residential 15 fixed plan price</w:t>
            </w:r>
          </w:p>
        </w:tc>
        <w:tc>
          <w:tcPr>
            <w:tcW w:w="1417" w:type="dxa"/>
          </w:tcPr>
          <w:p>
            <w:pPr>
              <w:pStyle w:val="yTableNAm"/>
            </w:pPr>
            <w:r>
              <w:t>$24.069593 per day</w:t>
            </w:r>
          </w:p>
        </w:tc>
        <w:tc>
          <w:tcPr>
            <w:tcW w:w="1560" w:type="dxa"/>
          </w:tcPr>
          <w:p>
            <w:pPr>
              <w:pStyle w:val="yTableNAm"/>
            </w:pPr>
            <w:r>
              <w:t>$0.100000 per unit</w:t>
            </w:r>
          </w:p>
        </w:tc>
        <w:tc>
          <w:tcPr>
            <w:tcW w:w="1275" w:type="dxa"/>
          </w:tcPr>
          <w:p>
            <w:pPr>
              <w:pStyle w:val="yTableNAm"/>
            </w:pPr>
            <w:r>
              <w:t>15 units per hour</w:t>
            </w:r>
          </w:p>
        </w:tc>
      </w:tr>
    </w:tbl>
    <w:p>
      <w:pPr>
        <w:pStyle w:val="yFootnotesection"/>
      </w:pPr>
      <w:bookmarkStart w:id="100" w:name="_Toc500745783"/>
      <w:bookmarkStart w:id="101" w:name="_Toc500746227"/>
      <w:bookmarkStart w:id="102" w:name="_Toc515027896"/>
      <w:bookmarkStart w:id="103" w:name="_Toc515267667"/>
      <w:r>
        <w:tab/>
        <w:t>[Clause 8 inserted: Gazette 26 Jun 2018 p. 2365</w:t>
      </w:r>
      <w:r>
        <w:noBreakHyphen/>
        <w:t>6.]</w:t>
      </w:r>
    </w:p>
    <w:p>
      <w:pPr>
        <w:pStyle w:val="yHeading5"/>
      </w:pPr>
      <w:bookmarkStart w:id="104" w:name="_Toc517878146"/>
      <w:r>
        <w:rPr>
          <w:rStyle w:val="CharSClsNo"/>
        </w:rPr>
        <w:t>9</w:t>
      </w:r>
      <w:r>
        <w:t>.</w:t>
      </w:r>
      <w:r>
        <w:tab/>
        <w:t>MyPower non</w:t>
      </w:r>
      <w:r>
        <w:noBreakHyphen/>
        <w:t>residential tariffs</w:t>
      </w:r>
      <w:bookmarkEnd w:id="100"/>
      <w:bookmarkEnd w:id="101"/>
      <w:bookmarkEnd w:id="102"/>
      <w:bookmarkEnd w:id="103"/>
      <w:bookmarkEnd w:id="104"/>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pPr>
        <w:pStyle w:val="yIndenta"/>
      </w:pPr>
      <w:r>
        <w:tab/>
        <w:t>(a)</w:t>
      </w:r>
      <w:r>
        <w:tab/>
        <w:t>for non</w:t>
      </w:r>
      <w:r>
        <w:noBreakHyphen/>
        <w:t>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non</w:t>
      </w:r>
      <w:r>
        <w:noBreakHyphen/>
        <w:t>residential tariff.</w:t>
      </w:r>
    </w:p>
    <w:p>
      <w:pPr>
        <w:pStyle w:val="ySubsection"/>
      </w:pPr>
      <w:r>
        <w:tab/>
        <w:t>(2)</w:t>
      </w:r>
      <w:r>
        <w:tab/>
        <w:t>Each MyPower non</w:t>
      </w:r>
      <w:r>
        <w:noBreakHyphen/>
        <w:t xml:space="preserve">residential tariff comprises the following charges — </w:t>
      </w:r>
    </w:p>
    <w:p>
      <w:pPr>
        <w:pStyle w:val="yIndenta"/>
      </w:pPr>
      <w:r>
        <w:tab/>
        <w:t>(a)</w:t>
      </w:r>
      <w:r>
        <w:tab/>
        <w:t>a fixed charge at applicable rate; and</w:t>
      </w:r>
    </w:p>
    <w:p>
      <w:pPr>
        <w:pStyle w:val="yIndenta"/>
      </w:pPr>
      <w:r>
        <w:tab/>
        <w:t>(b)</w:t>
      </w:r>
      <w:r>
        <w:tab/>
        <w:t>a charge for metered consumption at the applicable rate.</w:t>
      </w:r>
    </w:p>
    <w:p>
      <w:pPr>
        <w:pStyle w:val="Subsection"/>
      </w:pPr>
      <w:r>
        <w:rPr>
          <w:sz w:val="22"/>
        </w:rPr>
        <w:tab/>
        <w:t>(3)</w:t>
      </w:r>
      <w:r>
        <w:rPr>
          <w:sz w:val="22"/>
        </w:rPr>
        <w:tab/>
        <w:t>Each MyPower non</w:t>
      </w:r>
      <w:r>
        <w:rPr>
          <w:sz w:val="22"/>
        </w:rPr>
        <w:noBreakHyphen/>
        <w:t>residential tariff is available subject to the condition that the consumer does not exceed the applicable peak allowance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keepNext/>
            </w:pPr>
            <w:r>
              <w:rPr>
                <w:b/>
              </w:rPr>
              <w:t>Tariff name</w:t>
            </w:r>
          </w:p>
        </w:tc>
        <w:tc>
          <w:tcPr>
            <w:tcW w:w="1417" w:type="dxa"/>
          </w:tcPr>
          <w:p>
            <w:pPr>
              <w:pStyle w:val="yTableNAm"/>
              <w:keepNext/>
            </w:pPr>
            <w:r>
              <w:rPr>
                <w:b/>
              </w:rPr>
              <w:t>Rate of fixed charge</w:t>
            </w:r>
          </w:p>
        </w:tc>
        <w:tc>
          <w:tcPr>
            <w:tcW w:w="1560" w:type="dxa"/>
          </w:tcPr>
          <w:p>
            <w:pPr>
              <w:pStyle w:val="yTableNAm"/>
              <w:keepNext/>
            </w:pPr>
            <w:r>
              <w:rPr>
                <w:b/>
              </w:rPr>
              <w:t>Rate of metered consumption charge</w:t>
            </w:r>
          </w:p>
        </w:tc>
        <w:tc>
          <w:tcPr>
            <w:tcW w:w="1275" w:type="dxa"/>
          </w:tcPr>
          <w:p>
            <w:pPr>
              <w:pStyle w:val="yTableNAm"/>
              <w:keepNext/>
            </w:pPr>
            <w:r>
              <w:rPr>
                <w:b/>
              </w:rPr>
              <w:t>Peak allowance</w:t>
            </w:r>
          </w:p>
        </w:tc>
      </w:tr>
      <w:tr>
        <w:trPr>
          <w:cantSplit/>
        </w:trPr>
        <w:tc>
          <w:tcPr>
            <w:tcW w:w="1276" w:type="dxa"/>
          </w:tcPr>
          <w:p>
            <w:pPr>
              <w:pStyle w:val="yTableNAm"/>
            </w:pPr>
            <w:r>
              <w:t>MyPower business 3 fixed plan price</w:t>
            </w:r>
          </w:p>
        </w:tc>
        <w:tc>
          <w:tcPr>
            <w:tcW w:w="1417" w:type="dxa"/>
          </w:tcPr>
          <w:p>
            <w:pPr>
              <w:pStyle w:val="yTableNAm"/>
            </w:pPr>
            <w:r>
              <w:t>$2.471406 per day</w:t>
            </w:r>
          </w:p>
        </w:tc>
        <w:tc>
          <w:tcPr>
            <w:tcW w:w="1560" w:type="dxa"/>
          </w:tcPr>
          <w:p>
            <w:pPr>
              <w:pStyle w:val="yTableNAm"/>
            </w:pPr>
            <w:r>
              <w:t>$0.100000 per unit</w:t>
            </w:r>
          </w:p>
        </w:tc>
        <w:tc>
          <w:tcPr>
            <w:tcW w:w="1275" w:type="dxa"/>
          </w:tcPr>
          <w:p>
            <w:pPr>
              <w:pStyle w:val="yTableNAm"/>
            </w:pPr>
            <w:r>
              <w:t xml:space="preserve">3 units </w:t>
            </w:r>
            <w:r>
              <w:br/>
              <w:t>per hour</w:t>
            </w:r>
          </w:p>
        </w:tc>
      </w:tr>
      <w:tr>
        <w:trPr>
          <w:cantSplit/>
        </w:trPr>
        <w:tc>
          <w:tcPr>
            <w:tcW w:w="1276" w:type="dxa"/>
          </w:tcPr>
          <w:p>
            <w:pPr>
              <w:pStyle w:val="yTableNAm"/>
            </w:pPr>
            <w:r>
              <w:t>MyPower business 5 fixed plan price</w:t>
            </w:r>
          </w:p>
        </w:tc>
        <w:tc>
          <w:tcPr>
            <w:tcW w:w="1417" w:type="dxa"/>
          </w:tcPr>
          <w:p>
            <w:pPr>
              <w:pStyle w:val="yTableNAm"/>
            </w:pPr>
            <w:r>
              <w:t>$5.880557 per day</w:t>
            </w:r>
          </w:p>
        </w:tc>
        <w:tc>
          <w:tcPr>
            <w:tcW w:w="1560" w:type="dxa"/>
          </w:tcPr>
          <w:p>
            <w:pPr>
              <w:pStyle w:val="yTableNAm"/>
            </w:pPr>
            <w:r>
              <w:t>$0.100000 per unit</w:t>
            </w:r>
          </w:p>
        </w:tc>
        <w:tc>
          <w:tcPr>
            <w:tcW w:w="1275" w:type="dxa"/>
          </w:tcPr>
          <w:p>
            <w:pPr>
              <w:pStyle w:val="yTableNAm"/>
            </w:pPr>
            <w:r>
              <w:t xml:space="preserve">5 units </w:t>
            </w:r>
            <w:r>
              <w:br/>
              <w:t>per hour</w:t>
            </w:r>
          </w:p>
        </w:tc>
      </w:tr>
      <w:tr>
        <w:trPr>
          <w:cantSplit/>
        </w:trPr>
        <w:tc>
          <w:tcPr>
            <w:tcW w:w="1276" w:type="dxa"/>
          </w:tcPr>
          <w:p>
            <w:pPr>
              <w:pStyle w:val="yTableNAm"/>
            </w:pPr>
            <w:r>
              <w:t>MyPower business 7 fixed plan price</w:t>
            </w:r>
          </w:p>
        </w:tc>
        <w:tc>
          <w:tcPr>
            <w:tcW w:w="1417" w:type="dxa"/>
          </w:tcPr>
          <w:p>
            <w:pPr>
              <w:pStyle w:val="yTableNAm"/>
            </w:pPr>
            <w:r>
              <w:t>$10.522735 per day</w:t>
            </w:r>
          </w:p>
        </w:tc>
        <w:tc>
          <w:tcPr>
            <w:tcW w:w="1560" w:type="dxa"/>
          </w:tcPr>
          <w:p>
            <w:pPr>
              <w:pStyle w:val="yTableNAm"/>
            </w:pPr>
            <w:r>
              <w:t>$0.100000 per unit</w:t>
            </w:r>
          </w:p>
        </w:tc>
        <w:tc>
          <w:tcPr>
            <w:tcW w:w="1275" w:type="dxa"/>
          </w:tcPr>
          <w:p>
            <w:pPr>
              <w:pStyle w:val="yTableNAm"/>
            </w:pPr>
            <w:r>
              <w:t xml:space="preserve">7 units </w:t>
            </w:r>
            <w:r>
              <w:br/>
              <w:t>per hour</w:t>
            </w:r>
          </w:p>
        </w:tc>
      </w:tr>
      <w:tr>
        <w:trPr>
          <w:cantSplit/>
        </w:trPr>
        <w:tc>
          <w:tcPr>
            <w:tcW w:w="1276" w:type="dxa"/>
          </w:tcPr>
          <w:p>
            <w:pPr>
              <w:pStyle w:val="yTableNAm"/>
            </w:pPr>
            <w:r>
              <w:t>MyPower business 10 fixed plan price</w:t>
            </w:r>
          </w:p>
        </w:tc>
        <w:tc>
          <w:tcPr>
            <w:tcW w:w="1417" w:type="dxa"/>
          </w:tcPr>
          <w:p>
            <w:pPr>
              <w:pStyle w:val="yTableNAm"/>
            </w:pPr>
            <w:r>
              <w:t>$15.678374 per day</w:t>
            </w:r>
          </w:p>
        </w:tc>
        <w:tc>
          <w:tcPr>
            <w:tcW w:w="1560" w:type="dxa"/>
          </w:tcPr>
          <w:p>
            <w:pPr>
              <w:pStyle w:val="yTableNAm"/>
            </w:pPr>
            <w:r>
              <w:t>$0.100000 per unit</w:t>
            </w:r>
          </w:p>
        </w:tc>
        <w:tc>
          <w:tcPr>
            <w:tcW w:w="1275" w:type="dxa"/>
          </w:tcPr>
          <w:p>
            <w:pPr>
              <w:pStyle w:val="yTableNAm"/>
            </w:pPr>
            <w:r>
              <w:t>10 units per hour</w:t>
            </w:r>
          </w:p>
        </w:tc>
      </w:tr>
      <w:tr>
        <w:trPr>
          <w:cantSplit/>
        </w:trPr>
        <w:tc>
          <w:tcPr>
            <w:tcW w:w="1276" w:type="dxa"/>
          </w:tcPr>
          <w:p>
            <w:pPr>
              <w:pStyle w:val="yTableNAm"/>
            </w:pPr>
            <w:r>
              <w:t>MyPower business 15 fixed plan price</w:t>
            </w:r>
          </w:p>
        </w:tc>
        <w:tc>
          <w:tcPr>
            <w:tcW w:w="1417" w:type="dxa"/>
          </w:tcPr>
          <w:p>
            <w:pPr>
              <w:pStyle w:val="yTableNAm"/>
            </w:pPr>
            <w:r>
              <w:t>$24.069593 per day</w:t>
            </w:r>
          </w:p>
        </w:tc>
        <w:tc>
          <w:tcPr>
            <w:tcW w:w="1560" w:type="dxa"/>
          </w:tcPr>
          <w:p>
            <w:pPr>
              <w:pStyle w:val="yTableNAm"/>
            </w:pPr>
            <w:r>
              <w:t>$0.100000 per unit</w:t>
            </w:r>
          </w:p>
        </w:tc>
        <w:tc>
          <w:tcPr>
            <w:tcW w:w="1275" w:type="dxa"/>
          </w:tcPr>
          <w:p>
            <w:pPr>
              <w:pStyle w:val="yTableNAm"/>
            </w:pPr>
            <w:r>
              <w:t>15 units per hour</w:t>
            </w:r>
          </w:p>
        </w:tc>
      </w:tr>
      <w:tr>
        <w:trPr>
          <w:cantSplit/>
        </w:trPr>
        <w:tc>
          <w:tcPr>
            <w:tcW w:w="1276" w:type="dxa"/>
          </w:tcPr>
          <w:p>
            <w:pPr>
              <w:pStyle w:val="yTableNAm"/>
            </w:pPr>
            <w:r>
              <w:t>MyPower business 20 fixed plan price</w:t>
            </w:r>
          </w:p>
        </w:tc>
        <w:tc>
          <w:tcPr>
            <w:tcW w:w="1417" w:type="dxa"/>
          </w:tcPr>
          <w:p>
            <w:pPr>
              <w:pStyle w:val="yTableNAm"/>
            </w:pPr>
            <w:r>
              <w:t>$42.912920 per day</w:t>
            </w:r>
          </w:p>
        </w:tc>
        <w:tc>
          <w:tcPr>
            <w:tcW w:w="1560" w:type="dxa"/>
          </w:tcPr>
          <w:p>
            <w:pPr>
              <w:pStyle w:val="yTableNAm"/>
            </w:pPr>
            <w:r>
              <w:t>$0.100000 per unit</w:t>
            </w:r>
          </w:p>
        </w:tc>
        <w:tc>
          <w:tcPr>
            <w:tcW w:w="1275" w:type="dxa"/>
          </w:tcPr>
          <w:p>
            <w:pPr>
              <w:pStyle w:val="yTableNAm"/>
            </w:pPr>
            <w:r>
              <w:t>20 units per hour</w:t>
            </w:r>
          </w:p>
        </w:tc>
      </w:tr>
      <w:tr>
        <w:trPr>
          <w:cantSplit/>
        </w:trPr>
        <w:tc>
          <w:tcPr>
            <w:tcW w:w="1276" w:type="dxa"/>
          </w:tcPr>
          <w:p>
            <w:pPr>
              <w:pStyle w:val="yTableNAm"/>
            </w:pPr>
            <w:r>
              <w:t>MyPower business 30 fixed plan price</w:t>
            </w:r>
          </w:p>
        </w:tc>
        <w:tc>
          <w:tcPr>
            <w:tcW w:w="1417" w:type="dxa"/>
          </w:tcPr>
          <w:p>
            <w:pPr>
              <w:pStyle w:val="yTableNAm"/>
            </w:pPr>
            <w:r>
              <w:t>$60.549730 per day</w:t>
            </w:r>
          </w:p>
        </w:tc>
        <w:tc>
          <w:tcPr>
            <w:tcW w:w="1560" w:type="dxa"/>
          </w:tcPr>
          <w:p>
            <w:pPr>
              <w:pStyle w:val="yTableNAm"/>
            </w:pPr>
            <w:r>
              <w:t>$0.100000 per unit</w:t>
            </w:r>
          </w:p>
        </w:tc>
        <w:tc>
          <w:tcPr>
            <w:tcW w:w="1275" w:type="dxa"/>
          </w:tcPr>
          <w:p>
            <w:pPr>
              <w:pStyle w:val="yTableNAm"/>
            </w:pPr>
            <w:r>
              <w:t>30 units per hour</w:t>
            </w:r>
          </w:p>
        </w:tc>
      </w:tr>
      <w:tr>
        <w:trPr>
          <w:cantSplit/>
        </w:trPr>
        <w:tc>
          <w:tcPr>
            <w:tcW w:w="1276" w:type="dxa"/>
          </w:tcPr>
          <w:p>
            <w:pPr>
              <w:pStyle w:val="yTableNAm"/>
            </w:pPr>
            <w:r>
              <w:t>MyPower business 40 fixed plan price</w:t>
            </w:r>
          </w:p>
        </w:tc>
        <w:tc>
          <w:tcPr>
            <w:tcW w:w="1417" w:type="dxa"/>
          </w:tcPr>
          <w:p>
            <w:pPr>
              <w:pStyle w:val="yTableNAm"/>
            </w:pPr>
            <w:r>
              <w:t>$88.342663 per day</w:t>
            </w:r>
          </w:p>
        </w:tc>
        <w:tc>
          <w:tcPr>
            <w:tcW w:w="1560" w:type="dxa"/>
          </w:tcPr>
          <w:p>
            <w:pPr>
              <w:pStyle w:val="yTableNAm"/>
            </w:pPr>
            <w:r>
              <w:t>$0.100000 per unit</w:t>
            </w:r>
          </w:p>
        </w:tc>
        <w:tc>
          <w:tcPr>
            <w:tcW w:w="1275" w:type="dxa"/>
          </w:tcPr>
          <w:p>
            <w:pPr>
              <w:pStyle w:val="yTableNAm"/>
            </w:pPr>
            <w:r>
              <w:t>40 units per hour</w:t>
            </w:r>
          </w:p>
        </w:tc>
      </w:tr>
      <w:tr>
        <w:trPr>
          <w:cantSplit/>
        </w:trPr>
        <w:tc>
          <w:tcPr>
            <w:tcW w:w="1276" w:type="dxa"/>
          </w:tcPr>
          <w:p>
            <w:pPr>
              <w:pStyle w:val="yTableNAm"/>
            </w:pPr>
            <w:r>
              <w:t>MyPower business 50 fixed plan price</w:t>
            </w:r>
          </w:p>
        </w:tc>
        <w:tc>
          <w:tcPr>
            <w:tcW w:w="1417" w:type="dxa"/>
          </w:tcPr>
          <w:p>
            <w:pPr>
              <w:pStyle w:val="yTableNAm"/>
            </w:pPr>
            <w:r>
              <w:t>$121.159230 per day</w:t>
            </w:r>
          </w:p>
        </w:tc>
        <w:tc>
          <w:tcPr>
            <w:tcW w:w="1560" w:type="dxa"/>
          </w:tcPr>
          <w:p>
            <w:pPr>
              <w:pStyle w:val="yTableNAm"/>
            </w:pPr>
            <w:r>
              <w:t>$0.100000 per unit</w:t>
            </w:r>
          </w:p>
        </w:tc>
        <w:tc>
          <w:tcPr>
            <w:tcW w:w="1275" w:type="dxa"/>
          </w:tcPr>
          <w:p>
            <w:pPr>
              <w:pStyle w:val="yTableNAm"/>
            </w:pPr>
            <w:r>
              <w:t>50 units per hour</w:t>
            </w:r>
          </w:p>
        </w:tc>
      </w:tr>
    </w:tbl>
    <w:p>
      <w:pPr>
        <w:pStyle w:val="yFootnotesection"/>
        <w:keepLines w:val="0"/>
      </w:pPr>
      <w:r>
        <w:tab/>
        <w:t>[Clause 9 inserted: Gazette 26 Jun 2018 p. 2366</w:t>
      </w:r>
      <w:r>
        <w:noBreakHyphen/>
        <w:t>8.]</w:t>
      </w:r>
    </w:p>
    <w:bookmarkEnd w:id="29"/>
    <w:bookmarkEnd w:id="30"/>
    <w:bookmarkEnd w:id="31"/>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06" w:name="_Toc484509506"/>
      <w:bookmarkStart w:id="107" w:name="_Toc484509523"/>
      <w:bookmarkStart w:id="108" w:name="_Toc484509842"/>
      <w:bookmarkStart w:id="109" w:name="_Toc484510613"/>
      <w:bookmarkStart w:id="110" w:name="_Toc484512005"/>
      <w:bookmarkStart w:id="111" w:name="_Toc484512047"/>
      <w:bookmarkStart w:id="112" w:name="_Toc484512266"/>
      <w:bookmarkStart w:id="113" w:name="_Toc484512843"/>
      <w:bookmarkStart w:id="114" w:name="_Toc484513770"/>
      <w:bookmarkStart w:id="115" w:name="_Toc514925387"/>
      <w:bookmarkStart w:id="116" w:name="_Toc514925436"/>
      <w:bookmarkStart w:id="117" w:name="_Toc514926068"/>
      <w:bookmarkStart w:id="118" w:name="_Toc514927944"/>
      <w:bookmarkStart w:id="119" w:name="_Toc514930168"/>
      <w:bookmarkStart w:id="120" w:name="_Toc514931750"/>
      <w:bookmarkStart w:id="121" w:name="_Toc514934407"/>
      <w:bookmarkStart w:id="122" w:name="_Toc515024471"/>
      <w:bookmarkStart w:id="123" w:name="_Toc515024610"/>
      <w:bookmarkStart w:id="124" w:name="_Toc515026547"/>
      <w:bookmarkStart w:id="125" w:name="_Toc515027477"/>
      <w:bookmarkStart w:id="126" w:name="_Toc515027897"/>
      <w:bookmarkStart w:id="127" w:name="_Toc515267668"/>
      <w:bookmarkStart w:id="128" w:name="_Toc517878113"/>
      <w:bookmarkStart w:id="129" w:name="_Toc517878147"/>
      <w:bookmarkStart w:id="130" w:name="_Toc501633159"/>
      <w:bookmarkStart w:id="131" w:name="_Toc501633212"/>
      <w:bookmarkStart w:id="132" w:name="_Toc502736812"/>
      <w:r>
        <w:rPr>
          <w:rStyle w:val="CharSchNo"/>
        </w:rPr>
        <w:t>Schedule 2</w:t>
      </w:r>
      <w:r>
        <w:t> — </w:t>
      </w:r>
      <w:r>
        <w:rPr>
          <w:rStyle w:val="CharSchText"/>
        </w:rPr>
        <w:t>Unmetered supply</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yShoulderClause"/>
      </w:pPr>
      <w:r>
        <w:t>[bl. 4(2) and (3)]</w:t>
      </w:r>
    </w:p>
    <w:p>
      <w:pPr>
        <w:pStyle w:val="yFootnoteheading"/>
      </w:pPr>
      <w:bookmarkStart w:id="133" w:name="_Toc484509507"/>
      <w:bookmarkStart w:id="134" w:name="_Toc484509524"/>
      <w:bookmarkStart w:id="135" w:name="_Toc484509843"/>
      <w:bookmarkStart w:id="136" w:name="_Toc484510614"/>
      <w:bookmarkStart w:id="137" w:name="_Toc484512006"/>
      <w:bookmarkStart w:id="138" w:name="_Toc484512048"/>
      <w:bookmarkStart w:id="139" w:name="_Toc484512267"/>
      <w:bookmarkStart w:id="140" w:name="_Toc484512844"/>
      <w:bookmarkStart w:id="141" w:name="_Toc484513771"/>
      <w:bookmarkStart w:id="142" w:name="_Toc514925388"/>
      <w:bookmarkStart w:id="143" w:name="_Toc514925437"/>
      <w:bookmarkStart w:id="144" w:name="_Toc514926069"/>
      <w:bookmarkStart w:id="145" w:name="_Toc514927945"/>
      <w:bookmarkStart w:id="146" w:name="_Toc514930169"/>
      <w:bookmarkStart w:id="147" w:name="_Toc514931751"/>
      <w:bookmarkStart w:id="148" w:name="_Toc514934408"/>
      <w:bookmarkStart w:id="149" w:name="_Toc515024472"/>
      <w:bookmarkStart w:id="150" w:name="_Toc515024611"/>
      <w:bookmarkStart w:id="151" w:name="_Toc515026548"/>
      <w:bookmarkStart w:id="152" w:name="_Toc515027478"/>
      <w:bookmarkStart w:id="153" w:name="_Toc515027898"/>
      <w:bookmarkStart w:id="154" w:name="_Toc515267669"/>
      <w:r>
        <w:tab/>
        <w:t>[Heading inserted: Gazette 26 Jun 2018 p. 2368.]</w:t>
      </w:r>
    </w:p>
    <w:p>
      <w:pPr>
        <w:pStyle w:val="yHeading3"/>
      </w:pPr>
      <w:bookmarkStart w:id="155" w:name="_Toc517878114"/>
      <w:bookmarkStart w:id="156" w:name="_Toc517878148"/>
      <w:r>
        <w:rPr>
          <w:rStyle w:val="CharSDivNo"/>
        </w:rPr>
        <w:t>Division 1</w:t>
      </w:r>
      <w:r>
        <w:t> — </w:t>
      </w:r>
      <w:r>
        <w:rPr>
          <w:rStyle w:val="CharSDivText"/>
        </w:rPr>
        <w:t>Street lighting</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yFootnoteheading"/>
        <w:spacing w:after="120"/>
      </w:pPr>
      <w:r>
        <w:tab/>
        <w:t>[Heading inserted: Gazette 26 Jun 2018 p. 2368.]</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32.7338</w:t>
            </w:r>
          </w:p>
        </w:tc>
        <w:tc>
          <w:tcPr>
            <w:tcW w:w="1512" w:type="dxa"/>
          </w:tcPr>
          <w:p>
            <w:pPr>
              <w:pStyle w:val="yTableNAm"/>
            </w:pPr>
            <w:r>
              <w:rPr>
                <w:sz w:val="16"/>
                <w:szCs w:val="16"/>
              </w:rPr>
              <w:t>33.4901</w:t>
            </w:r>
          </w:p>
        </w:tc>
        <w:tc>
          <w:tcPr>
            <w:tcW w:w="1370" w:type="dxa"/>
          </w:tcPr>
          <w:p>
            <w:pPr>
              <w:pStyle w:val="yTableNAm"/>
            </w:pPr>
            <w:r>
              <w:rPr>
                <w:sz w:val="16"/>
                <w:szCs w:val="16"/>
              </w:rPr>
              <w:t>36.2736</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39.8997</w:t>
            </w:r>
          </w:p>
        </w:tc>
        <w:tc>
          <w:tcPr>
            <w:tcW w:w="1512" w:type="dxa"/>
          </w:tcPr>
          <w:p>
            <w:pPr>
              <w:pStyle w:val="yTableNAm"/>
            </w:pPr>
            <w:r>
              <w:rPr>
                <w:sz w:val="16"/>
                <w:szCs w:val="16"/>
              </w:rPr>
              <w:t>40.9299</w:t>
            </w:r>
          </w:p>
        </w:tc>
        <w:tc>
          <w:tcPr>
            <w:tcW w:w="1370" w:type="dxa"/>
          </w:tcPr>
          <w:p>
            <w:pPr>
              <w:pStyle w:val="yTableNAm"/>
            </w:pPr>
            <w:r>
              <w:rPr>
                <w:sz w:val="16"/>
                <w:szCs w:val="16"/>
              </w:rPr>
              <w:t>45.3137</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49.1011</w:t>
            </w:r>
          </w:p>
        </w:tc>
        <w:tc>
          <w:tcPr>
            <w:tcW w:w="1512" w:type="dxa"/>
          </w:tcPr>
          <w:p>
            <w:pPr>
              <w:pStyle w:val="yTableNAm"/>
            </w:pPr>
            <w:r>
              <w:rPr>
                <w:sz w:val="16"/>
                <w:szCs w:val="16"/>
              </w:rPr>
              <w:t>50.8492</w:t>
            </w:r>
          </w:p>
        </w:tc>
        <w:tc>
          <w:tcPr>
            <w:tcW w:w="1370" w:type="dxa"/>
          </w:tcPr>
          <w:p>
            <w:pPr>
              <w:pStyle w:val="yTableNAm"/>
            </w:pPr>
            <w:r>
              <w:rPr>
                <w:sz w:val="16"/>
                <w:szCs w:val="16"/>
              </w:rPr>
              <w:t>57.2876</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50.3634</w:t>
            </w:r>
          </w:p>
        </w:tc>
        <w:tc>
          <w:tcPr>
            <w:tcW w:w="1512" w:type="dxa"/>
          </w:tcPr>
          <w:p>
            <w:pPr>
              <w:pStyle w:val="yTableNAm"/>
            </w:pPr>
            <w:r>
              <w:rPr>
                <w:sz w:val="16"/>
                <w:szCs w:val="16"/>
              </w:rPr>
              <w:t>52.0077</w:t>
            </w:r>
          </w:p>
        </w:tc>
        <w:tc>
          <w:tcPr>
            <w:tcW w:w="1370" w:type="dxa"/>
          </w:tcPr>
          <w:p>
            <w:pPr>
              <w:pStyle w:val="yTableNAm"/>
            </w:pPr>
            <w:r>
              <w:rPr>
                <w:sz w:val="16"/>
                <w:szCs w:val="16"/>
              </w:rPr>
              <w:t>58.6175</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63.1971</w:t>
            </w:r>
          </w:p>
        </w:tc>
        <w:tc>
          <w:tcPr>
            <w:tcW w:w="1512" w:type="dxa"/>
          </w:tcPr>
          <w:p>
            <w:pPr>
              <w:pStyle w:val="yTableNAm"/>
            </w:pPr>
            <w:r>
              <w:rPr>
                <w:sz w:val="16"/>
                <w:szCs w:val="16"/>
              </w:rPr>
              <w:t>66.6382</w:t>
            </w:r>
          </w:p>
        </w:tc>
        <w:tc>
          <w:tcPr>
            <w:tcW w:w="1370" w:type="dxa"/>
          </w:tcPr>
          <w:p>
            <w:pPr>
              <w:pStyle w:val="yTableNAm"/>
            </w:pPr>
            <w:r>
              <w:rPr>
                <w:sz w:val="16"/>
                <w:szCs w:val="16"/>
              </w:rPr>
              <w:t>79.5699</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77.4388</w:t>
            </w:r>
          </w:p>
        </w:tc>
        <w:tc>
          <w:tcPr>
            <w:tcW w:w="1512" w:type="dxa"/>
          </w:tcPr>
          <w:p>
            <w:pPr>
              <w:pStyle w:val="yTableNAm"/>
            </w:pPr>
            <w:r>
              <w:rPr>
                <w:sz w:val="16"/>
                <w:szCs w:val="16"/>
              </w:rPr>
              <w:t>80.5998</w:t>
            </w:r>
          </w:p>
        </w:tc>
        <w:tc>
          <w:tcPr>
            <w:tcW w:w="1370" w:type="dxa"/>
          </w:tcPr>
          <w:p>
            <w:pPr>
              <w:pStyle w:val="yTableNAm"/>
            </w:pPr>
            <w:r>
              <w:rPr>
                <w:sz w:val="16"/>
                <w:szCs w:val="16"/>
              </w:rPr>
              <w:t>112.7212</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48.8872</w:t>
            </w:r>
          </w:p>
        </w:tc>
        <w:tc>
          <w:tcPr>
            <w:tcW w:w="1512" w:type="dxa"/>
          </w:tcPr>
          <w:p>
            <w:pPr>
              <w:pStyle w:val="yTableNAm"/>
            </w:pPr>
            <w:r>
              <w:rPr>
                <w:sz w:val="16"/>
                <w:szCs w:val="16"/>
              </w:rPr>
              <w:t>50.8489</w:t>
            </w:r>
          </w:p>
        </w:tc>
        <w:tc>
          <w:tcPr>
            <w:tcW w:w="1370" w:type="dxa"/>
          </w:tcPr>
          <w:p>
            <w:pPr>
              <w:pStyle w:val="yTableNAm"/>
            </w:pPr>
            <w:r>
              <w:rPr>
                <w:sz w:val="16"/>
                <w:szCs w:val="16"/>
              </w:rPr>
              <w:t>60.3506</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66.2096</w:t>
            </w:r>
          </w:p>
        </w:tc>
        <w:tc>
          <w:tcPr>
            <w:tcW w:w="1512" w:type="dxa"/>
          </w:tcPr>
          <w:p>
            <w:pPr>
              <w:pStyle w:val="yTableNAm"/>
            </w:pPr>
            <w:r>
              <w:rPr>
                <w:sz w:val="16"/>
                <w:szCs w:val="16"/>
              </w:rPr>
              <w:t>70.0344</w:t>
            </w:r>
          </w:p>
        </w:tc>
        <w:tc>
          <w:tcPr>
            <w:tcW w:w="1370" w:type="dxa"/>
          </w:tcPr>
          <w:p>
            <w:pPr>
              <w:pStyle w:val="yTableNAm"/>
            </w:pPr>
            <w:r>
              <w:rPr>
                <w:sz w:val="16"/>
                <w:szCs w:val="16"/>
              </w:rPr>
              <w:t>84.7089</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260.3999</w:t>
            </w:r>
          </w:p>
        </w:tc>
      </w:tr>
      <w:tr>
        <w:trPr>
          <w:cantSplit/>
        </w:trPr>
        <w:tc>
          <w:tcPr>
            <w:tcW w:w="567"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gridSpan w:val="2"/>
          </w:tcPr>
          <w:p>
            <w:pPr>
              <w:pStyle w:val="yTableNAm"/>
            </w:pPr>
            <w:r>
              <w:rPr>
                <w:sz w:val="16"/>
                <w:szCs w:val="16"/>
              </w:rPr>
              <w:t>35.4528</w:t>
            </w:r>
          </w:p>
        </w:tc>
        <w:tc>
          <w:tcPr>
            <w:tcW w:w="1512" w:type="dxa"/>
          </w:tcPr>
          <w:p>
            <w:pPr>
              <w:pStyle w:val="yTableNAm"/>
            </w:pPr>
            <w:r>
              <w:rPr>
                <w:sz w:val="16"/>
                <w:szCs w:val="16"/>
              </w:rPr>
              <w:t>36.4989</w:t>
            </w:r>
          </w:p>
        </w:tc>
        <w:tc>
          <w:tcPr>
            <w:tcW w:w="1370" w:type="dxa"/>
          </w:tcPr>
          <w:p>
            <w:pPr>
              <w:pStyle w:val="yTableNAm"/>
            </w:pPr>
            <w:r>
              <w:rPr>
                <w:sz w:val="16"/>
                <w:szCs w:val="16"/>
              </w:rPr>
              <w:t>39.4877</w:t>
            </w:r>
          </w:p>
        </w:tc>
      </w:tr>
      <w:tr>
        <w:trPr>
          <w:cantSplit/>
        </w:trPr>
        <w:tc>
          <w:tcPr>
            <w:tcW w:w="567"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gridSpan w:val="2"/>
          </w:tcPr>
          <w:p>
            <w:pPr>
              <w:pStyle w:val="yTableNAm"/>
            </w:pPr>
            <w:r>
              <w:rPr>
                <w:sz w:val="16"/>
                <w:szCs w:val="16"/>
              </w:rPr>
              <w:t>47.3256</w:t>
            </w:r>
          </w:p>
        </w:tc>
        <w:tc>
          <w:tcPr>
            <w:tcW w:w="1512" w:type="dxa"/>
          </w:tcPr>
          <w:p>
            <w:pPr>
              <w:pStyle w:val="yTableNAm"/>
            </w:pPr>
            <w:r>
              <w:rPr>
                <w:sz w:val="16"/>
                <w:szCs w:val="16"/>
              </w:rPr>
              <w:t>49.5750</w:t>
            </w:r>
          </w:p>
        </w:tc>
        <w:tc>
          <w:tcPr>
            <w:tcW w:w="1370" w:type="dxa"/>
          </w:tcPr>
          <w:p>
            <w:pPr>
              <w:pStyle w:val="yTableNAm"/>
            </w:pPr>
            <w:r>
              <w:rPr>
                <w:sz w:val="16"/>
                <w:szCs w:val="16"/>
              </w:rPr>
              <w:t>60.1250</w:t>
            </w:r>
          </w:p>
        </w:tc>
      </w:tr>
      <w:tr>
        <w:trPr>
          <w:cantSplit/>
        </w:trPr>
        <w:tc>
          <w:tcPr>
            <w:tcW w:w="567"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gridSpan w:val="2"/>
          </w:tcPr>
          <w:p>
            <w:pPr>
              <w:pStyle w:val="yTableNAm"/>
            </w:pPr>
            <w:r>
              <w:rPr>
                <w:sz w:val="16"/>
                <w:szCs w:val="16"/>
              </w:rPr>
              <w:t>51.5747</w:t>
            </w:r>
          </w:p>
        </w:tc>
        <w:tc>
          <w:tcPr>
            <w:tcW w:w="1512" w:type="dxa"/>
          </w:tcPr>
          <w:p>
            <w:pPr>
              <w:pStyle w:val="yTableNAm"/>
            </w:pPr>
            <w:r>
              <w:rPr>
                <w:sz w:val="16"/>
                <w:szCs w:val="16"/>
              </w:rPr>
              <w:t>55.2353</w:t>
            </w:r>
          </w:p>
        </w:tc>
        <w:tc>
          <w:tcPr>
            <w:tcW w:w="1370" w:type="dxa"/>
          </w:tcPr>
          <w:p>
            <w:pPr>
              <w:pStyle w:val="yTableNAm"/>
            </w:pPr>
            <w:r>
              <w:rPr>
                <w:sz w:val="16"/>
                <w:szCs w:val="16"/>
              </w:rPr>
              <w:t>71.7486</w:t>
            </w:r>
          </w:p>
        </w:tc>
      </w:tr>
      <w:tr>
        <w:trPr>
          <w:cantSplit/>
        </w:trPr>
        <w:tc>
          <w:tcPr>
            <w:tcW w:w="567"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gridSpan w:val="2"/>
          </w:tcPr>
          <w:p>
            <w:pPr>
              <w:pStyle w:val="yTableNAm"/>
            </w:pPr>
            <w:r>
              <w:rPr>
                <w:sz w:val="16"/>
                <w:szCs w:val="16"/>
              </w:rPr>
              <w:t>32.6454</w:t>
            </w:r>
          </w:p>
        </w:tc>
        <w:tc>
          <w:tcPr>
            <w:tcW w:w="1512" w:type="dxa"/>
          </w:tcPr>
          <w:p>
            <w:pPr>
              <w:pStyle w:val="yTableNAm"/>
            </w:pPr>
            <w:r>
              <w:rPr>
                <w:sz w:val="16"/>
                <w:szCs w:val="16"/>
              </w:rPr>
              <w:t>33.0048</w:t>
            </w:r>
          </w:p>
        </w:tc>
        <w:tc>
          <w:tcPr>
            <w:tcW w:w="1370" w:type="dxa"/>
          </w:tcPr>
          <w:p>
            <w:pPr>
              <w:pStyle w:val="yTableNAm"/>
            </w:pPr>
            <w:r>
              <w:rPr>
                <w:sz w:val="16"/>
                <w:szCs w:val="16"/>
              </w:rPr>
              <w:t>33.3876</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75.6409</w:t>
            </w:r>
          </w:p>
        </w:tc>
        <w:tc>
          <w:tcPr>
            <w:tcW w:w="1512" w:type="dxa"/>
          </w:tcPr>
          <w:p>
            <w:pPr>
              <w:pStyle w:val="yTableNAm"/>
            </w:pPr>
            <w:r>
              <w:rPr>
                <w:sz w:val="16"/>
                <w:szCs w:val="16"/>
              </w:rPr>
              <w:t>78.7803</w:t>
            </w:r>
          </w:p>
        </w:tc>
        <w:tc>
          <w:tcPr>
            <w:tcW w:w="1370" w:type="dxa"/>
          </w:tcPr>
          <w:p>
            <w:pPr>
              <w:pStyle w:val="yTableNAm"/>
            </w:pPr>
            <w:r>
              <w:rPr>
                <w:sz w:val="16"/>
                <w:szCs w:val="16"/>
              </w:rPr>
              <w:t>91.9121</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99.8261</w:t>
            </w:r>
          </w:p>
        </w:tc>
        <w:tc>
          <w:tcPr>
            <w:tcW w:w="1512" w:type="dxa"/>
          </w:tcPr>
          <w:p>
            <w:pPr>
              <w:pStyle w:val="yTableNAm"/>
            </w:pPr>
            <w:r>
              <w:rPr>
                <w:sz w:val="16"/>
                <w:szCs w:val="16"/>
              </w:rPr>
              <w:t>104.7087</w:t>
            </w:r>
          </w:p>
        </w:tc>
        <w:tc>
          <w:tcPr>
            <w:tcW w:w="1370" w:type="dxa"/>
          </w:tcPr>
          <w:p>
            <w:pPr>
              <w:pStyle w:val="yTableNAm"/>
            </w:pPr>
            <w:r>
              <w:rPr>
                <w:sz w:val="16"/>
                <w:szCs w:val="16"/>
              </w:rPr>
              <w:t>125.3405</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69.6119</w:t>
            </w:r>
          </w:p>
        </w:tc>
        <w:tc>
          <w:tcPr>
            <w:tcW w:w="1512" w:type="dxa"/>
          </w:tcPr>
          <w:p>
            <w:pPr>
              <w:pStyle w:val="yTableNAm"/>
            </w:pPr>
            <w:r>
              <w:rPr>
                <w:sz w:val="16"/>
                <w:szCs w:val="16"/>
              </w:rPr>
              <w:t>72.7295</w:t>
            </w:r>
          </w:p>
        </w:tc>
        <w:tc>
          <w:tcPr>
            <w:tcW w:w="1370" w:type="dxa"/>
          </w:tcPr>
          <w:p>
            <w:pPr>
              <w:pStyle w:val="yTableNAm"/>
            </w:pPr>
            <w:r>
              <w:rPr>
                <w:sz w:val="16"/>
                <w:szCs w:val="16"/>
              </w:rPr>
              <w:t>85.8833</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75.6409</w:t>
            </w:r>
          </w:p>
        </w:tc>
        <w:tc>
          <w:tcPr>
            <w:tcW w:w="1512" w:type="dxa"/>
          </w:tcPr>
          <w:p>
            <w:pPr>
              <w:pStyle w:val="yTableNAm"/>
            </w:pPr>
            <w:r>
              <w:rPr>
                <w:sz w:val="16"/>
                <w:szCs w:val="16"/>
              </w:rPr>
              <w:t>78.7803</w:t>
            </w:r>
          </w:p>
        </w:tc>
        <w:tc>
          <w:tcPr>
            <w:tcW w:w="1370" w:type="dxa"/>
          </w:tcPr>
          <w:p>
            <w:pPr>
              <w:pStyle w:val="yTableNAm"/>
            </w:pPr>
            <w:r>
              <w:rPr>
                <w:sz w:val="16"/>
                <w:szCs w:val="16"/>
              </w:rPr>
              <w:t>91.9121</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93.7972</w:t>
            </w:r>
          </w:p>
        </w:tc>
        <w:tc>
          <w:tcPr>
            <w:tcW w:w="1512" w:type="dxa"/>
          </w:tcPr>
          <w:p>
            <w:pPr>
              <w:pStyle w:val="yTableNAm"/>
            </w:pPr>
            <w:r>
              <w:rPr>
                <w:sz w:val="16"/>
                <w:szCs w:val="16"/>
              </w:rPr>
              <w:t>98.6909</w:t>
            </w:r>
          </w:p>
        </w:tc>
        <w:tc>
          <w:tcPr>
            <w:tcW w:w="1370" w:type="dxa"/>
          </w:tcPr>
          <w:p>
            <w:pPr>
              <w:pStyle w:val="yTableNAm"/>
            </w:pPr>
            <w:r>
              <w:rPr>
                <w:sz w:val="16"/>
                <w:szCs w:val="16"/>
              </w:rPr>
              <w:t>119.3336</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99.8261</w:t>
            </w:r>
          </w:p>
        </w:tc>
        <w:tc>
          <w:tcPr>
            <w:tcW w:w="1512" w:type="dxa"/>
          </w:tcPr>
          <w:p>
            <w:pPr>
              <w:pStyle w:val="yTableNAm"/>
            </w:pPr>
            <w:r>
              <w:rPr>
                <w:sz w:val="16"/>
                <w:szCs w:val="16"/>
              </w:rPr>
              <w:t>104.7087</w:t>
            </w:r>
          </w:p>
        </w:tc>
        <w:tc>
          <w:tcPr>
            <w:tcW w:w="1370" w:type="dxa"/>
          </w:tcPr>
          <w:p>
            <w:pPr>
              <w:pStyle w:val="yTableNAm"/>
            </w:pPr>
            <w:r>
              <w:rPr>
                <w:sz w:val="16"/>
                <w:szCs w:val="16"/>
              </w:rPr>
              <w:t>125.3405</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65.9286</w:t>
            </w:r>
          </w:p>
        </w:tc>
        <w:tc>
          <w:tcPr>
            <w:tcW w:w="1512" w:type="dxa"/>
          </w:tcPr>
          <w:p>
            <w:pPr>
              <w:pStyle w:val="yTableNAm"/>
            </w:pPr>
            <w:r>
              <w:rPr>
                <w:sz w:val="16"/>
                <w:szCs w:val="16"/>
              </w:rPr>
              <w:t>67.6938</w:t>
            </w:r>
          </w:p>
        </w:tc>
        <w:tc>
          <w:tcPr>
            <w:tcW w:w="1370" w:type="dxa"/>
          </w:tcPr>
          <w:p>
            <w:pPr>
              <w:pStyle w:val="yTableNAm"/>
            </w:pPr>
            <w:r>
              <w:rPr>
                <w:sz w:val="16"/>
                <w:szCs w:val="16"/>
              </w:rPr>
              <w:t>77.2873</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75.6643</w:t>
            </w:r>
          </w:p>
        </w:tc>
        <w:tc>
          <w:tcPr>
            <w:tcW w:w="1512" w:type="dxa"/>
          </w:tcPr>
          <w:p>
            <w:pPr>
              <w:pStyle w:val="yTableNAm"/>
            </w:pPr>
            <w:r>
              <w:rPr>
                <w:sz w:val="16"/>
                <w:szCs w:val="16"/>
              </w:rPr>
              <w:t>79.2202</w:t>
            </w:r>
          </w:p>
        </w:tc>
        <w:tc>
          <w:tcPr>
            <w:tcW w:w="1370" w:type="dxa"/>
          </w:tcPr>
          <w:p>
            <w:pPr>
              <w:pStyle w:val="yTableNAm"/>
            </w:pPr>
            <w:r>
              <w:rPr>
                <w:sz w:val="16"/>
                <w:szCs w:val="16"/>
              </w:rPr>
              <w:t>94.0621</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84.6637</w:t>
            </w:r>
          </w:p>
        </w:tc>
        <w:tc>
          <w:tcPr>
            <w:tcW w:w="1512" w:type="dxa"/>
          </w:tcPr>
          <w:p>
            <w:pPr>
              <w:pStyle w:val="yTableNAm"/>
            </w:pPr>
            <w:r>
              <w:rPr>
                <w:sz w:val="16"/>
                <w:szCs w:val="16"/>
              </w:rPr>
              <w:t>88.2525</w:t>
            </w:r>
          </w:p>
        </w:tc>
        <w:tc>
          <w:tcPr>
            <w:tcW w:w="1370" w:type="dxa"/>
          </w:tcPr>
          <w:p>
            <w:pPr>
              <w:pStyle w:val="yTableNAm"/>
            </w:pPr>
            <w:r>
              <w:rPr>
                <w:sz w:val="16"/>
                <w:szCs w:val="16"/>
              </w:rPr>
              <w:t>103.1054</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 xml:space="preserve">33.7893 </w:t>
            </w:r>
          </w:p>
        </w:tc>
        <w:tc>
          <w:tcPr>
            <w:tcW w:w="1512" w:type="dxa"/>
          </w:tcPr>
          <w:p>
            <w:pPr>
              <w:pStyle w:val="yTableNAm"/>
            </w:pPr>
            <w:r>
              <w:rPr>
                <w:sz w:val="16"/>
                <w:szCs w:val="16"/>
              </w:rPr>
              <w:t>34.5128</w:t>
            </w:r>
          </w:p>
        </w:tc>
        <w:tc>
          <w:tcPr>
            <w:tcW w:w="1370" w:type="dxa"/>
          </w:tcPr>
          <w:p>
            <w:pPr>
              <w:pStyle w:val="yTableNAm"/>
            </w:pPr>
            <w:r>
              <w:rPr>
                <w:sz w:val="16"/>
                <w:szCs w:val="16"/>
              </w:rPr>
              <w:t>37.1270</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33.8972</w:t>
            </w:r>
          </w:p>
        </w:tc>
        <w:tc>
          <w:tcPr>
            <w:tcW w:w="1512" w:type="dxa"/>
          </w:tcPr>
          <w:p>
            <w:pPr>
              <w:pStyle w:val="yTableNAm"/>
            </w:pPr>
            <w:r>
              <w:rPr>
                <w:sz w:val="16"/>
                <w:szCs w:val="16"/>
              </w:rPr>
              <w:t>34.9331</w:t>
            </w:r>
          </w:p>
        </w:tc>
        <w:tc>
          <w:tcPr>
            <w:tcW w:w="1370" w:type="dxa"/>
          </w:tcPr>
          <w:p>
            <w:pPr>
              <w:pStyle w:val="yTableNAm"/>
            </w:pPr>
            <w:r>
              <w:rPr>
                <w:sz w:val="16"/>
                <w:szCs w:val="16"/>
              </w:rPr>
              <w:t>38.8330</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39.7908</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49.2123</w:t>
            </w:r>
          </w:p>
        </w:tc>
        <w:tc>
          <w:tcPr>
            <w:tcW w:w="1512" w:type="dxa"/>
          </w:tcPr>
          <w:p>
            <w:pPr>
              <w:pStyle w:val="yTableNAm"/>
            </w:pPr>
            <w:r>
              <w:rPr>
                <w:sz w:val="16"/>
                <w:szCs w:val="16"/>
              </w:rPr>
              <w:t>50.8072</w:t>
            </w:r>
          </w:p>
        </w:tc>
        <w:tc>
          <w:tcPr>
            <w:tcW w:w="1370" w:type="dxa"/>
          </w:tcPr>
          <w:p>
            <w:pPr>
              <w:pStyle w:val="yTableNAm"/>
            </w:pPr>
            <w:r>
              <w:rPr>
                <w:sz w:val="16"/>
                <w:szCs w:val="16"/>
              </w:rPr>
              <w:t>56.5620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79.1375</w:t>
            </w:r>
          </w:p>
        </w:tc>
        <w:tc>
          <w:tcPr>
            <w:tcW w:w="1512" w:type="dxa"/>
          </w:tcPr>
          <w:p>
            <w:pPr>
              <w:pStyle w:val="yTableNAm"/>
            </w:pPr>
            <w:r>
              <w:rPr>
                <w:sz w:val="16"/>
                <w:szCs w:val="16"/>
              </w:rPr>
              <w:t>82.2287</w:t>
            </w:r>
          </w:p>
        </w:tc>
        <w:tc>
          <w:tcPr>
            <w:tcW w:w="1370" w:type="dxa"/>
          </w:tcPr>
          <w:p>
            <w:pPr>
              <w:pStyle w:val="yTableNAm"/>
            </w:pPr>
            <w:r>
              <w:rPr>
                <w:sz w:val="16"/>
                <w:szCs w:val="16"/>
              </w:rPr>
              <w:t>93.8371</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32.5011</w:t>
            </w:r>
          </w:p>
        </w:tc>
        <w:tc>
          <w:tcPr>
            <w:tcW w:w="1512" w:type="dxa"/>
          </w:tcPr>
          <w:p>
            <w:pPr>
              <w:pStyle w:val="yTableNAm"/>
            </w:pPr>
            <w:r>
              <w:rPr>
                <w:sz w:val="16"/>
                <w:szCs w:val="16"/>
              </w:rPr>
              <w:t>33.2026</w:t>
            </w:r>
          </w:p>
        </w:tc>
        <w:tc>
          <w:tcPr>
            <w:tcW w:w="1370" w:type="dxa"/>
          </w:tcPr>
          <w:p>
            <w:pPr>
              <w:pStyle w:val="yTableNAm"/>
            </w:pPr>
            <w:r>
              <w:rPr>
                <w:sz w:val="16"/>
                <w:szCs w:val="16"/>
              </w:rPr>
              <w:t>35.7780</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39.7906</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55.6580</w:t>
            </w:r>
          </w:p>
        </w:tc>
        <w:tc>
          <w:tcPr>
            <w:tcW w:w="1512" w:type="dxa"/>
            <w:tcBorders>
              <w:bottom w:val="single" w:sz="4" w:space="0" w:color="auto"/>
            </w:tcBorders>
          </w:tcPr>
          <w:p>
            <w:pPr>
              <w:pStyle w:val="yTableNAm"/>
            </w:pPr>
            <w:r>
              <w:rPr>
                <w:sz w:val="16"/>
                <w:szCs w:val="16"/>
              </w:rPr>
              <w:t>56.4305</w:t>
            </w:r>
          </w:p>
        </w:tc>
        <w:tc>
          <w:tcPr>
            <w:tcW w:w="1370" w:type="dxa"/>
            <w:tcBorders>
              <w:bottom w:val="single" w:sz="4" w:space="0" w:color="auto"/>
            </w:tcBorders>
          </w:tcPr>
          <w:p>
            <w:pPr>
              <w:pStyle w:val="yTableNAm"/>
            </w:pPr>
            <w:r>
              <w:rPr>
                <w:sz w:val="16"/>
                <w:szCs w:val="16"/>
              </w:rPr>
              <w:t>65.4738</w:t>
            </w:r>
          </w:p>
        </w:tc>
      </w:tr>
    </w:tbl>
    <w:p>
      <w:pPr>
        <w:pStyle w:val="yFootnotesection"/>
      </w:pPr>
      <w:bookmarkStart w:id="157" w:name="_Toc484509508"/>
      <w:bookmarkStart w:id="158" w:name="_Toc484509525"/>
      <w:bookmarkStart w:id="159" w:name="_Toc484509844"/>
      <w:bookmarkStart w:id="160" w:name="_Toc484510615"/>
      <w:bookmarkStart w:id="161" w:name="_Toc484512007"/>
      <w:bookmarkStart w:id="162" w:name="_Toc484512049"/>
      <w:bookmarkStart w:id="163" w:name="_Toc484512268"/>
      <w:bookmarkStart w:id="164" w:name="_Toc484512845"/>
      <w:bookmarkStart w:id="165" w:name="_Toc484513772"/>
      <w:bookmarkStart w:id="166" w:name="_Toc514925389"/>
      <w:bookmarkStart w:id="167" w:name="_Toc514925438"/>
      <w:bookmarkStart w:id="168" w:name="_Toc514926070"/>
      <w:bookmarkStart w:id="169" w:name="_Toc514927946"/>
      <w:bookmarkStart w:id="170" w:name="_Toc514930170"/>
      <w:bookmarkStart w:id="171" w:name="_Toc514931752"/>
      <w:bookmarkStart w:id="172" w:name="_Toc514934409"/>
      <w:bookmarkStart w:id="173" w:name="_Toc515024473"/>
      <w:bookmarkStart w:id="174" w:name="_Toc515024612"/>
      <w:bookmarkStart w:id="175" w:name="_Toc515026549"/>
      <w:bookmarkStart w:id="176" w:name="_Toc515027479"/>
      <w:bookmarkStart w:id="177" w:name="_Toc515027899"/>
      <w:bookmarkStart w:id="178" w:name="_Toc515267670"/>
      <w:r>
        <w:tab/>
        <w:t>[Division 1 inserted: Gazette 26 Jun 2018 p. 2368</w:t>
      </w:r>
      <w:r>
        <w:noBreakHyphen/>
        <w:t>9.]</w:t>
      </w:r>
    </w:p>
    <w:p>
      <w:pPr>
        <w:pStyle w:val="yHeading3"/>
      </w:pPr>
      <w:bookmarkStart w:id="179" w:name="_Toc517878115"/>
      <w:bookmarkStart w:id="180" w:name="_Toc517878149"/>
      <w:r>
        <w:rPr>
          <w:rStyle w:val="CharSDivNo"/>
        </w:rPr>
        <w:t>Division 2</w:t>
      </w:r>
      <w:r>
        <w:t> — </w:t>
      </w:r>
      <w:r>
        <w:rPr>
          <w:rStyle w:val="CharSDivText"/>
        </w:rPr>
        <w:t>Miscellaneous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yFootnoteheading"/>
        <w:keepNext/>
        <w:spacing w:after="120"/>
      </w:pPr>
      <w:bookmarkStart w:id="181" w:name="_Toc484512008"/>
      <w:bookmarkStart w:id="182" w:name="_Toc484513773"/>
      <w:bookmarkStart w:id="183" w:name="_Toc515027900"/>
      <w:bookmarkStart w:id="184" w:name="_Toc515267671"/>
      <w:r>
        <w:tab/>
        <w:t>[Heading inserted: Gazette 26 Jun 2018 p. 2369.]</w:t>
      </w:r>
    </w:p>
    <w:p>
      <w:pPr>
        <w:pStyle w:val="yHeading5"/>
      </w:pPr>
      <w:bookmarkStart w:id="185" w:name="_Toc517878150"/>
      <w:r>
        <w:rPr>
          <w:rStyle w:val="CharSClsNo"/>
        </w:rPr>
        <w:t>1</w:t>
      </w:r>
      <w:r>
        <w:t>.</w:t>
      </w:r>
      <w:r>
        <w:tab/>
        <w:t>Traffic light installation</w:t>
      </w:r>
      <w:bookmarkEnd w:id="181"/>
      <w:bookmarkEnd w:id="182"/>
      <w:bookmarkEnd w:id="183"/>
      <w:bookmarkEnd w:id="184"/>
      <w:bookmarkEnd w:id="185"/>
    </w:p>
    <w:p>
      <w:pPr>
        <w:pStyle w:val="ySubsection"/>
      </w:pPr>
      <w:r>
        <w:tab/>
      </w:r>
      <w:r>
        <w:tab/>
        <w:t xml:space="preserve">Supply of electricity to traffic light installations comprises a charge of </w:t>
      </w:r>
      <w:r>
        <w:rPr>
          <w:szCs w:val="22"/>
        </w:rPr>
        <w:t xml:space="preserve">$7.2270 </w:t>
      </w:r>
      <w:r>
        <w:t>per day per kW of installed wattage.</w:t>
      </w:r>
    </w:p>
    <w:p>
      <w:pPr>
        <w:pStyle w:val="yEdnotesection"/>
      </w:pPr>
      <w:bookmarkStart w:id="186" w:name="_Toc484512009"/>
      <w:bookmarkStart w:id="187" w:name="_Toc484513774"/>
      <w:bookmarkStart w:id="188" w:name="_Toc515027901"/>
      <w:bookmarkStart w:id="189" w:name="_Toc515267672"/>
      <w:r>
        <w:tab/>
        <w:t>[Clause 1 inserted: Gazette 26 Jun 2018 p. 2369.]</w:t>
      </w:r>
    </w:p>
    <w:p>
      <w:pPr>
        <w:pStyle w:val="yHeading5"/>
      </w:pPr>
      <w:bookmarkStart w:id="190" w:name="_Toc517878151"/>
      <w:r>
        <w:rPr>
          <w:rStyle w:val="CharSClsNo"/>
        </w:rPr>
        <w:t>2</w:t>
      </w:r>
      <w:r>
        <w:t>.</w:t>
      </w:r>
      <w:r>
        <w:tab/>
        <w:t>Public telephone facility</w:t>
      </w:r>
      <w:bookmarkEnd w:id="186"/>
      <w:bookmarkEnd w:id="187"/>
      <w:bookmarkEnd w:id="188"/>
      <w:bookmarkEnd w:id="189"/>
      <w:bookmarkEnd w:id="190"/>
    </w:p>
    <w:p>
      <w:pPr>
        <w:pStyle w:val="ySubsection"/>
      </w:pPr>
      <w:r>
        <w:tab/>
      </w:r>
      <w:r>
        <w:tab/>
        <w:t>Supply of electricity to a standard public telephone facility where supply is not independently metered comprises a charge of 62</w:t>
      </w:r>
      <w:r>
        <w:rPr>
          <w:szCs w:val="22"/>
        </w:rPr>
        <w:t>.8063</w:t>
      </w:r>
      <w:r>
        <w:t xml:space="preserve"> cents per day.</w:t>
      </w:r>
    </w:p>
    <w:p>
      <w:pPr>
        <w:pStyle w:val="yEdnotesection"/>
      </w:pPr>
      <w:bookmarkStart w:id="191" w:name="_Toc484512010"/>
      <w:bookmarkStart w:id="192" w:name="_Toc484513775"/>
      <w:bookmarkStart w:id="193" w:name="_Toc515027902"/>
      <w:bookmarkStart w:id="194" w:name="_Toc515267673"/>
      <w:r>
        <w:tab/>
        <w:t>[Clause 2 inserted: Gazette 26 Jun 2018 p. 2369.]</w:t>
      </w:r>
    </w:p>
    <w:p>
      <w:pPr>
        <w:pStyle w:val="yHeading5"/>
      </w:pPr>
      <w:bookmarkStart w:id="195" w:name="_Toc517878152"/>
      <w:r>
        <w:rPr>
          <w:rStyle w:val="CharSClsNo"/>
        </w:rPr>
        <w:t>3</w:t>
      </w:r>
      <w:r>
        <w:t>.</w:t>
      </w:r>
      <w:r>
        <w:tab/>
        <w:t>Railway crossing</w:t>
      </w:r>
      <w:bookmarkEnd w:id="191"/>
      <w:bookmarkEnd w:id="192"/>
      <w:bookmarkEnd w:id="193"/>
      <w:bookmarkEnd w:id="194"/>
      <w:bookmarkEnd w:id="195"/>
    </w:p>
    <w:p>
      <w:pPr>
        <w:pStyle w:val="ySubsection"/>
      </w:pPr>
      <w:r>
        <w:tab/>
      </w:r>
      <w:r>
        <w:tab/>
        <w:t>Supply of electricity to standard railway crossing lights comprises a charge of 80</w:t>
      </w:r>
      <w:r>
        <w:rPr>
          <w:szCs w:val="22"/>
        </w:rPr>
        <w:t xml:space="preserve">.2623 </w:t>
      </w:r>
      <w:r>
        <w:t>cents per day.</w:t>
      </w:r>
    </w:p>
    <w:p>
      <w:pPr>
        <w:pStyle w:val="yEdnotesection"/>
      </w:pPr>
      <w:r>
        <w:tab/>
        <w:t>[Clause 3 inserted: Gazette 26 Jun 2018 p. 2369.]</w:t>
      </w:r>
    </w:p>
    <w:bookmarkEnd w:id="130"/>
    <w:bookmarkEnd w:id="131"/>
    <w:bookmarkEnd w:id="132"/>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rPr>
          <w:rStyle w:val="CharSchText"/>
        </w:rPr>
      </w:pPr>
      <w:bookmarkStart w:id="196" w:name="_Toc514925393"/>
      <w:bookmarkStart w:id="197" w:name="_Toc514925442"/>
      <w:bookmarkStart w:id="198" w:name="_Toc514926074"/>
      <w:bookmarkStart w:id="199" w:name="_Toc514927950"/>
      <w:bookmarkStart w:id="200" w:name="_Toc514930174"/>
      <w:bookmarkStart w:id="201" w:name="_Toc514931756"/>
      <w:bookmarkStart w:id="202" w:name="_Toc514934413"/>
      <w:bookmarkStart w:id="203" w:name="_Toc515024477"/>
      <w:bookmarkStart w:id="204" w:name="_Toc515024616"/>
      <w:bookmarkStart w:id="205" w:name="_Toc515026553"/>
      <w:bookmarkStart w:id="206" w:name="_Toc515027483"/>
      <w:bookmarkStart w:id="207" w:name="_Toc515027903"/>
      <w:bookmarkStart w:id="208" w:name="_Toc515267674"/>
      <w:bookmarkStart w:id="209" w:name="_Toc517878119"/>
      <w:bookmarkStart w:id="210" w:name="_Toc517878153"/>
      <w:bookmarkStart w:id="211" w:name="_Toc501633165"/>
      <w:bookmarkStart w:id="212" w:name="_Toc501633218"/>
      <w:bookmarkStart w:id="213" w:name="_Toc502736818"/>
      <w:r>
        <w:rPr>
          <w:rStyle w:val="CharSchNo"/>
        </w:rPr>
        <w:t>Schedule 3</w:t>
      </w:r>
      <w:r>
        <w:rPr>
          <w:rStyle w:val="CharSDivNo"/>
        </w:rPr>
        <w:t> </w:t>
      </w:r>
      <w:r>
        <w:t>—</w:t>
      </w:r>
      <w:r>
        <w:rPr>
          <w:rStyle w:val="CharSDivText"/>
        </w:rPr>
        <w:t> </w:t>
      </w:r>
      <w:r>
        <w:rPr>
          <w:rStyle w:val="CharSchText"/>
        </w:rPr>
        <w:t>Meter rentals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yShoulderClause"/>
      </w:pPr>
      <w:r>
        <w:t>[bl. 6(1)]</w:t>
      </w:r>
    </w:p>
    <w:p>
      <w:pPr>
        <w:pStyle w:val="yFootnoteheading"/>
      </w:pPr>
      <w:r>
        <w:tab/>
        <w:t>[Heading inserted: Gazette 26 Jun 2018 p. 2370.]</w:t>
      </w:r>
    </w:p>
    <w:p>
      <w:pPr>
        <w:pStyle w:val="ySubsection"/>
        <w:rPr>
          <w:b/>
        </w:rPr>
      </w:pPr>
    </w:p>
    <w:p>
      <w:pPr>
        <w:pStyle w:val="ySubsection"/>
      </w:pPr>
      <w:r>
        <w:tab/>
      </w:r>
      <w:r>
        <w:tab/>
        <w:t>The rental payable in respect of a subsidiary meter is 16.49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Ednotesection"/>
      </w:pPr>
      <w:r>
        <w:tab/>
        <w:t>[Schedule 3 inserted: Gazette 26 Jun 2018 p. 2370.]</w:t>
      </w:r>
    </w:p>
    <w:p>
      <w:pPr>
        <w:pStyle w:val="yScheduleHeading"/>
      </w:pPr>
      <w:bookmarkStart w:id="214" w:name="_Toc514925394"/>
      <w:bookmarkStart w:id="215" w:name="_Toc514925443"/>
      <w:bookmarkStart w:id="216" w:name="_Toc514926075"/>
      <w:bookmarkStart w:id="217" w:name="_Toc514927951"/>
      <w:bookmarkStart w:id="218" w:name="_Toc514930175"/>
      <w:bookmarkStart w:id="219" w:name="_Toc514931757"/>
      <w:bookmarkStart w:id="220" w:name="_Toc514934414"/>
      <w:bookmarkStart w:id="221" w:name="_Toc515024478"/>
      <w:bookmarkStart w:id="222" w:name="_Toc515024617"/>
      <w:bookmarkStart w:id="223" w:name="_Toc515026554"/>
      <w:bookmarkStart w:id="224" w:name="_Toc515027484"/>
      <w:bookmarkStart w:id="225" w:name="_Toc515027904"/>
      <w:bookmarkStart w:id="226" w:name="_Toc515267675"/>
      <w:bookmarkStart w:id="227" w:name="_Toc517878120"/>
      <w:bookmarkStart w:id="228" w:name="_Toc517878154"/>
      <w:bookmarkStart w:id="229" w:name="_Toc501633166"/>
      <w:bookmarkStart w:id="230" w:name="_Toc501633219"/>
      <w:bookmarkStart w:id="231" w:name="_Toc502736819"/>
      <w:bookmarkEnd w:id="211"/>
      <w:bookmarkEnd w:id="212"/>
      <w:bookmarkEnd w:id="213"/>
      <w:r>
        <w:rPr>
          <w:rStyle w:val="CharSchNo"/>
        </w:rPr>
        <w:t>Schedule 4</w:t>
      </w:r>
      <w:r>
        <w:t> — </w:t>
      </w:r>
      <w:r>
        <w:rPr>
          <w:rStyle w:val="CharSchText"/>
        </w:rPr>
        <w:t>Fees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yShoulderClause"/>
      </w:pPr>
      <w:r>
        <w:t>[bl. 7]</w:t>
      </w:r>
    </w:p>
    <w:p>
      <w:pPr>
        <w:pStyle w:val="yFootnoteheading"/>
      </w:pPr>
      <w:r>
        <w:tab/>
        <w:t>[Heading inserted: Gazette 26 Jun 2018 p. 2370.]</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018"/>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$23.60</w:t>
            </w:r>
          </w:p>
        </w:tc>
      </w:tr>
      <w:tr>
        <w:trPr>
          <w:cantSplit/>
        </w:trPr>
        <w:tc>
          <w:tcPr>
            <w:tcW w:w="567" w:type="dxa"/>
          </w:tcPr>
          <w:p>
            <w:pPr>
              <w:pStyle w:val="yTableNAm"/>
            </w:pPr>
            <w:r>
              <w:t>2.</w:t>
            </w:r>
          </w:p>
        </w:tc>
        <w:tc>
          <w:tcPr>
            <w:tcW w:w="5245" w:type="dxa"/>
          </w:tcPr>
          <w:p>
            <w:pPr>
              <w:pStyle w:val="yTableNAm"/>
            </w:pPr>
            <w:r>
              <w:t xml:space="preserve">Three phase residential installation — new installation of three phase meter or replacement of single phase meter with three phase meter </w:t>
            </w:r>
            <w:r>
              <w:tab/>
            </w:r>
          </w:p>
        </w:tc>
        <w:tc>
          <w:tcPr>
            <w:tcW w:w="1276" w:type="dxa"/>
          </w:tcPr>
          <w:p>
            <w:pPr>
              <w:pStyle w:val="yTableNAm"/>
            </w:pPr>
            <w:r>
              <w:br/>
            </w:r>
            <w:r>
              <w:br/>
              <w:t>$909.00</w:t>
            </w:r>
          </w:p>
        </w:tc>
      </w:tr>
      <w:tr>
        <w:trPr>
          <w:cantSplit/>
        </w:trPr>
        <w:tc>
          <w:tcPr>
            <w:tcW w:w="567" w:type="dxa"/>
          </w:tcPr>
          <w:p>
            <w:pPr>
              <w:pStyle w:val="yTableNAm"/>
            </w:pPr>
            <w:r>
              <w:t>3.</w:t>
            </w:r>
          </w:p>
        </w:tc>
        <w:tc>
          <w:tcPr>
            <w:tcW w:w="5245" w:type="dxa"/>
          </w:tcPr>
          <w:p>
            <w:pPr>
              <w:pStyle w:val="yTableNAm"/>
            </w:pPr>
            <w:r>
              <w:t>Temporary supply connection — </w:t>
            </w:r>
          </w:p>
          <w:p>
            <w:pPr>
              <w:pStyle w:val="yTableNAm"/>
              <w:tabs>
                <w:tab w:val="clear" w:pos="567"/>
                <w:tab w:val="left" w:pos="341"/>
                <w:tab w:val="left" w:pos="753"/>
                <w:tab w:val="right" w:leader="dot" w:pos="5018"/>
              </w:tabs>
            </w:pPr>
            <w:r>
              <w:tab/>
              <w:t>(a)</w:t>
            </w:r>
            <w:r>
              <w:tab/>
              <w:t xml:space="preserve">single phase (overhead) </w:t>
            </w:r>
            <w:r>
              <w:tab/>
            </w:r>
          </w:p>
          <w:p>
            <w:pPr>
              <w:pStyle w:val="yTableNAm"/>
              <w:tabs>
                <w:tab w:val="clear" w:pos="567"/>
                <w:tab w:val="left" w:pos="341"/>
                <w:tab w:val="left" w:pos="753"/>
                <w:tab w:val="right" w:leader="dot" w:pos="5018"/>
              </w:tabs>
              <w:rPr>
                <w:b/>
                <w:iCs/>
              </w:rPr>
            </w:pPr>
            <w:r>
              <w:tab/>
              <w:t>(b)</w:t>
            </w:r>
            <w:r>
              <w:tab/>
              <w:t xml:space="preserve">three phase (overhead) </w:t>
            </w:r>
            <w:r>
              <w:tab/>
            </w:r>
          </w:p>
        </w:tc>
        <w:tc>
          <w:tcPr>
            <w:tcW w:w="1276" w:type="dxa"/>
          </w:tcPr>
          <w:p>
            <w:pPr>
              <w:pStyle w:val="yTableNAm"/>
            </w:pPr>
          </w:p>
          <w:p>
            <w:pPr>
              <w:pStyle w:val="yTableNAm"/>
            </w:pPr>
            <w:r>
              <w:t>$896.00</w:t>
            </w:r>
          </w:p>
          <w:p>
            <w:pPr>
              <w:pStyle w:val="yTableNAm"/>
            </w:pPr>
            <w:r>
              <w:t>$896.00</w:t>
            </w:r>
          </w:p>
        </w:tc>
      </w:tr>
      <w:tr>
        <w:trPr>
          <w:cantSplit/>
        </w:trPr>
        <w:tc>
          <w:tcPr>
            <w:tcW w:w="567" w:type="dxa"/>
          </w:tcPr>
          <w:p>
            <w:pPr>
              <w:pStyle w:val="yTableNAm"/>
            </w:pPr>
            <w:r>
              <w:t>4.</w:t>
            </w:r>
          </w:p>
        </w:tc>
        <w:tc>
          <w:tcPr>
            <w:tcW w:w="5245" w:type="dxa"/>
          </w:tcPr>
          <w:p>
            <w:pPr>
              <w:pStyle w:val="yTableNAm"/>
            </w:pPr>
            <w:r>
              <w:t>Meter testing — </w:t>
            </w:r>
          </w:p>
          <w:p>
            <w:pPr>
              <w:pStyle w:val="yTableNAm"/>
              <w:tabs>
                <w:tab w:val="clear" w:pos="567"/>
                <w:tab w:val="left" w:pos="341"/>
                <w:tab w:val="left" w:pos="753"/>
                <w:tab w:val="right" w:leader="dot" w:pos="5018"/>
              </w:tabs>
            </w:pPr>
            <w:r>
              <w:tab/>
              <w:t>(a)</w:t>
            </w:r>
            <w:r>
              <w:tab/>
              <w:t xml:space="preserve">standard meter testing fee </w:t>
            </w:r>
            <w:r>
              <w:tab/>
            </w:r>
          </w:p>
          <w:p>
            <w:pPr>
              <w:pStyle w:val="yTableNAm"/>
              <w:tabs>
                <w:tab w:val="clear" w:pos="567"/>
                <w:tab w:val="left" w:pos="341"/>
                <w:tab w:val="left" w:pos="753"/>
                <w:tab w:val="right" w:leader="dot" w:pos="5018"/>
              </w:tabs>
            </w:pPr>
            <w:r>
              <w:tab/>
              <w:t>(b)</w:t>
            </w:r>
            <w:r>
              <w:tab/>
              <w:t xml:space="preserve">reduced meter testing fee </w:t>
            </w:r>
            <w:r>
              <w:tab/>
            </w:r>
          </w:p>
        </w:tc>
        <w:tc>
          <w:tcPr>
            <w:tcW w:w="1276" w:type="dxa"/>
          </w:tcPr>
          <w:p>
            <w:pPr>
              <w:pStyle w:val="yTableNAm"/>
            </w:pPr>
          </w:p>
          <w:p>
            <w:pPr>
              <w:pStyle w:val="yTableNAm"/>
            </w:pPr>
            <w:r>
              <w:t>$243.60</w:t>
            </w:r>
          </w:p>
          <w:p>
            <w:pPr>
              <w:pStyle w:val="yTableNAm"/>
            </w:pPr>
            <w:r>
              <w:t>$152.20</w:t>
            </w:r>
          </w:p>
        </w:tc>
      </w:tr>
      <w:tr>
        <w:trPr>
          <w:cantSplit/>
        </w:trPr>
        <w:tc>
          <w:tcPr>
            <w:tcW w:w="567" w:type="dxa"/>
          </w:tcPr>
          <w:p>
            <w:pPr>
              <w:pStyle w:val="yTableNAm"/>
            </w:pPr>
            <w:r>
              <w:t>5.</w:t>
            </w:r>
          </w:p>
        </w:tc>
        <w:tc>
          <w:tcPr>
            <w:tcW w:w="5245" w:type="dxa"/>
          </w:tcPr>
          <w:p>
            <w:pPr>
              <w:pStyle w:val="yTableNAm"/>
              <w:tabs>
                <w:tab w:val="right" w:leader="dot" w:pos="5018"/>
              </w:tabs>
            </w:pPr>
            <w:r>
              <w:t xml:space="preserve">Disconnection of overhead service leads following unauthorised reconnection </w:t>
            </w:r>
            <w:r>
              <w:tab/>
            </w:r>
          </w:p>
        </w:tc>
        <w:tc>
          <w:tcPr>
            <w:tcW w:w="1276" w:type="dxa"/>
          </w:tcPr>
          <w:p>
            <w:pPr>
              <w:pStyle w:val="yTableNAm"/>
            </w:pPr>
            <w:r>
              <w:rPr>
                <w:bCs/>
                <w:iCs/>
              </w:rPr>
              <w:br/>
            </w:r>
            <w:r>
              <w:t>$758.00</w:t>
            </w:r>
          </w:p>
        </w:tc>
      </w:tr>
      <w:tr>
        <w:trPr>
          <w:cantSplit/>
        </w:trPr>
        <w:tc>
          <w:tcPr>
            <w:tcW w:w="567" w:type="dxa"/>
          </w:tcPr>
          <w:p>
            <w:pPr>
              <w:pStyle w:val="yTableNAm"/>
            </w:pPr>
            <w:r>
              <w:t>6.</w:t>
            </w:r>
          </w:p>
        </w:tc>
        <w:tc>
          <w:tcPr>
            <w:tcW w:w="5245" w:type="dxa"/>
          </w:tcPr>
          <w:p>
            <w:pPr>
              <w:pStyle w:val="yTableNAm"/>
              <w:tabs>
                <w:tab w:val="right" w:leader="dot" w:pos="5018"/>
              </w:tabs>
            </w:pPr>
            <w:r>
              <w:t xml:space="preserve">Overdue account notices </w:t>
            </w:r>
            <w:r>
              <w:tab/>
            </w:r>
          </w:p>
        </w:tc>
        <w:tc>
          <w:tcPr>
            <w:tcW w:w="1276" w:type="dxa"/>
          </w:tcPr>
          <w:p>
            <w:pPr>
              <w:pStyle w:val="yTableNAm"/>
            </w:pPr>
            <w:r>
              <w:rPr>
                <w:szCs w:val="22"/>
              </w:rPr>
              <w:t>$5.80</w:t>
            </w:r>
          </w:p>
        </w:tc>
      </w:tr>
      <w:tr>
        <w:trPr>
          <w:cantSplit/>
        </w:trPr>
        <w:tc>
          <w:tcPr>
            <w:tcW w:w="567" w:type="dxa"/>
          </w:tcPr>
          <w:p>
            <w:pPr>
              <w:pStyle w:val="yTableNAm"/>
            </w:pPr>
            <w:r>
              <w:t>7.</w:t>
            </w:r>
          </w:p>
        </w:tc>
        <w:tc>
          <w:tcPr>
            <w:tcW w:w="5245" w:type="dxa"/>
          </w:tcPr>
          <w:p>
            <w:pPr>
              <w:pStyle w:val="yTableNAm"/>
              <w:tabs>
                <w:tab w:val="right" w:leader="dot" w:pos="5018"/>
              </w:tabs>
            </w:pPr>
            <w:r>
              <w:t xml:space="preserve">Rejected account payment (where payment made through Australia Post) </w:t>
            </w:r>
            <w:r>
              <w:tab/>
            </w:r>
          </w:p>
        </w:tc>
        <w:tc>
          <w:tcPr>
            <w:tcW w:w="1276" w:type="dxa"/>
          </w:tcPr>
          <w:p>
            <w:pPr>
              <w:pStyle w:val="yTableNAm"/>
            </w:pPr>
            <w:r>
              <w:rPr>
                <w:bCs/>
                <w:iCs/>
              </w:rPr>
              <w:br/>
            </w:r>
            <w:r>
              <w:t>$24.40</w:t>
            </w:r>
          </w:p>
        </w:tc>
      </w:tr>
      <w:tr>
        <w:trPr>
          <w:cantSplit/>
        </w:trPr>
        <w:tc>
          <w:tcPr>
            <w:tcW w:w="567" w:type="dxa"/>
          </w:tcPr>
          <w:p>
            <w:pPr>
              <w:pStyle w:val="yTableNAm"/>
            </w:pPr>
            <w:r>
              <w:t>8.</w:t>
            </w:r>
          </w:p>
        </w:tc>
        <w:tc>
          <w:tcPr>
            <w:tcW w:w="5245" w:type="dxa"/>
          </w:tcPr>
          <w:p>
            <w:pPr>
              <w:pStyle w:val="yTableNAm"/>
              <w:tabs>
                <w:tab w:val="right" w:leader="dot" w:pos="5018"/>
              </w:tabs>
            </w:pPr>
            <w:r>
              <w:t>A transaction fee where a consumer makes a payment to the corporation by means of a credit card or debit card</w:t>
            </w:r>
          </w:p>
        </w:tc>
        <w:tc>
          <w:tcPr>
            <w:tcW w:w="1276" w:type="dxa"/>
          </w:tcPr>
          <w:p>
            <w:pPr>
              <w:pStyle w:val="yTableNAm"/>
            </w:pPr>
            <w:r>
              <w:t>The permitted surcharge for the payment</w:t>
            </w:r>
          </w:p>
        </w:tc>
      </w:tr>
      <w:tr>
        <w:trPr>
          <w:cantSplit/>
        </w:trPr>
        <w:tc>
          <w:tcPr>
            <w:tcW w:w="567" w:type="dxa"/>
          </w:tcPr>
          <w:p>
            <w:pPr>
              <w:pStyle w:val="yTableNAm"/>
            </w:pPr>
            <w:r>
              <w:t>9.</w:t>
            </w:r>
          </w:p>
        </w:tc>
        <w:tc>
          <w:tcPr>
            <w:tcW w:w="5245" w:type="dxa"/>
          </w:tcPr>
          <w:p>
            <w:pPr>
              <w:pStyle w:val="yTableNAm"/>
              <w:tabs>
                <w:tab w:val="right" w:leader="dot" w:pos="5018"/>
              </w:tabs>
            </w:pPr>
            <w:r>
              <w:t xml:space="preserve">Remote configurations </w:t>
            </w:r>
            <w:r>
              <w:tab/>
            </w:r>
          </w:p>
        </w:tc>
        <w:tc>
          <w:tcPr>
            <w:tcW w:w="1276" w:type="dxa"/>
          </w:tcPr>
          <w:p>
            <w:pPr>
              <w:pStyle w:val="yTableNAm"/>
            </w:pPr>
            <w:r>
              <w:t>$25.70</w:t>
            </w:r>
          </w:p>
        </w:tc>
      </w:tr>
      <w:tr>
        <w:trPr>
          <w:cantSplit/>
        </w:trPr>
        <w:tc>
          <w:tcPr>
            <w:tcW w:w="567" w:type="dxa"/>
          </w:tcPr>
          <w:p>
            <w:pPr>
              <w:pStyle w:val="yTableNAm"/>
            </w:pPr>
            <w:r>
              <w:t>10.</w:t>
            </w:r>
          </w:p>
        </w:tc>
        <w:tc>
          <w:tcPr>
            <w:tcW w:w="5245" w:type="dxa"/>
          </w:tcPr>
          <w:p>
            <w:pPr>
              <w:pStyle w:val="yTableNAm"/>
              <w:tabs>
                <w:tab w:val="right" w:leader="dot" w:pos="5018"/>
              </w:tabs>
            </w:pPr>
            <w:r>
              <w:t xml:space="preserve">Meter damage fee </w:t>
            </w:r>
            <w:r>
              <w:tab/>
            </w:r>
          </w:p>
        </w:tc>
        <w:tc>
          <w:tcPr>
            <w:tcW w:w="1276" w:type="dxa"/>
          </w:tcPr>
          <w:p>
            <w:pPr>
              <w:pStyle w:val="yTableNAm"/>
            </w:pPr>
            <w:r>
              <w:t>$840.00</w:t>
            </w:r>
          </w:p>
        </w:tc>
      </w:tr>
      <w:tr>
        <w:trPr>
          <w:cantSplit/>
        </w:trPr>
        <w:tc>
          <w:tcPr>
            <w:tcW w:w="567" w:type="dxa"/>
          </w:tcPr>
          <w:p>
            <w:pPr>
              <w:pStyle w:val="yTableNAm"/>
            </w:pPr>
            <w:r>
              <w:t>11.</w:t>
            </w:r>
          </w:p>
        </w:tc>
        <w:tc>
          <w:tcPr>
            <w:tcW w:w="5245" w:type="dxa"/>
          </w:tcPr>
          <w:p>
            <w:pPr>
              <w:pStyle w:val="yTableNAm"/>
              <w:tabs>
                <w:tab w:val="right" w:leader="dot" w:pos="5018"/>
              </w:tabs>
            </w:pPr>
            <w:r>
              <w:t xml:space="preserve">Remote connection or disconnection </w:t>
            </w:r>
            <w:r>
              <w:tab/>
            </w:r>
          </w:p>
        </w:tc>
        <w:tc>
          <w:tcPr>
            <w:tcW w:w="1276" w:type="dxa"/>
          </w:tcPr>
          <w:p>
            <w:pPr>
              <w:pStyle w:val="yTableNAm"/>
            </w:pPr>
            <w:r>
              <w:t>$6.19</w:t>
            </w:r>
          </w:p>
        </w:tc>
      </w:tr>
      <w:tr>
        <w:trPr>
          <w:cantSplit/>
        </w:trPr>
        <w:tc>
          <w:tcPr>
            <w:tcW w:w="567" w:type="dxa"/>
          </w:tcPr>
          <w:p>
            <w:pPr>
              <w:pStyle w:val="yTableNAm"/>
            </w:pPr>
            <w:r>
              <w:t>12.</w:t>
            </w:r>
          </w:p>
        </w:tc>
        <w:tc>
          <w:tcPr>
            <w:tcW w:w="5245" w:type="dxa"/>
          </w:tcPr>
          <w:p>
            <w:pPr>
              <w:pStyle w:val="yTableNAm"/>
              <w:tabs>
                <w:tab w:val="right" w:leader="dot" w:pos="5018"/>
              </w:tabs>
            </w:pPr>
            <w:r>
              <w:t xml:space="preserve">Paper bill fee </w:t>
            </w:r>
            <w:r>
              <w:tab/>
            </w:r>
          </w:p>
        </w:tc>
        <w:tc>
          <w:tcPr>
            <w:tcW w:w="1276" w:type="dxa"/>
          </w:tcPr>
          <w:p>
            <w:pPr>
              <w:pStyle w:val="yTableNAm"/>
            </w:pPr>
            <w:r>
              <w:t>$1.20</w:t>
            </w:r>
          </w:p>
        </w:tc>
      </w:tr>
      <w:tr>
        <w:trPr>
          <w:cantSplit/>
        </w:trPr>
        <w:tc>
          <w:tcPr>
            <w:tcW w:w="567" w:type="dxa"/>
            <w:tcBorders>
              <w:bottom w:val="single" w:sz="4" w:space="0" w:color="auto"/>
            </w:tcBorders>
          </w:tcPr>
          <w:p>
            <w:pPr>
              <w:pStyle w:val="yTableNAm"/>
              <w:keepNext/>
            </w:pPr>
            <w:r>
              <w:t>13.</w:t>
            </w:r>
          </w:p>
        </w:tc>
        <w:tc>
          <w:tcPr>
            <w:tcW w:w="5245" w:type="dxa"/>
            <w:tcBorders>
              <w:bottom w:val="single" w:sz="4" w:space="0" w:color="auto"/>
            </w:tcBorders>
          </w:tcPr>
          <w:p>
            <w:pPr>
              <w:pStyle w:val="yTableNAm"/>
              <w:keepNext/>
              <w:tabs>
                <w:tab w:val="right" w:leader="dot" w:pos="5018"/>
              </w:tabs>
            </w:pPr>
            <w:r>
              <w:t>Over</w:t>
            </w:r>
            <w:r>
              <w:noBreakHyphen/>
              <w:t>the</w:t>
            </w:r>
            <w:r>
              <w:noBreakHyphen/>
              <w:t xml:space="preserve">counter payment fee </w:t>
            </w:r>
            <w:r>
              <w:tab/>
            </w:r>
          </w:p>
        </w:tc>
        <w:tc>
          <w:tcPr>
            <w:tcW w:w="1276" w:type="dxa"/>
            <w:tcBorders>
              <w:bottom w:val="single" w:sz="4" w:space="0" w:color="auto"/>
            </w:tcBorders>
          </w:tcPr>
          <w:p>
            <w:pPr>
              <w:pStyle w:val="yTableNAm"/>
              <w:keepNext/>
            </w:pPr>
            <w:r>
              <w:t>$2.27</w:t>
            </w:r>
          </w:p>
        </w:tc>
      </w:tr>
    </w:tbl>
    <w:p>
      <w:pPr>
        <w:pStyle w:val="yEdnotesection"/>
        <w:keepNext/>
      </w:pPr>
      <w:r>
        <w:tab/>
        <w:t>[Schedule 4 inserted: Gazette 26 Jun 2018 p. 2370.]</w:t>
      </w:r>
    </w:p>
    <w:bookmarkEnd w:id="229"/>
    <w:bookmarkEnd w:id="230"/>
    <w:bookmarkEnd w:id="231"/>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232" w:name="_Toc501633167"/>
      <w:bookmarkStart w:id="233" w:name="_Toc501633220"/>
      <w:bookmarkStart w:id="234" w:name="_Toc502736820"/>
      <w:bookmarkStart w:id="235" w:name="_Toc517878121"/>
      <w:bookmarkStart w:id="236" w:name="_Toc517878155"/>
      <w:r>
        <w:t>Notes</w:t>
      </w:r>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237" w:name="_Toc517878156"/>
      <w:r>
        <w:t>Compilation table</w:t>
      </w:r>
      <w:bookmarkEnd w:id="237"/>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c>
          <w:tcPr>
            <w:tcW w:w="3119" w:type="dxa"/>
            <w:shd w:val="clear" w:color="auto" w:fill="auto"/>
          </w:tcPr>
          <w:p>
            <w:pPr>
              <w:pStyle w:val="nTable"/>
              <w:keepNext/>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Next/>
              <w:keepLines/>
              <w:spacing w:after="40"/>
              <w:rPr>
                <w:b/>
                <w:bCs/>
                <w:iCs/>
                <w:noProof/>
                <w:snapToGrid w:val="0"/>
              </w:rPr>
            </w:pPr>
            <w:r>
              <w:t>26 Jun 2015 p. 2247</w:t>
            </w:r>
            <w:r>
              <w:noBreakHyphen/>
              <w:t>52</w:t>
            </w:r>
          </w:p>
        </w:tc>
        <w:tc>
          <w:tcPr>
            <w:tcW w:w="2694" w:type="dxa"/>
            <w:shd w:val="clear" w:color="auto" w:fill="auto"/>
          </w:tcPr>
          <w:p>
            <w:pPr>
              <w:pStyle w:val="nTable"/>
              <w:keepNext/>
              <w:keepLines/>
              <w:spacing w:after="40"/>
              <w:rPr>
                <w:b/>
                <w:bCs/>
                <w:iCs/>
                <w:noProof/>
                <w:snapToGrid w:val="0"/>
              </w:rPr>
            </w:pPr>
            <w:r>
              <w:t>bl. 1 and 2: 26 Jun 2015 (see bl. 2(a));</w:t>
            </w:r>
            <w:r>
              <w:br/>
              <w:t>By</w:t>
            </w:r>
            <w:r>
              <w:noBreakHyphen/>
              <w:t>laws other than bl. 1 and 2: 1 Jul 2015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Next/>
              <w:keepLines/>
              <w:spacing w:after="40"/>
            </w:pPr>
            <w:r>
              <w:t>28 Jun 2016 p. 2626</w:t>
            </w:r>
            <w:r>
              <w:noBreakHyphen/>
              <w:t>8</w:t>
            </w:r>
          </w:p>
        </w:tc>
        <w:tc>
          <w:tcPr>
            <w:tcW w:w="2694" w:type="dxa"/>
            <w:shd w:val="clear" w:color="auto" w:fill="auto"/>
          </w:tcPr>
          <w:p>
            <w:pPr>
              <w:pStyle w:val="nTable"/>
              <w:keepNext/>
              <w:keepLines/>
              <w:spacing w:after="40"/>
            </w:pPr>
            <w:r>
              <w:t>bl. 1 and 2: 28 Jun 2016 (see bl. 2(a));</w:t>
            </w:r>
            <w:r>
              <w:br/>
              <w:t>By</w:t>
            </w:r>
            <w:r>
              <w:noBreakHyphen/>
              <w:t>laws other than bl. 1 and 2: 1 Jul 2016 (see bl. 2(b))</w:t>
            </w:r>
          </w:p>
        </w:tc>
      </w:tr>
      <w:tr>
        <w:tc>
          <w:tcPr>
            <w:tcW w:w="3119" w:type="dxa"/>
            <w:shd w:val="clear" w:color="auto" w:fill="auto"/>
          </w:tcPr>
          <w:p>
            <w:pPr>
              <w:pStyle w:val="nTable"/>
              <w:keepNext/>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Next/>
              <w:keepLines/>
              <w:spacing w:after="40"/>
            </w:pPr>
            <w:r>
              <w:t>31 Aug 2016 p. 3707</w:t>
            </w:r>
            <w:r>
              <w:noBreakHyphen/>
              <w:t>10</w:t>
            </w:r>
          </w:p>
        </w:tc>
        <w:tc>
          <w:tcPr>
            <w:tcW w:w="2694" w:type="dxa"/>
            <w:shd w:val="clear" w:color="auto" w:fill="auto"/>
          </w:tcPr>
          <w:p>
            <w:pPr>
              <w:pStyle w:val="nTable"/>
              <w:keepNext/>
              <w:keepLines/>
              <w:spacing w:after="40"/>
            </w:pPr>
            <w:r>
              <w:t>bl. 1 and 2: 31 Aug 2016 (see bl. 2(a));</w:t>
            </w:r>
            <w:r>
              <w:br/>
              <w:t>By</w:t>
            </w:r>
            <w:r>
              <w:noBreakHyphen/>
              <w:t>laws other than bl. 1 and 2: 1 Sep 2016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Next/>
              <w:keepLines/>
              <w:spacing w:after="40"/>
            </w:pPr>
            <w:r>
              <w:t>27 Jun 2017 p. 3419</w:t>
            </w:r>
            <w:r>
              <w:noBreakHyphen/>
              <w:t>24</w:t>
            </w:r>
          </w:p>
        </w:tc>
        <w:tc>
          <w:tcPr>
            <w:tcW w:w="2694" w:type="dxa"/>
            <w:shd w:val="clear" w:color="auto" w:fill="auto"/>
          </w:tcPr>
          <w:p>
            <w:pPr>
              <w:pStyle w:val="nTable"/>
              <w:keepNext/>
              <w:keepLines/>
              <w:spacing w:after="40"/>
            </w:pPr>
            <w:r>
              <w:t>bl. 1 and 2: 27 Jun 2017 (see bl. 2(a));</w:t>
            </w:r>
            <w:r>
              <w:br/>
              <w:t>By-laws other than bl. 1 and 2: 1 Jul 2017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Next/>
              <w:keepLines/>
              <w:spacing w:after="40"/>
            </w:pPr>
            <w:r>
              <w:t>30 Jun 2017 p. 3562</w:t>
            </w:r>
            <w:r>
              <w:noBreakHyphen/>
              <w:t>4</w:t>
            </w:r>
          </w:p>
        </w:tc>
        <w:tc>
          <w:tcPr>
            <w:tcW w:w="2694" w:type="dxa"/>
            <w:shd w:val="clear" w:color="auto" w:fill="auto"/>
          </w:tcPr>
          <w:p>
            <w:pPr>
              <w:pStyle w:val="nTable"/>
              <w:keepNext/>
              <w:keepLines/>
              <w:spacing w:after="40"/>
            </w:pPr>
            <w:r>
              <w:t>bl. 1 and 2: 30 Jun 2017 (see bl. 2(a));</w:t>
            </w:r>
            <w:r>
              <w:br/>
              <w:t>By-laws other than bl. 1 and 2: 1 Jul 2017 (see bl. 2(b)(i))</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Next/>
              <w:keepLines/>
              <w:spacing w:after="40"/>
            </w:pPr>
            <w:r>
              <w:t>22 Dec 2017 p. 5978</w:t>
            </w:r>
            <w:r>
              <w:noBreakHyphen/>
              <w:t>83</w:t>
            </w:r>
          </w:p>
        </w:tc>
        <w:tc>
          <w:tcPr>
            <w:tcW w:w="2694" w:type="dxa"/>
            <w:shd w:val="clear" w:color="auto" w:fill="auto"/>
          </w:tcPr>
          <w:p>
            <w:pPr>
              <w:pStyle w:val="nTable"/>
              <w:keepNext/>
              <w:keepLines/>
              <w:spacing w:after="40"/>
            </w:pPr>
            <w:r>
              <w:t>bl. 1 and 2: 22 Dec 2017 (see bl. 2(a));</w:t>
            </w:r>
            <w:r>
              <w:br/>
              <w:t>By-laws other than bl. 1 and 2: 1 Jan 2018 (see bl. 2(b))</w:t>
            </w:r>
          </w:p>
        </w:tc>
      </w:tr>
      <w:tr>
        <w:tc>
          <w:tcPr>
            <w:tcW w:w="3119" w:type="dxa"/>
            <w:tcBorders>
              <w:bottom w:val="single" w:sz="8" w:space="0" w:color="auto"/>
            </w:tcBorders>
            <w:shd w:val="clear" w:color="auto" w:fill="auto"/>
          </w:tcPr>
          <w:p>
            <w:pPr>
              <w:pStyle w:val="nTable"/>
              <w:keepNext/>
              <w:keepLines/>
              <w:spacing w:after="40"/>
              <w:rPr>
                <w:i/>
              </w:rPr>
            </w:pPr>
            <w:r>
              <w:rPr>
                <w:i/>
              </w:rPr>
              <w:t>Energy Operators (Regional Power Corporation) (Charges) Amendment By</w:t>
            </w:r>
            <w:r>
              <w:rPr>
                <w:i/>
              </w:rPr>
              <w:noBreakHyphen/>
              <w:t>laws 2018</w:t>
            </w:r>
          </w:p>
        </w:tc>
        <w:tc>
          <w:tcPr>
            <w:tcW w:w="1276" w:type="dxa"/>
            <w:tcBorders>
              <w:bottom w:val="single" w:sz="8" w:space="0" w:color="auto"/>
            </w:tcBorders>
            <w:shd w:val="clear" w:color="auto" w:fill="auto"/>
          </w:tcPr>
          <w:p>
            <w:pPr>
              <w:pStyle w:val="nTable"/>
              <w:keepNext/>
              <w:keepLines/>
              <w:spacing w:after="40"/>
            </w:pPr>
            <w:r>
              <w:t>26 Jun 2018 p. 2361</w:t>
            </w:r>
            <w:r>
              <w:noBreakHyphen/>
              <w:t>71</w:t>
            </w:r>
          </w:p>
        </w:tc>
        <w:tc>
          <w:tcPr>
            <w:tcW w:w="2694" w:type="dxa"/>
            <w:tcBorders>
              <w:bottom w:val="single" w:sz="8" w:space="0" w:color="auto"/>
            </w:tcBorders>
            <w:shd w:val="clear" w:color="auto" w:fill="auto"/>
          </w:tcPr>
          <w:p>
            <w:pPr>
              <w:pStyle w:val="nTable"/>
              <w:keepNext/>
              <w:spacing w:after="40"/>
            </w:pPr>
            <w:r>
              <w:t>bl. 1 and 2: 26 Jun 2018 (see bl. 2(a));</w:t>
            </w:r>
            <w:r>
              <w:br/>
              <w:t>By-laws other than bl. 1 and 2: 1 Jul 2018 (see bl. 2(b))</w:t>
            </w:r>
          </w:p>
        </w:tc>
      </w:tr>
    </w:tbl>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Esperance network</w:t>
      </w:r>
      <w:r>
        <w:tab/>
        <w:t>Sch. 1 cl. 7(1)</w:t>
      </w:r>
    </w:p>
    <w:p>
      <w:pPr>
        <w:pStyle w:val="DefinedTerms"/>
      </w:pPr>
      <w:r>
        <w:t>exceeds the applicable peak allowance</w:t>
      </w:r>
      <w:r>
        <w:tab/>
        <w:t>Sch. 1 cl. 7(2)</w:t>
      </w:r>
    </w:p>
    <w:p>
      <w:pPr>
        <w:pStyle w:val="DefinedTerms"/>
      </w:pPr>
      <w:r>
        <w:t>interest period</w:t>
      </w:r>
      <w:r>
        <w:tab/>
        <w:t>12(1)</w:t>
      </w:r>
    </w:p>
    <w:p>
      <w:pPr>
        <w:pStyle w:val="DefinedTerms"/>
      </w:pPr>
      <w:r>
        <w:t>MyPower non</w:t>
      </w:r>
      <w:r>
        <w:noBreakHyphen/>
        <w:t>residential tariff</w:t>
      </w:r>
      <w:r>
        <w:tab/>
        <w:t>Sch. 1 cl. 9(1)</w:t>
      </w:r>
    </w:p>
    <w:p>
      <w:pPr>
        <w:pStyle w:val="DefinedTerms"/>
      </w:pPr>
      <w:r>
        <w:t>MyPower residential tariff</w:t>
      </w:r>
      <w:r>
        <w:tab/>
        <w:t>Sch. 1 cl. 8(1)</w:t>
      </w:r>
    </w:p>
    <w:p>
      <w:pPr>
        <w:pStyle w:val="DefinedTerms"/>
      </w:pPr>
      <w:r>
        <w:t>North West interconnected system</w:t>
      </w:r>
      <w:r>
        <w:tab/>
        <w:t>4(1A), 4(2A)</w:t>
      </w:r>
    </w:p>
    <w:p>
      <w:pPr>
        <w:pStyle w:val="DefinedTerms"/>
      </w:pPr>
      <w:r>
        <w:t>peak day</w:t>
      </w:r>
      <w:r>
        <w:tab/>
        <w:t>Sch. 1 cl. 7(1)</w:t>
      </w:r>
    </w:p>
    <w:p>
      <w:pPr>
        <w:pStyle w:val="DefinedTerms"/>
      </w:pPr>
      <w:r>
        <w:t>peak period</w:t>
      </w:r>
      <w:r>
        <w:tab/>
        <w:t>Sch. 1 cl. 7(1)</w:t>
      </w:r>
    </w:p>
    <w:p>
      <w:pPr>
        <w:pStyle w:val="DefinedTerms"/>
      </w:pPr>
      <w:r>
        <w:t>peak time</w:t>
      </w:r>
      <w:r>
        <w:tab/>
        <w:t>Sch. 1 cl. 7(1)</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regional non</w:t>
      </w:r>
      <w:r>
        <w:noBreakHyphen/>
        <w:t>integrated system</w:t>
      </w:r>
      <w:r>
        <w:tab/>
        <w:t>4(1A)</w:t>
      </w:r>
    </w:p>
    <w:p>
      <w:pPr>
        <w:pStyle w:val="DefinedTerms"/>
      </w:pPr>
      <w:r>
        <w:t>relevant period</w:t>
      </w:r>
      <w:r>
        <w:tab/>
        <w:t>8(1)</w:t>
      </w:r>
    </w:p>
    <w:p>
      <w:pPr>
        <w:pStyle w:val="DefinedTerms"/>
      </w:pPr>
      <w:r>
        <w:t>residential tariff</w:t>
      </w:r>
      <w:r>
        <w:tab/>
        <w:t>3</w:t>
      </w:r>
    </w:p>
    <w:p>
      <w:pPr>
        <w:pStyle w:val="DefinedTerms"/>
      </w:pPr>
      <w:r>
        <w:t>South West interconnected system</w:t>
      </w:r>
      <w:r>
        <w:tab/>
        <w:t>4(1A)</w:t>
      </w:r>
    </w:p>
    <w:p>
      <w:pPr>
        <w:pStyle w:val="DefinedTerms"/>
      </w:pPr>
      <w:r>
        <w:t>Tariff</w:t>
      </w:r>
      <w:r>
        <w:tab/>
        <w:t>3</w:t>
      </w:r>
    </w:p>
    <w:p>
      <w:pPr>
        <w:pStyle w:val="DefinedTerms"/>
      </w:pPr>
      <w:r>
        <w:t>unit</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05" w:name="Schedule"/>
    <w:bookmarkEnd w:id="1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MyPower tariffs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9" w:name="DefinedTerms"/>
    <w:bookmarkEnd w:id="23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0" w:name="Coversheet"/>
    <w:bookmarkEnd w:id="2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lvlText w:val="%1."/>
      <w:lvlJc w:val="left"/>
      <w:pPr>
        <w:tabs>
          <w:tab w:val="num" w:pos="1492"/>
        </w:tabs>
        <w:ind w:left="1492" w:hanging="360"/>
      </w:pPr>
    </w:lvl>
  </w:abstractNum>
  <w:abstractNum w:abstractNumId="1">
    <w:nsid w:val="FFFFFF7D"/>
    <w:multiLevelType w:val="singleLevel"/>
    <w:tmpl w:val="5596F45C"/>
    <w:lvl w:ilvl="0">
      <w:start w:val="1"/>
      <w:numFmt w:val="decimal"/>
      <w:lvlText w:val="%1."/>
      <w:lvlJc w:val="left"/>
      <w:pPr>
        <w:tabs>
          <w:tab w:val="num" w:pos="1209"/>
        </w:tabs>
        <w:ind w:left="1209" w:hanging="360"/>
      </w:pPr>
    </w:lvl>
  </w:abstractNum>
  <w:abstractNum w:abstractNumId="2">
    <w:nsid w:val="FFFFFF7E"/>
    <w:multiLevelType w:val="singleLevel"/>
    <w:tmpl w:val="3BE2AE3A"/>
    <w:lvl w:ilvl="0">
      <w:start w:val="1"/>
      <w:numFmt w:val="decimal"/>
      <w:lvlText w:val="%1."/>
      <w:lvlJc w:val="left"/>
      <w:pPr>
        <w:tabs>
          <w:tab w:val="num" w:pos="926"/>
        </w:tabs>
        <w:ind w:left="926" w:hanging="360"/>
      </w:pPr>
    </w:lvl>
  </w:abstractNum>
  <w:abstractNum w:abstractNumId="3">
    <w:nsid w:val="FFFFFF7F"/>
    <w:multiLevelType w:val="singleLevel"/>
    <w:tmpl w:val="0E6ED0DC"/>
    <w:lvl w:ilvl="0">
      <w:start w:val="1"/>
      <w:numFmt w:val="decimal"/>
      <w:lvlText w:val="%1."/>
      <w:lvlJc w:val="left"/>
      <w:pPr>
        <w:tabs>
          <w:tab w:val="num" w:pos="643"/>
        </w:tabs>
        <w:ind w:left="643" w:hanging="360"/>
      </w:pPr>
    </w:lvl>
  </w:abstractNum>
  <w:abstractNum w:abstractNumId="4">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lvlText w:val="%1."/>
      <w:lvlJc w:val="left"/>
      <w:pPr>
        <w:tabs>
          <w:tab w:val="num" w:pos="360"/>
        </w:tabs>
        <w:ind w:left="360" w:hanging="360"/>
      </w:pPr>
    </w:lvl>
  </w:abstractNum>
  <w:abstractNum w:abstractNumId="9">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5436"/>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6CF322-B0AA-4A32-8217-A75270DEC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4857</Words>
  <Characters>23900</Characters>
  <Application>Microsoft Office Word</Application>
  <DocSecurity>0</DocSecurity>
  <Lines>1138</Lines>
  <Paragraphs>777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2006 - 02-h0-01</dc:title>
  <dc:subject/>
  <dc:creator/>
  <cp:keywords/>
  <dc:description/>
  <cp:lastModifiedBy>svcMRProcess</cp:lastModifiedBy>
  <cp:revision>4</cp:revision>
  <cp:lastPrinted>2014-10-21T01:03:00Z</cp:lastPrinted>
  <dcterms:created xsi:type="dcterms:W3CDTF">2020-02-24T16:53:00Z</dcterms:created>
  <dcterms:modified xsi:type="dcterms:W3CDTF">2020-02-24T16:53:00Z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01 Jul 2018</vt:lpwstr>
  </property>
  <property fmtid="{D5CDD505-2E9C-101B-9397-08002B2CF9AE}" pid="8" name="Suffix">
    <vt:lpwstr>02-h0-01</vt:lpwstr>
  </property>
  <property fmtid="{D5CDD505-2E9C-101B-9397-08002B2CF9AE}" pid="9" name="CommencementDate">
    <vt:lpwstr>20180701</vt:lpwstr>
  </property>
</Properties>
</file>