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_Toc517941655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_Toc517941656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_Toc517941657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_Toc517941659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_Toc517941660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_Toc517941661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_Toc517941662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_Toc517941663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_Toc517941664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_Toc517941666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_Toc517941667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_Toc517941668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_Toc517941670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_Toc517941671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_Toc517941672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_Toc517941673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_Toc517941675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_Toc517941676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_Toc517941677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_Toc517941678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_Toc517941680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_Toc517941682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86428714"/>
      <w:bookmarkStart w:id="4" w:name="_Toc517941654"/>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17941655"/>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6" w:name="_Toc51794165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7" w:name="_Toc517941657"/>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8" w:name="_Toc486428718"/>
      <w:bookmarkStart w:id="9" w:name="_Toc517941658"/>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8"/>
      <w:bookmarkEnd w:id="9"/>
    </w:p>
    <w:p>
      <w:pPr>
        <w:pStyle w:val="Heading5"/>
        <w:rPr>
          <w:snapToGrid w:val="0"/>
        </w:rPr>
      </w:pPr>
      <w:bookmarkStart w:id="10" w:name="_Toc517941659"/>
      <w:r>
        <w:rPr>
          <w:rStyle w:val="CharSectno"/>
        </w:rPr>
        <w:t>4</w:t>
      </w:r>
      <w:r>
        <w:rPr>
          <w:snapToGrid w:val="0"/>
        </w:rPr>
        <w:t>.</w:t>
      </w:r>
      <w:r>
        <w:rPr>
          <w:snapToGrid w:val="0"/>
        </w:rPr>
        <w:tab/>
        <w:t>Provisions prescribed for financial bodies (Act s. 4(3))</w:t>
      </w:r>
      <w:bookmarkEnd w:id="10"/>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1" w:name="_Toc517941660"/>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1"/>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12" w:name="_Toc517941661"/>
      <w:r>
        <w:rPr>
          <w:rStyle w:val="CharSectno"/>
        </w:rPr>
        <w:t>6</w:t>
      </w:r>
      <w:r>
        <w:rPr>
          <w:snapToGrid w:val="0"/>
        </w:rPr>
        <w:t>.</w:t>
      </w:r>
      <w:r>
        <w:rPr>
          <w:snapToGrid w:val="0"/>
        </w:rPr>
        <w:tab/>
        <w:t>Act s. 38(a) does not apply to sales to minors (Act s. 4(3))</w:t>
      </w:r>
      <w:bookmarkEnd w:id="1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3" w:name="_Toc517941662"/>
      <w:r>
        <w:rPr>
          <w:rStyle w:val="CharSectno"/>
        </w:rPr>
        <w:t>7</w:t>
      </w:r>
      <w:r>
        <w:rPr>
          <w:snapToGrid w:val="0"/>
        </w:rPr>
        <w:t>.</w:t>
      </w:r>
      <w:r>
        <w:rPr>
          <w:snapToGrid w:val="0"/>
        </w:rPr>
        <w:tab/>
        <w:t>Act s. 39 does not apply in some cases (Act s. 4(3))</w:t>
      </w:r>
      <w:bookmarkEnd w:id="13"/>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14" w:name="_Toc517941663"/>
      <w:r>
        <w:rPr>
          <w:rStyle w:val="CharSectno"/>
        </w:rPr>
        <w:t>8</w:t>
      </w:r>
      <w:r>
        <w:rPr>
          <w:snapToGrid w:val="0"/>
        </w:rPr>
        <w:t>.</w:t>
      </w:r>
      <w:r>
        <w:rPr>
          <w:snapToGrid w:val="0"/>
        </w:rPr>
        <w:tab/>
        <w:t>Amount prescribed (Act s. 59(2)(b))</w:t>
      </w:r>
      <w:bookmarkEnd w:id="14"/>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5" w:name="_Toc517941664"/>
      <w:r>
        <w:rPr>
          <w:rStyle w:val="CharSectno"/>
        </w:rPr>
        <w:t>9</w:t>
      </w:r>
      <w:r>
        <w:rPr>
          <w:snapToGrid w:val="0"/>
        </w:rPr>
        <w:t>.</w:t>
      </w:r>
      <w:r>
        <w:rPr>
          <w:snapToGrid w:val="0"/>
        </w:rPr>
        <w:tab/>
        <w:t>Act s. 61 does not apply to certain goods (Act s. 4(3))</w:t>
      </w:r>
      <w:bookmarkEnd w:id="15"/>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16" w:name="_Toc486428725"/>
      <w:bookmarkStart w:id="17" w:name="_Toc517941665"/>
      <w:r>
        <w:rPr>
          <w:rStyle w:val="CharPartNo"/>
        </w:rPr>
        <w:t>Part 3</w:t>
      </w:r>
      <w:r>
        <w:rPr>
          <w:rStyle w:val="CharDivNo"/>
        </w:rPr>
        <w:t> </w:t>
      </w:r>
      <w:r>
        <w:t>—</w:t>
      </w:r>
      <w:r>
        <w:rPr>
          <w:rStyle w:val="CharDivText"/>
        </w:rPr>
        <w:t> </w:t>
      </w:r>
      <w:r>
        <w:rPr>
          <w:rStyle w:val="CharPartText"/>
        </w:rPr>
        <w:t>Matters prescribed for licence applications</w:t>
      </w:r>
      <w:bookmarkEnd w:id="16"/>
      <w:bookmarkEnd w:id="17"/>
    </w:p>
    <w:p>
      <w:pPr>
        <w:pStyle w:val="Heading5"/>
        <w:spacing w:before="180"/>
        <w:rPr>
          <w:snapToGrid w:val="0"/>
        </w:rPr>
      </w:pPr>
      <w:bookmarkStart w:id="18" w:name="_Toc517941666"/>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18"/>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19" w:name="_Toc517941667"/>
      <w:r>
        <w:rPr>
          <w:rStyle w:val="CharSectno"/>
        </w:rPr>
        <w:t>11</w:t>
      </w:r>
      <w:r>
        <w:rPr>
          <w:snapToGrid w:val="0"/>
        </w:rPr>
        <w:t>.</w:t>
      </w:r>
      <w:r>
        <w:rPr>
          <w:snapToGrid w:val="0"/>
        </w:rPr>
        <w:tab/>
        <w:t xml:space="preserve">Other evidence to accompany applications prescribed </w:t>
      </w:r>
      <w:r>
        <w:rPr>
          <w:snapToGrid w:val="0"/>
          <w:spacing w:val="-4"/>
        </w:rPr>
        <w:t>(Act s. 14(f))</w:t>
      </w:r>
      <w:bookmarkEnd w:id="19"/>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0" w:name="_Toc517941668"/>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0"/>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1" w:name="_Toc486428729"/>
      <w:bookmarkStart w:id="22" w:name="_Toc517941669"/>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1"/>
      <w:bookmarkEnd w:id="22"/>
    </w:p>
    <w:p>
      <w:pPr>
        <w:pStyle w:val="Heading5"/>
        <w:rPr>
          <w:snapToGrid w:val="0"/>
        </w:rPr>
      </w:pPr>
      <w:bookmarkStart w:id="23" w:name="_Toc517941670"/>
      <w:r>
        <w:rPr>
          <w:rStyle w:val="CharSectno"/>
        </w:rPr>
        <w:t>13</w:t>
      </w:r>
      <w:r>
        <w:rPr>
          <w:snapToGrid w:val="0"/>
        </w:rPr>
        <w:t>.</w:t>
      </w:r>
      <w:r>
        <w:rPr>
          <w:snapToGrid w:val="0"/>
        </w:rPr>
        <w:tab/>
        <w:t xml:space="preserve">Means of verifying person’s identity prescribed </w:t>
      </w:r>
      <w:r>
        <w:rPr>
          <w:snapToGrid w:val="0"/>
          <w:spacing w:val="-4"/>
        </w:rPr>
        <w:t>(Act s. 39(b))</w:t>
      </w:r>
      <w:bookmarkEnd w:id="23"/>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24" w:name="_Toc517941671"/>
      <w:r>
        <w:rPr>
          <w:rStyle w:val="CharSectno"/>
        </w:rPr>
        <w:t>13A</w:t>
      </w:r>
      <w:r>
        <w:t>.</w:t>
      </w:r>
      <w:r>
        <w:tab/>
        <w:t>Transaction cards, form and issue of</w:t>
      </w:r>
      <w:bookmarkEnd w:id="24"/>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25" w:name="_Toc517941672"/>
      <w:r>
        <w:rPr>
          <w:rStyle w:val="CharSectno"/>
        </w:rPr>
        <w:t>14</w:t>
      </w:r>
      <w:r>
        <w:rPr>
          <w:snapToGrid w:val="0"/>
        </w:rPr>
        <w:t>.</w:t>
      </w:r>
      <w:r>
        <w:rPr>
          <w:snapToGrid w:val="0"/>
        </w:rPr>
        <w:tab/>
        <w:t xml:space="preserve">Manner of keeping records prescribed </w:t>
      </w:r>
      <w:r>
        <w:rPr>
          <w:snapToGrid w:val="0"/>
          <w:spacing w:val="-4"/>
        </w:rPr>
        <w:t>(Act s. 45)</w:t>
      </w:r>
      <w:bookmarkEnd w:id="25"/>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6" w:name="_Toc517941673"/>
      <w:r>
        <w:rPr>
          <w:rStyle w:val="CharSectno"/>
        </w:rPr>
        <w:t>15</w:t>
      </w:r>
      <w:r>
        <w:rPr>
          <w:snapToGrid w:val="0"/>
        </w:rPr>
        <w:t>.</w:t>
      </w:r>
      <w:r>
        <w:rPr>
          <w:snapToGrid w:val="0"/>
        </w:rPr>
        <w:tab/>
      </w:r>
      <w:r>
        <w:rPr>
          <w:snapToGrid w:val="0"/>
          <w:spacing w:val="-4"/>
        </w:rPr>
        <w:t>Information prescribed (Act s. 79)</w:t>
      </w:r>
      <w:bookmarkEnd w:id="26"/>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27" w:name="_Toc486428734"/>
      <w:bookmarkStart w:id="28" w:name="_Toc517941674"/>
      <w:r>
        <w:rPr>
          <w:rStyle w:val="CharPartNo"/>
        </w:rPr>
        <w:t>Part 6</w:t>
      </w:r>
      <w:r>
        <w:rPr>
          <w:rStyle w:val="CharDivNo"/>
        </w:rPr>
        <w:t> </w:t>
      </w:r>
      <w:r>
        <w:t>—</w:t>
      </w:r>
      <w:r>
        <w:rPr>
          <w:rStyle w:val="CharDivText"/>
        </w:rPr>
        <w:t> </w:t>
      </w:r>
      <w:r>
        <w:rPr>
          <w:rStyle w:val="CharPartText"/>
        </w:rPr>
        <w:t>Fees</w:t>
      </w:r>
      <w:bookmarkEnd w:id="27"/>
      <w:bookmarkEnd w:id="28"/>
    </w:p>
    <w:p>
      <w:pPr>
        <w:pStyle w:val="Heading5"/>
        <w:rPr>
          <w:snapToGrid w:val="0"/>
        </w:rPr>
      </w:pPr>
      <w:bookmarkStart w:id="29" w:name="_Toc517941675"/>
      <w:r>
        <w:rPr>
          <w:rStyle w:val="CharSectno"/>
        </w:rPr>
        <w:t>28</w:t>
      </w:r>
      <w:r>
        <w:rPr>
          <w:snapToGrid w:val="0"/>
        </w:rPr>
        <w:t>.</w:t>
      </w:r>
      <w:r>
        <w:rPr>
          <w:snapToGrid w:val="0"/>
        </w:rPr>
        <w:tab/>
        <w:t>Fees prescribed for applications for licences (Act s. 13(b))</w:t>
      </w:r>
      <w:bookmarkEnd w:id="29"/>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pPr>
            <w:r>
              <w:rPr>
                <w:b/>
              </w:rPr>
              <w:t>Item</w:t>
            </w:r>
          </w:p>
        </w:tc>
        <w:tc>
          <w:tcPr>
            <w:tcW w:w="1228" w:type="pct"/>
          </w:tcPr>
          <w:p>
            <w:pPr>
              <w:pStyle w:val="TableNAm"/>
              <w:jc w:val="center"/>
            </w:pPr>
            <w:r>
              <w:rPr>
                <w:b/>
              </w:rPr>
              <w:t>Licence</w:t>
            </w:r>
          </w:p>
        </w:tc>
        <w:tc>
          <w:tcPr>
            <w:tcW w:w="1058" w:type="pct"/>
          </w:tcPr>
          <w:p>
            <w:pPr>
              <w:pStyle w:val="TableNAm"/>
              <w:jc w:val="center"/>
            </w:pPr>
            <w:r>
              <w:rPr>
                <w:b/>
              </w:rPr>
              <w:t>For period not exceeding 1 year</w:t>
            </w:r>
            <w:r>
              <w:rPr>
                <w:b/>
              </w:rPr>
              <w:br/>
            </w:r>
            <w:r>
              <w:rPr>
                <w:b/>
              </w:rPr>
              <w:br/>
            </w:r>
            <w:r>
              <w:rPr>
                <w:b/>
              </w:rPr>
              <w:br/>
              <w:t>$</w:t>
            </w:r>
          </w:p>
        </w:tc>
        <w:tc>
          <w:tcPr>
            <w:tcW w:w="1059" w:type="pct"/>
          </w:tcPr>
          <w:p>
            <w:pPr>
              <w:pStyle w:val="TableNAm"/>
              <w:jc w:val="center"/>
            </w:pPr>
            <w:r>
              <w:rPr>
                <w:b/>
              </w:rPr>
              <w:t>For period not exceeding 2 years but longer than 1 year</w:t>
            </w:r>
            <w:r>
              <w:rPr>
                <w:b/>
              </w:rPr>
              <w:br/>
              <w:t>$</w:t>
            </w:r>
          </w:p>
        </w:tc>
        <w:tc>
          <w:tcPr>
            <w:tcW w:w="1058" w:type="pct"/>
          </w:tcPr>
          <w:p>
            <w:pPr>
              <w:pStyle w:val="TableNAm"/>
              <w:jc w:val="center"/>
            </w:pPr>
            <w:r>
              <w:rPr>
                <w:b/>
              </w:rPr>
              <w:t>For period not exceeding 3 years but longer than 2 years</w:t>
            </w:r>
            <w:r>
              <w:rPr>
                <w:b/>
              </w:rPr>
              <w:br/>
              <w:t>$</w:t>
            </w:r>
          </w:p>
        </w:tc>
      </w:tr>
      <w:tr>
        <w:trPr>
          <w:cantSplit/>
        </w:trPr>
        <w:tc>
          <w:tcPr>
            <w:tcW w:w="597" w:type="pct"/>
          </w:tcPr>
          <w:p>
            <w:pPr>
              <w:pStyle w:val="TableNAm"/>
            </w:pPr>
            <w:r>
              <w:rPr>
                <w:b/>
              </w:rPr>
              <w:t>1.</w:t>
            </w:r>
          </w:p>
        </w:tc>
        <w:tc>
          <w:tcPr>
            <w:tcW w:w="1228" w:type="pct"/>
          </w:tcPr>
          <w:p>
            <w:pPr>
              <w:pStyle w:val="TableNAm"/>
            </w:pPr>
            <w:r>
              <w:rPr>
                <w:b/>
              </w:rPr>
              <w:t>Pawnbroker’s licence only</w:t>
            </w:r>
          </w:p>
        </w:tc>
        <w:tc>
          <w:tcPr>
            <w:tcW w:w="1058" w:type="pct"/>
          </w:tcPr>
          <w:p>
            <w:pPr>
              <w:pStyle w:val="z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3 761</w:t>
            </w:r>
          </w:p>
        </w:tc>
        <w:tc>
          <w:tcPr>
            <w:tcW w:w="1059" w:type="pct"/>
          </w:tcPr>
          <w:p>
            <w:pPr>
              <w:pStyle w:val="TableNAm"/>
            </w:pPr>
            <w:r>
              <w:br/>
            </w:r>
            <w:r>
              <w:br/>
              <w:t>4 577</w:t>
            </w:r>
          </w:p>
        </w:tc>
        <w:tc>
          <w:tcPr>
            <w:tcW w:w="1058" w:type="pct"/>
          </w:tcPr>
          <w:p>
            <w:pPr>
              <w:pStyle w:val="TableNAm"/>
            </w:pPr>
            <w:r>
              <w:br/>
            </w:r>
            <w:r>
              <w:br/>
              <w:t> 5377</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1 880</w:t>
            </w:r>
          </w:p>
        </w:tc>
        <w:tc>
          <w:tcPr>
            <w:tcW w:w="1059" w:type="pct"/>
          </w:tcPr>
          <w:p>
            <w:pPr>
              <w:pStyle w:val="TableNAm"/>
            </w:pPr>
            <w:r>
              <w:br/>
            </w:r>
            <w:r>
              <w:br/>
              <w:t>2 288</w:t>
            </w:r>
          </w:p>
        </w:tc>
        <w:tc>
          <w:tcPr>
            <w:tcW w:w="1058" w:type="pct"/>
          </w:tcPr>
          <w:p>
            <w:pPr>
              <w:pStyle w:val="TableNAm"/>
            </w:pPr>
            <w:r>
              <w:br/>
            </w:r>
            <w:r>
              <w:br/>
              <w:t>2 688</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940</w:t>
            </w:r>
          </w:p>
        </w:tc>
        <w:tc>
          <w:tcPr>
            <w:tcW w:w="1059" w:type="pct"/>
          </w:tcPr>
          <w:p>
            <w:pPr>
              <w:pStyle w:val="TableNAm"/>
            </w:pPr>
            <w:r>
              <w:br/>
            </w:r>
            <w:r>
              <w:br/>
              <w:t>1 144</w:t>
            </w:r>
          </w:p>
        </w:tc>
        <w:tc>
          <w:tcPr>
            <w:tcW w:w="1058" w:type="pct"/>
          </w:tcPr>
          <w:p>
            <w:pPr>
              <w:pStyle w:val="TableNAm"/>
            </w:pPr>
            <w:r>
              <w:br/>
            </w:r>
            <w:r>
              <w:br/>
              <w:t>1 344</w:t>
            </w:r>
          </w:p>
        </w:tc>
      </w:tr>
      <w:tr>
        <w:trPr>
          <w:cantSplit/>
        </w:trPr>
        <w:tc>
          <w:tcPr>
            <w:tcW w:w="597"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3 761</w:t>
            </w:r>
          </w:p>
        </w:tc>
        <w:tc>
          <w:tcPr>
            <w:tcW w:w="1059" w:type="pct"/>
          </w:tcPr>
          <w:p>
            <w:pPr>
              <w:pStyle w:val="TableNAm"/>
            </w:pPr>
            <w:r>
              <w:br/>
            </w:r>
            <w:r>
              <w:br/>
              <w:t>4 577</w:t>
            </w:r>
          </w:p>
        </w:tc>
        <w:tc>
          <w:tcPr>
            <w:tcW w:w="1058" w:type="pct"/>
          </w:tcPr>
          <w:p>
            <w:pPr>
              <w:pStyle w:val="TableNAm"/>
            </w:pPr>
            <w:r>
              <w:br/>
            </w:r>
            <w:r>
              <w:br/>
              <w:t>5 377</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1 880</w:t>
            </w:r>
          </w:p>
        </w:tc>
        <w:tc>
          <w:tcPr>
            <w:tcW w:w="1059" w:type="pct"/>
          </w:tcPr>
          <w:p>
            <w:pPr>
              <w:pStyle w:val="TableNAm"/>
            </w:pPr>
            <w:r>
              <w:br/>
            </w:r>
            <w:r>
              <w:br/>
              <w:t>2 288</w:t>
            </w:r>
          </w:p>
        </w:tc>
        <w:tc>
          <w:tcPr>
            <w:tcW w:w="1058" w:type="pct"/>
          </w:tcPr>
          <w:p>
            <w:pPr>
              <w:pStyle w:val="TableNAm"/>
            </w:pPr>
            <w:r>
              <w:br/>
            </w:r>
            <w:r>
              <w:br/>
              <w:t>2 688</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940</w:t>
            </w:r>
          </w:p>
        </w:tc>
        <w:tc>
          <w:tcPr>
            <w:tcW w:w="1059" w:type="pct"/>
          </w:tcPr>
          <w:p>
            <w:pPr>
              <w:pStyle w:val="TableNAm"/>
            </w:pPr>
            <w:r>
              <w:br/>
            </w:r>
            <w:r>
              <w:br/>
              <w:t>1 144</w:t>
            </w:r>
          </w:p>
        </w:tc>
        <w:tc>
          <w:tcPr>
            <w:tcW w:w="1058" w:type="pct"/>
          </w:tcPr>
          <w:p>
            <w:pPr>
              <w:pStyle w:val="TableNAm"/>
            </w:pPr>
            <w:r>
              <w:br/>
            </w:r>
            <w:r>
              <w:br/>
              <w:t>1 344</w:t>
            </w:r>
          </w:p>
        </w:tc>
      </w:tr>
      <w:tr>
        <w:trPr>
          <w:cantSplit/>
        </w:trPr>
        <w:tc>
          <w:tcPr>
            <w:tcW w:w="597"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3 874</w:t>
            </w:r>
          </w:p>
        </w:tc>
        <w:tc>
          <w:tcPr>
            <w:tcW w:w="1059" w:type="pct"/>
          </w:tcPr>
          <w:p>
            <w:pPr>
              <w:pStyle w:val="TableNAm"/>
            </w:pPr>
            <w:r>
              <w:br/>
            </w:r>
            <w:r>
              <w:br/>
              <w:t>4 797</w:t>
            </w:r>
          </w:p>
        </w:tc>
        <w:tc>
          <w:tcPr>
            <w:tcW w:w="1058" w:type="pct"/>
          </w:tcPr>
          <w:p>
            <w:pPr>
              <w:pStyle w:val="TableNAm"/>
            </w:pPr>
            <w:r>
              <w:br/>
            </w:r>
            <w:r>
              <w:br/>
              <w:t>5 708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1 937</w:t>
            </w:r>
          </w:p>
        </w:tc>
        <w:tc>
          <w:tcPr>
            <w:tcW w:w="1059" w:type="pct"/>
          </w:tcPr>
          <w:p>
            <w:pPr>
              <w:pStyle w:val="TableNAm"/>
            </w:pPr>
            <w:r>
              <w:br/>
            </w:r>
            <w:r>
              <w:br/>
              <w:t>2 399</w:t>
            </w:r>
          </w:p>
        </w:tc>
        <w:tc>
          <w:tcPr>
            <w:tcW w:w="1058" w:type="pct"/>
          </w:tcPr>
          <w:p>
            <w:pPr>
              <w:pStyle w:val="TableNAm"/>
            </w:pPr>
            <w:r>
              <w:br/>
            </w:r>
            <w:r>
              <w:br/>
              <w:t>2 854</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968</w:t>
            </w:r>
          </w:p>
        </w:tc>
        <w:tc>
          <w:tcPr>
            <w:tcW w:w="1059" w:type="pct"/>
          </w:tcPr>
          <w:p>
            <w:pPr>
              <w:pStyle w:val="TableNAm"/>
            </w:pPr>
            <w:r>
              <w:br/>
            </w:r>
            <w:r>
              <w:br/>
              <w:t>1 199</w:t>
            </w:r>
          </w:p>
        </w:tc>
        <w:tc>
          <w:tcPr>
            <w:tcW w:w="1058" w:type="pct"/>
          </w:tcPr>
          <w:p>
            <w:pPr>
              <w:pStyle w:val="TableNAm"/>
            </w:pPr>
            <w:r>
              <w:br/>
            </w:r>
            <w:r>
              <w:br/>
              <w:t>1 427</w:t>
            </w:r>
          </w:p>
        </w:tc>
      </w:tr>
      <w:tr>
        <w:trPr>
          <w:cantSplit/>
        </w:trPr>
        <w:tc>
          <w:tcPr>
            <w:tcW w:w="597" w:type="pct"/>
          </w:tcPr>
          <w:p>
            <w:pPr>
              <w:pStyle w:val="TableNAm"/>
              <w:keepNext/>
            </w:pPr>
            <w:r>
              <w:rPr>
                <w:b/>
              </w:rPr>
              <w:t>4.</w:t>
            </w:r>
          </w:p>
        </w:tc>
        <w:tc>
          <w:tcPr>
            <w:tcW w:w="1228" w:type="pct"/>
          </w:tcPr>
          <w:p>
            <w:pPr>
              <w:pStyle w:val="TableNAm"/>
              <w:keepNext/>
            </w:pPr>
            <w:r>
              <w:rPr>
                <w:b/>
              </w:rPr>
              <w:t>Pawnbroker’s licence and second</w:t>
            </w:r>
            <w:r>
              <w:rPr>
                <w:b/>
              </w:rPr>
              <w:noBreakHyphen/>
              <w:t>hand dealer’s licence</w:t>
            </w:r>
          </w:p>
        </w:tc>
        <w:tc>
          <w:tcPr>
            <w:tcW w:w="1058" w:type="pct"/>
          </w:tcPr>
          <w:p>
            <w:pPr>
              <w:pStyle w:val="z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3 768</w:t>
            </w:r>
          </w:p>
        </w:tc>
        <w:tc>
          <w:tcPr>
            <w:tcW w:w="1059" w:type="pct"/>
          </w:tcPr>
          <w:p>
            <w:pPr>
              <w:pStyle w:val="TableNAm"/>
            </w:pPr>
            <w:r>
              <w:br/>
            </w:r>
            <w:r>
              <w:br/>
              <w:t>4 587</w:t>
            </w:r>
          </w:p>
        </w:tc>
        <w:tc>
          <w:tcPr>
            <w:tcW w:w="1058" w:type="pct"/>
          </w:tcPr>
          <w:p>
            <w:pPr>
              <w:pStyle w:val="TableNAm"/>
            </w:pPr>
            <w:r>
              <w:br/>
            </w:r>
            <w:r>
              <w:br/>
              <w:t>5 390</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1 884</w:t>
            </w:r>
          </w:p>
        </w:tc>
        <w:tc>
          <w:tcPr>
            <w:tcW w:w="1059" w:type="pct"/>
          </w:tcPr>
          <w:p>
            <w:pPr>
              <w:pStyle w:val="TableNAm"/>
            </w:pPr>
            <w:r>
              <w:br/>
            </w:r>
            <w:r>
              <w:br/>
              <w:t>2 293</w:t>
            </w:r>
          </w:p>
        </w:tc>
        <w:tc>
          <w:tcPr>
            <w:tcW w:w="1058" w:type="pct"/>
          </w:tcPr>
          <w:p>
            <w:pPr>
              <w:pStyle w:val="TableNAm"/>
            </w:pPr>
            <w:r>
              <w:br/>
            </w:r>
            <w:r>
              <w:br/>
              <w:t>2 695</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942</w:t>
            </w:r>
          </w:p>
        </w:tc>
        <w:tc>
          <w:tcPr>
            <w:tcW w:w="1059" w:type="pct"/>
          </w:tcPr>
          <w:p>
            <w:pPr>
              <w:pStyle w:val="TableNAm"/>
            </w:pPr>
            <w:r>
              <w:br/>
            </w:r>
            <w:r>
              <w:br/>
              <w:t>1 147</w:t>
            </w:r>
          </w:p>
        </w:tc>
        <w:tc>
          <w:tcPr>
            <w:tcW w:w="1058" w:type="pct"/>
          </w:tcPr>
          <w:p>
            <w:pPr>
              <w:pStyle w:val="TableNAm"/>
            </w:pPr>
            <w:r>
              <w:br/>
            </w:r>
            <w:r>
              <w:br/>
              <w:t>1 348</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w:t>
      </w:r>
    </w:p>
    <w:p>
      <w:pPr>
        <w:pStyle w:val="Heading5"/>
        <w:rPr>
          <w:snapToGrid w:val="0"/>
          <w:spacing w:val="-4"/>
        </w:rPr>
      </w:pPr>
      <w:bookmarkStart w:id="30" w:name="_Toc517941676"/>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r>
            <w:r>
              <w:rPr>
                <w:b/>
              </w:rPr>
              <w:br/>
              <w:t>$</w:t>
            </w:r>
          </w:p>
        </w:tc>
        <w:tc>
          <w:tcPr>
            <w:tcW w:w="1080" w:type="pct"/>
          </w:tcPr>
          <w:p>
            <w:pPr>
              <w:pStyle w:val="TableNAm"/>
              <w:jc w:val="center"/>
            </w:pPr>
            <w:r>
              <w:rPr>
                <w:b/>
              </w:rPr>
              <w:t>For period not exceeding 2 years but longer than 1 year</w:t>
            </w:r>
            <w:r>
              <w:rPr>
                <w:b/>
              </w:rPr>
              <w:br/>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3 716</w:t>
            </w:r>
          </w:p>
        </w:tc>
        <w:tc>
          <w:tcPr>
            <w:tcW w:w="1080" w:type="pct"/>
          </w:tcPr>
          <w:p>
            <w:pPr>
              <w:pStyle w:val="TableNAm"/>
            </w:pPr>
            <w:r>
              <w:br/>
            </w:r>
            <w:r>
              <w:br/>
              <w:t>4 513</w:t>
            </w:r>
          </w:p>
        </w:tc>
        <w:tc>
          <w:tcPr>
            <w:tcW w:w="1015" w:type="pct"/>
          </w:tcPr>
          <w:p>
            <w:pPr>
              <w:pStyle w:val="TableNAm"/>
            </w:pPr>
            <w:r>
              <w:br/>
            </w:r>
            <w:r>
              <w:br/>
              <w:t>5 295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1 858</w:t>
            </w:r>
          </w:p>
        </w:tc>
        <w:tc>
          <w:tcPr>
            <w:tcW w:w="1080" w:type="pct"/>
          </w:tcPr>
          <w:p>
            <w:pPr>
              <w:pStyle w:val="TableNAm"/>
            </w:pPr>
            <w:r>
              <w:br/>
            </w:r>
            <w:r>
              <w:br/>
              <w:t>2 256</w:t>
            </w:r>
          </w:p>
        </w:tc>
        <w:tc>
          <w:tcPr>
            <w:tcW w:w="1015" w:type="pct"/>
          </w:tcPr>
          <w:p>
            <w:pPr>
              <w:pStyle w:val="TableNAm"/>
            </w:pPr>
            <w:r>
              <w:br/>
            </w:r>
            <w:r>
              <w:br/>
              <w:t>2 648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929</w:t>
            </w:r>
          </w:p>
        </w:tc>
        <w:tc>
          <w:tcPr>
            <w:tcW w:w="1080" w:type="pct"/>
          </w:tcPr>
          <w:p>
            <w:pPr>
              <w:pStyle w:val="TableNAm"/>
            </w:pPr>
            <w:r>
              <w:br/>
            </w:r>
            <w:r>
              <w:br/>
              <w:t>1 128</w:t>
            </w:r>
          </w:p>
        </w:tc>
        <w:tc>
          <w:tcPr>
            <w:tcW w:w="1015" w:type="pct"/>
          </w:tcPr>
          <w:p>
            <w:pPr>
              <w:pStyle w:val="TableNAm"/>
            </w:pPr>
            <w:r>
              <w:br/>
            </w:r>
            <w:r>
              <w:br/>
              <w:t>1 324</w:t>
            </w:r>
          </w:p>
        </w:tc>
      </w:tr>
      <w:tr>
        <w:trPr>
          <w:cantSplit/>
        </w:trPr>
        <w:tc>
          <w:tcPr>
            <w:tcW w:w="598" w:type="pct"/>
          </w:tcPr>
          <w:p>
            <w:pPr>
              <w:pStyle w:val="TableNAm"/>
              <w:keepNext/>
            </w:pPr>
            <w:r>
              <w:rPr>
                <w:b/>
              </w:rPr>
              <w:t>2.</w:t>
            </w:r>
          </w:p>
        </w:tc>
        <w:tc>
          <w:tcPr>
            <w:tcW w:w="1228" w:type="pct"/>
          </w:tcPr>
          <w:p>
            <w:pPr>
              <w:pStyle w:val="TableNAm"/>
              <w:keepNext/>
            </w:pPr>
            <w:r>
              <w:rPr>
                <w:b/>
              </w:rPr>
              <w:t>Second</w:t>
            </w:r>
            <w:r>
              <w:rPr>
                <w:b/>
              </w:rPr>
              <w:noBreakHyphen/>
              <w:t>hand dealer’s licence only (computer option)</w:t>
            </w:r>
          </w:p>
        </w:tc>
        <w:tc>
          <w:tcPr>
            <w:tcW w:w="1079" w:type="pct"/>
          </w:tcPr>
          <w:p>
            <w:pPr>
              <w:pStyle w:val="zTableNAm"/>
              <w:keepNext/>
              <w:keepLines/>
              <w:widowControl w:val="0"/>
            </w:pPr>
          </w:p>
        </w:tc>
        <w:tc>
          <w:tcPr>
            <w:tcW w:w="1080" w:type="pct"/>
          </w:tcPr>
          <w:p>
            <w:pPr>
              <w:pStyle w:val="TableNAm"/>
            </w:pPr>
          </w:p>
        </w:tc>
        <w:tc>
          <w:tcPr>
            <w:tcW w:w="1015" w:type="pct"/>
          </w:tcPr>
          <w:p>
            <w:pPr>
              <w:pStyle w:val="TableNAm"/>
              <w:keepNext/>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3 716</w:t>
            </w:r>
          </w:p>
        </w:tc>
        <w:tc>
          <w:tcPr>
            <w:tcW w:w="1080" w:type="pct"/>
          </w:tcPr>
          <w:p>
            <w:pPr>
              <w:pStyle w:val="TableNAm"/>
            </w:pPr>
            <w:r>
              <w:br/>
            </w:r>
            <w:r>
              <w:br/>
              <w:t>4 513</w:t>
            </w:r>
          </w:p>
        </w:tc>
        <w:tc>
          <w:tcPr>
            <w:tcW w:w="1015" w:type="pct"/>
          </w:tcPr>
          <w:p>
            <w:pPr>
              <w:pStyle w:val="TableNAm"/>
            </w:pPr>
            <w:r>
              <w:br/>
            </w:r>
            <w:r>
              <w:br/>
              <w:t>5 295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1 858</w:t>
            </w:r>
          </w:p>
        </w:tc>
        <w:tc>
          <w:tcPr>
            <w:tcW w:w="1080" w:type="pct"/>
          </w:tcPr>
          <w:p>
            <w:pPr>
              <w:pStyle w:val="TableNAm"/>
            </w:pPr>
            <w:r>
              <w:br/>
            </w:r>
            <w:r>
              <w:br/>
              <w:t>2 256</w:t>
            </w:r>
          </w:p>
        </w:tc>
        <w:tc>
          <w:tcPr>
            <w:tcW w:w="1015" w:type="pct"/>
          </w:tcPr>
          <w:p>
            <w:pPr>
              <w:pStyle w:val="TableNAm"/>
            </w:pPr>
            <w:r>
              <w:br/>
            </w:r>
            <w:r>
              <w:br/>
              <w:t>2 648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929</w:t>
            </w:r>
          </w:p>
        </w:tc>
        <w:tc>
          <w:tcPr>
            <w:tcW w:w="1080" w:type="pct"/>
          </w:tcPr>
          <w:p>
            <w:pPr>
              <w:pStyle w:val="TableNAm"/>
            </w:pPr>
            <w:r>
              <w:br/>
            </w:r>
            <w:r>
              <w:br/>
              <w:t>1 128</w:t>
            </w:r>
          </w:p>
        </w:tc>
        <w:tc>
          <w:tcPr>
            <w:tcW w:w="1015" w:type="pct"/>
          </w:tcPr>
          <w:p>
            <w:pPr>
              <w:pStyle w:val="TableNAm"/>
            </w:pPr>
            <w:r>
              <w:br/>
            </w:r>
            <w:r>
              <w:br/>
              <w:t>1 324</w:t>
            </w:r>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3 828</w:t>
            </w:r>
          </w:p>
        </w:tc>
        <w:tc>
          <w:tcPr>
            <w:tcW w:w="1080" w:type="pct"/>
          </w:tcPr>
          <w:p>
            <w:pPr>
              <w:pStyle w:val="TableNAm"/>
            </w:pPr>
            <w:r>
              <w:br/>
            </w:r>
            <w:r>
              <w:br/>
              <w:t>4 734</w:t>
            </w:r>
          </w:p>
        </w:tc>
        <w:tc>
          <w:tcPr>
            <w:tcW w:w="1015" w:type="pct"/>
          </w:tcPr>
          <w:p>
            <w:pPr>
              <w:pStyle w:val="TableNAm"/>
            </w:pPr>
            <w:r>
              <w:br/>
            </w:r>
            <w:r>
              <w:br/>
              <w:t>5 625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1 914</w:t>
            </w:r>
          </w:p>
        </w:tc>
        <w:tc>
          <w:tcPr>
            <w:tcW w:w="1080" w:type="pct"/>
          </w:tcPr>
          <w:p>
            <w:pPr>
              <w:pStyle w:val="TableNAm"/>
            </w:pPr>
            <w:r>
              <w:br/>
            </w:r>
            <w:r>
              <w:br/>
              <w:t>2 367</w:t>
            </w:r>
          </w:p>
        </w:tc>
        <w:tc>
          <w:tcPr>
            <w:tcW w:w="1015" w:type="pct"/>
          </w:tcPr>
          <w:p>
            <w:pPr>
              <w:pStyle w:val="TableNAm"/>
            </w:pPr>
            <w:r>
              <w:br/>
            </w:r>
            <w:r>
              <w:br/>
              <w:t>2 813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957</w:t>
            </w:r>
          </w:p>
        </w:tc>
        <w:tc>
          <w:tcPr>
            <w:tcW w:w="1080" w:type="pct"/>
          </w:tcPr>
          <w:p>
            <w:pPr>
              <w:pStyle w:val="TableNAm"/>
            </w:pPr>
            <w:r>
              <w:br/>
            </w:r>
            <w:r>
              <w:br/>
              <w:t>1 184</w:t>
            </w:r>
          </w:p>
        </w:tc>
        <w:tc>
          <w:tcPr>
            <w:tcW w:w="1015" w:type="pct"/>
          </w:tcPr>
          <w:p>
            <w:pPr>
              <w:pStyle w:val="TableNAm"/>
            </w:pPr>
            <w:r>
              <w:br/>
            </w:r>
            <w:r>
              <w:br/>
              <w:t>1 406</w:t>
            </w:r>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3 723</w:t>
            </w:r>
          </w:p>
        </w:tc>
        <w:tc>
          <w:tcPr>
            <w:tcW w:w="1080" w:type="pct"/>
          </w:tcPr>
          <w:p>
            <w:pPr>
              <w:pStyle w:val="TableNAm"/>
            </w:pPr>
            <w:r>
              <w:br/>
            </w:r>
            <w:r>
              <w:br/>
              <w:t>4 523</w:t>
            </w:r>
          </w:p>
        </w:tc>
        <w:tc>
          <w:tcPr>
            <w:tcW w:w="1015" w:type="pct"/>
          </w:tcPr>
          <w:p>
            <w:pPr>
              <w:pStyle w:val="TableNAm"/>
            </w:pPr>
            <w:r>
              <w:br/>
            </w:r>
            <w:r>
              <w:br/>
              <w:t>5307</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1 861</w:t>
            </w:r>
          </w:p>
        </w:tc>
        <w:tc>
          <w:tcPr>
            <w:tcW w:w="1080" w:type="pct"/>
          </w:tcPr>
          <w:p>
            <w:pPr>
              <w:pStyle w:val="TableNAm"/>
            </w:pPr>
            <w:r>
              <w:br/>
            </w:r>
            <w:r>
              <w:br/>
              <w:t>2 261</w:t>
            </w:r>
          </w:p>
        </w:tc>
        <w:tc>
          <w:tcPr>
            <w:tcW w:w="1015" w:type="pct"/>
          </w:tcPr>
          <w:p>
            <w:pPr>
              <w:pStyle w:val="TableNAm"/>
            </w:pPr>
            <w:r>
              <w:br/>
            </w:r>
            <w:r>
              <w:br/>
              <w:t>2 654</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931</w:t>
            </w:r>
          </w:p>
        </w:tc>
        <w:tc>
          <w:tcPr>
            <w:tcW w:w="1080" w:type="pct"/>
          </w:tcPr>
          <w:p>
            <w:pPr>
              <w:pStyle w:val="TableNAm"/>
            </w:pPr>
            <w:r>
              <w:br/>
            </w:r>
            <w:r>
              <w:br/>
              <w:t>1 131</w:t>
            </w:r>
          </w:p>
        </w:tc>
        <w:tc>
          <w:tcPr>
            <w:tcW w:w="1015" w:type="pct"/>
          </w:tcPr>
          <w:p>
            <w:pPr>
              <w:pStyle w:val="TableNAm"/>
            </w:pPr>
            <w:r>
              <w:br/>
            </w:r>
            <w:r>
              <w:br/>
              <w:t>1 327</w:t>
            </w:r>
          </w:p>
        </w:tc>
      </w:tr>
    </w:tbl>
    <w:p>
      <w:pPr>
        <w:pStyle w:val="BlankClose"/>
      </w:pPr>
    </w:p>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w:t>
      </w:r>
      <w:r>
        <w:t>.]</w:t>
      </w:r>
    </w:p>
    <w:p>
      <w:pPr>
        <w:pStyle w:val="Heading5"/>
        <w:rPr>
          <w:snapToGrid w:val="0"/>
        </w:rPr>
      </w:pPr>
      <w:bookmarkStart w:id="31" w:name="_Toc517941677"/>
      <w:r>
        <w:rPr>
          <w:rStyle w:val="CharSectno"/>
        </w:rPr>
        <w:t>30</w:t>
      </w:r>
      <w:r>
        <w:rPr>
          <w:snapToGrid w:val="0"/>
        </w:rPr>
        <w:t>.</w:t>
      </w:r>
      <w:r>
        <w:rPr>
          <w:snapToGrid w:val="0"/>
        </w:rPr>
        <w:tab/>
        <w:t>Refund of fees, when payable</w:t>
      </w:r>
      <w:bookmarkEnd w:id="31"/>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2" w:name="_Toc517941678"/>
      <w:r>
        <w:rPr>
          <w:rStyle w:val="CharSectno"/>
          <w:spacing w:val="-4"/>
        </w:rPr>
        <w:t>31</w:t>
      </w:r>
      <w:r>
        <w:rPr>
          <w:snapToGrid w:val="0"/>
          <w:spacing w:val="-4"/>
        </w:rPr>
        <w:t>.</w:t>
      </w:r>
      <w:r>
        <w:rPr>
          <w:snapToGrid w:val="0"/>
          <w:spacing w:val="-4"/>
        </w:rPr>
        <w:tab/>
        <w:t>Fee prescribed for inspecting register (Act s. 28(2))</w:t>
      </w:r>
      <w:bookmarkEnd w:id="3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3" w:name="_Toc486428739"/>
      <w:bookmarkStart w:id="34" w:name="_Toc517941679"/>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3"/>
      <w:bookmarkEnd w:id="34"/>
    </w:p>
    <w:p>
      <w:pPr>
        <w:pStyle w:val="Footnoteheading"/>
      </w:pPr>
      <w:r>
        <w:tab/>
        <w:t>[Heading inserted: Gazette 28 Jul 2000 p. 4025.]</w:t>
      </w:r>
    </w:p>
    <w:p>
      <w:pPr>
        <w:pStyle w:val="Heading5"/>
      </w:pPr>
      <w:bookmarkStart w:id="35" w:name="_Toc517941680"/>
      <w:r>
        <w:rPr>
          <w:rStyle w:val="CharSectno"/>
        </w:rPr>
        <w:t>32</w:t>
      </w:r>
      <w:r>
        <w:t>.</w:t>
      </w:r>
      <w:r>
        <w:tab/>
        <w:t>Offences and modified penalties prescribed (Act s. 90)</w:t>
      </w:r>
      <w:bookmarkEnd w:id="35"/>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6" w:name="_Toc486428741"/>
      <w:bookmarkStart w:id="37" w:name="_Toc517941681"/>
      <w:r>
        <w:t>Notes</w:t>
      </w:r>
      <w:bookmarkEnd w:id="36"/>
      <w:bookmarkEnd w:id="37"/>
    </w:p>
    <w:p>
      <w:pPr>
        <w:pStyle w:val="nSubsection"/>
      </w:pPr>
      <w:r>
        <w:rPr>
          <w:vertAlign w:val="superscript"/>
        </w:rPr>
        <w:t>1</w:t>
      </w:r>
      <w:r>
        <w:tab/>
        <w:t xml:space="preserve">This is a compilation of the </w:t>
      </w:r>
      <w:r>
        <w:rPr>
          <w:i/>
          <w:noProof/>
        </w:rPr>
        <w:t>Pawnbrokers and Second-hand Dealers Regulations 1996</w:t>
      </w:r>
      <w:r>
        <w:t xml:space="preserve"> and includes the amendments made by the other written laws referred to in the following table.  The table also contains information about any reprint.</w:t>
      </w:r>
    </w:p>
    <w:p>
      <w:pPr>
        <w:pStyle w:val="nHeading3"/>
        <w:rPr>
          <w:snapToGrid w:val="0"/>
        </w:rPr>
      </w:pPr>
      <w:bookmarkStart w:id="38" w:name="_Toc517941682"/>
      <w:r>
        <w:rPr>
          <w:snapToGrid w:val="0"/>
        </w:rP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9" w:type="dxa"/>
            <w:tcBorders>
              <w:bottom w:val="single" w:sz="4" w:space="0" w:color="auto"/>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bottom w:val="single" w:sz="4" w:space="0" w:color="auto"/>
            </w:tcBorders>
            <w:shd w:val="clear" w:color="auto" w:fill="auto"/>
          </w:tcPr>
          <w:p>
            <w:pPr>
              <w:pStyle w:val="nTable"/>
              <w:spacing w:after="40"/>
            </w:pPr>
            <w:r>
              <w:t>26 Jun 2018 p. 2392</w:t>
            </w:r>
            <w:r>
              <w:noBreakHyphen/>
              <w:t>400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pPr>
    </w:p>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40" w:name="_Toc486428743"/>
      <w:bookmarkStart w:id="41" w:name="_Toc517941683"/>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6913</Words>
  <Characters>32149</Characters>
  <Application>Microsoft Office Word</Application>
  <DocSecurity>0</DocSecurity>
  <Lines>1891</Lines>
  <Paragraphs>908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1996 - 05-c0-02</dc:title>
  <dc:subject/>
  <dc:creator/>
  <cp:keywords/>
  <dc:description/>
  <cp:lastModifiedBy>svcMRProcess</cp:lastModifiedBy>
  <cp:revision>4</cp:revision>
  <cp:lastPrinted>2016-11-14T04:52:00Z</cp:lastPrinted>
  <dcterms:created xsi:type="dcterms:W3CDTF">2019-01-24T08:32:00Z</dcterms:created>
  <dcterms:modified xsi:type="dcterms:W3CDTF">2019-01-24T08:32:00Z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20180701</vt:lpwstr>
  </property>
  <property fmtid="{D5CDD505-2E9C-101B-9397-08002B2CF9AE}" pid="8" name="AsAtDate">
    <vt:lpwstr>01 Jul 2018</vt:lpwstr>
  </property>
  <property fmtid="{D5CDD505-2E9C-101B-9397-08002B2CF9AE}" pid="9" name="Suffix">
    <vt:lpwstr>05-c0-02</vt:lpwstr>
  </property>
</Properties>
</file>