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Duties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Duties Regulations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Regulations 2008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_Toc517950380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_Toc517950381 \h </w:instrText>
      </w:r>
      <w:r>
        <w:fldChar w:fldCharType="separate"/>
      </w:r>
      <w:r>
        <w:t>1</w:t>
      </w:r>
      <w:r>
        <w:fldChar w:fldCharType="end"/>
      </w:r>
    </w:p>
    <w:p>
      <w:pPr>
        <w:pStyle w:val="TOC8"/>
        <w:rPr>
          <w:rFonts w:asciiTheme="minorHAnsi" w:eastAsiaTheme="minorEastAsia" w:hAnsiTheme="minorHAnsi" w:cstheme="minorBidi"/>
          <w:szCs w:val="22"/>
        </w:rPr>
      </w:pPr>
      <w:r>
        <w:t>3.</w:t>
      </w:r>
      <w:r>
        <w:tab/>
        <w:t>Financial markets prescribed (Act s. 3)</w:t>
      </w:r>
      <w:r>
        <w:tab/>
      </w:r>
      <w:r>
        <w:fldChar w:fldCharType="begin"/>
      </w:r>
      <w:r>
        <w:instrText xml:space="preserve"> PAGEREF _Toc517950382 \h </w:instrText>
      </w:r>
      <w:r>
        <w:fldChar w:fldCharType="separate"/>
      </w:r>
      <w:r>
        <w:t>1</w:t>
      </w:r>
      <w:r>
        <w:fldChar w:fldCharType="end"/>
      </w:r>
    </w:p>
    <w:p>
      <w:pPr>
        <w:pStyle w:val="TOC8"/>
        <w:rPr>
          <w:rFonts w:asciiTheme="minorHAnsi" w:eastAsiaTheme="minorEastAsia" w:hAnsiTheme="minorHAnsi" w:cstheme="minorBidi"/>
          <w:szCs w:val="22"/>
        </w:rPr>
      </w:pPr>
      <w:r>
        <w:t>4.</w:t>
      </w:r>
      <w:r>
        <w:tab/>
        <w:t>Excluded transactions prescribed (Act s. 11(2))</w:t>
      </w:r>
      <w:r>
        <w:tab/>
      </w:r>
      <w:r>
        <w:fldChar w:fldCharType="begin"/>
      </w:r>
      <w:r>
        <w:instrText xml:space="preserve"> PAGEREF _Toc517950383 \h </w:instrText>
      </w:r>
      <w:r>
        <w:fldChar w:fldCharType="separate"/>
      </w:r>
      <w:r>
        <w:t>1</w:t>
      </w:r>
      <w:r>
        <w:fldChar w:fldCharType="end"/>
      </w:r>
    </w:p>
    <w:p>
      <w:pPr>
        <w:pStyle w:val="TOC8"/>
        <w:rPr>
          <w:rFonts w:asciiTheme="minorHAnsi" w:eastAsiaTheme="minorEastAsia" w:hAnsiTheme="minorHAnsi" w:cstheme="minorBidi"/>
          <w:szCs w:val="22"/>
        </w:rPr>
      </w:pPr>
      <w:r>
        <w:t>5A.</w:t>
      </w:r>
      <w:r>
        <w:tab/>
        <w:t>Dutiable property prescribed (Act s. 18(h))</w:t>
      </w:r>
      <w:r>
        <w:tab/>
      </w:r>
      <w:r>
        <w:fldChar w:fldCharType="begin"/>
      </w:r>
      <w:r>
        <w:instrText xml:space="preserve"> PAGEREF _Toc517950384 \h </w:instrText>
      </w:r>
      <w:r>
        <w:fldChar w:fldCharType="separate"/>
      </w:r>
      <w:r>
        <w:t>3</w:t>
      </w:r>
      <w:r>
        <w:fldChar w:fldCharType="end"/>
      </w:r>
    </w:p>
    <w:p>
      <w:pPr>
        <w:pStyle w:val="TOC8"/>
        <w:rPr>
          <w:rFonts w:asciiTheme="minorHAnsi" w:eastAsiaTheme="minorEastAsia" w:hAnsiTheme="minorHAnsi" w:cstheme="minorBidi"/>
          <w:szCs w:val="22"/>
        </w:rPr>
      </w:pPr>
      <w:r>
        <w:t>5B.</w:t>
      </w:r>
      <w:r>
        <w:tab/>
        <w:t>Dutiable transactions prescribed (Act s. 140)</w:t>
      </w:r>
      <w:r>
        <w:tab/>
      </w:r>
      <w:r>
        <w:fldChar w:fldCharType="begin"/>
      </w:r>
      <w:r>
        <w:instrText xml:space="preserve"> PAGEREF _Toc517950385 \h </w:instrText>
      </w:r>
      <w:r>
        <w:fldChar w:fldCharType="separate"/>
      </w:r>
      <w:r>
        <w:t>3</w:t>
      </w:r>
      <w:r>
        <w:fldChar w:fldCharType="end"/>
      </w:r>
    </w:p>
    <w:p>
      <w:pPr>
        <w:pStyle w:val="TOC8"/>
        <w:rPr>
          <w:rFonts w:asciiTheme="minorHAnsi" w:eastAsiaTheme="minorEastAsia" w:hAnsiTheme="minorHAnsi" w:cstheme="minorBidi"/>
          <w:szCs w:val="22"/>
        </w:rPr>
      </w:pPr>
      <w:r>
        <w:t>5.</w:t>
      </w:r>
      <w:r>
        <w:tab/>
        <w:t>Information and particulars prescribed (Act s. 203(1)(b))</w:t>
      </w:r>
      <w:r>
        <w:tab/>
      </w:r>
      <w:r>
        <w:fldChar w:fldCharType="begin"/>
      </w:r>
      <w:r>
        <w:instrText xml:space="preserve"> PAGEREF _Toc517950386 \h </w:instrText>
      </w:r>
      <w:r>
        <w:fldChar w:fldCharType="separate"/>
      </w:r>
      <w:r>
        <w:t>4</w:t>
      </w:r>
      <w:r>
        <w:fldChar w:fldCharType="end"/>
      </w:r>
    </w:p>
    <w:p>
      <w:pPr>
        <w:pStyle w:val="TOC8"/>
        <w:rPr>
          <w:rFonts w:asciiTheme="minorHAnsi" w:eastAsiaTheme="minorEastAsia" w:hAnsiTheme="minorHAnsi" w:cstheme="minorBidi"/>
          <w:szCs w:val="22"/>
        </w:rPr>
      </w:pPr>
      <w:r>
        <w:t>6.</w:t>
      </w:r>
      <w:r>
        <w:tab/>
        <w:t>Classes of new vehicles prescribed (Act s. 237(1)(b))</w:t>
      </w:r>
      <w:r>
        <w:tab/>
      </w:r>
      <w:r>
        <w:fldChar w:fldCharType="begin"/>
      </w:r>
      <w:r>
        <w:instrText xml:space="preserve"> PAGEREF _Toc517950387 \h </w:instrText>
      </w:r>
      <w:r>
        <w:fldChar w:fldCharType="separate"/>
      </w:r>
      <w:r>
        <w:t>5</w:t>
      </w:r>
      <w:r>
        <w:fldChar w:fldCharType="end"/>
      </w:r>
    </w:p>
    <w:p>
      <w:pPr>
        <w:pStyle w:val="TOC8"/>
        <w:rPr>
          <w:rFonts w:asciiTheme="minorHAnsi" w:eastAsiaTheme="minorEastAsia" w:hAnsiTheme="minorHAnsi" w:cstheme="minorBidi"/>
          <w:szCs w:val="22"/>
        </w:rPr>
      </w:pPr>
      <w:r>
        <w:t>7.</w:t>
      </w:r>
      <w:r>
        <w:tab/>
        <w:t>Classes of vehicles, persons and purposes prescribed (Act s. 244)</w:t>
      </w:r>
      <w:r>
        <w:tab/>
      </w:r>
      <w:r>
        <w:fldChar w:fldCharType="begin"/>
      </w:r>
      <w:r>
        <w:instrText xml:space="preserve"> PAGEREF _Toc517950388 \h </w:instrText>
      </w:r>
      <w:r>
        <w:fldChar w:fldCharType="separate"/>
      </w:r>
      <w:r>
        <w:t>6</w:t>
      </w:r>
      <w:r>
        <w:fldChar w:fldCharType="end"/>
      </w:r>
    </w:p>
    <w:p>
      <w:pPr>
        <w:pStyle w:val="TOC8"/>
        <w:rPr>
          <w:rFonts w:asciiTheme="minorHAnsi" w:eastAsiaTheme="minorEastAsia" w:hAnsiTheme="minorHAnsi" w:cstheme="minorBidi"/>
          <w:szCs w:val="22"/>
        </w:rPr>
      </w:pPr>
      <w:r>
        <w:t>8.</w:t>
      </w:r>
      <w:r>
        <w:tab/>
        <w:t>Records prescribed (Act s. 256(a))</w:t>
      </w:r>
      <w:r>
        <w:tab/>
      </w:r>
      <w:r>
        <w:fldChar w:fldCharType="begin"/>
      </w:r>
      <w:r>
        <w:instrText xml:space="preserve"> PAGEREF _Toc517950389 \h </w:instrText>
      </w:r>
      <w:r>
        <w:fldChar w:fldCharType="separate"/>
      </w:r>
      <w:r>
        <w:t>8</w:t>
      </w:r>
      <w:r>
        <w:fldChar w:fldCharType="end"/>
      </w:r>
    </w:p>
    <w:p>
      <w:pPr>
        <w:pStyle w:val="TOC8"/>
        <w:rPr>
          <w:rFonts w:asciiTheme="minorHAnsi" w:eastAsiaTheme="minorEastAsia" w:hAnsiTheme="minorHAnsi" w:cstheme="minorBidi"/>
          <w:szCs w:val="22"/>
        </w:rPr>
      </w:pPr>
      <w:r>
        <w:t>9A.</w:t>
      </w:r>
      <w:r>
        <w:tab/>
        <w:t>Records to be kept (Act s. 285(2))</w:t>
      </w:r>
      <w:r>
        <w:tab/>
      </w:r>
      <w:r>
        <w:fldChar w:fldCharType="begin"/>
      </w:r>
      <w:r>
        <w:instrText xml:space="preserve"> PAGEREF _Toc517950390 \h </w:instrText>
      </w:r>
      <w:r>
        <w:fldChar w:fldCharType="separate"/>
      </w:r>
      <w:r>
        <w:t>9</w:t>
      </w:r>
      <w:r>
        <w:fldChar w:fldCharType="end"/>
      </w:r>
    </w:p>
    <w:p>
      <w:pPr>
        <w:pStyle w:val="TOC8"/>
        <w:rPr>
          <w:rFonts w:asciiTheme="minorHAnsi" w:eastAsiaTheme="minorEastAsia" w:hAnsiTheme="minorHAnsi" w:cstheme="minorBidi"/>
          <w:szCs w:val="22"/>
        </w:rPr>
      </w:pPr>
      <w:r>
        <w:t>9.</w:t>
      </w:r>
      <w:r>
        <w:tab/>
        <w:t>Act Sch. 3 cl. 13(1) varied (Act Sch. 3 cl. 27(1)(b))</w:t>
      </w:r>
      <w:r>
        <w:tab/>
      </w:r>
      <w:r>
        <w:fldChar w:fldCharType="begin"/>
      </w:r>
      <w:r>
        <w:instrText xml:space="preserve"> PAGEREF _Toc517950391 \h </w:instrText>
      </w:r>
      <w:r>
        <w:fldChar w:fldCharType="separate"/>
      </w:r>
      <w:r>
        <w:t>9</w:t>
      </w:r>
      <w:r>
        <w:fldChar w:fldCharType="end"/>
      </w:r>
    </w:p>
    <w:p>
      <w:pPr>
        <w:pStyle w:val="TOC8"/>
        <w:rPr>
          <w:rFonts w:asciiTheme="minorHAnsi" w:eastAsiaTheme="minorEastAsia" w:hAnsiTheme="minorHAnsi" w:cstheme="minorBidi"/>
          <w:szCs w:val="22"/>
        </w:rPr>
      </w:pPr>
      <w:r>
        <w:t>10.</w:t>
      </w:r>
      <w:r>
        <w:tab/>
        <w:t>Consideration for the grant of a lease, ascertaining</w:t>
      </w:r>
      <w:r>
        <w:tab/>
      </w:r>
      <w:r>
        <w:fldChar w:fldCharType="begin"/>
      </w:r>
      <w:r>
        <w:instrText xml:space="preserve"> PAGEREF _Toc517950392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_Toc517950394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Duties Act 2008</w:t>
      </w:r>
    </w:p>
    <w:p>
      <w:pPr>
        <w:pStyle w:val="NameofActReg"/>
      </w:pPr>
      <w:r>
        <w:t>Duties Regulations 2008</w:t>
      </w:r>
    </w:p>
    <w:p>
      <w:pPr>
        <w:pStyle w:val="Heading5"/>
      </w:pPr>
      <w:bookmarkStart w:id="3" w:name="_Toc517950380"/>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Duties Regulations 2008</w:t>
      </w:r>
      <w:r>
        <w:rPr>
          <w:vertAlign w:val="superscript"/>
        </w:rPr>
        <w:t> 1</w:t>
      </w:r>
      <w:r>
        <w:t>.</w:t>
      </w:r>
    </w:p>
    <w:p>
      <w:pPr>
        <w:pStyle w:val="Heading5"/>
        <w:rPr>
          <w:spacing w:val="-2"/>
        </w:rPr>
      </w:pPr>
      <w:bookmarkStart w:id="5" w:name="_Toc51795038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rPr>
          <w:vertAlign w:val="superscript"/>
        </w:rPr>
        <w:t> 1</w:t>
      </w:r>
      <w:r>
        <w:t>;</w:t>
      </w:r>
    </w:p>
    <w:p>
      <w:pPr>
        <w:pStyle w:val="Indenta"/>
      </w:pPr>
      <w:r>
        <w:tab/>
        <w:t>(b)</w:t>
      </w:r>
      <w:r>
        <w:tab/>
        <w:t>the rest of the regulations — on 1 July 2008.</w:t>
      </w:r>
    </w:p>
    <w:p>
      <w:pPr>
        <w:pStyle w:val="Heading5"/>
      </w:pPr>
      <w:bookmarkStart w:id="6" w:name="_Toc517950382"/>
      <w:r>
        <w:rPr>
          <w:rStyle w:val="CharSectno"/>
        </w:rPr>
        <w:t>3</w:t>
      </w:r>
      <w:r>
        <w:t>.</w:t>
      </w:r>
      <w:r>
        <w:tab/>
        <w:t>Financial markets prescribed (Act s. 3)</w:t>
      </w:r>
      <w:bookmarkEnd w:id="6"/>
    </w:p>
    <w:p>
      <w:pPr>
        <w:pStyle w:val="Subsection"/>
      </w:pPr>
      <w:r>
        <w:tab/>
      </w:r>
      <w:r>
        <w:tab/>
        <w:t xml:space="preserve">For the purposes of the definition of </w:t>
      </w:r>
      <w:r>
        <w:rPr>
          <w:b/>
          <w:i/>
        </w:rPr>
        <w:t>prescribed financial market</w:t>
      </w:r>
      <w:r>
        <w:t xml:space="preserve">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pPr>
      <w:bookmarkStart w:id="7" w:name="_Toc517950383"/>
      <w:r>
        <w:t>4.</w:t>
      </w:r>
      <w:r>
        <w:tab/>
        <w:t>Excluded transactions prescribed (Act s. 11(2))</w:t>
      </w:r>
      <w:bookmarkEnd w:id="7"/>
    </w:p>
    <w:p>
      <w:pPr>
        <w:pStyle w:val="Subsection"/>
        <w:keepLines/>
      </w:pPr>
      <w:r>
        <w:tab/>
        <w:t>(1)</w:t>
      </w:r>
      <w:r>
        <w:tab/>
        <w:t xml:space="preserve">For the purposes of section 11 of the Act, each of the following transactions is prescribed as an excluded transaction — </w:t>
      </w:r>
    </w:p>
    <w:p>
      <w:pPr>
        <w:pStyle w:val="Indenta"/>
      </w:pPr>
      <w:r>
        <w:tab/>
        <w:t>(a)</w:t>
      </w:r>
      <w:r>
        <w:tab/>
        <w:t xml:space="preserve">the vesting of a security interest under the </w:t>
      </w:r>
      <w:r>
        <w:rPr>
          <w:i/>
        </w:rPr>
        <w:t>Financial Sector (Business Transfer and Group Restructure) Act 1999</w:t>
      </w:r>
      <w:r>
        <w:t xml:space="preserve"> (Commonwealth) Part 3;</w:t>
      </w:r>
    </w:p>
    <w:p>
      <w:pPr>
        <w:pStyle w:val="Indenta"/>
      </w:pPr>
      <w:r>
        <w:tab/>
        <w:t>(b)</w:t>
      </w:r>
      <w:r>
        <w:tab/>
        <w:t>a transaction the subject of which is an interest in a partnership, unless the transaction is a partnership acquisition under section 11(1)(i) of the Act;</w:t>
      </w:r>
    </w:p>
    <w:p>
      <w:pPr>
        <w:pStyle w:val="Indenta"/>
      </w:pPr>
      <w:r>
        <w:tab/>
        <w:t>(c)</w:t>
      </w:r>
      <w:r>
        <w:tab/>
        <w:t xml:space="preserve">the temporary transfer of the whole or part of an entitlement under an authorisation in accordance with the </w:t>
      </w:r>
      <w:r>
        <w:rPr>
          <w:i/>
        </w:rPr>
        <w:t xml:space="preserve">Fish Resources Management Act 1994 </w:t>
      </w:r>
      <w:r>
        <w:t>section 141, unless the transfer gives rise to the transfer of a beneficial interest in the authorisation;</w:t>
      </w:r>
    </w:p>
    <w:p>
      <w:pPr>
        <w:pStyle w:val="Indenta"/>
      </w:pPr>
      <w:r>
        <w:tab/>
        <w:t>(d)</w:t>
      </w:r>
      <w:r>
        <w:tab/>
        <w:t>the transfer of dutiable property (other than land or a right in relation to land) that would, but for this paragraph, be a transfer on which duty is not chargeable under section 42(1) of the Act;</w:t>
      </w:r>
    </w:p>
    <w:p>
      <w:pPr>
        <w:pStyle w:val="Indenta"/>
      </w:pPr>
      <w:r>
        <w:tab/>
        <w:t>(e)</w:t>
      </w:r>
      <w:r>
        <w:tab/>
        <w:t xml:space="preserve">the creation of an easement under the </w:t>
      </w:r>
      <w:r>
        <w:rPr>
          <w:i/>
        </w:rPr>
        <w:t>Transfer of Land Act 1893</w:t>
      </w:r>
      <w:r>
        <w:t xml:space="preserve"> Part IVA;</w:t>
      </w:r>
    </w:p>
    <w:p>
      <w:pPr>
        <w:pStyle w:val="Indenta"/>
      </w:pPr>
      <w:r>
        <w:tab/>
        <w:t>(f)</w:t>
      </w:r>
      <w:r>
        <w:tab/>
        <w:t xml:space="preserve">the surrender of an easement pursuant to the </w:t>
      </w:r>
      <w:r>
        <w:rPr>
          <w:i/>
        </w:rPr>
        <w:t>Transfer of Land Act 1893</w:t>
      </w:r>
      <w:r>
        <w:t xml:space="preserve"> section 129C(1)(a) or 229A(2);</w:t>
      </w:r>
    </w:p>
    <w:p>
      <w:pPr>
        <w:pStyle w:val="Indenta"/>
      </w:pPr>
      <w:r>
        <w:tab/>
        <w:t>(g)</w:t>
      </w:r>
      <w:r>
        <w:tab/>
        <w:t xml:space="preserve">a partnership acquisition where — </w:t>
      </w:r>
    </w:p>
    <w:p>
      <w:pPr>
        <w:pStyle w:val="Indenti"/>
      </w:pPr>
      <w:r>
        <w:tab/>
        <w:t>(i)</w:t>
      </w:r>
      <w:r>
        <w:tab/>
        <w:t>the partnership holds no land in Western Australia, other than a lease or leases having a nominal value; and</w:t>
      </w:r>
    </w:p>
    <w:p>
      <w:pPr>
        <w:pStyle w:val="Indenti"/>
      </w:pPr>
      <w:r>
        <w:tab/>
        <w:t>(ii)</w:t>
      </w:r>
      <w:r>
        <w:tab/>
        <w:t>the partnership holds no indirect interest in land in Western Australia, other than in a lease or leases having a nominal value.</w:t>
      </w:r>
    </w:p>
    <w:p>
      <w:pPr>
        <w:pStyle w:val="Subsection"/>
      </w:pPr>
      <w:r>
        <w:tab/>
        <w:t>(2)</w:t>
      </w:r>
      <w:r>
        <w:tab/>
        <w:t xml:space="preserve">Subregulation (1)(b) applies to all transactions that take place on or after 1 July 2008, whether before or after the commencement of the </w:t>
      </w:r>
      <w:r>
        <w:rPr>
          <w:i/>
        </w:rPr>
        <w:t>Duties Amendment Regulations (No. 2) 2009</w:t>
      </w:r>
      <w:r>
        <w:t xml:space="preserve"> regulation 4.</w:t>
      </w:r>
    </w:p>
    <w:p>
      <w:pPr>
        <w:pStyle w:val="Subsection"/>
      </w:pPr>
      <w:r>
        <w:tab/>
        <w:t>(3)</w:t>
      </w:r>
      <w:r>
        <w:tab/>
        <w:t xml:space="preserve">Subregulation (1)(d), (e) and (f) apply to all transactions that take place on or after 1 July 2008, whether before or after the commencement of the </w:t>
      </w:r>
      <w:r>
        <w:rPr>
          <w:i/>
        </w:rPr>
        <w:t>Duties Amendment Regulations (No. 2) 2013</w:t>
      </w:r>
      <w:r>
        <w:t xml:space="preserve"> regulation 4.</w:t>
      </w:r>
    </w:p>
    <w:p>
      <w:pPr>
        <w:pStyle w:val="Subsection"/>
      </w:pPr>
      <w:r>
        <w:rPr>
          <w:szCs w:val="24"/>
        </w:rPr>
        <w:tab/>
        <w:t>(4)</w:t>
      </w:r>
      <w:r>
        <w:rPr>
          <w:szCs w:val="24"/>
        </w:rPr>
        <w:tab/>
      </w:r>
      <w:r>
        <w:t xml:space="preserve">Subregulation (1)(g) applies to all transactions that take place on or after 1 July 2008, whether before or after the commencement of the </w:t>
      </w:r>
      <w:r>
        <w:rPr>
          <w:i/>
        </w:rPr>
        <w:t>Duties Amendment Regulations 2016</w:t>
      </w:r>
      <w:r>
        <w:t xml:space="preserve"> regulation 4.</w:t>
      </w:r>
    </w:p>
    <w:p>
      <w:pPr>
        <w:pStyle w:val="Footnotesection"/>
        <w:spacing w:before="100"/>
        <w:ind w:left="890" w:hanging="890"/>
      </w:pPr>
      <w:r>
        <w:tab/>
        <w:t>[Regulation 4 inserted: Gazette 20 Sep 2013 p. 4363</w:t>
      </w:r>
      <w:r>
        <w:noBreakHyphen/>
        <w:t>4; amended: Gazette 24 May 2016 p. 1536.]</w:t>
      </w:r>
    </w:p>
    <w:p>
      <w:pPr>
        <w:pStyle w:val="Heading5"/>
      </w:pPr>
      <w:bookmarkStart w:id="8" w:name="_Toc517950384"/>
      <w:r>
        <w:rPr>
          <w:rStyle w:val="CharSectno"/>
        </w:rPr>
        <w:t>5A</w:t>
      </w:r>
      <w:r>
        <w:t>.</w:t>
      </w:r>
      <w:r>
        <w:tab/>
        <w:t>Dutiable property prescribed (Act s. 18(h))</w:t>
      </w:r>
      <w:bookmarkEnd w:id="8"/>
    </w:p>
    <w:p>
      <w:pPr>
        <w:pStyle w:val="Subsection"/>
      </w:pPr>
      <w:r>
        <w:tab/>
      </w:r>
      <w:r>
        <w:tab/>
        <w:t>For the purposes of section 18 of the Act, dutiable property that is a profit à prendre is prescribed as special dutiable property.</w:t>
      </w:r>
    </w:p>
    <w:p>
      <w:pPr>
        <w:pStyle w:val="Footnotesection"/>
        <w:ind w:left="890" w:hanging="890"/>
      </w:pPr>
      <w:r>
        <w:tab/>
        <w:t>[Regulation 5A inserted: Gazette 15 May 2009 p. 1639.]</w:t>
      </w:r>
    </w:p>
    <w:p>
      <w:pPr>
        <w:pStyle w:val="Heading5"/>
        <w:spacing w:before="180"/>
      </w:pPr>
      <w:bookmarkStart w:id="9" w:name="_Toc517950385"/>
      <w:r>
        <w:rPr>
          <w:rStyle w:val="CharSectno"/>
        </w:rPr>
        <w:t>5B</w:t>
      </w:r>
      <w:r>
        <w:t>.</w:t>
      </w:r>
      <w:r>
        <w:tab/>
        <w:t>Dutiable transactions prescribed (Act s. 140)</w:t>
      </w:r>
      <w:bookmarkEnd w:id="9"/>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profit à prendre</w:t>
      </w:r>
      <w:r>
        <w:t xml:space="preserve"> means a profit à prendre created under a timber sharefarming agreement under the </w:t>
      </w:r>
      <w:r>
        <w:rPr>
          <w:i/>
        </w:rPr>
        <w:t>Conservation and Land Management Act 1984</w:t>
      </w:r>
      <w:r>
        <w:t xml:space="preserve"> or the </w:t>
      </w:r>
      <w:smartTag w:uri="urn:schemas-microsoft-com:office:smarttags" w:element="place">
        <w:r>
          <w:rPr>
            <w:i/>
          </w:rPr>
          <w:t>Forest</w:t>
        </w:r>
      </w:smartTag>
      <w:r>
        <w:rPr>
          <w:i/>
        </w:rPr>
        <w:t xml:space="preserve"> Products Act 2000</w:t>
      </w:r>
      <w:r>
        <w:t>.</w:t>
      </w:r>
    </w:p>
    <w:p>
      <w:pPr>
        <w:pStyle w:val="Subsection"/>
      </w:pPr>
      <w:r>
        <w:tab/>
        <w:t>(2)</w:t>
      </w:r>
      <w:r>
        <w:tab/>
        <w:t xml:space="preserve">For the purposes of section 140 of the Act, the following dutiable transactions are prescribed — </w:t>
      </w:r>
    </w:p>
    <w:p>
      <w:pPr>
        <w:pStyle w:val="Indenta"/>
      </w:pPr>
      <w:r>
        <w:tab/>
        <w:t>(a)</w:t>
      </w:r>
      <w:r>
        <w:tab/>
        <w:t xml:space="preserve">the surrender of a profit à prendre in relation to a lot (the </w:t>
      </w:r>
      <w:r>
        <w:rPr>
          <w:rStyle w:val="CharDefText"/>
        </w:rPr>
        <w:t>old profit à prendre</w:t>
      </w:r>
      <w:r>
        <w:t xml:space="preserve">) in the following circumstances — </w:t>
      </w:r>
    </w:p>
    <w:p>
      <w:pPr>
        <w:pStyle w:val="Indenti"/>
      </w:pPr>
      <w:r>
        <w:tab/>
        <w:t>(i)</w:t>
      </w:r>
      <w:r>
        <w:tab/>
        <w:t>the benefit of the old profit à prendre is in relation to a portion of the lot;</w:t>
      </w:r>
    </w:p>
    <w:p>
      <w:pPr>
        <w:pStyle w:val="Indenti"/>
        <w:spacing w:before="100"/>
      </w:pPr>
      <w:r>
        <w:tab/>
        <w:t>(ii)</w:t>
      </w:r>
      <w:r>
        <w:tab/>
        <w:t xml:space="preserve">the surrender is part of replacing the old profit à prendre with another profit à prendre in relation to the lot (the </w:t>
      </w:r>
      <w:r>
        <w:rPr>
          <w:rStyle w:val="CharDefText"/>
        </w:rPr>
        <w:t>new profit à prendre</w:t>
      </w:r>
      <w:r>
        <w:t>) that is limited to that portion of the lot;</w:t>
      </w:r>
    </w:p>
    <w:p>
      <w:pPr>
        <w:pStyle w:val="Indenti"/>
        <w:spacing w:before="100"/>
      </w:pPr>
      <w:r>
        <w:tab/>
        <w:t>(iii)</w:t>
      </w:r>
      <w:r>
        <w:tab/>
        <w:t>the same person who has, or persons who have, the benefit of the old profit à prendre will have the benefit of the new profit à prendre;</w:t>
      </w:r>
    </w:p>
    <w:p>
      <w:pPr>
        <w:pStyle w:val="Indenti"/>
        <w:spacing w:before="100"/>
      </w:pPr>
      <w:r>
        <w:tab/>
        <w:t>(iv)</w:t>
      </w:r>
      <w:r>
        <w:tab/>
        <w:t>no consideration is provided in relation to the surrender;</w:t>
      </w:r>
    </w:p>
    <w:p>
      <w:pPr>
        <w:pStyle w:val="Indenta"/>
        <w:spacing w:before="100"/>
      </w:pPr>
      <w:r>
        <w:tab/>
        <w:t>(b)</w:t>
      </w:r>
      <w:r>
        <w:tab/>
        <w:t xml:space="preserve">the acquisition of new dutiable property by the creation of a profit à prendre in the following circumstances — </w:t>
      </w:r>
    </w:p>
    <w:p>
      <w:pPr>
        <w:pStyle w:val="Indenti"/>
        <w:spacing w:before="100"/>
      </w:pPr>
      <w:r>
        <w:tab/>
        <w:t>(i)</w:t>
      </w:r>
      <w:r>
        <w:tab/>
        <w:t>the profit à prendre is a new profit à prendre as defined in paragraph (a)(ii);</w:t>
      </w:r>
    </w:p>
    <w:p>
      <w:pPr>
        <w:pStyle w:val="Indenti"/>
        <w:spacing w:before="100"/>
      </w:pPr>
      <w:r>
        <w:tab/>
        <w:t>(ii)</w:t>
      </w:r>
      <w:r>
        <w:tab/>
        <w:t>the circumstances described in paragraph (a)(ii) and (iii) apply in relation to the new profit à prendre;</w:t>
      </w:r>
    </w:p>
    <w:p>
      <w:pPr>
        <w:pStyle w:val="Indenti"/>
        <w:spacing w:before="100"/>
      </w:pPr>
      <w:r>
        <w:tab/>
        <w:t>(iii)</w:t>
      </w:r>
      <w:r>
        <w:tab/>
        <w:t>no consideration is provided in relation to the acquisition.</w:t>
      </w:r>
    </w:p>
    <w:p>
      <w:pPr>
        <w:pStyle w:val="Subsection"/>
        <w:spacing w:before="180"/>
      </w:pPr>
      <w:r>
        <w:tab/>
        <w:t>(3)</w:t>
      </w:r>
      <w:r>
        <w:tab/>
        <w:t>This regulation does not have the effect of making the surrender of a profit à prendre before 16 May 2009 dutiable.</w:t>
      </w:r>
    </w:p>
    <w:p>
      <w:pPr>
        <w:pStyle w:val="Footnotesection"/>
        <w:spacing w:before="140"/>
        <w:ind w:left="890" w:hanging="890"/>
      </w:pPr>
      <w:r>
        <w:tab/>
        <w:t>[Regulation 5B inserted: Gazette 15 Nov 2011 p. 4795</w:t>
      </w:r>
      <w:r>
        <w:noBreakHyphen/>
        <w:t>6.]</w:t>
      </w:r>
    </w:p>
    <w:p>
      <w:pPr>
        <w:pStyle w:val="Heading5"/>
      </w:pPr>
      <w:bookmarkStart w:id="10" w:name="_Toc517950386"/>
      <w:r>
        <w:rPr>
          <w:rStyle w:val="CharSectno"/>
        </w:rPr>
        <w:t>5</w:t>
      </w:r>
      <w:r>
        <w:t>.</w:t>
      </w:r>
      <w:r>
        <w:tab/>
        <w:t>Information and particulars prescribed (Act s. 203(1)(b))</w:t>
      </w:r>
      <w:bookmarkEnd w:id="10"/>
    </w:p>
    <w:p>
      <w:pPr>
        <w:pStyle w:val="Subsection"/>
        <w:keepNext/>
        <w:keepLines/>
      </w:pPr>
      <w:r>
        <w:tab/>
      </w:r>
      <w:r>
        <w:tab/>
        <w:t xml:space="preserve">For the purposes of section 203(1)(b) of the Act, this information and these particulars are prescribed in respect of a relevant acquisition — </w:t>
      </w:r>
    </w:p>
    <w:p>
      <w:pPr>
        <w:pStyle w:val="Indenta"/>
      </w:pPr>
      <w:r>
        <w:tab/>
        <w:t>(a)</w:t>
      </w:r>
      <w:r>
        <w:tab/>
        <w:t xml:space="preserve">the name and address of — </w:t>
      </w:r>
    </w:p>
    <w:p>
      <w:pPr>
        <w:pStyle w:val="Indenti"/>
      </w:pPr>
      <w:r>
        <w:tab/>
        <w:t>(i)</w:t>
      </w:r>
      <w:r>
        <w:tab/>
        <w:t>the landholder concerned; and</w:t>
      </w:r>
    </w:p>
    <w:p>
      <w:pPr>
        <w:pStyle w:val="Indenti"/>
      </w:pPr>
      <w:r>
        <w:tab/>
        <w:t>(ii)</w:t>
      </w:r>
      <w:r>
        <w:tab/>
        <w:t>if the landholder concerned is a unit trust scheme — the trustee of the scheme;</w:t>
      </w:r>
    </w:p>
    <w:p>
      <w:pPr>
        <w:pStyle w:val="Indenta"/>
      </w:pPr>
      <w:r>
        <w:tab/>
        <w:t>(b)</w:t>
      </w:r>
      <w:r>
        <w:tab/>
        <w:t xml:space="preserve">the name and address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(c)</w:t>
      </w:r>
      <w:r>
        <w:tab/>
        <w:t>the date of the day on which the relevant acquisition occurred or is taken to have occurred;</w:t>
      </w:r>
    </w:p>
    <w:p>
      <w:pPr>
        <w:pStyle w:val="Indenta"/>
      </w:pPr>
      <w:r>
        <w:tab/>
        <w:t>(d)</w:t>
      </w:r>
      <w:r>
        <w:tab/>
        <w:t>the extent (expressed as a percentage of the surplus property of the landholder if it were to be wound up) of the interest acquired, or taken to have been acquired, in the landholder concerned that is the relevant acquisition;</w:t>
      </w:r>
    </w:p>
    <w:p>
      <w:pPr>
        <w:pStyle w:val="Indenta"/>
      </w:pPr>
      <w:r>
        <w:tab/>
        <w:t>(e)</w:t>
      </w:r>
      <w:r>
        <w:tab/>
        <w:t xml:space="preserve">the aggregated interests in the landholder concerned, after the relevant acquisition,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(f)</w:t>
      </w:r>
      <w:r>
        <w:tab/>
        <w:t>the acquirer’s estimate of the value of the landholder concerned, as determined under section 186 of the Act;</w:t>
      </w:r>
    </w:p>
    <w:p>
      <w:pPr>
        <w:pStyle w:val="Indenta"/>
      </w:pPr>
      <w:r>
        <w:tab/>
        <w:t>(g)</w:t>
      </w:r>
      <w:r>
        <w:tab/>
        <w:t>the consideration for the relevant acquisition.</w:t>
      </w:r>
    </w:p>
    <w:p>
      <w:pPr>
        <w:pStyle w:val="Heading5"/>
      </w:pPr>
      <w:bookmarkStart w:id="11" w:name="_Toc517950387"/>
      <w:r>
        <w:rPr>
          <w:rStyle w:val="CharSectno"/>
        </w:rPr>
        <w:t>6</w:t>
      </w:r>
      <w:r>
        <w:t>.</w:t>
      </w:r>
      <w:r>
        <w:tab/>
        <w:t>Classes of new vehicles prescribed (Act s. 237(1)(b))</w:t>
      </w:r>
      <w:bookmarkEnd w:id="11"/>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 xml:space="preserve">a vehicle that was damaged by the storm that occurred in </w:t>
      </w:r>
      <w:smartTag w:uri="urn:schemas-microsoft-com:office:smarttags" w:element="place">
        <w:smartTag w:uri="urn:schemas-microsoft-com:office:smarttags" w:element="State">
          <w:r>
            <w:t>Western Australia</w:t>
          </w:r>
        </w:smartTag>
      </w:smartTag>
      <w:r>
        <w:t xml:space="preserve"> on 22 March 2010.</w:t>
      </w:r>
    </w:p>
    <w:p>
      <w:pPr>
        <w:pStyle w:val="Subsection"/>
      </w:pPr>
      <w:r>
        <w:tab/>
        <w:t>(3)</w:t>
      </w:r>
      <w:r>
        <w:tab/>
        <w:t xml:space="preserve">The amendment made by the </w:t>
      </w:r>
      <w:r>
        <w:rPr>
          <w:i/>
          <w:iCs/>
        </w:rPr>
        <w:t>Duties Amendment Regulations 2010</w:t>
      </w:r>
      <w:r>
        <w:t xml:space="preserve"> (to insert paragraph (d) into subregulation (2)) applies in relation to the grant or transfer of a licence for a vehicle on or after 23 March 2010.</w:t>
      </w:r>
    </w:p>
    <w:p>
      <w:pPr>
        <w:pStyle w:val="Footnotesection"/>
      </w:pPr>
      <w:r>
        <w:tab/>
        <w:t>[Regulation 6 amended: Gazette 1 Apr 2010 p. 1341</w:t>
      </w:r>
      <w:r>
        <w:noBreakHyphen/>
        <w:t>2.]</w:t>
      </w:r>
    </w:p>
    <w:p>
      <w:pPr>
        <w:pStyle w:val="Heading5"/>
      </w:pPr>
      <w:bookmarkStart w:id="12" w:name="_Toc517950388"/>
      <w:r>
        <w:t>7.</w:t>
      </w:r>
      <w:r>
        <w:tab/>
        <w:t>Classes of vehicles, persons and purposes prescribed (Act s. 244)</w:t>
      </w:r>
      <w:bookmarkEnd w:id="12"/>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tab/>
      </w:r>
      <w:r>
        <w:rPr>
          <w:rStyle w:val="CharDefText"/>
        </w:rPr>
        <w:t>carriage of passengers or goods between prescribed places</w:t>
      </w:r>
      <w:r>
        <w:t xml:space="preserve"> has the meaning given in the </w:t>
      </w:r>
      <w:r>
        <w:rPr>
          <w:i/>
        </w:rPr>
        <w:t xml:space="preserve">Interstate Road Transport Act </w:t>
      </w:r>
      <w:r>
        <w:t>section 3(1);</w:t>
      </w:r>
    </w:p>
    <w:p>
      <w:pPr>
        <w:pStyle w:val="Defstart"/>
      </w:pPr>
      <w:r>
        <w:rPr>
          <w:b/>
        </w:rPr>
        <w:tab/>
      </w:r>
      <w:r>
        <w:rPr>
          <w:rStyle w:val="CharDefText"/>
        </w:rPr>
        <w:t>farming land</w:t>
      </w:r>
      <w:r>
        <w:t xml:space="preserve"> has the meaning given in section 99(1) of the Act;</w:t>
      </w:r>
    </w:p>
    <w:p>
      <w:pPr>
        <w:pStyle w:val="Defstart"/>
      </w:pPr>
      <w:r>
        <w:tab/>
      </w:r>
      <w:r>
        <w:rPr>
          <w:rStyle w:val="CharDefText"/>
        </w:rPr>
        <w:t>Interstate Road Transport Act</w:t>
      </w:r>
      <w:r>
        <w:t xml:space="preserve"> means the </w:t>
      </w:r>
      <w:r>
        <w:rPr>
          <w:i/>
        </w:rPr>
        <w:t>Interstate Road Transport Act 1985</w:t>
      </w:r>
      <w:r>
        <w:t xml:space="preserve"> (Commonwealth);</w:t>
      </w:r>
    </w:p>
    <w:p>
      <w:pPr>
        <w:pStyle w:val="Defstart"/>
        <w:keepNext/>
      </w:pPr>
      <w:r>
        <w:rPr>
          <w:b/>
        </w:rPr>
        <w:tab/>
      </w:r>
      <w:r>
        <w:rPr>
          <w:rStyle w:val="CharDefText"/>
        </w:rPr>
        <w:t>tractor</w:t>
      </w:r>
      <w:r>
        <w:t xml:space="preserve"> means a motor vehicle that — </w:t>
      </w:r>
    </w:p>
    <w:p>
      <w:pPr>
        <w:pStyle w:val="Defpara"/>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keepNex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spacing w:before="100"/>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Indenta"/>
      </w:pPr>
      <w:r>
        <w:tab/>
        <w:t>(c)</w:t>
      </w:r>
      <w:r>
        <w:tab/>
        <w:t xml:space="preserve">a motor vehicle or trailer that was registered under the </w:t>
      </w:r>
      <w:r>
        <w:rPr>
          <w:i/>
        </w:rPr>
        <w:t>Interstate Road Transport Act</w:t>
      </w:r>
      <w:r>
        <w:t xml:space="preserve"> section 9 and whose registration was in force immediately before the close of 30 June 2018.</w:t>
      </w:r>
    </w:p>
    <w:p>
      <w:pPr>
        <w:pStyle w:val="Subsection"/>
      </w:pPr>
      <w:r>
        <w:tab/>
        <w:t>(3)</w:t>
      </w:r>
      <w:r>
        <w:tab/>
        <w:t xml:space="preserve">For the purposes of section 244(b) of the Act, these classes of person are prescribed — </w:t>
      </w:r>
    </w:p>
    <w:p>
      <w:pPr>
        <w:pStyle w:val="Indenta"/>
      </w:pPr>
      <w:r>
        <w:tab/>
        <w:t>(a)</w:t>
      </w:r>
      <w:r>
        <w:tab/>
        <w:t xml:space="preserve">persons who own a tractor or tractor plant the vehicle licence charge payable for which is reduced under the </w:t>
      </w:r>
      <w:r>
        <w:rPr>
          <w:i/>
        </w:rPr>
        <w:t>Road Traffic (Vehicles) Regulations 2014</w:t>
      </w:r>
      <w:r>
        <w:t xml:space="preserve"> regulation 81;</w:t>
      </w:r>
    </w:p>
    <w:p>
      <w:pPr>
        <w:pStyle w:val="Indenta"/>
      </w:pPr>
      <w:r>
        <w:tab/>
        <w:t>(b)</w:t>
      </w:r>
      <w:r>
        <w:tab/>
        <w:t xml:space="preserve">persons who own a motor vehicle or trailer referred to in subregulation (2)(c). </w:t>
      </w:r>
    </w:p>
    <w:p>
      <w:pPr>
        <w:pStyle w:val="Subsection"/>
        <w:spacing w:before="100"/>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Indenta"/>
      </w:pPr>
      <w:r>
        <w:tab/>
        <w:t>(e)</w:t>
      </w:r>
      <w:r>
        <w:tab/>
        <w:t>the carriage of passengers or goods between prescribed places or any purpose incidental to carriage of that kind.</w:t>
      </w:r>
    </w:p>
    <w:p>
      <w:pPr>
        <w:pStyle w:val="Footnotesection"/>
      </w:pPr>
      <w:r>
        <w:tab/>
        <w:t>[Regulation 7 amended: Gazette 22 Jun 2018 p. 2194</w:t>
      </w:r>
      <w:r>
        <w:noBreakHyphen/>
        <w:t>5.]</w:t>
      </w:r>
    </w:p>
    <w:p>
      <w:pPr>
        <w:pStyle w:val="Heading5"/>
      </w:pPr>
      <w:bookmarkStart w:id="13" w:name="_Toc517950389"/>
      <w:r>
        <w:rPr>
          <w:rStyle w:val="CharSectno"/>
        </w:rPr>
        <w:t>8</w:t>
      </w:r>
      <w:r>
        <w:t>.</w:t>
      </w:r>
      <w:r>
        <w:tab/>
        <w:t>Records prescribed (Act s. 256(a))</w:t>
      </w:r>
      <w:bookmarkEnd w:id="13"/>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keepNext/>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keepNext/>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14" w:name="_Toc517950390"/>
      <w:r>
        <w:rPr>
          <w:rStyle w:val="CharSectno"/>
        </w:rPr>
        <w:t>9A</w:t>
      </w:r>
      <w:r>
        <w:t>.</w:t>
      </w:r>
      <w:r>
        <w:tab/>
        <w:t>Records to be kept (Act s. 285(2))</w:t>
      </w:r>
      <w:bookmarkEnd w:id="14"/>
    </w:p>
    <w:p>
      <w:pPr>
        <w:pStyle w:val="Subsection"/>
      </w:pPr>
      <w:r>
        <w:tab/>
      </w:r>
      <w:r>
        <w:tab/>
        <w:t>For the purposes of the Act, a person liable to pay duty on a dutiable transaction is required to keep a transaction record for the transaction that is duty endorsed.</w:t>
      </w:r>
    </w:p>
    <w:p>
      <w:pPr>
        <w:pStyle w:val="Footnotesection"/>
      </w:pPr>
      <w:r>
        <w:tab/>
        <w:t>[Regulation 9A inserted: Gazette 1 Apr 2011 p. 1186.]</w:t>
      </w:r>
    </w:p>
    <w:p>
      <w:pPr>
        <w:pStyle w:val="Heading5"/>
      </w:pPr>
      <w:bookmarkStart w:id="15" w:name="_Toc517950391"/>
      <w:r>
        <w:rPr>
          <w:rStyle w:val="CharSectno"/>
        </w:rPr>
        <w:t>9</w:t>
      </w:r>
      <w:r>
        <w:t>.</w:t>
      </w:r>
      <w:r>
        <w:tab/>
        <w:t>Act Sch. 3 cl. 13(1) varied (Act Sch. 3 cl. 27(1)(b))</w:t>
      </w:r>
      <w:bookmarkEnd w:id="15"/>
    </w:p>
    <w:p>
      <w:pPr>
        <w:pStyle w:val="Subsection"/>
      </w:pPr>
      <w:r>
        <w:tab/>
      </w:r>
      <w:r>
        <w:tab/>
        <w:t xml:space="preserve">Clause 13(1) of Schedule 3 to the Act is varied as if the following were inserted instead of that subclause — </w:t>
      </w:r>
    </w:p>
    <w:p>
      <w:pPr>
        <w:pStyle w:val="BlankOpen"/>
      </w:pP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pPr>
      <w:r>
        <w:t>” ;</w:t>
      </w:r>
      <w:r>
        <w:rPr>
          <w:sz w:val="22"/>
        </w:rPr>
        <w:t xml:space="preserve"> and</w:t>
      </w:r>
    </w:p>
    <w:p>
      <w:pPr>
        <w:pStyle w:val="zyIndenta"/>
        <w:tabs>
          <w:tab w:val="clear" w:pos="2183"/>
          <w:tab w:val="left" w:pos="2166"/>
        </w:tabs>
      </w:pPr>
      <w:r>
        <w:tab/>
        <w:t>(b)</w:t>
      </w:r>
      <w:r>
        <w:tab/>
        <w:t xml:space="preserve">the following subsection were inserted instead of section 190(2) — </w:t>
      </w:r>
    </w:p>
    <w:p>
      <w:pPr>
        <w:pStyle w:val="MiscOpen"/>
      </w:pPr>
      <w:r>
        <w:t>“</w:t>
      </w:r>
    </w:p>
    <w:p>
      <w:pPr>
        <w:pStyle w:val="zSubsection"/>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keepNext/>
      </w:pPr>
      <w:r>
        <w:tab/>
        <w:t>(b)</w:t>
      </w:r>
      <w:r>
        <w:tab/>
        <w:t>in the opinion of the Commissioner, for a purpose of avoiding or reducing the amount of duty payable.</w:t>
      </w:r>
    </w:p>
    <w:p>
      <w:pPr>
        <w:pStyle w:val="BlankClose"/>
        <w:jc w:val="right"/>
      </w:pPr>
      <w:r>
        <w:t>”.</w:t>
      </w:r>
    </w:p>
    <w:p>
      <w:pPr>
        <w:pStyle w:val="BlankClose"/>
      </w:pPr>
    </w:p>
    <w:p>
      <w:pPr>
        <w:pStyle w:val="Heading5"/>
      </w:pPr>
      <w:bookmarkStart w:id="16" w:name="_Toc517950392"/>
      <w:r>
        <w:rPr>
          <w:rStyle w:val="CharSectno"/>
        </w:rPr>
        <w:t>10</w:t>
      </w:r>
      <w:r>
        <w:t>.</w:t>
      </w:r>
      <w:r>
        <w:tab/>
        <w:t>Consideration for the grant of a lease, ascertaining</w:t>
      </w:r>
      <w:bookmarkEnd w:id="16"/>
    </w:p>
    <w:p>
      <w:pPr>
        <w:pStyle w:val="Subsection"/>
      </w:pPr>
      <w:r>
        <w:tab/>
        <w:t>(1)</w:t>
      </w:r>
      <w:r>
        <w:tab/>
        <w:t>In ascertaining the amount of consideration for a dutiable transaction that is the grant of a lease, the value of any substantial improvement of, or addition to, the leased property that the lessee has agreed to carry out, or has already carried out, is not included.</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Gazette 27 Mar 2009 p. 933.]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7" w:name="_Toc517863312"/>
      <w:bookmarkStart w:id="18" w:name="_Toc517863393"/>
      <w:bookmarkStart w:id="19" w:name="_Toc517950393"/>
      <w:r>
        <w:t>Notes</w:t>
      </w:r>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Duties Regulations 2008</w:t>
      </w:r>
      <w:r>
        <w:rPr>
          <w:snapToGrid w:val="0"/>
        </w:rPr>
        <w:t xml:space="preserve"> and includes the amendments made by the other written laws referred to in the following table.  The table also contains information about any reprint.</w:t>
      </w:r>
    </w:p>
    <w:p>
      <w:pPr>
        <w:pStyle w:val="nHeading3"/>
      </w:pPr>
      <w:bookmarkStart w:id="20" w:name="_Toc517950394"/>
      <w:r>
        <w:t>Compilation table</w:t>
      </w:r>
      <w:bookmarkEnd w:id="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right w:val="nil"/>
            </w:tcBorders>
            <w:shd w:val="clear" w:color="auto" w:fill="auto"/>
          </w:tcPr>
          <w:p>
            <w:pPr>
              <w:pStyle w:val="nTable"/>
              <w:spacing w:after="40"/>
              <w:rPr>
                <w:b/>
              </w:rPr>
            </w:pPr>
            <w:r>
              <w:rPr>
                <w:b/>
              </w:rPr>
              <w:t>Citation</w:t>
            </w:r>
          </w:p>
        </w:tc>
        <w:tc>
          <w:tcPr>
            <w:tcW w:w="1276" w:type="dxa"/>
            <w:tcBorders>
              <w:left w:val="nil"/>
              <w:bottom w:val="single" w:sz="8" w:space="0" w:color="auto"/>
              <w:right w:val="nil"/>
            </w:tcBorders>
            <w:shd w:val="clear" w:color="auto" w:fill="auto"/>
          </w:tcPr>
          <w:p>
            <w:pPr>
              <w:pStyle w:val="nTable"/>
              <w:spacing w:after="40"/>
              <w:rPr>
                <w:b/>
              </w:rPr>
            </w:pPr>
            <w:r>
              <w:rPr>
                <w:b/>
              </w:rPr>
              <w:t>Gazettal</w:t>
            </w:r>
          </w:p>
        </w:tc>
        <w:tc>
          <w:tcPr>
            <w:tcW w:w="2693" w:type="dxa"/>
            <w:tcBorders>
              <w:left w:val="nil"/>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Cs/>
              </w:rPr>
            </w:pPr>
            <w:r>
              <w:rPr>
                <w:i/>
                <w:noProof/>
                <w:snapToGrid w:val="0"/>
              </w:rPr>
              <w:t>Duties Regulations 2008</w:t>
            </w:r>
          </w:p>
        </w:tc>
        <w:tc>
          <w:tcPr>
            <w:tcW w:w="1276" w:type="dxa"/>
            <w:tcBorders>
              <w:top w:val="single" w:sz="8" w:space="0" w:color="auto"/>
              <w:left w:val="nil"/>
              <w:bottom w:val="nil"/>
              <w:right w:val="nil"/>
            </w:tcBorders>
          </w:tcPr>
          <w:p>
            <w:pPr>
              <w:pStyle w:val="nTable"/>
              <w:spacing w:after="40"/>
            </w:pPr>
            <w:r>
              <w:t>20 Jun 2008 p. 2751</w:t>
            </w:r>
            <w:r>
              <w:noBreakHyphen/>
              <w:t>61</w:t>
            </w:r>
          </w:p>
        </w:tc>
        <w:tc>
          <w:tcPr>
            <w:tcW w:w="2693" w:type="dxa"/>
            <w:tcBorders>
              <w:top w:val="single" w:sz="8" w:space="0" w:color="auto"/>
              <w:left w:val="nil"/>
              <w:bottom w:val="nil"/>
            </w:tcBorders>
          </w:tcPr>
          <w:p>
            <w:pPr>
              <w:pStyle w:val="nTable"/>
              <w:spacing w:after="40"/>
            </w:pPr>
            <w:r>
              <w:t>r. 1 and 2: 20 Jun 2008 (see r. 2(a));</w:t>
            </w:r>
            <w:r>
              <w:br/>
              <w:t>Regulations other than r. 1 and 2: 1 Jul 2008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2009</w:t>
            </w:r>
          </w:p>
        </w:tc>
        <w:tc>
          <w:tcPr>
            <w:tcW w:w="1276" w:type="dxa"/>
            <w:tcBorders>
              <w:top w:val="nil"/>
              <w:left w:val="nil"/>
              <w:bottom w:val="nil"/>
              <w:right w:val="nil"/>
            </w:tcBorders>
          </w:tcPr>
          <w:p>
            <w:pPr>
              <w:pStyle w:val="nTable"/>
              <w:spacing w:after="40"/>
            </w:pPr>
            <w:r>
              <w:t>27 Mar 2009 p. 932</w:t>
            </w:r>
            <w:r>
              <w:noBreakHyphen/>
              <w:t>3</w:t>
            </w:r>
          </w:p>
        </w:tc>
        <w:tc>
          <w:tcPr>
            <w:tcW w:w="2693" w:type="dxa"/>
            <w:tcBorders>
              <w:top w:val="nil"/>
              <w:left w:val="nil"/>
              <w:bottom w:val="nil"/>
            </w:tcBorders>
          </w:tcPr>
          <w:p>
            <w:pPr>
              <w:pStyle w:val="nTable"/>
              <w:spacing w:after="40"/>
            </w:pPr>
            <w:r>
              <w:rPr>
                <w:snapToGrid w:val="0"/>
                <w:spacing w:val="-2"/>
              </w:rPr>
              <w:t>r. 1 and 2: 27 Mar 2009 (see r. 2(a));</w:t>
            </w:r>
            <w:r>
              <w:rPr>
                <w:snapToGrid w:val="0"/>
                <w:spacing w:val="-2"/>
              </w:rPr>
              <w:br/>
              <w:t>Regulations other than r. 1 and 2: 28 Mar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2009</w:t>
            </w:r>
          </w:p>
        </w:tc>
        <w:tc>
          <w:tcPr>
            <w:tcW w:w="1276" w:type="dxa"/>
            <w:tcBorders>
              <w:top w:val="nil"/>
              <w:left w:val="nil"/>
              <w:bottom w:val="nil"/>
              <w:right w:val="nil"/>
            </w:tcBorders>
          </w:tcPr>
          <w:p>
            <w:pPr>
              <w:pStyle w:val="nTable"/>
              <w:spacing w:after="40"/>
            </w:pPr>
            <w:r>
              <w:t>15 May 2009 p. 1638</w:t>
            </w:r>
            <w:r>
              <w:noBreakHyphen/>
              <w:t>9</w:t>
            </w:r>
          </w:p>
        </w:tc>
        <w:tc>
          <w:tcPr>
            <w:tcW w:w="2693" w:type="dxa"/>
            <w:tcBorders>
              <w:top w:val="nil"/>
              <w:left w:val="nil"/>
              <w:bottom w:val="nil"/>
            </w:tcBorders>
          </w:tcPr>
          <w:p>
            <w:pPr>
              <w:pStyle w:val="nTable"/>
              <w:spacing w:after="40"/>
              <w:rPr>
                <w:snapToGrid w:val="0"/>
                <w:spacing w:val="-2"/>
              </w:rPr>
            </w:pPr>
            <w:r>
              <w:rPr>
                <w:snapToGrid w:val="0"/>
                <w:spacing w:val="-2"/>
              </w:rPr>
              <w:t>r. 1 and 2: 15 May 2009 (see r. 2(a));</w:t>
            </w:r>
            <w:r>
              <w:rPr>
                <w:snapToGrid w:val="0"/>
                <w:spacing w:val="-2"/>
              </w:rPr>
              <w:br/>
              <w:t>Regulations other than r. 1 and 2: 16 May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2010</w:t>
            </w:r>
          </w:p>
        </w:tc>
        <w:tc>
          <w:tcPr>
            <w:tcW w:w="1276" w:type="dxa"/>
            <w:tcBorders>
              <w:top w:val="nil"/>
              <w:left w:val="nil"/>
              <w:bottom w:val="nil"/>
              <w:right w:val="nil"/>
            </w:tcBorders>
          </w:tcPr>
          <w:p>
            <w:pPr>
              <w:pStyle w:val="nTable"/>
              <w:spacing w:after="40"/>
            </w:pPr>
            <w:r>
              <w:t>1 Apr 2010 p. 1341</w:t>
            </w:r>
            <w:r>
              <w:noBreakHyphen/>
              <w:t>2</w:t>
            </w:r>
          </w:p>
        </w:tc>
        <w:tc>
          <w:tcPr>
            <w:tcW w:w="2693" w:type="dxa"/>
            <w:tcBorders>
              <w:top w:val="nil"/>
              <w:left w:val="nil"/>
              <w:bottom w:val="nil"/>
            </w:tcBorders>
          </w:tcPr>
          <w:p>
            <w:pPr>
              <w:pStyle w:val="nTable"/>
              <w:spacing w:after="40"/>
              <w:rPr>
                <w:snapToGrid w:val="0"/>
                <w:spacing w:val="-2"/>
              </w:rPr>
            </w:pPr>
            <w:r>
              <w:rPr>
                <w:snapToGrid w:val="0"/>
                <w:spacing w:val="-2"/>
              </w:rPr>
              <w:t>1 Apr 2010 (see r. 2)</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2011</w:t>
            </w:r>
          </w:p>
        </w:tc>
        <w:tc>
          <w:tcPr>
            <w:tcW w:w="1276" w:type="dxa"/>
            <w:tcBorders>
              <w:top w:val="nil"/>
              <w:left w:val="nil"/>
              <w:bottom w:val="nil"/>
              <w:right w:val="nil"/>
            </w:tcBorders>
          </w:tcPr>
          <w:p>
            <w:pPr>
              <w:pStyle w:val="nTable"/>
              <w:spacing w:after="40"/>
            </w:pPr>
            <w:r>
              <w:t>1 Apr 2011 p. 1185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 1 and 2: 1 Apr 2011 (see r. 2(a));</w:t>
            </w:r>
            <w:r>
              <w:rPr>
                <w:snapToGrid w:val="0"/>
                <w:spacing w:val="-2"/>
              </w:rPr>
              <w:br/>
              <w:t>Regulations other than r. 1 and 2: 2 Apr 2011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2011</w:t>
            </w:r>
          </w:p>
        </w:tc>
        <w:tc>
          <w:tcPr>
            <w:tcW w:w="1276" w:type="dxa"/>
            <w:tcBorders>
              <w:top w:val="nil"/>
              <w:left w:val="nil"/>
              <w:bottom w:val="nil"/>
              <w:right w:val="nil"/>
            </w:tcBorders>
          </w:tcPr>
          <w:p>
            <w:pPr>
              <w:pStyle w:val="nTable"/>
              <w:spacing w:after="40"/>
            </w:pPr>
            <w:r>
              <w:t>15 Nov 2011 p. 4795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Regulations other than r. 1 and 2: 1 Jul 2008 (see r. 2(b));</w:t>
            </w:r>
            <w:r>
              <w:rPr>
                <w:snapToGrid w:val="0"/>
                <w:spacing w:val="-2"/>
              </w:rPr>
              <w:br/>
              <w:t>r. 1 and 2: 15 Nov 2011 (see r. 2(a))</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snapToGrid w:val="0"/>
                <w:spacing w:val="-2"/>
              </w:rPr>
              <w:t>Duties Regulations 2008</w:t>
            </w:r>
            <w:r>
              <w:rPr>
                <w:b/>
                <w:snapToGrid w:val="0"/>
                <w:spacing w:val="-2"/>
              </w:rPr>
              <w:t xml:space="preserve"> as at 24 Feb 2012</w:t>
            </w:r>
            <w:r>
              <w:rPr>
                <w:snapToGrid w:val="0"/>
                <w:spacing w:val="-2"/>
              </w:rPr>
              <w:t xml:space="preserve"> (includes amendments listed above) </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2013</w:t>
            </w:r>
          </w:p>
        </w:tc>
        <w:tc>
          <w:tcPr>
            <w:tcW w:w="1276" w:type="dxa"/>
            <w:tcBorders>
              <w:top w:val="nil"/>
              <w:left w:val="nil"/>
              <w:bottom w:val="nil"/>
              <w:right w:val="nil"/>
            </w:tcBorders>
          </w:tcPr>
          <w:p>
            <w:pPr>
              <w:pStyle w:val="nTable"/>
              <w:spacing w:after="40"/>
            </w:pPr>
            <w:r>
              <w:t>20 Sep 2013 p. 4363</w:t>
            </w:r>
            <w:r>
              <w:noBreakHyphen/>
              <w:t>4</w:t>
            </w:r>
          </w:p>
        </w:tc>
        <w:tc>
          <w:tcPr>
            <w:tcW w:w="2693" w:type="dxa"/>
            <w:tcBorders>
              <w:top w:val="nil"/>
              <w:left w:val="nil"/>
              <w:bottom w:val="nil"/>
            </w:tcBorders>
          </w:tcPr>
          <w:p>
            <w:pPr>
              <w:pStyle w:val="nTable"/>
              <w:spacing w:after="40"/>
              <w:rPr>
                <w:snapToGrid w:val="0"/>
                <w:spacing w:val="-2"/>
              </w:rPr>
            </w:pPr>
            <w:r>
              <w:rPr>
                <w:rFonts w:ascii="Times" w:hAnsi="Times"/>
                <w:snapToGrid w:val="0"/>
                <w:spacing w:val="-2"/>
              </w:rPr>
              <w:t>r. 1 and 2: 20 Sep 2013 (see r. 2(a));</w:t>
            </w:r>
            <w:r>
              <w:rPr>
                <w:rFonts w:ascii="Times" w:hAnsi="Times"/>
                <w:snapToGrid w:val="0"/>
                <w:spacing w:val="-2"/>
              </w:rPr>
              <w:br/>
              <w:t>Regulations other than r. 1 and 2: 21 Sep 2013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2016</w:t>
            </w:r>
          </w:p>
        </w:tc>
        <w:tc>
          <w:tcPr>
            <w:tcW w:w="1276" w:type="dxa"/>
            <w:tcBorders>
              <w:top w:val="nil"/>
              <w:left w:val="nil"/>
              <w:bottom w:val="nil"/>
              <w:right w:val="nil"/>
            </w:tcBorders>
          </w:tcPr>
          <w:p>
            <w:pPr>
              <w:pStyle w:val="nTable"/>
              <w:spacing w:after="40"/>
            </w:pPr>
            <w:r>
              <w:t>24 May 2016 p. 1536</w:t>
            </w:r>
          </w:p>
        </w:tc>
        <w:tc>
          <w:tcPr>
            <w:tcW w:w="2693" w:type="dxa"/>
            <w:tcBorders>
              <w:top w:val="nil"/>
              <w:left w:val="nil"/>
              <w:bottom w:val="nil"/>
            </w:tcBorders>
          </w:tcPr>
          <w:p>
            <w:pPr>
              <w:pStyle w:val="nTable"/>
              <w:spacing w:after="40"/>
              <w:rPr>
                <w:rFonts w:ascii="Times" w:hAnsi="Times"/>
                <w:snapToGrid w:val="0"/>
                <w:spacing w:val="-2"/>
              </w:rPr>
            </w:pPr>
            <w:r>
              <w:rPr>
                <w:rFonts w:ascii="Times" w:hAnsi="Times"/>
                <w:snapToGrid w:val="0"/>
                <w:spacing w:val="-2"/>
              </w:rPr>
              <w:t>r. 1 and 2: 24 May 2016 (see r. 2(a));</w:t>
            </w:r>
            <w:r>
              <w:rPr>
                <w:rFonts w:ascii="Times" w:hAnsi="Times"/>
                <w:snapToGrid w:val="0"/>
                <w:spacing w:val="-2"/>
              </w:rPr>
              <w:br/>
              <w:t>Regulations other than r. 1 and 2: 25 May 2016 (see r. 2(b))</w:t>
            </w:r>
          </w:p>
        </w:tc>
      </w:tr>
      <w:tr>
        <w:tc>
          <w:tcPr>
            <w:tcW w:w="3118" w:type="dxa"/>
            <w:tcBorders>
              <w:top w:val="nil"/>
              <w:bottom w:val="single" w:sz="4" w:space="0" w:color="auto"/>
              <w:right w:val="nil"/>
            </w:tcBorders>
          </w:tcPr>
          <w:p>
            <w:pPr>
              <w:pStyle w:val="nTable"/>
              <w:keepNext/>
              <w:spacing w:after="40"/>
              <w:rPr>
                <w:i/>
                <w:noProof/>
                <w:snapToGrid w:val="0"/>
              </w:rPr>
            </w:pPr>
            <w:r>
              <w:rPr>
                <w:i/>
                <w:noProof/>
                <w:snapToGrid w:val="0"/>
              </w:rPr>
              <w:t>Duties Amendment Regulations 2018</w:t>
            </w:r>
          </w:p>
        </w:tc>
        <w:tc>
          <w:tcPr>
            <w:tcW w:w="1276" w:type="dxa"/>
            <w:tcBorders>
              <w:top w:val="nil"/>
              <w:left w:val="nil"/>
              <w:bottom w:val="single" w:sz="4" w:space="0" w:color="auto"/>
              <w:right w:val="nil"/>
            </w:tcBorders>
          </w:tcPr>
          <w:p>
            <w:pPr>
              <w:pStyle w:val="nTable"/>
              <w:keepNext/>
              <w:spacing w:after="40"/>
            </w:pPr>
            <w:r>
              <w:t>22 Jun 2018 p. 2193</w:t>
            </w:r>
            <w:r>
              <w:noBreakHyphen/>
              <w:t>5</w:t>
            </w:r>
          </w:p>
        </w:tc>
        <w:tc>
          <w:tcPr>
            <w:tcW w:w="2693" w:type="dxa"/>
            <w:tcBorders>
              <w:top w:val="nil"/>
              <w:left w:val="nil"/>
              <w:bottom w:val="single" w:sz="4" w:space="0" w:color="auto"/>
            </w:tcBorders>
          </w:tcPr>
          <w:p>
            <w:pPr>
              <w:pStyle w:val="nTable"/>
              <w:keepNext/>
              <w:spacing w:after="40"/>
              <w:rPr>
                <w:rFonts w:ascii="Times" w:hAnsi="Times"/>
                <w:snapToGrid w:val="0"/>
                <w:spacing w:val="-2"/>
              </w:rPr>
            </w:pPr>
            <w:r>
              <w:rPr>
                <w:rFonts w:ascii="Times" w:hAnsi="Times"/>
                <w:snapToGrid w:val="0"/>
                <w:spacing w:val="-2"/>
              </w:rPr>
              <w:t>r. 1 and 2: 22 Jun 2018 (see r. 2(a));</w:t>
            </w:r>
            <w:r>
              <w:rPr>
                <w:rFonts w:ascii="Times" w:hAnsi="Times"/>
                <w:snapToGrid w:val="0"/>
                <w:spacing w:val="-2"/>
              </w:rPr>
              <w:br/>
              <w:t>Regulations other than r. 1 and 2: 1 Jul 2018 (see r. 2(b))</w:t>
            </w:r>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Minister</w:t>
      </w:r>
      <w:r>
        <w:tab/>
        <w:t>7(1)</w:t>
      </w:r>
    </w:p>
    <w:p>
      <w:pPr>
        <w:pStyle w:val="DefinedTerms"/>
      </w:pPr>
      <w:r>
        <w:t>carriage of passengers or goods between prescribed places</w:t>
      </w:r>
      <w:r>
        <w:tab/>
        <w:t>7(1)</w:t>
      </w:r>
    </w:p>
    <w:p>
      <w:pPr>
        <w:pStyle w:val="DefinedTerms"/>
      </w:pPr>
      <w:r>
        <w:t>farming land</w:t>
      </w:r>
      <w:r>
        <w:tab/>
        <w:t>7(1)</w:t>
      </w:r>
    </w:p>
    <w:p>
      <w:pPr>
        <w:pStyle w:val="DefinedTerms"/>
      </w:pPr>
      <w:r>
        <w:t>Interstate Road Transport Act</w:t>
      </w:r>
      <w:r>
        <w:tab/>
        <w:t>7(1)</w:t>
      </w:r>
    </w:p>
    <w:p>
      <w:pPr>
        <w:pStyle w:val="DefinedTerms"/>
      </w:pPr>
      <w:r>
        <w:t>lot</w:t>
      </w:r>
      <w:r>
        <w:tab/>
        <w:t>5B(1)</w:t>
      </w:r>
    </w:p>
    <w:p>
      <w:pPr>
        <w:pStyle w:val="DefinedTerms"/>
      </w:pPr>
      <w:r>
        <w:t>new profit à prendre</w:t>
      </w:r>
      <w:r>
        <w:tab/>
        <w:t>5B(2)</w:t>
      </w:r>
    </w:p>
    <w:p>
      <w:pPr>
        <w:pStyle w:val="DefinedTerms"/>
      </w:pPr>
      <w:r>
        <w:t>old profit à prendre</w:t>
      </w:r>
      <w:r>
        <w:tab/>
        <w:t>5B(2)</w:t>
      </w:r>
    </w:p>
    <w:p>
      <w:pPr>
        <w:pStyle w:val="DefinedTerms"/>
      </w:pPr>
      <w:r>
        <w:t>profit à prendre</w:t>
      </w:r>
      <w:r>
        <w:tab/>
        <w:t>5B(1)</w:t>
      </w:r>
    </w:p>
    <w:p>
      <w:pPr>
        <w:pStyle w:val="DefinedTerms"/>
      </w:pPr>
      <w:r>
        <w:t>tractor</w:t>
      </w:r>
      <w:r>
        <w:tab/>
        <w:t>7(1)</w:t>
      </w:r>
    </w:p>
    <w:p>
      <w:pPr>
        <w:pStyle w:val="DefinedTerms"/>
      </w:pPr>
      <w:r>
        <w:t>tractor plant</w:t>
      </w:r>
      <w:r>
        <w:tab/>
        <w:t>7(1)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92D98E"/>
    <w:lvl w:ilvl="0">
      <w:start w:val="1"/>
      <w:numFmt w:val="decimal"/>
      <w:lvlText w:val="%1."/>
      <w:lvlJc w:val="left"/>
      <w:pPr>
        <w:tabs>
          <w:tab w:val="num" w:pos="1492"/>
        </w:tabs>
        <w:ind w:left="1492" w:hanging="360"/>
      </w:pPr>
    </w:lvl>
  </w:abstractNum>
  <w:abstractNum w:abstractNumId="1">
    <w:nsid w:val="FFFFFF7D"/>
    <w:multiLevelType w:val="singleLevel"/>
    <w:tmpl w:val="CB365F2C"/>
    <w:lvl w:ilvl="0">
      <w:start w:val="1"/>
      <w:numFmt w:val="decimal"/>
      <w:lvlText w:val="%1."/>
      <w:lvlJc w:val="left"/>
      <w:pPr>
        <w:tabs>
          <w:tab w:val="num" w:pos="1209"/>
        </w:tabs>
        <w:ind w:left="1209" w:hanging="360"/>
      </w:pPr>
    </w:lvl>
  </w:abstractNum>
  <w:abstractNum w:abstractNumId="2">
    <w:nsid w:val="FFFFFF7E"/>
    <w:multiLevelType w:val="singleLevel"/>
    <w:tmpl w:val="BE868A08"/>
    <w:lvl w:ilvl="0">
      <w:start w:val="1"/>
      <w:numFmt w:val="decimal"/>
      <w:lvlText w:val="%1."/>
      <w:lvlJc w:val="left"/>
      <w:pPr>
        <w:tabs>
          <w:tab w:val="num" w:pos="926"/>
        </w:tabs>
        <w:ind w:left="926" w:hanging="360"/>
      </w:pPr>
    </w:lvl>
  </w:abstractNum>
  <w:abstractNum w:abstractNumId="3">
    <w:nsid w:val="FFFFFF7F"/>
    <w:multiLevelType w:val="singleLevel"/>
    <w:tmpl w:val="803AC0DE"/>
    <w:lvl w:ilvl="0">
      <w:start w:val="1"/>
      <w:numFmt w:val="decimal"/>
      <w:lvlText w:val="%1."/>
      <w:lvlJc w:val="left"/>
      <w:pPr>
        <w:tabs>
          <w:tab w:val="num" w:pos="643"/>
        </w:tabs>
        <w:ind w:left="643" w:hanging="360"/>
      </w:pPr>
    </w:lvl>
  </w:abstractNum>
  <w:abstractNum w:abstractNumId="4">
    <w:nsid w:val="FFFFFF80"/>
    <w:multiLevelType w:val="singleLevel"/>
    <w:tmpl w:val="61C2E8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CD266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5BA8F9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0D460E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7E0ABE8"/>
    <w:lvl w:ilvl="0">
      <w:start w:val="1"/>
      <w:numFmt w:val="decimal"/>
      <w:lvlText w:val="%1."/>
      <w:lvlJc w:val="left"/>
      <w:pPr>
        <w:tabs>
          <w:tab w:val="num" w:pos="360"/>
        </w:tabs>
        <w:ind w:left="360" w:hanging="360"/>
      </w:pPr>
    </w:lvl>
  </w:abstractNum>
  <w:abstractNum w:abstractNumId="9">
    <w:nsid w:val="FFFFFF89"/>
    <w:multiLevelType w:val="singleLevel"/>
    <w:tmpl w:val="7B0CE85C"/>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7112755"/>
    <w:docVar w:name="WAFER_20140113105211" w:val="RemoveTocBookmarks,RemoveUnusedBookmarks,RemoveLanguageTags,UsedStyles,ResetPageSize,UpdateArrangement"/>
    <w:docVar w:name="WAFER_20140113105211_GUID" w:val="1fbf4299-a2be-498f-a11b-550a5de8e65c"/>
    <w:docVar w:name="WAFER_20140113105218" w:val="RemoveTocBookmarks,RunningHeaders"/>
    <w:docVar w:name="WAFER_20140113105218_GUID" w:val="eb09d151-1b54-4e81-be28-0ae48b0d1fa4"/>
    <w:docVar w:name="WAFER_20150410164913" w:val="ResetPageSize,UpdateArrangement,UpdateNTable"/>
    <w:docVar w:name="WAFER_20150410164913_GUID" w:val="ae9a3136-5e5f-414c-8838-4b399eaefa63"/>
    <w:docVar w:name="WAFER_20151103114256" w:val="UpdateStyles,UsedStyles"/>
    <w:docVar w:name="WAFER_20151103114256_GUID" w:val="832186ef-3e7f-4624-94d4-009a4b3c8b96"/>
    <w:docVar w:name="WAFER_20180627112755" w:val="RemoveTocBookmarks,RemoveUnusedBookmarks,RemoveLanguageTags,UsedStyles,ResetPageSize"/>
    <w:docVar w:name="WAFER_20180627112755_GUID" w:val="f55c3f11-d55a-4c14-93a8-a4b1e6f126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2932</Words>
  <Characters>13962</Characters>
  <Application>Microsoft Office Word</Application>
  <DocSecurity>0</DocSecurity>
  <Lines>450</Lines>
  <Paragraphs>268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2008 - 01-d0-01</dc:title>
  <dc:subject/>
  <dc:creator/>
  <cp:keywords/>
  <dc:description/>
  <cp:lastModifiedBy>svcMRProcess</cp:lastModifiedBy>
  <cp:revision>4</cp:revision>
  <cp:lastPrinted>2012-02-29T02:10:00Z</cp:lastPrinted>
  <dcterms:created xsi:type="dcterms:W3CDTF">2019-01-16T03:37:00Z</dcterms:created>
  <dcterms:modified xsi:type="dcterms:W3CDTF">2019-01-16T03:37:00Z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OwlsUID">
    <vt:i4>40675</vt:i4>
  </property>
  <property fmtid="{D5CDD505-2E9C-101B-9397-08002B2CF9AE}" pid="4" name="ReprintNo">
    <vt:lpwstr>1</vt:lpwstr>
  </property>
  <property fmtid="{D5CDD505-2E9C-101B-9397-08002B2CF9AE}" pid="5" name="ReprintedAsAt">
    <vt:filetime>2012-02-23T16:00:00Z</vt:filetime>
  </property>
  <property fmtid="{D5CDD505-2E9C-101B-9397-08002B2CF9AE}" pid="6" name="DocumentType">
    <vt:lpwstr>Reg</vt:lpwstr>
  </property>
  <property fmtid="{D5CDD505-2E9C-101B-9397-08002B2CF9AE}" pid="7" name="CommencementDate">
    <vt:lpwstr>20180701</vt:lpwstr>
  </property>
  <property fmtid="{D5CDD505-2E9C-101B-9397-08002B2CF9AE}" pid="8" name="AsAtDate">
    <vt:lpwstr>01 Jul 2018</vt:lpwstr>
  </property>
  <property fmtid="{D5CDD505-2E9C-101B-9397-08002B2CF9AE}" pid="9" name="Suffix">
    <vt:lpwstr>01-d0-01</vt:lpwstr>
  </property>
</Properties>
</file>