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_Toc519496950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_Toc519496951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_Toc519496952 \h </w:instrText>
      </w:r>
      <w:r>
        <w:fldChar w:fldCharType="separate"/>
      </w:r>
      <w:r>
        <w:t>2</w:t>
      </w:r>
      <w:r>
        <w:fldChar w:fldCharType="end"/>
      </w:r>
    </w:p>
    <w:p>
      <w:pPr>
        <w:pStyle w:val="TOC8"/>
        <w:rPr>
          <w:rFonts w:asciiTheme="minorHAnsi" w:eastAsiaTheme="minorEastAsia" w:hAnsiTheme="minorHAnsi" w:cstheme="minorBidi"/>
          <w:szCs w:val="22"/>
        </w:rPr>
      </w:pPr>
      <w:r>
        <w:t>4.</w:t>
      </w:r>
      <w:r>
        <w:tab/>
        <w:t>Part 2 Division 4 deleted</w:t>
      </w:r>
      <w:r>
        <w:tab/>
      </w:r>
      <w:r>
        <w:fldChar w:fldCharType="begin"/>
      </w:r>
      <w:r>
        <w:instrText xml:space="preserve"> PAGEREF _Toc519496953 \h </w:instrText>
      </w:r>
      <w:r>
        <w:fldChar w:fldCharType="separate"/>
      </w:r>
      <w:r>
        <w:t>2</w:t>
      </w:r>
      <w:r>
        <w:fldChar w:fldCharType="end"/>
      </w:r>
    </w:p>
    <w:p>
      <w:pPr>
        <w:pStyle w:val="TOC8"/>
        <w:rPr>
          <w:rFonts w:asciiTheme="minorHAnsi" w:eastAsiaTheme="minorEastAsia" w:hAnsiTheme="minorHAnsi" w:cstheme="minorBidi"/>
          <w:szCs w:val="22"/>
        </w:rPr>
      </w:pPr>
      <w:r>
        <w:t>5.</w:t>
      </w:r>
      <w:r>
        <w:tab/>
        <w:t>Part 2A inserted</w:t>
      </w:r>
      <w:r>
        <w:tab/>
      </w:r>
      <w:r>
        <w:fldChar w:fldCharType="begin"/>
      </w:r>
      <w:r>
        <w:instrText xml:space="preserve"> PAGEREF _Toc519496954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Police use of force: ongoing terrorist acts</w:t>
      </w:r>
    </w:p>
    <w:p>
      <w:pPr>
        <w:pStyle w:val="TOC9"/>
        <w:rPr>
          <w:rFonts w:asciiTheme="minorHAnsi" w:eastAsiaTheme="minorEastAsia" w:hAnsiTheme="minorHAnsi" w:cstheme="minorBidi"/>
          <w:noProof/>
          <w:sz w:val="22"/>
          <w:szCs w:val="22"/>
        </w:rPr>
      </w:pPr>
      <w:r>
        <w:rPr>
          <w:noProof/>
        </w:rPr>
        <w:t>21A.</w:t>
      </w:r>
      <w:r>
        <w:rPr>
          <w:noProof/>
        </w:rPr>
        <w:tab/>
        <w:t>Interpretation</w:t>
      </w:r>
      <w:r>
        <w:rPr>
          <w:noProof/>
        </w:rPr>
        <w:tab/>
      </w:r>
      <w:r>
        <w:rPr>
          <w:noProof/>
        </w:rPr>
        <w:fldChar w:fldCharType="begin"/>
      </w:r>
      <w:r>
        <w:rPr>
          <w:noProof/>
        </w:rPr>
        <w:instrText xml:space="preserve"> PAGEREF _Toc519496956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Non</w:t>
      </w:r>
      <w:r>
        <w:rPr>
          <w:noProof/>
        </w:rPr>
        <w:noBreakHyphen/>
        <w:t>application of Part to certain officers</w:t>
      </w:r>
      <w:r>
        <w:rPr>
          <w:noProof/>
        </w:rPr>
        <w:tab/>
      </w:r>
      <w:r>
        <w:rPr>
          <w:noProof/>
        </w:rPr>
        <w:fldChar w:fldCharType="begin"/>
      </w:r>
      <w:r>
        <w:rPr>
          <w:noProof/>
        </w:rPr>
        <w:instrText xml:space="preserve"> PAGEREF _Toc519496957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21C.</w:t>
      </w:r>
      <w:r>
        <w:rPr>
          <w:noProof/>
        </w:rPr>
        <w:tab/>
        <w:t>Commissioner may declare this Part applies to terrorist act</w:t>
      </w:r>
      <w:r>
        <w:rPr>
          <w:noProof/>
        </w:rPr>
        <w:tab/>
      </w:r>
      <w:r>
        <w:rPr>
          <w:noProof/>
        </w:rPr>
        <w:fldChar w:fldCharType="begin"/>
      </w:r>
      <w:r>
        <w:rPr>
          <w:noProof/>
        </w:rPr>
        <w:instrText xml:space="preserve"> PAGEREF _Toc519496958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21D.</w:t>
      </w:r>
      <w:r>
        <w:rPr>
          <w:noProof/>
        </w:rPr>
        <w:tab/>
        <w:t>Declaration must be in writing</w:t>
      </w:r>
      <w:r>
        <w:rPr>
          <w:noProof/>
        </w:rPr>
        <w:tab/>
      </w:r>
      <w:r>
        <w:rPr>
          <w:noProof/>
        </w:rPr>
        <w:fldChar w:fldCharType="begin"/>
      </w:r>
      <w:r>
        <w:rPr>
          <w:noProof/>
        </w:rPr>
        <w:instrText xml:space="preserve"> PAGEREF _Toc519496959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21E.</w:t>
      </w:r>
      <w:r>
        <w:rPr>
          <w:noProof/>
        </w:rPr>
        <w:tab/>
        <w:t>Declaration may be revoked</w:t>
      </w:r>
      <w:r>
        <w:rPr>
          <w:noProof/>
        </w:rPr>
        <w:tab/>
      </w:r>
      <w:r>
        <w:rPr>
          <w:noProof/>
        </w:rPr>
        <w:fldChar w:fldCharType="begin"/>
      </w:r>
      <w:r>
        <w:rPr>
          <w:noProof/>
        </w:rPr>
        <w:instrText xml:space="preserve"> PAGEREF _Toc519496960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21EA.</w:t>
      </w:r>
      <w:r>
        <w:rPr>
          <w:noProof/>
        </w:rPr>
        <w:tab/>
        <w:t>Revocation must be in writing</w:t>
      </w:r>
      <w:r>
        <w:rPr>
          <w:noProof/>
        </w:rPr>
        <w:tab/>
      </w:r>
      <w:r>
        <w:rPr>
          <w:noProof/>
        </w:rPr>
        <w:fldChar w:fldCharType="begin"/>
      </w:r>
      <w:r>
        <w:rPr>
          <w:noProof/>
        </w:rPr>
        <w:instrText xml:space="preserve"> PAGEREF _Toc519496961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21F.</w:t>
      </w:r>
      <w:r>
        <w:rPr>
          <w:noProof/>
        </w:rPr>
        <w:tab/>
        <w:t>Police action authorised under declaration</w:t>
      </w:r>
      <w:r>
        <w:rPr>
          <w:noProof/>
        </w:rPr>
        <w:tab/>
      </w:r>
      <w:r>
        <w:rPr>
          <w:noProof/>
        </w:rPr>
        <w:fldChar w:fldCharType="begin"/>
      </w:r>
      <w:r>
        <w:rPr>
          <w:noProof/>
        </w:rPr>
        <w:instrText xml:space="preserve"> PAGEREF _Toc519496962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21G.</w:t>
      </w:r>
      <w:r>
        <w:rPr>
          <w:noProof/>
        </w:rPr>
        <w:tab/>
        <w:t>Part does not limit police powers relating to terrorism</w:t>
      </w:r>
      <w:r>
        <w:rPr>
          <w:noProof/>
        </w:rPr>
        <w:tab/>
      </w:r>
      <w:r>
        <w:rPr>
          <w:noProof/>
        </w:rPr>
        <w:fldChar w:fldCharType="begin"/>
      </w:r>
      <w:r>
        <w:rPr>
          <w:noProof/>
        </w:rPr>
        <w:instrText xml:space="preserve"> PAGEREF _Toc519496963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21H.</w:t>
      </w:r>
      <w:r>
        <w:rPr>
          <w:noProof/>
        </w:rPr>
        <w:tab/>
        <w:t>Commissioner’s functions under this Part may be performed by authorised Deputy Commissioner</w:t>
      </w:r>
      <w:r>
        <w:rPr>
          <w:noProof/>
        </w:rPr>
        <w:tab/>
      </w:r>
      <w:r>
        <w:rPr>
          <w:noProof/>
        </w:rPr>
        <w:fldChar w:fldCharType="begin"/>
      </w:r>
      <w:r>
        <w:rPr>
          <w:noProof/>
        </w:rPr>
        <w:instrText xml:space="preserve"> PAGEREF _Toc519496964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Section 31 amended</w:t>
      </w:r>
      <w:r>
        <w:tab/>
      </w:r>
      <w:r>
        <w:fldChar w:fldCharType="begin"/>
      </w:r>
      <w:r>
        <w:instrText xml:space="preserve"> PAGEREF _Toc519496965 \h </w:instrText>
      </w:r>
      <w:r>
        <w:fldChar w:fldCharType="separate"/>
      </w:r>
      <w:r>
        <w:t>7</w:t>
      </w:r>
      <w:r>
        <w:fldChar w:fldCharType="end"/>
      </w:r>
    </w:p>
    <w:p>
      <w:pPr>
        <w:pStyle w:val="TOC8"/>
        <w:rPr>
          <w:rFonts w:asciiTheme="minorHAnsi" w:eastAsiaTheme="minorEastAsia" w:hAnsiTheme="minorHAnsi" w:cstheme="minorBidi"/>
          <w:szCs w:val="22"/>
        </w:rPr>
      </w:pPr>
      <w:r>
        <w:t>7.</w:t>
      </w:r>
      <w:r>
        <w:tab/>
        <w:t>Sections 31A, 31B and 31C inserted</w:t>
      </w:r>
      <w:r>
        <w:tab/>
      </w:r>
      <w:r>
        <w:fldChar w:fldCharType="begin"/>
      </w:r>
      <w:r>
        <w:instrText xml:space="preserve"> PAGEREF _Toc519496966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31A.</w:t>
      </w:r>
      <w:r>
        <w:rPr>
          <w:noProof/>
        </w:rPr>
        <w:tab/>
        <w:t>Power to appoint special officers</w:t>
      </w:r>
      <w:r>
        <w:rPr>
          <w:noProof/>
        </w:rPr>
        <w:tab/>
      </w:r>
      <w:r>
        <w:rPr>
          <w:noProof/>
        </w:rPr>
        <w:fldChar w:fldCharType="begin"/>
      </w:r>
      <w:r>
        <w:rPr>
          <w:noProof/>
        </w:rPr>
        <w:instrText xml:space="preserve"> PAGEREF _Toc519496967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31B.</w:t>
      </w:r>
      <w:r>
        <w:rPr>
          <w:noProof/>
        </w:rPr>
        <w:tab/>
        <w:t>Provisions relating to special officer appointments</w:t>
      </w:r>
      <w:r>
        <w:rPr>
          <w:noProof/>
        </w:rPr>
        <w:tab/>
      </w:r>
      <w:r>
        <w:rPr>
          <w:noProof/>
        </w:rPr>
        <w:fldChar w:fldCharType="begin"/>
      </w:r>
      <w:r>
        <w:rPr>
          <w:noProof/>
        </w:rPr>
        <w:instrText xml:space="preserve"> PAGEREF _Toc519496968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31C.</w:t>
      </w:r>
      <w:r>
        <w:rPr>
          <w:noProof/>
        </w:rPr>
        <w:tab/>
        <w:t>Functions of special officers</w:t>
      </w:r>
      <w:r>
        <w:rPr>
          <w:noProof/>
        </w:rPr>
        <w:tab/>
      </w:r>
      <w:r>
        <w:rPr>
          <w:noProof/>
        </w:rPr>
        <w:fldChar w:fldCharType="begin"/>
      </w:r>
      <w:r>
        <w:rPr>
          <w:noProof/>
        </w:rPr>
        <w:instrText xml:space="preserve"> PAGEREF _Toc519496969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3411779</wp:posOffset>
            </wp:positionH>
            <wp:positionV relativeFrom="page">
              <wp:posOffset>1061492</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Terrorism (Extraordinary Powers) Amendment Act 2018</w:t>
      </w:r>
    </w:p>
    <w:p>
      <w:pPr>
        <w:pStyle w:val="ABillFor"/>
        <w:pBdr>
          <w:top w:val="single" w:sz="4" w:space="6" w:color="auto"/>
          <w:bottom w:val="single" w:sz="4" w:space="6" w:color="auto"/>
        </w:pBdr>
        <w:spacing w:before="0" w:after="240"/>
        <w:ind w:left="2551" w:right="2551"/>
      </w:pPr>
      <w:bookmarkStart w:id="3" w:name="BillCited"/>
      <w:bookmarkEnd w:id="3"/>
      <w:r>
        <w:t>No. 11 of 2018</w:t>
      </w:r>
    </w:p>
    <w:p>
      <w:pPr>
        <w:pStyle w:val="LongTitle"/>
        <w:suppressLineNumbers/>
      </w:pPr>
      <w:r>
        <w:t xml:space="preserve">An Act to amend the </w:t>
      </w:r>
      <w:r>
        <w:rPr>
          <w:i/>
        </w:rPr>
        <w:t>Terrorism (Extraordinary Powers) Act 2005</w:t>
      </w:r>
      <w:r>
        <w:t>.</w:t>
      </w:r>
    </w:p>
    <w:p>
      <w:pPr>
        <w:pStyle w:val="AssentNote"/>
      </w:pPr>
      <w:r>
        <w:t>[Assented to 13 July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18279549"/>
      <w:bookmarkStart w:id="5" w:name="_Toc519495411"/>
      <w:bookmarkStart w:id="6" w:name="_Toc519496950"/>
      <w:r>
        <w:rPr>
          <w:rStyle w:val="CharSectno"/>
        </w:rPr>
        <w:t>1</w:t>
      </w:r>
      <w:r>
        <w:t>.</w:t>
      </w:r>
      <w:r>
        <w:tab/>
        <w:t>Short title</w:t>
      </w:r>
      <w:bookmarkEnd w:id="4"/>
      <w:bookmarkEnd w:id="5"/>
      <w:bookmarkEnd w:id="6"/>
    </w:p>
    <w:p>
      <w:pPr>
        <w:pStyle w:val="Subsection"/>
      </w:pPr>
      <w:r>
        <w:tab/>
      </w:r>
      <w:r>
        <w:tab/>
        <w:t>This is the</w:t>
      </w:r>
      <w:r>
        <w:rPr>
          <w:i/>
        </w:rPr>
        <w:t xml:space="preserve"> Terrorism (Extraordinary Powers) Amendment Act 2018</w:t>
      </w:r>
      <w:r>
        <w:t>.</w:t>
      </w:r>
    </w:p>
    <w:p>
      <w:pPr>
        <w:pStyle w:val="Heading5"/>
      </w:pPr>
      <w:bookmarkStart w:id="7" w:name="_Toc518279550"/>
      <w:bookmarkStart w:id="8" w:name="_Toc519495412"/>
      <w:bookmarkStart w:id="9" w:name="_Toc51949695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18279551"/>
      <w:bookmarkStart w:id="11" w:name="_Toc519495413"/>
      <w:bookmarkStart w:id="12" w:name="_Toc51949695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Terrorism (Extraordinary Powers) Act 2005</w:t>
      </w:r>
      <w:r>
        <w:t>.</w:t>
      </w:r>
    </w:p>
    <w:p>
      <w:pPr>
        <w:pStyle w:val="Heading5"/>
      </w:pPr>
      <w:bookmarkStart w:id="13" w:name="_Toc518279552"/>
      <w:bookmarkStart w:id="14" w:name="_Toc519495414"/>
      <w:bookmarkStart w:id="15" w:name="_Toc519496953"/>
      <w:r>
        <w:rPr>
          <w:rStyle w:val="CharSectno"/>
        </w:rPr>
        <w:t>4</w:t>
      </w:r>
      <w:r>
        <w:t>.</w:t>
      </w:r>
      <w:r>
        <w:tab/>
        <w:t>Part 2 Division 4 deleted</w:t>
      </w:r>
      <w:bookmarkEnd w:id="13"/>
      <w:bookmarkEnd w:id="14"/>
      <w:bookmarkEnd w:id="15"/>
    </w:p>
    <w:p>
      <w:pPr>
        <w:pStyle w:val="Subsection"/>
      </w:pPr>
      <w:r>
        <w:tab/>
      </w:r>
      <w:r>
        <w:tab/>
        <w:t>Delete Part 2 Division 4.</w:t>
      </w:r>
    </w:p>
    <w:p>
      <w:pPr>
        <w:pStyle w:val="Heading5"/>
      </w:pPr>
      <w:bookmarkStart w:id="16" w:name="_Toc518279553"/>
      <w:bookmarkStart w:id="17" w:name="_Toc519495415"/>
      <w:bookmarkStart w:id="18" w:name="_Toc519496954"/>
      <w:r>
        <w:rPr>
          <w:rStyle w:val="CharSectno"/>
        </w:rPr>
        <w:t>5</w:t>
      </w:r>
      <w:r>
        <w:t>.</w:t>
      </w:r>
      <w:r>
        <w:tab/>
        <w:t>Part 2A inserted</w:t>
      </w:r>
      <w:bookmarkEnd w:id="16"/>
      <w:bookmarkEnd w:id="17"/>
      <w:bookmarkEnd w:id="18"/>
    </w:p>
    <w:p>
      <w:pPr>
        <w:pStyle w:val="Subsection"/>
      </w:pPr>
      <w:r>
        <w:tab/>
      </w:r>
      <w:r>
        <w:tab/>
        <w:t>After section 21 insert:</w:t>
      </w:r>
    </w:p>
    <w:p>
      <w:pPr>
        <w:pStyle w:val="BlankOpen"/>
      </w:pPr>
    </w:p>
    <w:p>
      <w:pPr>
        <w:pStyle w:val="zHeading2"/>
      </w:pPr>
      <w:bookmarkStart w:id="19" w:name="_Toc508179995"/>
      <w:bookmarkStart w:id="20" w:name="_Toc508180014"/>
      <w:bookmarkStart w:id="21" w:name="_Toc508180033"/>
      <w:bookmarkStart w:id="22" w:name="_Toc508180074"/>
      <w:bookmarkStart w:id="23" w:name="_Toc508183101"/>
      <w:bookmarkStart w:id="24" w:name="_Toc508183843"/>
      <w:bookmarkStart w:id="25" w:name="_Toc514063692"/>
      <w:bookmarkStart w:id="26" w:name="_Toc518279554"/>
      <w:bookmarkStart w:id="27" w:name="_Toc519495416"/>
      <w:bookmarkStart w:id="28" w:name="_Toc519496955"/>
      <w:r>
        <w:t>Part 2A</w:t>
      </w:r>
      <w:r>
        <w:rPr>
          <w:b w:val="0"/>
        </w:rPr>
        <w:t> </w:t>
      </w:r>
      <w:r>
        <w:t>—</w:t>
      </w:r>
      <w:r>
        <w:rPr>
          <w:b w:val="0"/>
        </w:rPr>
        <w:t> </w:t>
      </w:r>
      <w:r>
        <w:t>Police use of force: ongoing terrorist acts</w:t>
      </w:r>
      <w:bookmarkEnd w:id="19"/>
      <w:bookmarkEnd w:id="20"/>
      <w:bookmarkEnd w:id="21"/>
      <w:bookmarkEnd w:id="22"/>
      <w:bookmarkEnd w:id="23"/>
      <w:bookmarkEnd w:id="24"/>
      <w:bookmarkEnd w:id="25"/>
      <w:bookmarkEnd w:id="26"/>
      <w:bookmarkEnd w:id="27"/>
      <w:bookmarkEnd w:id="28"/>
    </w:p>
    <w:p>
      <w:pPr>
        <w:pStyle w:val="zHeading5"/>
      </w:pPr>
      <w:bookmarkStart w:id="29" w:name="_Toc518279555"/>
      <w:bookmarkStart w:id="30" w:name="_Toc519495417"/>
      <w:bookmarkStart w:id="31" w:name="_Toc519496956"/>
      <w:r>
        <w:t>21A.</w:t>
      </w:r>
      <w:r>
        <w:tab/>
        <w:t>Interpretation</w:t>
      </w:r>
      <w:bookmarkEnd w:id="29"/>
      <w:bookmarkEnd w:id="30"/>
      <w:bookmarkEnd w:id="31"/>
    </w:p>
    <w:p>
      <w:pPr>
        <w:pStyle w:val="zSubsection"/>
      </w:pPr>
      <w:r>
        <w:tab/>
      </w:r>
      <w:r>
        <w:tab/>
        <w:t xml:space="preserve">In this Part — </w:t>
      </w:r>
    </w:p>
    <w:p>
      <w:pPr>
        <w:pStyle w:val="zDefstart"/>
      </w:pPr>
      <w:r>
        <w:tab/>
      </w:r>
      <w:r>
        <w:rPr>
          <w:rStyle w:val="CharDefText"/>
        </w:rPr>
        <w:t>declaration</w:t>
      </w:r>
      <w:r>
        <w:t xml:space="preserve"> means a declaration made under section 21C(1);</w:t>
      </w:r>
    </w:p>
    <w:p>
      <w:pPr>
        <w:pStyle w:val="zDefstart"/>
      </w:pPr>
      <w:r>
        <w:tab/>
      </w:r>
      <w:r>
        <w:rPr>
          <w:rStyle w:val="CharDefText"/>
        </w:rPr>
        <w:t>declared incident</w:t>
      </w:r>
      <w:r>
        <w:t xml:space="preserve"> means an incident in respect of which a declaration is made;</w:t>
      </w:r>
    </w:p>
    <w:p>
      <w:pPr>
        <w:pStyle w:val="zDefstart"/>
        <w:keepNext/>
      </w:pPr>
      <w:r>
        <w:tab/>
      </w:r>
      <w:r>
        <w:rPr>
          <w:rStyle w:val="CharDefText"/>
        </w:rPr>
        <w:t>detain</w:t>
      </w:r>
      <w:r>
        <w:t xml:space="preserve"> has the meaning given in </w:t>
      </w:r>
      <w:r>
        <w:rPr>
          <w:i/>
        </w:rPr>
        <w:t xml:space="preserve">The Criminal Code </w:t>
      </w:r>
      <w:r>
        <w:t>section 332(1).</w:t>
      </w:r>
    </w:p>
    <w:p>
      <w:pPr>
        <w:pStyle w:val="zHeading5"/>
        <w:rPr>
          <w:b w:val="0"/>
        </w:rPr>
      </w:pPr>
      <w:bookmarkStart w:id="32" w:name="_Toc518279556"/>
      <w:bookmarkStart w:id="33" w:name="_Toc519495418"/>
      <w:bookmarkStart w:id="34" w:name="_Toc519496957"/>
      <w:r>
        <w:t>21B.</w:t>
      </w:r>
      <w:r>
        <w:tab/>
        <w:t>Non</w:t>
      </w:r>
      <w:r>
        <w:noBreakHyphen/>
        <w:t>application of Part to certain officers</w:t>
      </w:r>
      <w:bookmarkEnd w:id="32"/>
      <w:bookmarkEnd w:id="33"/>
      <w:bookmarkEnd w:id="34"/>
    </w:p>
    <w:p>
      <w:pPr>
        <w:pStyle w:val="zSubsection"/>
      </w:pPr>
      <w:r>
        <w:tab/>
        <w:t>(1)</w:t>
      </w:r>
      <w:r>
        <w:tab/>
        <w:t xml:space="preserve">In this section — </w:t>
      </w:r>
    </w:p>
    <w:p>
      <w:pPr>
        <w:pStyle w:val="zDefstart"/>
      </w:pPr>
      <w:r>
        <w:tab/>
      </w:r>
      <w:r>
        <w:rPr>
          <w:rStyle w:val="CharDefText"/>
        </w:rPr>
        <w:t>support officer</w:t>
      </w:r>
      <w:r>
        <w:t xml:space="preserve"> means any of the following — </w:t>
      </w:r>
    </w:p>
    <w:p>
      <w:pPr>
        <w:pStyle w:val="zDefpara"/>
      </w:pPr>
      <w:r>
        <w:tab/>
        <w:t>(a)</w:t>
      </w:r>
      <w:r>
        <w:tab/>
        <w:t xml:space="preserve">a special constable appointed under the </w:t>
      </w:r>
      <w:r>
        <w:rPr>
          <w:i/>
        </w:rPr>
        <w:t>Police Act 1892</w:t>
      </w:r>
      <w:r>
        <w:t xml:space="preserve"> section 35(1);</w:t>
      </w:r>
    </w:p>
    <w:p>
      <w:pPr>
        <w:pStyle w:val="zDefpara"/>
      </w:pPr>
      <w:r>
        <w:tab/>
        <w:t>(b)</w:t>
      </w:r>
      <w:r>
        <w:tab/>
        <w:t xml:space="preserve">an Aboriginal police liaison officer appointed under the </w:t>
      </w:r>
      <w:r>
        <w:rPr>
          <w:i/>
        </w:rPr>
        <w:t xml:space="preserve">Police Act 1892 </w:t>
      </w:r>
      <w:r>
        <w:t>section 38B(1);</w:t>
      </w:r>
    </w:p>
    <w:p>
      <w:pPr>
        <w:pStyle w:val="zDefpara"/>
      </w:pPr>
      <w:r>
        <w:tab/>
        <w:t>(c)</w:t>
      </w:r>
      <w:r>
        <w:tab/>
        <w:t xml:space="preserve">a police auxiliary officer appointed under the </w:t>
      </w:r>
      <w:r>
        <w:rPr>
          <w:i/>
        </w:rPr>
        <w:t>Police Act 1892</w:t>
      </w:r>
      <w:r>
        <w:t xml:space="preserve"> section 38G(1).</w:t>
      </w:r>
    </w:p>
    <w:p>
      <w:pPr>
        <w:pStyle w:val="zSubsection"/>
      </w:pPr>
      <w:r>
        <w:tab/>
        <w:t>(2)</w:t>
      </w:r>
      <w:r>
        <w:tab/>
        <w:t xml:space="preserve">For the purposes of the </w:t>
      </w:r>
      <w:r>
        <w:rPr>
          <w:i/>
        </w:rPr>
        <w:t xml:space="preserve">Police Act 1892 </w:t>
      </w:r>
      <w:r>
        <w:t xml:space="preserve">sections 36, 38C and 38H — </w:t>
      </w:r>
    </w:p>
    <w:p>
      <w:pPr>
        <w:pStyle w:val="zIndenta"/>
      </w:pPr>
      <w:r>
        <w:tab/>
        <w:t>(a)</w:t>
      </w:r>
      <w:r>
        <w:tab/>
        <w:t>a support officer does not have any of the powers, duties or obligations that a police officer has under this Part; and</w:t>
      </w:r>
    </w:p>
    <w:p>
      <w:pPr>
        <w:pStyle w:val="zIndenta"/>
      </w:pPr>
      <w:r>
        <w:tab/>
        <w:t>(b)</w:t>
      </w:r>
      <w:r>
        <w:tab/>
        <w:t>any authorisation, exemption or exception in this Part that applies to a police officer does not apply to a support officer; and</w:t>
      </w:r>
    </w:p>
    <w:p>
      <w:pPr>
        <w:pStyle w:val="zIndenta"/>
      </w:pPr>
      <w:r>
        <w:tab/>
        <w:t>(c)</w:t>
      </w:r>
      <w:r>
        <w:tab/>
        <w:t>a reference in this Part to a police officer does not include a reference to a support officer.</w:t>
      </w:r>
    </w:p>
    <w:p>
      <w:pPr>
        <w:pStyle w:val="zSubsection"/>
      </w:pPr>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zHeading5"/>
      </w:pPr>
      <w:bookmarkStart w:id="35" w:name="_Toc518279557"/>
      <w:bookmarkStart w:id="36" w:name="_Toc519495419"/>
      <w:bookmarkStart w:id="37" w:name="_Toc519496958"/>
      <w:r>
        <w:t>21C.</w:t>
      </w:r>
      <w:r>
        <w:tab/>
        <w:t>Commissioner may declare this Part applies to terrorist act</w:t>
      </w:r>
      <w:bookmarkEnd w:id="35"/>
      <w:bookmarkEnd w:id="36"/>
      <w:bookmarkEnd w:id="37"/>
    </w:p>
    <w:p>
      <w:pPr>
        <w:pStyle w:val="zSubsection"/>
      </w:pPr>
      <w:r>
        <w:tab/>
        <w:t>(1)</w:t>
      </w:r>
      <w:r>
        <w:tab/>
        <w:t xml:space="preserve">The Commissioner may declare that this Part applies to an incident to which police officers are responding if the Commissioner is satisfied there are reasonable grounds to suspect — </w:t>
      </w:r>
    </w:p>
    <w:p>
      <w:pPr>
        <w:pStyle w:val="zIndenta"/>
      </w:pPr>
      <w:r>
        <w:tab/>
        <w:t>(a)</w:t>
      </w:r>
      <w:r>
        <w:tab/>
        <w:t>that the incident is or is likely to be a terrorist act; and</w:t>
      </w:r>
    </w:p>
    <w:p>
      <w:pPr>
        <w:pStyle w:val="zIndenta"/>
      </w:pPr>
      <w:r>
        <w:tab/>
        <w:t>(b)</w:t>
      </w:r>
      <w:r>
        <w:tab/>
        <w:t xml:space="preserve">that planned and coordinated police action is required — </w:t>
      </w:r>
    </w:p>
    <w:p>
      <w:pPr>
        <w:pStyle w:val="zIndenti"/>
      </w:pPr>
      <w:r>
        <w:tab/>
        <w:t>(i)</w:t>
      </w:r>
      <w:r>
        <w:tab/>
        <w:t>to defend a person threatened by the incident; or</w:t>
      </w:r>
    </w:p>
    <w:p>
      <w:pPr>
        <w:pStyle w:val="zIndenti"/>
      </w:pPr>
      <w:r>
        <w:tab/>
        <w:t>(ii)</w:t>
      </w:r>
      <w:r>
        <w:tab/>
        <w:t>to prevent a person from being detained or end the detention of a person.</w:t>
      </w:r>
    </w:p>
    <w:p>
      <w:pPr>
        <w:pStyle w:val="zSubsection"/>
      </w:pPr>
      <w:r>
        <w:tab/>
        <w:t>(2)</w:t>
      </w:r>
      <w:r>
        <w:tab/>
        <w:t xml:space="preserve">The declaration applies to each location at which police officers are responding to the incident. </w:t>
      </w:r>
    </w:p>
    <w:p>
      <w:pPr>
        <w:pStyle w:val="zSubsection"/>
      </w:pPr>
      <w:r>
        <w:tab/>
        <w:t>(3)</w:t>
      </w:r>
      <w:r>
        <w:tab/>
        <w:t>The Commissioner must notify the police officer in charge of the police officers responding to the declared incident that the declaration has been made.</w:t>
      </w:r>
    </w:p>
    <w:p>
      <w:pPr>
        <w:pStyle w:val="zSubsection"/>
      </w:pPr>
      <w:r>
        <w:tab/>
        <w:t>(4)</w:t>
      </w:r>
      <w:r>
        <w:tab/>
        <w:t>The Commissioner must notify the Minister of the declaration before, or as soon as practicable after, the declaration is made.</w:t>
      </w:r>
    </w:p>
    <w:p>
      <w:pPr>
        <w:pStyle w:val="zHeading5"/>
      </w:pPr>
      <w:bookmarkStart w:id="38" w:name="_Toc518279558"/>
      <w:bookmarkStart w:id="39" w:name="_Toc519495420"/>
      <w:bookmarkStart w:id="40" w:name="_Toc519496959"/>
      <w:r>
        <w:t>21D.</w:t>
      </w:r>
      <w:r>
        <w:tab/>
        <w:t>Declaration must be in writing</w:t>
      </w:r>
      <w:bookmarkEnd w:id="38"/>
      <w:bookmarkEnd w:id="39"/>
      <w:bookmarkEnd w:id="40"/>
    </w:p>
    <w:p>
      <w:pPr>
        <w:pStyle w:val="zSubsection"/>
      </w:pPr>
      <w:r>
        <w:tab/>
        <w:t>(1)</w:t>
      </w:r>
      <w:r>
        <w:tab/>
        <w:t>Except as provided in subsection (2), a declaration must be in writing.</w:t>
      </w:r>
    </w:p>
    <w:p>
      <w:pPr>
        <w:pStyle w:val="zSubsection"/>
        <w:keepNext/>
      </w:pPr>
      <w:r>
        <w:tab/>
        <w:t>(2)</w:t>
      </w:r>
      <w:r>
        <w:tab/>
        <w:t xml:space="preserve">If, due to the urgency of the situation, it is not practicable to make the declaration in writing — </w:t>
      </w:r>
    </w:p>
    <w:p>
      <w:pPr>
        <w:pStyle w:val="zIndenta"/>
      </w:pPr>
      <w:r>
        <w:tab/>
        <w:t>(a)</w:t>
      </w:r>
      <w:r>
        <w:tab/>
        <w:t>the declaration may be made orally with details recorded contemporaneously; and</w:t>
      </w:r>
    </w:p>
    <w:p>
      <w:pPr>
        <w:pStyle w:val="zIndenta"/>
      </w:pPr>
      <w:r>
        <w:tab/>
        <w:t>(b)</w:t>
      </w:r>
      <w:r>
        <w:tab/>
        <w:t>if it is made orally, it must be put in writing as soon as practicable after it is made and in any event within 6 hours.</w:t>
      </w:r>
    </w:p>
    <w:p>
      <w:pPr>
        <w:pStyle w:val="zHeading5"/>
      </w:pPr>
      <w:bookmarkStart w:id="41" w:name="_Toc518279559"/>
      <w:bookmarkStart w:id="42" w:name="_Toc519495421"/>
      <w:bookmarkStart w:id="43" w:name="_Toc519496960"/>
      <w:r>
        <w:t>21E.</w:t>
      </w:r>
      <w:r>
        <w:tab/>
        <w:t>Declaration may be revoked</w:t>
      </w:r>
      <w:bookmarkEnd w:id="41"/>
      <w:bookmarkEnd w:id="42"/>
      <w:bookmarkEnd w:id="43"/>
    </w:p>
    <w:p>
      <w:pPr>
        <w:pStyle w:val="zSubsection"/>
      </w:pPr>
      <w:r>
        <w:tab/>
        <w:t>(1)</w:t>
      </w:r>
      <w:r>
        <w:tab/>
        <w:t>The Commissioner may at any time revoke a declaration.</w:t>
      </w:r>
    </w:p>
    <w:p>
      <w:pPr>
        <w:pStyle w:val="zSubsection"/>
      </w:pPr>
      <w:r>
        <w:tab/>
        <w:t>(2)</w:t>
      </w:r>
      <w:r>
        <w:tab/>
        <w:t>Without limiting the power in subsection (1), if no further police response is required in response to a declared incident, the Commissioner must revoke the declaration.</w:t>
      </w:r>
    </w:p>
    <w:p>
      <w:pPr>
        <w:pStyle w:val="zSubsection"/>
      </w:pPr>
      <w:r>
        <w:tab/>
        <w:t>(3)</w:t>
      </w:r>
      <w:r>
        <w:tab/>
        <w:t>The Commissioner must notify the police officer in charge of the police officers responding to the declared incident that the declaration has been revoked.</w:t>
      </w:r>
    </w:p>
    <w:p>
      <w:pPr>
        <w:pStyle w:val="z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zHeading5"/>
      </w:pPr>
      <w:bookmarkStart w:id="44" w:name="_Toc518279560"/>
      <w:bookmarkStart w:id="45" w:name="_Toc519495422"/>
      <w:bookmarkStart w:id="46" w:name="_Toc519496961"/>
      <w:r>
        <w:t>21EA.</w:t>
      </w:r>
      <w:r>
        <w:tab/>
        <w:t>Revocation must be in writing</w:t>
      </w:r>
      <w:bookmarkEnd w:id="44"/>
      <w:bookmarkEnd w:id="45"/>
      <w:bookmarkEnd w:id="46"/>
    </w:p>
    <w:p>
      <w:pPr>
        <w:pStyle w:val="zSubsection"/>
      </w:pPr>
      <w:r>
        <w:tab/>
        <w:t>(1)</w:t>
      </w:r>
      <w:r>
        <w:tab/>
        <w:t>Except as provided in subsection (2), a revocation under section 21E must be made in writing.</w:t>
      </w:r>
    </w:p>
    <w:p>
      <w:pPr>
        <w:pStyle w:val="zSubsection"/>
      </w:pPr>
      <w:r>
        <w:tab/>
        <w:t>(2)</w:t>
      </w:r>
      <w:r>
        <w:tab/>
        <w:t xml:space="preserve">If, due to the urgency of the situation, it is not practicable to make the revocation in writing — </w:t>
      </w:r>
    </w:p>
    <w:p>
      <w:pPr>
        <w:pStyle w:val="zIndenta"/>
      </w:pPr>
      <w:r>
        <w:tab/>
        <w:t>(a)</w:t>
      </w:r>
      <w:r>
        <w:tab/>
        <w:t>the revocation may be made orally with details recorded contemporaneously; and</w:t>
      </w:r>
    </w:p>
    <w:p>
      <w:pPr>
        <w:pStyle w:val="zIndenta"/>
      </w:pPr>
      <w:r>
        <w:tab/>
        <w:t>(b)</w:t>
      </w:r>
      <w:r>
        <w:tab/>
        <w:t>if it is made orally, the revocation must be put in writing as soon as practicable after it is made and in any event within 6 hours.</w:t>
      </w:r>
    </w:p>
    <w:p>
      <w:pPr>
        <w:pStyle w:val="zHeading5"/>
      </w:pPr>
      <w:bookmarkStart w:id="47" w:name="_Toc518279561"/>
      <w:bookmarkStart w:id="48" w:name="_Toc519495423"/>
      <w:bookmarkStart w:id="49" w:name="_Toc519496962"/>
      <w:r>
        <w:t>21F.</w:t>
      </w:r>
      <w:r>
        <w:tab/>
        <w:t>Police action authorised under declaration</w:t>
      </w:r>
      <w:bookmarkEnd w:id="47"/>
      <w:bookmarkEnd w:id="48"/>
      <w:bookmarkEnd w:id="49"/>
    </w:p>
    <w:p>
      <w:pPr>
        <w:pStyle w:val="zSubsection"/>
        <w:keepNext/>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zIndenta"/>
      </w:pPr>
      <w:r>
        <w:tab/>
        <w:t>(a)</w:t>
      </w:r>
      <w:r>
        <w:tab/>
        <w:t>defend a person threatened by the incident; or</w:t>
      </w:r>
    </w:p>
    <w:p>
      <w:pPr>
        <w:pStyle w:val="zIndenta"/>
      </w:pPr>
      <w:r>
        <w:tab/>
        <w:t>(b)</w:t>
      </w:r>
      <w:r>
        <w:tab/>
        <w:t>prevent a person from being detained or end the detention of a person.</w:t>
      </w:r>
    </w:p>
    <w:p>
      <w:pPr>
        <w:pStyle w:val="z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zSubsection"/>
      </w:pPr>
      <w:r>
        <w:tab/>
        <w:t>(3)</w:t>
      </w:r>
      <w:r>
        <w:tab/>
        <w:t xml:space="preserve">Nothing in this section limits the availability of any justification, excuse or defence under Chapter V or Chapter XXVI of </w:t>
      </w:r>
      <w:r>
        <w:rPr>
          <w:i/>
        </w:rPr>
        <w:t>The Criminal Code</w:t>
      </w:r>
      <w:r>
        <w:t>.</w:t>
      </w:r>
    </w:p>
    <w:p>
      <w:pPr>
        <w:pStyle w:val="zSubsection"/>
      </w:pPr>
      <w:r>
        <w:tab/>
        <w:t>(4)</w:t>
      </w:r>
      <w:r>
        <w:tab/>
        <w:t>If a declaration is revoked, this section continues to apply to any action taken by a police officer before the police officer became aware of the revocation.</w:t>
      </w:r>
    </w:p>
    <w:p>
      <w:pPr>
        <w:pStyle w:val="z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zHeading5"/>
      </w:pPr>
      <w:bookmarkStart w:id="50" w:name="_Toc518279562"/>
      <w:bookmarkStart w:id="51" w:name="_Toc519495424"/>
      <w:bookmarkStart w:id="52" w:name="_Toc519496963"/>
      <w:r>
        <w:t>21G.</w:t>
      </w:r>
      <w:r>
        <w:tab/>
        <w:t>Part does not limit police powers relating to terrorism</w:t>
      </w:r>
      <w:bookmarkEnd w:id="50"/>
      <w:bookmarkEnd w:id="51"/>
      <w:bookmarkEnd w:id="52"/>
    </w:p>
    <w:p>
      <w:pPr>
        <w:pStyle w:val="z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zHeading5"/>
      </w:pPr>
      <w:bookmarkStart w:id="53" w:name="_Toc518279563"/>
      <w:bookmarkStart w:id="54" w:name="_Toc519495425"/>
      <w:bookmarkStart w:id="55" w:name="_Toc519496964"/>
      <w:r>
        <w:t>21H.</w:t>
      </w:r>
      <w:r>
        <w:tab/>
        <w:t>Commissioner’s functions under this Part may be performed by authorised Deputy Commissioner</w:t>
      </w:r>
      <w:bookmarkEnd w:id="53"/>
      <w:bookmarkEnd w:id="54"/>
      <w:bookmarkEnd w:id="55"/>
    </w:p>
    <w:p>
      <w:pPr>
        <w:pStyle w:val="zSubsection"/>
      </w:pPr>
      <w:r>
        <w:tab/>
        <w:t>(1)</w:t>
      </w:r>
      <w:r>
        <w:tab/>
        <w:t xml:space="preserve">In this section — </w:t>
      </w:r>
    </w:p>
    <w:p>
      <w:pPr>
        <w:pStyle w:val="zDefstart"/>
      </w:pPr>
      <w:r>
        <w:tab/>
      </w:r>
      <w:r>
        <w:rPr>
          <w:rStyle w:val="CharDefText"/>
        </w:rPr>
        <w:t>authorised</w:t>
      </w:r>
      <w:r>
        <w:t xml:space="preserve"> means authorised under subsection (3);</w:t>
      </w:r>
    </w:p>
    <w:p>
      <w:pPr>
        <w:pStyle w:val="zDefstart"/>
      </w:pPr>
      <w:r>
        <w:tab/>
      </w:r>
      <w:r>
        <w:rPr>
          <w:rStyle w:val="CharDefText"/>
        </w:rPr>
        <w:t>Deputy Commissioner</w:t>
      </w:r>
      <w:r>
        <w:t xml:space="preserve"> means a police officer who holds or is acting in the office of Deputy Commissioner.</w:t>
      </w:r>
    </w:p>
    <w:p>
      <w:pPr>
        <w:pStyle w:val="zSubsection"/>
      </w:pPr>
      <w:r>
        <w:tab/>
        <w:t>(2)</w:t>
      </w:r>
      <w:r>
        <w:tab/>
        <w:t xml:space="preserve">The Commissioner’s functions under this Part, other than the power in subsection (3), may be performed by an authorised Deputy Commissioner if — </w:t>
      </w:r>
    </w:p>
    <w:p>
      <w:pPr>
        <w:pStyle w:val="zIndenta"/>
      </w:pPr>
      <w:r>
        <w:tab/>
        <w:t>(a)</w:t>
      </w:r>
      <w:r>
        <w:tab/>
        <w:t xml:space="preserve">the office of Commissioner is vacant; or </w:t>
      </w:r>
    </w:p>
    <w:p>
      <w:pPr>
        <w:pStyle w:val="zIndenta"/>
      </w:pPr>
      <w:r>
        <w:tab/>
        <w:t>(b)</w:t>
      </w:r>
      <w:r>
        <w:tab/>
        <w:t xml:space="preserve">the Commissioner is on leave or out of the State; or </w:t>
      </w:r>
    </w:p>
    <w:p>
      <w:pPr>
        <w:pStyle w:val="zIndenta"/>
      </w:pPr>
      <w:r>
        <w:tab/>
        <w:t>(c)</w:t>
      </w:r>
      <w:r>
        <w:tab/>
        <w:t>the Commissioner is otherwise unavailable to exercise the functions.</w:t>
      </w:r>
    </w:p>
    <w:p>
      <w:pPr>
        <w:pStyle w:val="zSubsection"/>
      </w:pPr>
      <w:r>
        <w:tab/>
        <w:t>(3)</w:t>
      </w:r>
      <w:r>
        <w:tab/>
        <w:t>For the purposes of this section, the Commissioner may authorise in writing one or more Deputy Commissioners to perform the Commissioner’s functions under this Part.</w:t>
      </w:r>
    </w:p>
    <w:p>
      <w:pPr>
        <w:pStyle w:val="zSubsection"/>
      </w:pPr>
      <w:r>
        <w:tab/>
        <w:t>(4)</w:t>
      </w:r>
      <w:r>
        <w:tab/>
        <w:t>If any of the Commissioner’s functions under this Part is performed by a person other than the Commissioner, the person must notify the Commissioner of the fact as soon as practicable.</w:t>
      </w:r>
    </w:p>
    <w:p>
      <w:pPr>
        <w:pStyle w:val="BlankClose"/>
      </w:pPr>
    </w:p>
    <w:p>
      <w:pPr>
        <w:pStyle w:val="Heading5"/>
      </w:pPr>
      <w:bookmarkStart w:id="56" w:name="_Toc518279564"/>
      <w:bookmarkStart w:id="57" w:name="_Toc519495426"/>
      <w:bookmarkStart w:id="58" w:name="_Toc519496965"/>
      <w:r>
        <w:rPr>
          <w:rStyle w:val="CharSectno"/>
        </w:rPr>
        <w:t>6</w:t>
      </w:r>
      <w:r>
        <w:t>.</w:t>
      </w:r>
      <w:r>
        <w:tab/>
        <w:t>Section 31 amended</w:t>
      </w:r>
      <w:bookmarkEnd w:id="56"/>
      <w:bookmarkEnd w:id="57"/>
      <w:bookmarkEnd w:id="58"/>
    </w:p>
    <w:p>
      <w:pPr>
        <w:pStyle w:val="Subsection"/>
      </w:pPr>
      <w:r>
        <w:tab/>
      </w:r>
      <w:r>
        <w:tab/>
        <w:t>In section 31(2) after “other than” insert:</w:t>
      </w:r>
    </w:p>
    <w:p>
      <w:pPr>
        <w:pStyle w:val="BlankOpen"/>
      </w:pPr>
    </w:p>
    <w:p>
      <w:pPr>
        <w:pStyle w:val="Subsection"/>
      </w:pPr>
      <w:r>
        <w:tab/>
      </w:r>
      <w:r>
        <w:tab/>
        <w:t>a function under Part 2A or</w:t>
      </w:r>
    </w:p>
    <w:p>
      <w:pPr>
        <w:pStyle w:val="BlankClose"/>
      </w:pPr>
    </w:p>
    <w:p>
      <w:pPr>
        <w:pStyle w:val="Heading5"/>
      </w:pPr>
      <w:bookmarkStart w:id="59" w:name="_Toc518279565"/>
      <w:bookmarkStart w:id="60" w:name="_Toc519495427"/>
      <w:bookmarkStart w:id="61" w:name="_Toc519496966"/>
      <w:r>
        <w:rPr>
          <w:rStyle w:val="CharSectno"/>
        </w:rPr>
        <w:t>7</w:t>
      </w:r>
      <w:r>
        <w:t>.</w:t>
      </w:r>
      <w:r>
        <w:tab/>
        <w:t>Sections 31A, 31B and 31C inserted</w:t>
      </w:r>
      <w:bookmarkEnd w:id="59"/>
      <w:bookmarkEnd w:id="60"/>
      <w:bookmarkEnd w:id="61"/>
    </w:p>
    <w:p>
      <w:pPr>
        <w:pStyle w:val="Subsection"/>
      </w:pPr>
      <w:r>
        <w:tab/>
      </w:r>
      <w:r>
        <w:tab/>
        <w:t>After section 31 insert:</w:t>
      </w:r>
    </w:p>
    <w:p>
      <w:pPr>
        <w:pStyle w:val="BlankOpen"/>
      </w:pPr>
    </w:p>
    <w:p>
      <w:pPr>
        <w:pStyle w:val="zHeading5"/>
      </w:pPr>
      <w:bookmarkStart w:id="62" w:name="_Toc518279566"/>
      <w:bookmarkStart w:id="63" w:name="_Toc519495428"/>
      <w:bookmarkStart w:id="64" w:name="_Toc519496967"/>
      <w:r>
        <w:t>31A.</w:t>
      </w:r>
      <w:r>
        <w:tab/>
        <w:t>Power to appoint special officers</w:t>
      </w:r>
      <w:bookmarkEnd w:id="62"/>
      <w:bookmarkEnd w:id="63"/>
      <w:bookmarkEnd w:id="64"/>
    </w:p>
    <w:p>
      <w:pPr>
        <w:pStyle w:val="zSubsection"/>
      </w:pPr>
      <w:r>
        <w:tab/>
        <w:t>(1)</w:t>
      </w:r>
      <w:r>
        <w:tab/>
        <w:t xml:space="preserve">The Commissioner may appoint as a special officer any person who is — </w:t>
      </w:r>
    </w:p>
    <w:p>
      <w:pPr>
        <w:pStyle w:val="zIndenta"/>
      </w:pPr>
      <w:r>
        <w:tab/>
        <w:t>(a)</w:t>
      </w:r>
      <w:r>
        <w:tab/>
        <w:t>a member of the Australian Federal Police; or</w:t>
      </w:r>
    </w:p>
    <w:p>
      <w:pPr>
        <w:pStyle w:val="zIndenta"/>
      </w:pPr>
      <w:r>
        <w:tab/>
        <w:t>(b)</w:t>
      </w:r>
      <w:r>
        <w:tab/>
        <w:t>a member of the police force of another State or of a Territory; or</w:t>
      </w:r>
    </w:p>
    <w:p>
      <w:pPr>
        <w:pStyle w:val="zIndenta"/>
      </w:pPr>
      <w:r>
        <w:tab/>
        <w:t>(c)</w:t>
      </w:r>
      <w:r>
        <w:tab/>
        <w:t>a sworn employee of the New Zealand Police; or</w:t>
      </w:r>
    </w:p>
    <w:p>
      <w:pPr>
        <w:pStyle w:val="zIndenta"/>
      </w:pPr>
      <w:r>
        <w:tab/>
        <w:t>(d)</w:t>
      </w:r>
      <w:r>
        <w:tab/>
        <w:t>a law enforcement officer of a foreign jurisdiction prescribed for the purposes of this subsection.</w:t>
      </w:r>
    </w:p>
    <w:p>
      <w:pPr>
        <w:pStyle w:val="zSubsection"/>
      </w:pPr>
      <w:r>
        <w:tab/>
        <w:t>(2)</w:t>
      </w:r>
      <w:r>
        <w:tab/>
        <w:t>The Commissioner may appoint a person as a special officer for the purposes of Part 2 or 2A.</w:t>
      </w:r>
    </w:p>
    <w:p>
      <w:pPr>
        <w:pStyle w:val="zSubsection"/>
      </w:pPr>
      <w:r>
        <w:tab/>
        <w:t>(3)</w:t>
      </w:r>
      <w:r>
        <w:tab/>
        <w:t xml:space="preserve">The Commissioner must not make an appointment under subsection (1) unless the Commissioner is of the opinion that the appointment is necessary — </w:t>
      </w:r>
    </w:p>
    <w:p>
      <w:pPr>
        <w:pStyle w:val="zIndenta"/>
      </w:pPr>
      <w:r>
        <w:tab/>
        <w:t>(a)</w:t>
      </w:r>
      <w:r>
        <w:tab/>
        <w:t>in the case of an appointment for the purposes of Part 2, for the more effective exercise of the powers that may be exercised under a Commissioner’s warrant as defined in section 6; or</w:t>
      </w:r>
    </w:p>
    <w:p>
      <w:pPr>
        <w:pStyle w:val="zIndenta"/>
      </w:pPr>
      <w:r>
        <w:tab/>
        <w:t>(b)</w:t>
      </w:r>
      <w:r>
        <w:tab/>
        <w:t>in the case of an appointment for the purposes of Part 2A, to more effectively respond to a declared incident as defined in section 21A.</w:t>
      </w:r>
    </w:p>
    <w:p>
      <w:pPr>
        <w:pStyle w:val="zHeading5"/>
      </w:pPr>
      <w:bookmarkStart w:id="65" w:name="_Toc518279567"/>
      <w:bookmarkStart w:id="66" w:name="_Toc519495429"/>
      <w:bookmarkStart w:id="67" w:name="_Toc519496968"/>
      <w:r>
        <w:t>31B.</w:t>
      </w:r>
      <w:r>
        <w:tab/>
        <w:t>Provisions relating to special officer appointments</w:t>
      </w:r>
      <w:bookmarkEnd w:id="65"/>
      <w:bookmarkEnd w:id="66"/>
      <w:bookmarkEnd w:id="67"/>
    </w:p>
    <w:p>
      <w:pPr>
        <w:pStyle w:val="zSubsection"/>
      </w:pPr>
      <w:r>
        <w:tab/>
        <w:t>(1)</w:t>
      </w:r>
      <w:r>
        <w:tab/>
        <w:t xml:space="preserve">The appointment of a special officer under section 31A — </w:t>
      </w:r>
    </w:p>
    <w:p>
      <w:pPr>
        <w:pStyle w:val="zIndenta"/>
      </w:pPr>
      <w:r>
        <w:tab/>
        <w:t>(a)</w:t>
      </w:r>
      <w:r>
        <w:tab/>
        <w:t>must be in writing; and</w:t>
      </w:r>
    </w:p>
    <w:p>
      <w:pPr>
        <w:pStyle w:val="zIndenta"/>
      </w:pPr>
      <w:r>
        <w:tab/>
        <w:t>(b)</w:t>
      </w:r>
      <w:r>
        <w:tab/>
        <w:t>must state the date and time it is made; and</w:t>
      </w:r>
    </w:p>
    <w:p>
      <w:pPr>
        <w:pStyle w:val="zIndenta"/>
      </w:pPr>
      <w:r>
        <w:tab/>
        <w:t>(c)</w:t>
      </w:r>
      <w:r>
        <w:tab/>
        <w:t>must state the date and time it ceases to have effect; and</w:t>
      </w:r>
    </w:p>
    <w:p>
      <w:pPr>
        <w:pStyle w:val="zIndenta"/>
      </w:pPr>
      <w:r>
        <w:tab/>
        <w:t>(d)</w:t>
      </w:r>
      <w:r>
        <w:tab/>
        <w:t>must state whether the appointment is for the purposes of Part 2 or 2A; and</w:t>
      </w:r>
    </w:p>
    <w:p>
      <w:pPr>
        <w:pStyle w:val="zIndenta"/>
      </w:pPr>
      <w:r>
        <w:tab/>
        <w:t>(e)</w:t>
      </w:r>
      <w:r>
        <w:tab/>
        <w:t>may be made subject to any condition the Commissioner thinks fit; and</w:t>
      </w:r>
    </w:p>
    <w:p>
      <w:pPr>
        <w:pStyle w:val="zIndenta"/>
      </w:pPr>
      <w:r>
        <w:tab/>
        <w:t>(f)</w:t>
      </w:r>
      <w:r>
        <w:tab/>
        <w:t>must be signed by the Commissioner.</w:t>
      </w:r>
    </w:p>
    <w:p>
      <w:pPr>
        <w:pStyle w:val="zSubsection"/>
      </w:pPr>
      <w:r>
        <w:tab/>
        <w:t>(2)</w:t>
      </w:r>
      <w:r>
        <w:tab/>
        <w:t>The date and time stated under subsection (1)(c) must not be more than 14 days after the date on which the appointment is made.</w:t>
      </w:r>
    </w:p>
    <w:p>
      <w:pPr>
        <w:pStyle w:val="zSubsection"/>
      </w:pPr>
      <w:r>
        <w:tab/>
        <w:t>(3)</w:t>
      </w:r>
      <w:r>
        <w:tab/>
        <w:t>The appointment of 2 or more special officers may be in 1 instrument of appointment.</w:t>
      </w:r>
    </w:p>
    <w:p>
      <w:pPr>
        <w:pStyle w:val="zSubsection"/>
      </w:pPr>
      <w:r>
        <w:tab/>
        <w:t>(4)</w:t>
      </w:r>
      <w:r>
        <w:tab/>
        <w:t>The Commissioner may cancel the appointment of a special officer at any time.</w:t>
      </w:r>
    </w:p>
    <w:p>
      <w:pPr>
        <w:pStyle w:val="zSubsection"/>
      </w:pPr>
      <w:r>
        <w:tab/>
        <w:t>(5)</w:t>
      </w:r>
      <w:r>
        <w:tab/>
        <w:t>A special officer’s appointment has effect until the date and time stated in it or until it is cancelled under this section, whichever happens first.</w:t>
      </w:r>
    </w:p>
    <w:p>
      <w:pPr>
        <w:pStyle w:val="z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zHeading5"/>
      </w:pPr>
      <w:bookmarkStart w:id="68" w:name="_Toc518279568"/>
      <w:bookmarkStart w:id="69" w:name="_Toc519495430"/>
      <w:bookmarkStart w:id="70" w:name="_Toc519496969"/>
      <w:r>
        <w:t>31C.</w:t>
      </w:r>
      <w:r>
        <w:tab/>
        <w:t>Functions of special officers</w:t>
      </w:r>
      <w:bookmarkEnd w:id="68"/>
      <w:bookmarkEnd w:id="69"/>
      <w:bookmarkEnd w:id="70"/>
    </w:p>
    <w:p>
      <w:pPr>
        <w:pStyle w:val="zSubsection"/>
      </w:pPr>
      <w:r>
        <w:tab/>
        <w:t>(1)</w:t>
      </w:r>
      <w:r>
        <w:tab/>
        <w:t xml:space="preserve">In this section — </w:t>
      </w:r>
    </w:p>
    <w:p>
      <w:pPr>
        <w:pStyle w:val="zDefstart"/>
      </w:pPr>
      <w:r>
        <w:tab/>
      </w:r>
      <w:r>
        <w:rPr>
          <w:rStyle w:val="CharDefText"/>
        </w:rPr>
        <w:t>Part 2 special officer</w:t>
      </w:r>
      <w:r>
        <w:t xml:space="preserve"> means a person appointed under section 31A for the purposes of Part 2;</w:t>
      </w:r>
    </w:p>
    <w:p>
      <w:pPr>
        <w:pStyle w:val="zDefstart"/>
      </w:pPr>
      <w:r>
        <w:tab/>
      </w:r>
      <w:r>
        <w:rPr>
          <w:rStyle w:val="CharDefText"/>
        </w:rPr>
        <w:t>Part 2A special officer</w:t>
      </w:r>
      <w:r>
        <w:t xml:space="preserve"> means a person appointed under section 31A for the purposes of Part 2A;</w:t>
      </w:r>
    </w:p>
    <w:p>
      <w:pPr>
        <w:pStyle w:val="zDefstart"/>
      </w:pPr>
      <w:r>
        <w:tab/>
      </w:r>
      <w:r>
        <w:rPr>
          <w:rStyle w:val="CharDefText"/>
        </w:rPr>
        <w:t>special officer</w:t>
      </w:r>
      <w:r>
        <w:t xml:space="preserve"> means a Part 2 special officer or a Part 2A special officer.</w:t>
      </w:r>
    </w:p>
    <w:p>
      <w:pPr>
        <w:pStyle w:val="zSubsection"/>
      </w:pPr>
      <w:r>
        <w:tab/>
        <w:t>(2)</w:t>
      </w:r>
      <w:r>
        <w:tab/>
        <w:t xml:space="preserve">Unless a special officer’s appointment provides to the contrary, a Part 2 special officer — </w:t>
      </w:r>
    </w:p>
    <w:p>
      <w:pPr>
        <w:pStyle w:val="zIndenta"/>
      </w:pPr>
      <w:r>
        <w:tab/>
        <w:t>(a)</w:t>
      </w:r>
      <w:r>
        <w:tab/>
        <w:t>has and may perform any function that a police officer has and may perform under Part 2; and</w:t>
      </w:r>
    </w:p>
    <w:p>
      <w:pPr>
        <w:pStyle w:val="zIndenta"/>
      </w:pPr>
      <w:r>
        <w:tab/>
        <w:t>(b)</w:t>
      </w:r>
      <w:r>
        <w:tab/>
        <w:t>in connection with exercising any such function, has and may perform any function that a police officer has under this Act other than Part 2A, any other written law or the common law.</w:t>
      </w:r>
    </w:p>
    <w:p>
      <w:pPr>
        <w:pStyle w:val="zSubsection"/>
        <w:keepNext/>
      </w:pPr>
      <w:r>
        <w:tab/>
        <w:t>(3)</w:t>
      </w:r>
      <w:r>
        <w:tab/>
        <w:t xml:space="preserve">Unless a special officer’s appointment provides to the contrary — </w:t>
      </w:r>
    </w:p>
    <w:p>
      <w:pPr>
        <w:pStyle w:val="zIndenta"/>
      </w:pPr>
      <w:r>
        <w:tab/>
        <w:t>(a)</w:t>
      </w:r>
      <w:r>
        <w:tab/>
        <w:t>a Part 2A special officer —</w:t>
      </w:r>
    </w:p>
    <w:p>
      <w:pPr>
        <w:pStyle w:val="zIndenti"/>
      </w:pPr>
      <w:r>
        <w:tab/>
        <w:t>(i)</w:t>
      </w:r>
      <w:r>
        <w:tab/>
        <w:t>has and may perform any function that a police officer has and may perform under Part 2A; and</w:t>
      </w:r>
    </w:p>
    <w:p>
      <w:pPr>
        <w:pStyle w:val="zIndenti"/>
      </w:pPr>
      <w:r>
        <w:tab/>
        <w:t>(ii)</w:t>
      </w:r>
      <w:r>
        <w:tab/>
        <w:t>in connection with exercising any such function, has and may perform any function that a police officer has under this Act other than Part 2, any other written law or the common law;</w:t>
      </w:r>
    </w:p>
    <w:p>
      <w:pPr>
        <w:pStyle w:val="zIndenta"/>
      </w:pPr>
      <w:r>
        <w:tab/>
      </w:r>
      <w:r>
        <w:tab/>
        <w:t>and</w:t>
      </w:r>
    </w:p>
    <w:p>
      <w:pPr>
        <w:pStyle w:val="zIndenta"/>
      </w:pPr>
      <w:r>
        <w:tab/>
        <w:t>(b)</w:t>
      </w:r>
      <w:r>
        <w:tab/>
        <w:t xml:space="preserve">Part 2A applies to a Part 2A special officer as if any reference in Part 2A to a police officer includes a reference to the Part 2A special officer. </w:t>
      </w:r>
    </w:p>
    <w:p>
      <w:pPr>
        <w:pStyle w:val="zSubsection"/>
      </w:pPr>
      <w:r>
        <w:tab/>
        <w:t>(4)</w:t>
      </w:r>
      <w:r>
        <w:tab/>
        <w:t xml:space="preserve">A special officer is taken to be a public officer for the purposes of </w:t>
      </w:r>
      <w:r>
        <w:rPr>
          <w:i/>
        </w:rPr>
        <w:t>The Criminal Code</w:t>
      </w:r>
      <w:r>
        <w:t>.</w:t>
      </w:r>
    </w:p>
    <w:p>
      <w:pPr>
        <w:pStyle w:val="zSubsection"/>
        <w:keepNext/>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zIndenta"/>
      </w:pPr>
      <w:r>
        <w:tab/>
        <w:t>(a)</w:t>
      </w:r>
      <w:r>
        <w:tab/>
        <w:t xml:space="preserve">the special officer is a Part 2 special officer exercising a function under subsection (2)(a) or (b); or </w:t>
      </w:r>
    </w:p>
    <w:p>
      <w:pPr>
        <w:pStyle w:val="zIndenta"/>
      </w:pPr>
      <w:r>
        <w:tab/>
        <w:t>(b)</w:t>
      </w:r>
      <w:r>
        <w:tab/>
        <w:t>the special officer is a Part 2A special officer exercising a function under subsection (3)(a).</w:t>
      </w:r>
    </w:p>
    <w:p>
      <w:pPr>
        <w:pStyle w:val="zSubsection"/>
      </w:pPr>
      <w:r>
        <w:tab/>
        <w:t>(6)</w:t>
      </w:r>
      <w:r>
        <w:tab/>
        <w:t>Subsection (7) applies to a person whose purported appointment as a special officer was not validly made.</w:t>
      </w:r>
    </w:p>
    <w:p>
      <w:pPr>
        <w:pStyle w:val="zSubsection"/>
      </w:pPr>
      <w:r>
        <w:tab/>
        <w:t>(7)</w:t>
      </w:r>
      <w:r>
        <w:tab/>
        <w:t xml:space="preserve">In relation to any action taken by the person before they became aware of the invalidity — </w:t>
      </w:r>
    </w:p>
    <w:p>
      <w:pPr>
        <w:pStyle w:val="zIndenta"/>
      </w:pPr>
      <w:r>
        <w:tab/>
        <w:t>(a)</w:t>
      </w:r>
      <w:r>
        <w:tab/>
        <w:t>the person is not criminally responsible for the action to the extent that, if the appointment had been valid, the person would not have been criminally responsible for the action by virtue of subsection (3)(b); and</w:t>
      </w:r>
    </w:p>
    <w:p>
      <w:pPr>
        <w:pStyle w:val="z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4691" cy="2538882"/>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4691" cy="2538882"/>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pt;height:199.9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" stroked="f" strokeweight=".5pt">
                <v:textbox>
                  <w:txbxContent>
                    <w:p w:rsidR="0004791F" w:rsidRDefault="0004791F">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70956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1026103159" w:val="RemoveTocBookmarks,RemoveUnusedBookmarks,RemoveLanguageTags,UsedStyles,ResetPageSize"/>
    <w:docVar w:name="WAFER_20171026103159_GUID" w:val="52624ee7-71b1-4ba9-8ea9-10ad03f2f0f6"/>
    <w:docVar w:name="WAFER_20180214165533" w:val="RemoveTocBookmarks,RemoveUnusedBookmarks,RemoveLanguageTags,UsedStyles,ResetPageSize"/>
    <w:docVar w:name="WAFER_20180214165533_GUID" w:val="97568110-94c8-4050-b061-da527b25572f"/>
    <w:docVar w:name="WAFER_20180307095603" w:val="RemoveTocBookmarks,RemoveUnusedBookmarks,RemoveLanguageTags,UsedStyles,ResetPageSize"/>
    <w:docVar w:name="WAFER_20180307095603_GUID" w:val="032f4d0e-27bd-4805-90de-a8a68c06c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A06E5-3219-495B-8F52-00FF3C08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2366</Words>
  <Characters>11457</Characters>
  <Application>Microsoft Office Word</Application>
  <DocSecurity>0</DocSecurity>
  <Lines>369</Lines>
  <Paragraphs>200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Amendment Act 2018 - 00-00-01</dc:title>
  <dc:subject/>
  <dc:creator/>
  <cp:keywords/>
  <dc:description/>
  <cp:lastModifiedBy>svcMRProcess</cp:lastModifiedBy>
  <cp:revision>4</cp:revision>
  <cp:lastPrinted>2018-07-15T23:02:00Z</cp:lastPrinted>
  <dcterms:created xsi:type="dcterms:W3CDTF">2018-08-23T01:18:00Z</dcterms:created>
  <dcterms:modified xsi:type="dcterms:W3CDTF">2018-08-23T01:18:00Z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2599</vt:lpwstr>
  </property>
  <property fmtid="{D5CDD505-2E9C-101B-9397-08002B2CF9AE}" pid="3" name="ActNo">
    <vt:lpwstr>11 of 2018</vt:lpwstr>
  </property>
  <property fmtid="{D5CDD505-2E9C-101B-9397-08002B2CF9AE}" pid="4" name="DocumentType">
    <vt:lpwstr>Act</vt:lpwstr>
  </property>
  <property fmtid="{D5CDD505-2E9C-101B-9397-08002B2CF9AE}" pid="5" name="AsAtDate">
    <vt:lpwstr>13 Jul 2018</vt:lpwstr>
  </property>
  <property fmtid="{D5CDD505-2E9C-101B-9397-08002B2CF9AE}" pid="6" name="Suffix">
    <vt:lpwstr>00-00-01</vt:lpwstr>
  </property>
  <property fmtid="{D5CDD505-2E9C-101B-9397-08002B2CF9AE}" pid="7" name="ActNoFooter">
    <vt:lpwstr>No. 11 of 2018</vt:lpwstr>
  </property>
  <property fmtid="{D5CDD505-2E9C-101B-9397-08002B2CF9AE}" pid="8" name="CommencementDate">
    <vt:lpwstr>20180713</vt:lpwstr>
  </property>
</Properties>
</file>