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_Toc519769204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_Toc519769205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_Toc519769206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_Toc519769207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_Toc519769208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_Toc519769209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_Toc519769210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_Toc519769211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_Toc519769212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_Toc519769213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_Toc519769214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_Toc519769215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_Toc519769216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_Toc519769217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_Toc519769218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_Toc519769219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_Toc519769220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_Toc519769221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_Toc519769222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_Toc519769223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_Toc519769224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_Toc519769225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_Toc519769226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_Toc519769227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_Toc519769228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_Toc519769229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_Toc519769230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_Toc519769231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_Toc519769232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_Toc519769233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_Toc519769234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_Toc519769235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_Toc519769240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51976920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1976920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519769206"/>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6" w:name="_Toc519769207"/>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519769208"/>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519769209"/>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9" w:name="_Toc519769210"/>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519769211"/>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519769212"/>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519769213"/>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519769214"/>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519769215"/>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519769216"/>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519769217"/>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519769218"/>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519769219"/>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519769220"/>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519769221"/>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21" w:name="_Toc519769222"/>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519769223"/>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519769224"/>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519769225"/>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25" w:name="_Toc519769226"/>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26" w:name="_Toc519769227"/>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27" w:name="_Toc519769228"/>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in Gazette 14 Jun 2016 p. 1873</w:t>
      </w:r>
      <w:r>
        <w:noBreakHyphen/>
        <w:t>4; amended in Gazette 20 Jul 2018 p. 2624.]</w:t>
      </w:r>
    </w:p>
    <w:p>
      <w:pPr>
        <w:pStyle w:val="Heading5"/>
      </w:pPr>
      <w:bookmarkStart w:id="28" w:name="_Toc519769229"/>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 amended in Gazette 20 Jul 2018 p. 2624.]</w:t>
      </w:r>
    </w:p>
    <w:p>
      <w:pPr>
        <w:pStyle w:val="Heading5"/>
      </w:pPr>
      <w:bookmarkStart w:id="29" w:name="_Toc519769230"/>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 amended in Gazette 20 Jul 2018 p. 2624.]</w:t>
      </w:r>
    </w:p>
    <w:p>
      <w:pPr>
        <w:pStyle w:val="Heading5"/>
      </w:pPr>
      <w:bookmarkStart w:id="30" w:name="_Toc519769231"/>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31" w:name="_Toc519769232"/>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32" w:name="_Toc519769233"/>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33" w:name="_Toc519769234"/>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34" w:name="_Toc519769235"/>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519769236"/>
      <w:r>
        <w:rPr>
          <w:rStyle w:val="CharSchNo"/>
        </w:rPr>
        <w:t>Schedule 1</w:t>
      </w:r>
      <w:r>
        <w:t> — </w:t>
      </w:r>
      <w:r>
        <w:rPr>
          <w:rStyle w:val="CharSchText"/>
        </w:rPr>
        <w:t>Forms</w:t>
      </w:r>
      <w:bookmarkEnd w:id="35"/>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7" w:name="_Toc519769237"/>
      <w:r>
        <w:rPr>
          <w:rStyle w:val="CharSchNo"/>
        </w:rPr>
        <w:t>Schedule 2</w:t>
      </w:r>
      <w:r>
        <w:rPr>
          <w:rStyle w:val="CharSDivNo"/>
        </w:rPr>
        <w:t> </w:t>
      </w:r>
      <w:r>
        <w:rPr>
          <w:bCs/>
        </w:rPr>
        <w:t>—</w:t>
      </w:r>
      <w:r>
        <w:rPr>
          <w:rStyle w:val="CharSDivText"/>
        </w:rPr>
        <w:t> </w:t>
      </w:r>
      <w:r>
        <w:rPr>
          <w:rStyle w:val="CharSchText"/>
        </w:rPr>
        <w:t>Fees for post mortem services</w:t>
      </w:r>
      <w:bookmarkEnd w:id="37"/>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38" w:name="_Toc519769238"/>
      <w:r>
        <w:rPr>
          <w:rStyle w:val="CharSchNo"/>
        </w:rPr>
        <w:t>Schedule 3</w:t>
      </w:r>
      <w:r>
        <w:t> — </w:t>
      </w:r>
      <w:r>
        <w:rPr>
          <w:rStyle w:val="CharSchText"/>
        </w:rPr>
        <w:t>Other fees</w:t>
      </w:r>
      <w:bookmarkEnd w:id="38"/>
    </w:p>
    <w:p>
      <w:pPr>
        <w:pStyle w:val="yShoulderClause"/>
      </w:pPr>
      <w:r>
        <w:t>[r. 22]</w:t>
      </w:r>
    </w:p>
    <w:p>
      <w:pPr>
        <w:pStyle w:val="yFootnoteheading"/>
      </w:pPr>
      <w:r>
        <w:tab/>
        <w:t>[Heading inserted in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(a)</w:t>
            </w:r>
            <w:r>
              <w:tab/>
              <w:t>provided within 1 day after the day on which the fee is paid</w:t>
            </w:r>
          </w:p>
        </w:tc>
        <w:tc>
          <w:tcPr>
            <w:tcW w:w="1559" w:type="dxa"/>
            <w:tcBorders>
              <w:top w:val="nil"/>
              <w:bottom w:val="nil"/>
            </w:tcBorders>
          </w:tcPr>
          <w:p>
            <w:pPr>
              <w:pStyle w:val="yTableNAm"/>
            </w:pPr>
            <w:r>
              <w:rPr>
                <w:szCs w:val="22"/>
              </w:rPr>
              <w:t xml:space="preserve">20.50 plus </w:t>
            </w:r>
            <w:r>
              <w:rPr>
                <w:szCs w:val="22"/>
              </w:rPr>
              <w:br/>
              <w:t>8.45 per page</w:t>
            </w:r>
          </w:p>
        </w:tc>
        <w:tc>
          <w:tcPr>
            <w:tcW w:w="1560" w:type="dxa"/>
            <w:tcBorders>
              <w:top w:val="nil"/>
              <w:bottom w:val="nil"/>
            </w:tcBorders>
          </w:tcPr>
          <w:p>
            <w:pPr>
              <w:pStyle w:val="yTableNAm"/>
            </w:pPr>
            <w:r>
              <w:rPr>
                <w:szCs w:val="22"/>
              </w:rPr>
              <w:t xml:space="preserve">6.15 plus </w:t>
            </w:r>
            <w:r>
              <w:rPr>
                <w:szCs w:val="22"/>
              </w:rPr>
              <w:br/>
              <w:t>2.55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(b)</w:t>
            </w:r>
            <w:r>
              <w:tab/>
              <w:t>provided within 4 days after the day on which the fee is paid</w:t>
            </w:r>
          </w:p>
        </w:tc>
        <w:tc>
          <w:tcPr>
            <w:tcW w:w="1559" w:type="dxa"/>
            <w:tcBorders>
              <w:top w:val="nil"/>
              <w:bottom w:val="nil"/>
            </w:tcBorders>
          </w:tcPr>
          <w:p>
            <w:pPr>
              <w:pStyle w:val="yTableNAm"/>
            </w:pPr>
            <w:r>
              <w:rPr>
                <w:szCs w:val="22"/>
              </w:rPr>
              <w:t xml:space="preserve">20.50 plus </w:t>
            </w:r>
            <w:r>
              <w:rPr>
                <w:szCs w:val="22"/>
              </w:rPr>
              <w:br/>
              <w:t>7.30 per page</w:t>
            </w:r>
          </w:p>
        </w:tc>
        <w:tc>
          <w:tcPr>
            <w:tcW w:w="1560" w:type="dxa"/>
            <w:tcBorders>
              <w:top w:val="nil"/>
              <w:bottom w:val="nil"/>
            </w:tcBorders>
          </w:tcPr>
          <w:p>
            <w:pPr>
              <w:pStyle w:val="yTableNAm"/>
            </w:pPr>
            <w:r>
              <w:rPr>
                <w:szCs w:val="22"/>
              </w:rPr>
              <w:t xml:space="preserve">6.15 plus </w:t>
            </w:r>
            <w:r>
              <w:rPr>
                <w:szCs w:val="22"/>
              </w:rPr>
              <w:br/>
              <w:t>2.20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(c)</w:t>
            </w:r>
            <w:r>
              <w:tab/>
              <w:t>provided within 7 days after the day on which the fee is paid</w:t>
            </w:r>
          </w:p>
        </w:tc>
        <w:tc>
          <w:tcPr>
            <w:tcW w:w="1559" w:type="dxa"/>
            <w:tcBorders>
              <w:top w:val="nil"/>
              <w:bottom w:val="nil"/>
            </w:tcBorders>
          </w:tcPr>
          <w:p>
            <w:pPr>
              <w:pStyle w:val="yTableNAm"/>
            </w:pPr>
            <w:r>
              <w:rPr>
                <w:szCs w:val="22"/>
              </w:rPr>
              <w:t xml:space="preserve">20.50 plus </w:t>
            </w:r>
            <w:r>
              <w:rPr>
                <w:szCs w:val="22"/>
              </w:rPr>
              <w:br/>
              <w:t>7.05 per page</w:t>
            </w:r>
          </w:p>
        </w:tc>
        <w:tc>
          <w:tcPr>
            <w:tcW w:w="1560" w:type="dxa"/>
            <w:tcBorders>
              <w:top w:val="nil"/>
              <w:bottom w:val="nil"/>
            </w:tcBorders>
          </w:tcPr>
          <w:p>
            <w:pPr>
              <w:pStyle w:val="yTableNAm"/>
            </w:pPr>
            <w:r>
              <w:rPr>
                <w:szCs w:val="22"/>
              </w:rPr>
              <w:t xml:space="preserve">6.15 plus </w:t>
            </w:r>
            <w:r>
              <w:rPr>
                <w:szCs w:val="22"/>
              </w:rPr>
              <w:br/>
              <w:t>2.15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21.40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6.45</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2.10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0.60</w:t>
            </w:r>
          </w:p>
        </w:tc>
      </w:tr>
    </w:tbl>
    <w:p>
      <w:pPr>
        <w:pStyle w:val="yFootnotesection"/>
      </w:pPr>
      <w:r>
        <w:tab/>
        <w:t>[Schedule 3 inserted in Gazette 15 Jun 2018 p. 1983</w:t>
      </w:r>
      <w:r>
        <w:noBreakHyphen/>
        <w:t>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9" w:name="_Toc519769239"/>
      <w:r>
        <w:t>Notes</w:t>
      </w:r>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40" w:name="_Toc519769240"/>
      <w:r>
        <w:t>Compilation table</w:t>
      </w:r>
      <w:bookmarkEnd w:id="40"/>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4</w:t>
            </w:r>
          </w:p>
        </w:tc>
        <w:tc>
          <w:tcPr>
            <w:tcW w:w="1276" w:type="dxa"/>
            <w:tcBorders>
              <w:bottom w:val="single" w:sz="4" w:space="0" w:color="auto"/>
            </w:tcBorders>
            <w:shd w:val="clear" w:color="auto" w:fill="auto"/>
          </w:tcPr>
          <w:p>
            <w:pPr>
              <w:pStyle w:val="nTable"/>
              <w:keepNext/>
              <w:spacing w:after="40"/>
            </w:pPr>
            <w:r>
              <w:t>20 Jul 2018 p. 2621</w:t>
            </w:r>
            <w:r>
              <w:noBreakHyphen/>
              <w:t>30</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BlankClose"/>
        <w:rPr>
          <w:i/>
          <w:sz w:val="19"/>
          <w:szCs w:val="20"/>
        </w:rPr>
      </w:pPr>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2" w:name="_Toc519769241"/>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636"/>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5199</Words>
  <Characters>27768</Characters>
  <Application>Microsoft Office Word</Application>
  <DocSecurity>0</DocSecurity>
  <Lines>1028</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1997 - 03-i0-00</dc:title>
  <dc:subject/>
  <dc:creator/>
  <cp:keywords/>
  <dc:description/>
  <cp:lastModifiedBy>svcMRProcess</cp:lastModifiedBy>
  <cp:revision>4</cp:revision>
  <cp:lastPrinted>2014-05-19T03:28:00Z</cp:lastPrinted>
  <dcterms:created xsi:type="dcterms:W3CDTF">2018-07-19T06:53:00Z</dcterms:created>
  <dcterms:modified xsi:type="dcterms:W3CDTF">2018-07-19T06:53:00Z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21 Jul 2018</vt:lpwstr>
  </property>
  <property fmtid="{D5CDD505-2E9C-101B-9397-08002B2CF9AE}" pid="8" name="Suffix">
    <vt:lpwstr>03-i0-00</vt:lpwstr>
  </property>
  <property fmtid="{D5CDD505-2E9C-101B-9397-08002B2CF9AE}" pid="9" name="CommencementDate">
    <vt:lpwstr>20180721</vt:lpwstr>
  </property>
</Properties>
</file>