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_Toc519770914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_Toc519770915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_Toc519770916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_Toc519770917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_Toc519770918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_Toc519770919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_Toc519770920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_Toc519770921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_Toc519770922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_Toc519770923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_Toc519770924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_Toc519770925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_Toc519770926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_Toc519770927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_Toc519770928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_Toc519770929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_Toc519770930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_Toc519770931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_Toc519770940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519770914"/>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1977091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519770916"/>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6" w:name="_Toc519770917"/>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7" w:name="_Toc519770918"/>
      <w:r>
        <w:rPr>
          <w:rStyle w:val="CharSectno"/>
        </w:rPr>
        <w:t>4A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8" w:name="_Toc519770919"/>
      <w:r>
        <w:rPr>
          <w:rStyle w:val="CharSectno"/>
        </w:rPr>
        <w:t>5</w:t>
      </w:r>
      <w:r>
        <w:t>.</w:t>
      </w:r>
      <w:r>
        <w:tab/>
      </w:r>
      <w:r>
        <w:rPr>
          <w:snapToGrid w:val="0"/>
        </w:rPr>
        <w:t>Exemptions</w:t>
      </w:r>
      <w:bookmarkEnd w:id="8"/>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9" w:name="_Toc519770920"/>
      <w:r>
        <w:rPr>
          <w:rStyle w:val="CharSectno"/>
        </w:rPr>
        <w:t>5A</w:t>
      </w:r>
      <w:r>
        <w:t>.</w:t>
      </w:r>
      <w:r>
        <w:tab/>
        <w:t>Disputes regarding fees</w:t>
      </w:r>
      <w:bookmarkEnd w:id="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0" w:name="_Toc519770921"/>
      <w:r>
        <w:rPr>
          <w:rStyle w:val="CharSectno"/>
        </w:rPr>
        <w:t>6</w:t>
      </w:r>
      <w:r>
        <w:t>.</w:t>
      </w:r>
      <w:r>
        <w:tab/>
      </w:r>
      <w:r>
        <w:rPr>
          <w:snapToGrid w:val="0"/>
        </w:rPr>
        <w:t>Fees to be paid before documents filed or other things done</w:t>
      </w:r>
      <w:bookmarkEnd w:id="1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1" w:name="_Toc519770922"/>
      <w:r>
        <w:rPr>
          <w:rStyle w:val="CharSectno"/>
        </w:rPr>
        <w:t>7</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in Gazette 14 Jun 2016 p. 1957</w:t>
      </w:r>
      <w:r>
        <w:noBreakHyphen/>
        <w:t>8; amended in Gazette 20 Jul 2018 p. 2629.]</w:t>
      </w:r>
    </w:p>
    <w:p>
      <w:pPr>
        <w:pStyle w:val="Heading5"/>
      </w:pPr>
      <w:bookmarkStart w:id="12" w:name="_Toc519770923"/>
      <w:r>
        <w:rPr>
          <w:rStyle w:val="CharSectno"/>
        </w:rPr>
        <w:t>8</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 amended in Gazette 20 Jul 2018 p. 2629.]</w:t>
      </w:r>
    </w:p>
    <w:p>
      <w:pPr>
        <w:pStyle w:val="Heading5"/>
      </w:pPr>
      <w:bookmarkStart w:id="13" w:name="_Toc519770924"/>
      <w:r>
        <w:rPr>
          <w:rStyle w:val="CharSectno"/>
        </w:rPr>
        <w:t>8A</w:t>
      </w:r>
      <w:r>
        <w:t>.</w:t>
      </w:r>
      <w:r>
        <w:tab/>
        <w:t>Recognition as eligible individual or eligible entity</w:t>
      </w:r>
      <w:bookmarkEnd w:id="1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 amended in Gazette 20 Jul 2018 p. 2630.]</w:t>
      </w:r>
    </w:p>
    <w:p>
      <w:pPr>
        <w:pStyle w:val="Heading5"/>
      </w:pPr>
      <w:bookmarkStart w:id="14" w:name="_Toc519770925"/>
      <w:r>
        <w:rPr>
          <w:rStyle w:val="CharSectno"/>
        </w:rPr>
        <w:t>8B</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15" w:name="_Toc519770926"/>
      <w:r>
        <w:rPr>
          <w:rStyle w:val="CharSectno"/>
        </w:rPr>
        <w:t>8C</w:t>
      </w:r>
      <w:r>
        <w:t>.</w:t>
      </w:r>
      <w:r>
        <w:tab/>
        <w:t>Refunds</w:t>
      </w:r>
      <w:bookmarkEnd w:id="15"/>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16" w:name="_Toc519770927"/>
      <w:r>
        <w:rPr>
          <w:rStyle w:val="CharSectno"/>
        </w:rPr>
        <w:t>8D</w:t>
      </w:r>
      <w:r>
        <w:t>.</w:t>
      </w:r>
      <w:r>
        <w:tab/>
        <w:t>Waiving fee for copy of document or transcript</w:t>
      </w:r>
      <w:bookmarkEnd w:id="1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17" w:name="_Toc519770928"/>
      <w:r>
        <w:rPr>
          <w:rStyle w:val="CharSectno"/>
        </w:rPr>
        <w:t>9</w:t>
      </w:r>
      <w:r>
        <w:t>.</w:t>
      </w:r>
      <w:r>
        <w:tab/>
        <w:t>Allocation of hearing date — Schedule 1 Division 1 item 5</w:t>
      </w:r>
      <w:bookmarkEnd w:id="17"/>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18" w:name="_Toc519770929"/>
      <w:r>
        <w:rPr>
          <w:rStyle w:val="CharSectno"/>
        </w:rPr>
        <w:t>9A</w:t>
      </w:r>
      <w:r>
        <w:t>.</w:t>
      </w:r>
      <w:r>
        <w:tab/>
        <w:t>Court of Appeal allocation of hearing date — Schedule 1 Division 2 item 6</w:t>
      </w:r>
      <w:bookmarkEnd w:id="1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19" w:name="_Toc519770930"/>
      <w:r>
        <w:rPr>
          <w:rStyle w:val="CharSectno"/>
        </w:rPr>
        <w:t>10</w:t>
      </w:r>
      <w:r>
        <w:t>.</w:t>
      </w:r>
      <w:r>
        <w:tab/>
        <w:t>Schedule 1 Division 1 item 6 or Division 2 item 7 fee</w:t>
      </w:r>
      <w:bookmarkEnd w:id="1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20" w:name="_Toc519770931"/>
      <w:r>
        <w:rPr>
          <w:rStyle w:val="CharSectno"/>
        </w:rPr>
        <w:t>11</w:t>
      </w:r>
      <w:r>
        <w:t>.</w:t>
      </w:r>
      <w:r>
        <w:tab/>
        <w:t>Recovery of unpaid fees</w:t>
      </w:r>
      <w:bookmarkEnd w:id="2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519770932"/>
      <w:r>
        <w:rPr>
          <w:rStyle w:val="CharSchNo"/>
        </w:rPr>
        <w:t>Schedule 1</w:t>
      </w:r>
      <w:r>
        <w:t> — </w:t>
      </w:r>
      <w:r>
        <w:rPr>
          <w:rStyle w:val="CharSchText"/>
        </w:rPr>
        <w:t>Fees</w:t>
      </w:r>
      <w:bookmarkEnd w:id="21"/>
    </w:p>
    <w:p>
      <w:pPr>
        <w:pStyle w:val="yShoulderClause"/>
      </w:pPr>
      <w:r>
        <w:t>[r. 4 and 4A]</w:t>
      </w:r>
    </w:p>
    <w:p>
      <w:pPr>
        <w:pStyle w:val="yFootnoteheading"/>
      </w:pPr>
      <w:r>
        <w:tab/>
        <w:t>[Heading inserted in Gazette 15 Jun 2018 p. 2029.]</w:t>
      </w:r>
    </w:p>
    <w:p>
      <w:pPr>
        <w:pStyle w:val="yHeading3"/>
      </w:pPr>
      <w:bookmarkStart w:id="22" w:name="_Toc519770933"/>
      <w:r>
        <w:rPr>
          <w:rStyle w:val="CharSDivNo"/>
        </w:rPr>
        <w:t>Division 1</w:t>
      </w:r>
      <w:r>
        <w:rPr>
          <w:b w:val="0"/>
        </w:rPr>
        <w:t> — </w:t>
      </w:r>
      <w:r>
        <w:rPr>
          <w:rStyle w:val="CharSDivText"/>
        </w:rPr>
        <w:t>General Division fees</w:t>
      </w:r>
      <w:bookmarkEnd w:id="22"/>
    </w:p>
    <w:p>
      <w:pPr>
        <w:pStyle w:val="yFootnoteheading"/>
      </w:pPr>
      <w:r>
        <w:tab/>
        <w:t>[Heading inserted in Gazette 15 Jun 2018 p. 2029.]</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pPr>
          </w:p>
          <w:p>
            <w:pPr>
              <w:pStyle w:val="yTableNAm"/>
            </w:pPr>
            <w:r>
              <w:br/>
            </w:r>
            <w:r>
              <w:br/>
            </w:r>
            <w:r>
              <w:br/>
            </w:r>
            <w:r>
              <w:br/>
            </w:r>
            <w:r>
              <w:br/>
            </w:r>
            <w:r>
              <w:br/>
            </w:r>
            <w:r>
              <w:br/>
            </w:r>
            <w:r>
              <w:br/>
              <w:t>1 318.00</w:t>
            </w:r>
          </w:p>
        </w:tc>
        <w:tc>
          <w:tcPr>
            <w:tcW w:w="1259" w:type="dxa"/>
            <w:tcBorders>
              <w:top w:val="single" w:sz="4" w:space="0" w:color="auto"/>
              <w:left w:val="nil"/>
              <w:bottom w:val="nil"/>
              <w:right w:val="nil"/>
            </w:tcBorders>
          </w:tcPr>
          <w:p>
            <w:pPr>
              <w:pStyle w:val="yTableNAm"/>
            </w:pPr>
          </w:p>
          <w:p>
            <w:pPr>
              <w:pStyle w:val="yTableNAm"/>
            </w:pPr>
            <w:r>
              <w:br/>
            </w:r>
            <w:r>
              <w:br/>
            </w:r>
            <w:r>
              <w:br/>
            </w:r>
            <w:r>
              <w:br/>
            </w:r>
            <w:r>
              <w:br/>
            </w:r>
            <w:r>
              <w:br/>
            </w:r>
            <w:r>
              <w:br/>
            </w:r>
            <w:r>
              <w:br/>
              <w:t>2 568.00</w:t>
            </w:r>
          </w:p>
        </w:tc>
        <w:tc>
          <w:tcPr>
            <w:tcW w:w="1176" w:type="dxa"/>
            <w:tcBorders>
              <w:top w:val="single" w:sz="4" w:space="0" w:color="auto"/>
              <w:left w:val="nil"/>
              <w:bottom w:val="nil"/>
              <w:right w:val="nil"/>
            </w:tcBorders>
          </w:tcPr>
          <w:p>
            <w:pPr>
              <w:pStyle w:val="yTableNAm"/>
            </w:pPr>
          </w:p>
          <w:p>
            <w:pPr>
              <w:pStyle w:val="yTableNAm"/>
            </w:pPr>
            <w:r>
              <w:br/>
            </w:r>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p>
        </w:tc>
        <w:tc>
          <w:tcPr>
            <w:tcW w:w="1260" w:type="dxa"/>
            <w:tcBorders>
              <w:top w:val="nil"/>
              <w:left w:val="nil"/>
              <w:bottom w:val="nil"/>
              <w:right w:val="nil"/>
            </w:tcBorders>
          </w:tcPr>
          <w:p>
            <w:pPr>
              <w:pStyle w:val="yTableNAm"/>
            </w:pPr>
          </w:p>
          <w:p>
            <w:pPr>
              <w:pStyle w:val="yTableNAm"/>
            </w:pPr>
            <w:r>
              <w:t>1 318.00</w:t>
            </w:r>
          </w:p>
        </w:tc>
        <w:tc>
          <w:tcPr>
            <w:tcW w:w="1259" w:type="dxa"/>
            <w:tcBorders>
              <w:top w:val="nil"/>
              <w:left w:val="nil"/>
              <w:bottom w:val="nil"/>
              <w:right w:val="nil"/>
            </w:tcBorders>
          </w:tcPr>
          <w:p>
            <w:pPr>
              <w:pStyle w:val="yTableNAm"/>
            </w:pPr>
          </w:p>
          <w:p>
            <w:pPr>
              <w:pStyle w:val="yTableNAm"/>
            </w:pPr>
            <w:r>
              <w:t>2 568.00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p>
        </w:tc>
        <w:tc>
          <w:tcPr>
            <w:tcW w:w="1259"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p>
        </w:tc>
        <w:tc>
          <w:tcPr>
            <w:tcW w:w="1176"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p>
        </w:tc>
        <w:tc>
          <w:tcPr>
            <w:tcW w:w="1260" w:type="dxa"/>
            <w:tcBorders>
              <w:top w:val="nil"/>
              <w:left w:val="nil"/>
              <w:bottom w:val="nil"/>
              <w:right w:val="nil"/>
            </w:tcBorders>
          </w:tcPr>
          <w:p>
            <w:pPr>
              <w:pStyle w:val="yTableNAm"/>
            </w:pP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p>
        </w:tc>
        <w:tc>
          <w:tcPr>
            <w:tcW w:w="1260" w:type="dxa"/>
            <w:tcBorders>
              <w:top w:val="nil"/>
              <w:left w:val="nil"/>
              <w:bottom w:val="nil"/>
              <w:right w:val="nil"/>
            </w:tcBorders>
          </w:tcPr>
          <w:p>
            <w:pPr>
              <w:pStyle w:val="yTableNAm"/>
            </w:pPr>
            <w:r>
              <w:rPr>
                <w:szCs w:val="22"/>
              </w:rPr>
              <w:br/>
              <w:t>440.00</w:t>
            </w:r>
          </w:p>
        </w:tc>
        <w:tc>
          <w:tcPr>
            <w:tcW w:w="1259" w:type="dxa"/>
            <w:tcBorders>
              <w:top w:val="nil"/>
              <w:left w:val="nil"/>
              <w:bottom w:val="nil"/>
              <w:right w:val="nil"/>
            </w:tcBorders>
          </w:tcPr>
          <w:p>
            <w:pPr>
              <w:pStyle w:val="yTableNAm"/>
            </w:pPr>
            <w:r>
              <w:rPr>
                <w:szCs w:val="22"/>
              </w:rPr>
              <w:br/>
              <w:t>861.00</w:t>
            </w:r>
          </w:p>
        </w:tc>
        <w:tc>
          <w:tcPr>
            <w:tcW w:w="1176" w:type="dxa"/>
            <w:tcBorders>
              <w:top w:val="nil"/>
              <w:left w:val="nil"/>
              <w:bottom w:val="nil"/>
              <w:right w:val="nil"/>
            </w:tcBorders>
          </w:tcPr>
          <w:p>
            <w:pPr>
              <w:pStyle w:val="yTableNAm"/>
            </w:pPr>
            <w:r>
              <w:rPr>
                <w:szCs w:val="22"/>
              </w:rPr>
              <w:b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tcPr>
          <w:p>
            <w:pPr>
              <w:pStyle w:val="yTableNAm"/>
            </w:pPr>
            <w:r>
              <w:rPr>
                <w:szCs w:val="22"/>
              </w:rPr>
              <w:br/>
            </w:r>
            <w:r>
              <w:rPr>
                <w:szCs w:val="22"/>
              </w:rPr>
              <w:br/>
              <w:t>878.00</w:t>
            </w:r>
          </w:p>
        </w:tc>
        <w:tc>
          <w:tcPr>
            <w:tcW w:w="1259" w:type="dxa"/>
            <w:tcBorders>
              <w:top w:val="nil"/>
              <w:left w:val="nil"/>
              <w:bottom w:val="nil"/>
              <w:right w:val="nil"/>
            </w:tcBorders>
          </w:tcPr>
          <w:p>
            <w:pPr>
              <w:pStyle w:val="yTableNAm"/>
            </w:pPr>
            <w:r>
              <w:rPr>
                <w:szCs w:val="22"/>
              </w:rPr>
              <w:br/>
            </w:r>
            <w:r>
              <w:rPr>
                <w:szCs w:val="22"/>
              </w:rPr>
              <w:br/>
              <w:t>1 720.00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pPr>
            <w:r>
              <w:rPr>
                <w:szCs w:val="22"/>
              </w:rPr>
              <w:br/>
            </w: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rPr>
                <w:szCs w:val="22"/>
              </w:rPr>
              <w:t>883.00 for each day allocated</w:t>
            </w:r>
          </w:p>
        </w:tc>
        <w:tc>
          <w:tcPr>
            <w:tcW w:w="1259" w:type="dxa"/>
            <w:tcBorders>
              <w:top w:val="nil"/>
              <w:left w:val="nil"/>
              <w:bottom w:val="nil"/>
              <w:right w:val="nil"/>
            </w:tcBorders>
          </w:tcPr>
          <w:p>
            <w:pPr>
              <w:pStyle w:val="yTableNAm"/>
            </w:pPr>
            <w:r>
              <w:rPr>
                <w:szCs w:val="22"/>
              </w:rPr>
              <w:t>2 291.00 for each day allocated</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spacing w:before="60"/>
              <w:ind w:right="34"/>
              <w:rPr>
                <w:rFonts w:ascii="Arial" w:hAnsi="Arial" w:cs="Arial"/>
                <w:sz w:val="18"/>
                <w:szCs w:val="18"/>
              </w:rPr>
            </w:pPr>
          </w:p>
        </w:tc>
        <w:tc>
          <w:tcPr>
            <w:tcW w:w="2562"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 xml:space="preserve">Note: </w:t>
            </w:r>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zyTableNAm"/>
              <w:spacing w:before="60"/>
              <w:ind w:right="34"/>
              <w:rPr>
                <w:rFonts w:ascii="Arial" w:hAnsi="Arial" w:cs="Arial"/>
                <w:sz w:val="18"/>
                <w:szCs w:val="18"/>
              </w:rPr>
            </w:pPr>
          </w:p>
        </w:tc>
        <w:tc>
          <w:tcPr>
            <w:tcW w:w="1259" w:type="dxa"/>
            <w:tcBorders>
              <w:top w:val="nil"/>
              <w:left w:val="nil"/>
              <w:bottom w:val="nil"/>
              <w:right w:val="nil"/>
            </w:tcBorders>
          </w:tcPr>
          <w:p>
            <w:pPr>
              <w:pStyle w:val="zyTableNAm"/>
              <w:spacing w:before="60"/>
              <w:ind w:right="34"/>
              <w:rPr>
                <w:rFonts w:ascii="Arial" w:hAnsi="Arial" w:cs="Arial"/>
                <w:sz w:val="18"/>
                <w:szCs w:val="18"/>
              </w:rPr>
            </w:pPr>
          </w:p>
        </w:tc>
        <w:tc>
          <w:tcPr>
            <w:tcW w:w="1176" w:type="dxa"/>
            <w:tcBorders>
              <w:top w:val="nil"/>
              <w:left w:val="nil"/>
              <w:bottom w:val="nil"/>
              <w:right w:val="nil"/>
            </w:tcBorders>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pPr>
            <w:r>
              <w:rPr>
                <w:szCs w:val="22"/>
              </w:rPr>
              <w:br/>
            </w:r>
            <w:r>
              <w:rPr>
                <w:szCs w:val="22"/>
              </w:rPr>
              <w:br/>
            </w:r>
            <w:r>
              <w:rPr>
                <w:szCs w:val="22"/>
              </w:rPr>
              <w:br/>
              <w:t>883.00</w:t>
            </w:r>
          </w:p>
        </w:tc>
        <w:tc>
          <w:tcPr>
            <w:tcW w:w="1259" w:type="dxa"/>
            <w:tcBorders>
              <w:top w:val="nil"/>
              <w:left w:val="nil"/>
              <w:bottom w:val="nil"/>
              <w:right w:val="nil"/>
            </w:tcBorders>
          </w:tcPr>
          <w:p>
            <w:pPr>
              <w:pStyle w:val="yTableNAm"/>
            </w:pPr>
            <w:r>
              <w:rPr>
                <w:szCs w:val="22"/>
              </w:rPr>
              <w:br/>
            </w:r>
            <w:r>
              <w:rPr>
                <w:szCs w:val="22"/>
              </w:rPr>
              <w:br/>
            </w:r>
            <w:r>
              <w:rPr>
                <w:szCs w:val="22"/>
              </w:rPr>
              <w:br/>
              <w:t>2 291.00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before a judge, </w:t>
            </w:r>
            <w:r>
              <w:t>master</w:t>
            </w:r>
            <w:r>
              <w:rPr>
                <w:szCs w:val="22"/>
              </w:rPr>
              <w:t xml:space="preserve"> or registrar in chambers — </w:t>
            </w:r>
          </w:p>
          <w:p>
            <w:pPr>
              <w:pStyle w:val="yTableNAm"/>
              <w:ind w:left="1093" w:hanging="1093"/>
            </w:pPr>
            <w:r>
              <w:tab/>
              <w:t>(i)</w:t>
            </w:r>
            <w:r>
              <w:tab/>
              <w:t>an interlocutory application or summons returnable</w:t>
            </w:r>
          </w:p>
        </w:tc>
        <w:tc>
          <w:tcPr>
            <w:tcW w:w="1260"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an </w:t>
            </w:r>
            <w:r>
              <w:t>application</w:t>
            </w:r>
            <w:r>
              <w:rPr>
                <w:szCs w:val="22"/>
              </w:rPr>
              <w:t xml:space="preserve"> for assessment of damages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an application for summary </w:t>
            </w:r>
            <w:r>
              <w:t>judgment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p>
        </w:tc>
        <w:tc>
          <w:tcPr>
            <w:tcW w:w="1260" w:type="dxa"/>
            <w:tcBorders>
              <w:top w:val="nil"/>
              <w:left w:val="nil"/>
              <w:bottom w:val="nil"/>
              <w:right w:val="nil"/>
            </w:tcBorders>
          </w:tcPr>
          <w:p>
            <w:pPr>
              <w:pStyle w:val="yTableNAm"/>
            </w:pPr>
            <w:r>
              <w:rPr>
                <w:szCs w:val="22"/>
              </w:rPr>
              <w:br/>
              <w:t>310.00</w:t>
            </w:r>
          </w:p>
        </w:tc>
        <w:tc>
          <w:tcPr>
            <w:tcW w:w="1259" w:type="dxa"/>
            <w:tcBorders>
              <w:top w:val="nil"/>
              <w:left w:val="nil"/>
              <w:bottom w:val="nil"/>
              <w:right w:val="nil"/>
            </w:tcBorders>
          </w:tcPr>
          <w:p>
            <w:pPr>
              <w:pStyle w:val="yTableNAm"/>
            </w:pPr>
            <w:r>
              <w:rPr>
                <w:szCs w:val="22"/>
              </w:rPr>
              <w:br/>
              <w:t>602.00</w:t>
            </w:r>
          </w:p>
        </w:tc>
        <w:tc>
          <w:tcPr>
            <w:tcW w:w="1176" w:type="dxa"/>
            <w:tcBorders>
              <w:top w:val="nil"/>
              <w:left w:val="nil"/>
              <w:bottom w:val="nil"/>
              <w:right w:val="nil"/>
            </w:tcBorders>
          </w:tcPr>
          <w:p>
            <w:pPr>
              <w:pStyle w:val="yTableNAm"/>
            </w:pP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p>
        </w:tc>
        <w:tc>
          <w:tcPr>
            <w:tcW w:w="1260" w:type="dxa"/>
            <w:tcBorders>
              <w:top w:val="nil"/>
              <w:left w:val="nil"/>
              <w:bottom w:val="nil"/>
              <w:right w:val="nil"/>
            </w:tcBorders>
          </w:tcPr>
          <w:p>
            <w:pPr>
              <w:pStyle w:val="yTableNAm"/>
            </w:pPr>
            <w:r>
              <w:rPr>
                <w:szCs w:val="22"/>
              </w:rPr>
              <w:t>428.00</w:t>
            </w:r>
          </w:p>
        </w:tc>
        <w:tc>
          <w:tcPr>
            <w:tcW w:w="1259" w:type="dxa"/>
            <w:tcBorders>
              <w:top w:val="nil"/>
              <w:left w:val="nil"/>
              <w:bottom w:val="nil"/>
              <w:right w:val="nil"/>
            </w:tcBorders>
          </w:tcPr>
          <w:p>
            <w:pPr>
              <w:pStyle w:val="yTableNAm"/>
            </w:pPr>
            <w:r>
              <w:rPr>
                <w:szCs w:val="22"/>
              </w:rPr>
              <w:t>830.00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ind w:left="526" w:hanging="5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526" w:hanging="5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25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17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4.55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p>
        </w:tc>
        <w:tc>
          <w:tcPr>
            <w:tcW w:w="1260" w:type="dxa"/>
            <w:tcBorders>
              <w:top w:val="nil"/>
              <w:left w:val="nil"/>
              <w:bottom w:val="nil"/>
              <w:right w:val="nil"/>
            </w:tcBorders>
          </w:tcPr>
          <w:p>
            <w:pPr>
              <w:pStyle w:val="yTableNAm"/>
            </w:pPr>
            <w:r>
              <w:rPr>
                <w:szCs w:val="22"/>
              </w:rPr>
              <w:br/>
            </w:r>
            <w:r>
              <w:rPr>
                <w:szCs w:val="22"/>
              </w:rPr>
              <w:br/>
              <w:t>39.20</w:t>
            </w:r>
          </w:p>
        </w:tc>
        <w:tc>
          <w:tcPr>
            <w:tcW w:w="1259" w:type="dxa"/>
            <w:tcBorders>
              <w:top w:val="nil"/>
              <w:left w:val="nil"/>
              <w:bottom w:val="nil"/>
              <w:right w:val="nil"/>
            </w:tcBorders>
          </w:tcPr>
          <w:p>
            <w:pPr>
              <w:pStyle w:val="yTableNAm"/>
            </w:pPr>
            <w:r>
              <w:rPr>
                <w:szCs w:val="22"/>
              </w:rPr>
              <w:br/>
            </w:r>
            <w:r>
              <w:rPr>
                <w:szCs w:val="22"/>
              </w:rPr>
              <w:br/>
              <w:t>39.20</w:t>
            </w:r>
          </w:p>
        </w:tc>
        <w:tc>
          <w:tcPr>
            <w:tcW w:w="1176" w:type="dxa"/>
            <w:tcBorders>
              <w:top w:val="nil"/>
              <w:left w:val="nil"/>
              <w:bottom w:val="nil"/>
              <w:right w:val="nil"/>
            </w:tcBorders>
          </w:tcPr>
          <w:p>
            <w:pPr>
              <w:pStyle w:val="yTableNAm"/>
            </w:pPr>
            <w:r>
              <w:rPr>
                <w:szCs w:val="22"/>
              </w:rPr>
              <w:br/>
            </w:r>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pPr>
            <w:r>
              <w:rPr>
                <w:szCs w:val="22"/>
              </w:rPr>
              <w:t>13.</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transcript, or part of a </w:t>
            </w:r>
            <w:r>
              <w:t>transcript</w:t>
            </w:r>
            <w:r>
              <w:rPr>
                <w:szCs w:val="22"/>
              </w:rPr>
              <w:t xml:space="preserve"> — </w:t>
            </w:r>
          </w:p>
        </w:tc>
        <w:tc>
          <w:tcPr>
            <w:tcW w:w="1260" w:type="dxa"/>
            <w:tcBorders>
              <w:top w:val="nil"/>
              <w:left w:val="nil"/>
              <w:bottom w:val="nil"/>
              <w:right w:val="nil"/>
            </w:tcBorders>
          </w:tcPr>
          <w:p>
            <w:pPr>
              <w:pStyle w:val="zyTableNAm"/>
              <w:keepNext/>
              <w:tabs>
                <w:tab w:val="clear" w:pos="567"/>
              </w:tabs>
              <w:spacing w:before="60"/>
              <w:ind w:right="206"/>
              <w:jc w:val="right"/>
              <w:rPr>
                <w:szCs w:val="22"/>
              </w:rPr>
            </w:pPr>
          </w:p>
        </w:tc>
        <w:tc>
          <w:tcPr>
            <w:tcW w:w="1259" w:type="dxa"/>
            <w:tcBorders>
              <w:top w:val="nil"/>
              <w:left w:val="nil"/>
              <w:bottom w:val="nil"/>
              <w:right w:val="nil"/>
            </w:tcBorders>
          </w:tcPr>
          <w:p>
            <w:pPr>
              <w:pStyle w:val="zyTableNAm"/>
              <w:keepNext/>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provided within </w:t>
            </w:r>
            <w:r>
              <w:t>1</w:t>
            </w:r>
            <w:r>
              <w:rPr>
                <w:szCs w:val="22"/>
              </w:rPr>
              <w:t xml:space="preserve">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176"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176"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t>
            </w:r>
            <w:r>
              <w:t>within</w:t>
            </w:r>
            <w:r>
              <w:rPr>
                <w:szCs w:val="22"/>
              </w:rPr>
              <w:t xml:space="preserve">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176"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w:t>
            </w:r>
            <w:r>
              <w:t>the</w:t>
            </w:r>
            <w:r>
              <w:rPr>
                <w:szCs w:val="22"/>
              </w:rPr>
              <w:t xml:space="preserve"> transcript, provided under paragraph (a) — </w:t>
            </w:r>
          </w:p>
        </w:tc>
        <w:tc>
          <w:tcPr>
            <w:tcW w:w="1260" w:type="dxa"/>
            <w:tcBorders>
              <w:top w:val="nil"/>
              <w:left w:val="nil"/>
              <w:bottom w:val="nil"/>
              <w:right w:val="nil"/>
            </w:tcBorders>
          </w:tcPr>
          <w:p>
            <w:pPr>
              <w:pStyle w:val="zyTableNAm"/>
              <w:tabs>
                <w:tab w:val="clear" w:pos="567"/>
              </w:tabs>
              <w:spacing w:before="60"/>
              <w:ind w:right="206"/>
              <w:jc w:val="right"/>
              <w:rPr>
                <w:szCs w:val="22"/>
              </w:rPr>
            </w:pPr>
          </w:p>
        </w:tc>
        <w:tc>
          <w:tcPr>
            <w:tcW w:w="1259" w:type="dxa"/>
            <w:tcBorders>
              <w:top w:val="nil"/>
              <w:left w:val="nil"/>
              <w:bottom w:val="nil"/>
              <w:right w:val="nil"/>
            </w:tcBorders>
          </w:tcPr>
          <w:p>
            <w:pPr>
              <w:pStyle w:val="zyTableNAm"/>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w:t>
            </w:r>
            <w:r>
              <w:t>format</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176" w:type="dxa"/>
            <w:tcBorders>
              <w:top w:val="nil"/>
              <w:left w:val="nil"/>
              <w:bottom w:val="nil"/>
              <w:right w:val="nil"/>
            </w:tcBorders>
          </w:tcPr>
          <w:p>
            <w:pPr>
              <w:pStyle w:val="yTableNAm"/>
            </w:pPr>
            <w:r>
              <w:rPr>
                <w:szCs w:val="22"/>
              </w:rPr>
              <w:t>6.45 per copy</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176" w:type="dxa"/>
            <w:tcBorders>
              <w:top w:val="nil"/>
              <w:left w:val="nil"/>
              <w:bottom w:val="nil"/>
              <w:right w:val="nil"/>
            </w:tcBorders>
          </w:tcPr>
          <w:p>
            <w:pPr>
              <w:pStyle w:val="yTableNAm"/>
            </w:pPr>
            <w:r>
              <w:rPr>
                <w:szCs w:val="22"/>
              </w:rPr>
              <w:t>0.60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tcPr>
          <w:p>
            <w:pPr>
              <w:pStyle w:val="yTableNAm"/>
            </w:pPr>
            <w:r>
              <w:rPr>
                <w:szCs w:val="22"/>
              </w:rPr>
              <w:br/>
            </w:r>
            <w:r>
              <w:rPr>
                <w:szCs w:val="22"/>
              </w:rPr>
              <w:br/>
              <w:t>371.00</w:t>
            </w:r>
          </w:p>
        </w:tc>
        <w:tc>
          <w:tcPr>
            <w:tcW w:w="1259" w:type="dxa"/>
            <w:tcBorders>
              <w:top w:val="nil"/>
              <w:left w:val="nil"/>
              <w:right w:val="nil"/>
            </w:tcBorders>
            <w:vAlign w:val="center"/>
          </w:tcPr>
          <w:p>
            <w:pPr>
              <w:pStyle w:val="yTableNAm"/>
            </w:pPr>
            <w:r>
              <w:rPr>
                <w:szCs w:val="22"/>
              </w:rPr>
              <w:br/>
            </w:r>
            <w:r>
              <w:rPr>
                <w:szCs w:val="22"/>
              </w:rPr>
              <w:br/>
              <w:t>N/A</w:t>
            </w:r>
          </w:p>
        </w:tc>
        <w:tc>
          <w:tcPr>
            <w:tcW w:w="1176" w:type="dxa"/>
            <w:tcBorders>
              <w:top w:val="nil"/>
              <w:left w:val="nil"/>
              <w:right w:val="nil"/>
            </w:tcBorders>
          </w:tcPr>
          <w:p>
            <w:pPr>
              <w:pStyle w:val="yTableNAm"/>
            </w:pPr>
            <w:r>
              <w:rPr>
                <w:szCs w:val="22"/>
              </w:rPr>
              <w:br/>
            </w:r>
            <w:r>
              <w:rPr>
                <w:szCs w:val="22"/>
              </w:rPr>
              <w:br/>
              <w:t>N/A</w:t>
            </w:r>
          </w:p>
        </w:tc>
      </w:tr>
    </w:tbl>
    <w:p>
      <w:pPr>
        <w:pStyle w:val="yFootnotesection"/>
      </w:pPr>
      <w:r>
        <w:tab/>
        <w:t>[Division 1 inserted in Gazette 15 Jun 2018 p. 2029</w:t>
      </w:r>
      <w:r>
        <w:noBreakHyphen/>
        <w:t>40.]</w:t>
      </w:r>
    </w:p>
    <w:p>
      <w:pPr>
        <w:pStyle w:val="yHeading3"/>
      </w:pPr>
      <w:bookmarkStart w:id="23" w:name="_Toc519770934"/>
      <w:r>
        <w:rPr>
          <w:rStyle w:val="CharSDivNo"/>
        </w:rPr>
        <w:t>Division 2</w:t>
      </w:r>
      <w:r>
        <w:rPr>
          <w:b w:val="0"/>
        </w:rPr>
        <w:t> — </w:t>
      </w:r>
      <w:r>
        <w:rPr>
          <w:rStyle w:val="CharSDivText"/>
        </w:rPr>
        <w:t>Court of Appeal fees</w:t>
      </w:r>
      <w:bookmarkEnd w:id="23"/>
    </w:p>
    <w:p>
      <w:pPr>
        <w:pStyle w:val="yFootnoteheading"/>
      </w:pPr>
      <w:r>
        <w:tab/>
        <w:t>[Heading inserted in Gazette 15 Jun 2018 p. 2040.]</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tcPr>
          <w:p>
            <w:pPr>
              <w:pStyle w:val="yTableNAm"/>
            </w:pPr>
            <w:r>
              <w:rPr>
                <w:szCs w:val="22"/>
              </w:rPr>
              <w:t>220.00</w:t>
            </w:r>
          </w:p>
        </w:tc>
        <w:tc>
          <w:tcPr>
            <w:tcW w:w="1220" w:type="dxa"/>
            <w:tcBorders>
              <w:left w:val="nil"/>
              <w:bottom w:val="nil"/>
              <w:right w:val="nil"/>
            </w:tcBorders>
          </w:tcPr>
          <w:p>
            <w:pPr>
              <w:pStyle w:val="yTableNAm"/>
            </w:pPr>
            <w:r>
              <w:rPr>
                <w:szCs w:val="22"/>
              </w:rPr>
              <w:t>570.00</w:t>
            </w:r>
          </w:p>
        </w:tc>
        <w:tc>
          <w:tcPr>
            <w:tcW w:w="1229" w:type="dxa"/>
            <w:tcBorders>
              <w:left w:val="nil"/>
              <w:bottom w:val="nil"/>
              <w:right w:val="nil"/>
            </w:tcBorders>
          </w:tcPr>
          <w:p>
            <w:pPr>
              <w:pStyle w:val="yTableNAm"/>
            </w:pPr>
            <w:r>
              <w:rPr>
                <w:szCs w:val="22"/>
              </w:rPr>
              <w:t>66.00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p>
          <w:p>
            <w:pPr>
              <w:pStyle w:val="yTableNAm"/>
            </w:pPr>
            <w:r>
              <w:t>(b)</w:t>
            </w:r>
            <w:r>
              <w:tab/>
              <w:t>Respondent’s case</w:t>
            </w:r>
          </w:p>
        </w:tc>
        <w:tc>
          <w:tcPr>
            <w:tcW w:w="1246" w:type="dxa"/>
            <w:tcBorders>
              <w:top w:val="nil"/>
              <w:left w:val="nil"/>
              <w:bottom w:val="nil"/>
              <w:right w:val="nil"/>
            </w:tcBorders>
          </w:tcPr>
          <w:p>
            <w:pPr>
              <w:pStyle w:val="yTableNAm"/>
            </w:pPr>
          </w:p>
          <w:p>
            <w:pPr>
              <w:pStyle w:val="yTableNAm"/>
            </w:pPr>
            <w:r>
              <w:t>3 313.00</w:t>
            </w:r>
          </w:p>
          <w:p>
            <w:pPr>
              <w:pStyle w:val="yTableNAm"/>
            </w:pPr>
            <w:r>
              <w:t>3 313.00</w:t>
            </w:r>
          </w:p>
        </w:tc>
        <w:tc>
          <w:tcPr>
            <w:tcW w:w="1220" w:type="dxa"/>
            <w:tcBorders>
              <w:top w:val="nil"/>
              <w:left w:val="nil"/>
              <w:bottom w:val="nil"/>
              <w:right w:val="nil"/>
            </w:tcBorders>
          </w:tcPr>
          <w:p>
            <w:pPr>
              <w:pStyle w:val="yTableNAm"/>
            </w:pPr>
          </w:p>
          <w:p>
            <w:pPr>
              <w:pStyle w:val="yTableNAm"/>
            </w:pPr>
            <w:r>
              <w:t>8 609.00</w:t>
            </w:r>
          </w:p>
          <w:p>
            <w:pPr>
              <w:pStyle w:val="yTableNAm"/>
            </w:pPr>
            <w:r>
              <w:t>8 609.00</w:t>
            </w:r>
          </w:p>
        </w:tc>
        <w:tc>
          <w:tcPr>
            <w:tcW w:w="1229" w:type="dxa"/>
            <w:tcBorders>
              <w:top w:val="nil"/>
              <w:left w:val="nil"/>
              <w:bottom w:val="nil"/>
              <w:right w:val="nil"/>
            </w:tcBorders>
          </w:tcPr>
          <w:p>
            <w:pPr>
              <w:pStyle w:val="yTableNAm"/>
            </w:pPr>
          </w:p>
          <w:p>
            <w:pPr>
              <w:pStyle w:val="yTableNAm"/>
            </w:pPr>
            <w:r>
              <w:t>100.00</w:t>
            </w:r>
          </w:p>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pP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pP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tcPr>
          <w:p>
            <w:pPr>
              <w:pStyle w:val="yTableNAm"/>
            </w:pPr>
            <w:r>
              <w:rPr>
                <w:szCs w:val="22"/>
              </w:rPr>
              <w:t>1 105.00</w:t>
            </w:r>
          </w:p>
        </w:tc>
        <w:tc>
          <w:tcPr>
            <w:tcW w:w="1220" w:type="dxa"/>
            <w:tcBorders>
              <w:top w:val="nil"/>
              <w:left w:val="nil"/>
              <w:bottom w:val="nil"/>
              <w:right w:val="nil"/>
            </w:tcBorders>
          </w:tcPr>
          <w:p>
            <w:pPr>
              <w:pStyle w:val="yTableNAm"/>
            </w:pPr>
            <w:r>
              <w:rPr>
                <w:szCs w:val="22"/>
              </w:rPr>
              <w:t>2 148.00</w:t>
            </w:r>
          </w:p>
        </w:tc>
        <w:tc>
          <w:tcPr>
            <w:tcW w:w="1229" w:type="dxa"/>
            <w:tcBorders>
              <w:top w:val="nil"/>
              <w:left w:val="nil"/>
              <w:bottom w:val="nil"/>
              <w:right w:val="nil"/>
            </w:tcBorders>
          </w:tcPr>
          <w:p>
            <w:pPr>
              <w:pStyle w:val="yTableNAm"/>
            </w:pPr>
            <w:r>
              <w:rPr>
                <w:szCs w:val="22"/>
              </w:rPr>
              <w:t>100.00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rPr>
                <w:szCs w:val="22"/>
              </w:rPr>
              <w:t>883.00 for each day estimated</w:t>
            </w:r>
          </w:p>
        </w:tc>
        <w:tc>
          <w:tcPr>
            <w:tcW w:w="1220" w:type="dxa"/>
            <w:tcBorders>
              <w:top w:val="nil"/>
              <w:left w:val="nil"/>
              <w:bottom w:val="nil"/>
              <w:right w:val="nil"/>
            </w:tcBorders>
          </w:tcPr>
          <w:p>
            <w:pPr>
              <w:pStyle w:val="yTableNAm"/>
            </w:pPr>
            <w:r>
              <w:rPr>
                <w:szCs w:val="22"/>
              </w:rPr>
              <w:t>2 291.00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tcPr>
          <w:p>
            <w:pPr>
              <w:pStyle w:val="yTableNAm"/>
            </w:pPr>
            <w:r>
              <w:rPr>
                <w:szCs w:val="22"/>
              </w:rPr>
              <w:t>883.00</w:t>
            </w:r>
          </w:p>
        </w:tc>
        <w:tc>
          <w:tcPr>
            <w:tcW w:w="1220" w:type="dxa"/>
            <w:tcBorders>
              <w:top w:val="nil"/>
              <w:left w:val="nil"/>
              <w:bottom w:val="nil"/>
              <w:right w:val="nil"/>
            </w:tcBorders>
          </w:tcPr>
          <w:p>
            <w:pPr>
              <w:pStyle w:val="yTableNAm"/>
            </w:pPr>
            <w:r>
              <w:rPr>
                <w:szCs w:val="22"/>
              </w:rPr>
              <w:t>2 291.00</w:t>
            </w:r>
          </w:p>
        </w:tc>
        <w:tc>
          <w:tcPr>
            <w:tcW w:w="1229" w:type="dxa"/>
            <w:tcBorders>
              <w:top w:val="nil"/>
              <w:left w:val="nil"/>
              <w:bottom w:val="nil"/>
              <w:right w:val="nil"/>
            </w:tcBorders>
          </w:tcPr>
          <w:p>
            <w:pPr>
              <w:pStyle w:val="yTableNAm"/>
            </w:pPr>
            <w:r>
              <w:rPr>
                <w:szCs w:val="22"/>
              </w:rPr>
              <w:t>0.00</w:t>
            </w:r>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4.75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pPr>
            <w:r>
              <w:rPr>
                <w:szCs w:val="22"/>
              </w:rPr>
              <w:br/>
            </w:r>
            <w:r>
              <w:rPr>
                <w:szCs w:val="22"/>
              </w:rPr>
              <w:br/>
            </w:r>
            <w:r>
              <w:rPr>
                <w:szCs w:val="22"/>
              </w:rPr>
              <w:br/>
              <w:t>21.40</w:t>
            </w:r>
          </w:p>
        </w:tc>
        <w:tc>
          <w:tcPr>
            <w:tcW w:w="1220" w:type="dxa"/>
            <w:tcBorders>
              <w:top w:val="nil"/>
              <w:left w:val="nil"/>
              <w:bottom w:val="nil"/>
              <w:right w:val="nil"/>
            </w:tcBorders>
          </w:tcPr>
          <w:p>
            <w:pPr>
              <w:pStyle w:val="yTableNAm"/>
            </w:pPr>
            <w:r>
              <w:rPr>
                <w:szCs w:val="22"/>
              </w:rPr>
              <w:br/>
            </w:r>
            <w:r>
              <w:rPr>
                <w:szCs w:val="22"/>
              </w:rPr>
              <w:br/>
            </w:r>
            <w:r>
              <w:rPr>
                <w:szCs w:val="22"/>
              </w:rPr>
              <w:br/>
              <w:t>21.40</w:t>
            </w:r>
          </w:p>
        </w:tc>
        <w:tc>
          <w:tcPr>
            <w:tcW w:w="1229"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pPr>
            <w:r>
              <w:rPr>
                <w:szCs w:val="22"/>
              </w:rPr>
              <w:br/>
            </w:r>
            <w:r>
              <w:rPr>
                <w:szCs w:val="22"/>
              </w:rPr>
              <w:br/>
              <w:t>42.10</w:t>
            </w:r>
          </w:p>
        </w:tc>
        <w:tc>
          <w:tcPr>
            <w:tcW w:w="1220" w:type="dxa"/>
            <w:tcBorders>
              <w:top w:val="nil"/>
              <w:left w:val="nil"/>
              <w:bottom w:val="nil"/>
              <w:right w:val="nil"/>
            </w:tcBorders>
          </w:tcPr>
          <w:p>
            <w:pPr>
              <w:pStyle w:val="yTableNAm"/>
            </w:pPr>
            <w:r>
              <w:rPr>
                <w:szCs w:val="22"/>
              </w:rPr>
              <w:br/>
            </w:r>
            <w:r>
              <w:rPr>
                <w:szCs w:val="22"/>
              </w:rPr>
              <w:br/>
              <w:t>42.10</w:t>
            </w:r>
          </w:p>
        </w:tc>
        <w:tc>
          <w:tcPr>
            <w:tcW w:w="1229" w:type="dxa"/>
            <w:tcBorders>
              <w:top w:val="nil"/>
              <w:left w:val="nil"/>
              <w:bottom w:val="nil"/>
              <w:right w:val="nil"/>
            </w:tcBorders>
          </w:tcPr>
          <w:p>
            <w:pPr>
              <w:pStyle w:val="yTableNAm"/>
            </w:pPr>
            <w:r>
              <w:rPr>
                <w:szCs w:val="22"/>
              </w:rPr>
              <w:br/>
            </w:r>
            <w:r>
              <w:rPr>
                <w:szCs w:val="22"/>
              </w:rPr>
              <w:br/>
              <w:t>12.70</w:t>
            </w:r>
          </w:p>
        </w:tc>
      </w:tr>
      <w:tr>
        <w:trPr>
          <w:cantSplit/>
        </w:trPr>
        <w:tc>
          <w:tcPr>
            <w:tcW w:w="714" w:type="dxa"/>
            <w:tcBorders>
              <w:top w:val="nil"/>
              <w:left w:val="nil"/>
              <w:bottom w:val="nil"/>
              <w:right w:val="nil"/>
            </w:tcBorders>
          </w:tcPr>
          <w:p>
            <w:pPr>
              <w:pStyle w:val="yTableNAm"/>
              <w:keepNext/>
              <w:spacing w:before="60"/>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a copy of a transcript, or part of a transcript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provided within 1 </w:t>
            </w:r>
            <w:r>
              <w:t>day</w:t>
            </w:r>
            <w:r>
              <w:rPr>
                <w:szCs w:val="22"/>
              </w:rPr>
              <w:t xml:space="preserve">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8.45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16.90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w:t>
            </w:r>
            <w:r>
              <w:t>4</w:t>
            </w:r>
            <w:r>
              <w:rPr>
                <w:szCs w:val="22"/>
              </w:rPr>
              <w:t xml:space="preserve"> days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7.30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14.75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2.20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within 7 days after the day on </w:t>
            </w:r>
            <w:r>
              <w:t>which</w:t>
            </w:r>
            <w:r>
              <w:rPr>
                <w:szCs w:val="22"/>
              </w:rPr>
              <w:t xml:space="preserve">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14.05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2.15 per page</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the transcript, provided under paragraph (a)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format </w:t>
            </w:r>
          </w:p>
        </w:tc>
        <w:tc>
          <w:tcPr>
            <w:tcW w:w="1246"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0"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9" w:type="dxa"/>
            <w:tcBorders>
              <w:top w:val="nil"/>
              <w:left w:val="nil"/>
              <w:bottom w:val="nil"/>
              <w:right w:val="nil"/>
            </w:tcBorders>
            <w:shd w:val="clear" w:color="auto" w:fill="auto"/>
          </w:tcPr>
          <w:p>
            <w:pPr>
              <w:pStyle w:val="yTableNAm"/>
              <w:tabs>
                <w:tab w:val="clear" w:pos="567"/>
              </w:tabs>
              <w:spacing w:before="60"/>
              <w:rPr>
                <w:szCs w:val="22"/>
              </w:rPr>
            </w:pPr>
            <w:r>
              <w:rPr>
                <w:szCs w:val="22"/>
              </w:rPr>
              <w:t>6.45 per copy</w:t>
            </w:r>
          </w:p>
        </w:tc>
      </w:tr>
      <w:tr>
        <w:trPr>
          <w:cantSplit/>
        </w:trPr>
        <w:tc>
          <w:tcPr>
            <w:tcW w:w="714" w:type="dxa"/>
            <w:tcBorders>
              <w:top w:val="nil"/>
              <w:left w:val="nil"/>
              <w:right w:val="nil"/>
            </w:tcBorders>
          </w:tcPr>
          <w:p>
            <w:pPr>
              <w:pStyle w:val="yTableNAm"/>
              <w:spacing w:before="60"/>
              <w:rPr>
                <w:szCs w:val="22"/>
              </w:rPr>
            </w:pPr>
          </w:p>
        </w:tc>
        <w:tc>
          <w:tcPr>
            <w:tcW w:w="2562" w:type="dxa"/>
            <w:tcBorders>
              <w:top w:val="nil"/>
              <w:left w:val="nil"/>
              <w:right w:val="nil"/>
            </w:tcBorders>
          </w:tcPr>
          <w:p>
            <w:pPr>
              <w:pStyle w:val="yTableNAm"/>
            </w:pPr>
            <w:r>
              <w:rPr>
                <w:szCs w:val="22"/>
              </w:rPr>
              <w:tab/>
              <w:t>(ii)</w:t>
            </w:r>
            <w:r>
              <w:rPr>
                <w:szCs w:val="22"/>
              </w:rPr>
              <w:tab/>
              <w:t xml:space="preserve">paper copy </w:t>
            </w:r>
          </w:p>
        </w:tc>
        <w:tc>
          <w:tcPr>
            <w:tcW w:w="1246"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0"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9" w:type="dxa"/>
            <w:tcBorders>
              <w:top w:val="nil"/>
              <w:left w:val="nil"/>
              <w:right w:val="nil"/>
            </w:tcBorders>
            <w:shd w:val="clear" w:color="auto" w:fill="auto"/>
          </w:tcPr>
          <w:p>
            <w:pPr>
              <w:pStyle w:val="yTableNAm"/>
              <w:tabs>
                <w:tab w:val="clear" w:pos="567"/>
              </w:tabs>
              <w:spacing w:before="60"/>
              <w:rPr>
                <w:szCs w:val="22"/>
              </w:rPr>
            </w:pPr>
            <w:r>
              <w:rPr>
                <w:szCs w:val="22"/>
              </w:rPr>
              <w:t>0.60 per page</w:t>
            </w:r>
          </w:p>
        </w:tc>
      </w:tr>
    </w:tbl>
    <w:p>
      <w:pPr>
        <w:pStyle w:val="yFootnotesection"/>
      </w:pPr>
      <w:r>
        <w:tab/>
        <w:t>[Division 2 inserted in Gazette 15 Jun 2018 p. 2040</w:t>
      </w:r>
      <w:r>
        <w:noBreakHyphen/>
        <w:t>45.]</w:t>
      </w:r>
    </w:p>
    <w:p>
      <w:pPr>
        <w:pStyle w:val="yScheduleHeading"/>
      </w:pPr>
      <w:bookmarkStart w:id="24" w:name="_Toc519770935"/>
      <w:r>
        <w:rPr>
          <w:rStyle w:val="CharSchNo"/>
        </w:rPr>
        <w:t>Schedule 2</w:t>
      </w:r>
      <w:r>
        <w:rPr>
          <w:rStyle w:val="CharSDivNo"/>
        </w:rPr>
        <w:t> </w:t>
      </w:r>
      <w:r>
        <w:t>—</w:t>
      </w:r>
      <w:r>
        <w:rPr>
          <w:rStyle w:val="CharSDivText"/>
        </w:rPr>
        <w:t> </w:t>
      </w:r>
      <w:r>
        <w:rPr>
          <w:rStyle w:val="CharSchText"/>
        </w:rPr>
        <w:t>Sheriff’s fees</w:t>
      </w:r>
      <w:bookmarkEnd w:id="24"/>
    </w:p>
    <w:p>
      <w:pPr>
        <w:pStyle w:val="yShoulderClause"/>
      </w:pPr>
      <w:r>
        <w:t>[r. 4]</w:t>
      </w:r>
    </w:p>
    <w:p>
      <w:pPr>
        <w:pStyle w:val="yFootnoteheading"/>
      </w:pPr>
      <w:r>
        <w:tab/>
        <w:t>[Heading inserted in Gazette 15 Jun 2018 p. 2046.]</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spacing w:before="180"/>
            </w:pPr>
            <w:r>
              <w:br/>
            </w:r>
            <w:r>
              <w:rPr>
                <w:szCs w:val="22"/>
              </w:rPr>
              <w:t>141.50</w:t>
            </w:r>
          </w:p>
          <w:p>
            <w:pPr>
              <w:pStyle w:val="yTableNAm"/>
            </w:pPr>
            <w:r>
              <w:br/>
              <w:t>140.00</w:t>
            </w:r>
          </w:p>
        </w:tc>
      </w:tr>
      <w:tr>
        <w:tc>
          <w:tcPr>
            <w:tcW w:w="709" w:type="dxa"/>
            <w:tcBorders>
              <w:top w:val="nil"/>
              <w:left w:val="nil"/>
              <w:bottom w:val="nil"/>
              <w:right w:val="nil"/>
            </w:tcBorders>
          </w:tcPr>
          <w:p>
            <w:pPr>
              <w:pStyle w:val="zyTableNAm"/>
              <w:keepNext/>
            </w:pPr>
          </w:p>
        </w:tc>
        <w:tc>
          <w:tcPr>
            <w:tcW w:w="4944" w:type="dxa"/>
            <w:tcBorders>
              <w:top w:val="nil"/>
              <w:left w:val="nil"/>
              <w:bottom w:val="nil"/>
              <w:right w:val="nil"/>
            </w:tcBorders>
          </w:tcPr>
          <w:p>
            <w:pPr>
              <w:pStyle w:val="yTableNAm"/>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pPr>
            <w:r>
              <w:br/>
            </w:r>
            <w:r>
              <w:br/>
            </w:r>
            <w:r>
              <w:br/>
            </w:r>
            <w:r>
              <w:br/>
              <w:t>37.10</w:t>
            </w:r>
          </w:p>
        </w:tc>
      </w:tr>
      <w:tr>
        <w:trPr>
          <w:trHeight w:val="1046"/>
        </w:trPr>
        <w:tc>
          <w:tcPr>
            <w:tcW w:w="709"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pPr>
            <w:r>
              <w:br/>
            </w:r>
            <w:r>
              <w:br/>
            </w:r>
            <w:r>
              <w:rPr>
                <w:szCs w:val="22"/>
              </w:rPr>
              <w:t>78.50</w:t>
            </w:r>
          </w:p>
        </w:tc>
      </w:tr>
      <w:tr>
        <w:trPr>
          <w:trHeight w:val="737"/>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pacing w:val="-4"/>
                <w:sz w:val="18"/>
                <w:szCs w:val="18"/>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trHeight w:val="598"/>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rPr>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ind w:left="584" w:hanging="584"/>
            </w:pPr>
            <w:r>
              <w:t>(a)</w:t>
            </w:r>
            <w:r>
              <w:tab/>
              <w:t>for each kilometre travelled (1 way) in the metropolitan area</w:t>
            </w:r>
          </w:p>
          <w:p>
            <w:pPr>
              <w:pStyle w:val="yTableNAm"/>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pPr>
            <w:r>
              <w:br/>
            </w:r>
            <w:r>
              <w:br/>
            </w:r>
            <w:r>
              <w:br/>
            </w:r>
            <w:r>
              <w:br/>
            </w:r>
            <w:r>
              <w:br/>
            </w:r>
          </w:p>
          <w:p>
            <w:pPr>
              <w:pStyle w:val="yTableNAm"/>
            </w:pPr>
            <w:r>
              <w:br/>
              <w:t>2.00</w:t>
            </w:r>
          </w:p>
          <w:p>
            <w:pPr>
              <w:pStyle w:val="yTableNAm"/>
            </w:pPr>
            <w:r>
              <w:br/>
              <w:t>2.20</w:t>
            </w:r>
          </w:p>
        </w:tc>
      </w:tr>
      <w:tr>
        <w:tc>
          <w:tcPr>
            <w:tcW w:w="709" w:type="dxa"/>
            <w:tcBorders>
              <w:top w:val="nil"/>
              <w:left w:val="nil"/>
              <w:bottom w:val="nil"/>
              <w:right w:val="nil"/>
            </w:tcBorders>
          </w:tcPr>
          <w:p>
            <w:pPr>
              <w:pStyle w:val="z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pPr>
            <w:r>
              <w:br/>
              <w:t>74.00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p>
          <w:p>
            <w:pPr>
              <w:pStyle w:val="yTableNAm"/>
              <w:keepNext/>
              <w:keepLines/>
              <w:ind w:left="584" w:hanging="584"/>
            </w:pPr>
            <w:r>
              <w:t>(b)</w:t>
            </w:r>
            <w:r>
              <w:tab/>
              <w:t>For attendance of sheriff’s officer at hearing (per day or part of a day)</w:t>
            </w:r>
          </w:p>
        </w:tc>
        <w:tc>
          <w:tcPr>
            <w:tcW w:w="1382" w:type="dxa"/>
            <w:tcBorders>
              <w:top w:val="nil"/>
              <w:left w:val="nil"/>
              <w:right w:val="nil"/>
            </w:tcBorders>
          </w:tcPr>
          <w:p>
            <w:pPr>
              <w:pStyle w:val="yTableNAm"/>
              <w:keepNext/>
              <w:keepLines/>
            </w:pPr>
            <w:r>
              <w:t>238.00</w:t>
            </w:r>
          </w:p>
          <w:p>
            <w:pPr>
              <w:pStyle w:val="yTableNAm"/>
              <w:keepNext/>
              <w:keepLines/>
            </w:pPr>
            <w:r>
              <w:t>The sum actually and reasonably paid</w:t>
            </w:r>
          </w:p>
        </w:tc>
      </w:tr>
    </w:tbl>
    <w:p>
      <w:pPr>
        <w:pStyle w:val="yFootnotesection"/>
        <w:keepNext/>
      </w:pPr>
      <w:r>
        <w:tab/>
        <w:t>[Schedule 2 inserted in Gazette 15 Jun 2018 p. 2046</w:t>
      </w:r>
      <w:r>
        <w:noBreakHyphen/>
        <w:t>7.]</w:t>
      </w:r>
    </w:p>
    <w:p>
      <w:pPr>
        <w:pStyle w:val="yScheduleHeading"/>
      </w:pPr>
      <w:bookmarkStart w:id="25" w:name="_Toc519770936"/>
      <w:r>
        <w:rPr>
          <w:rStyle w:val="CharSchNo"/>
        </w:rPr>
        <w:t>Schedule 3</w:t>
      </w:r>
      <w:r>
        <w:rPr>
          <w:rStyle w:val="CharSDivNo"/>
        </w:rPr>
        <w:t> </w:t>
      </w:r>
      <w:r>
        <w:t>—</w:t>
      </w:r>
      <w:r>
        <w:rPr>
          <w:rStyle w:val="CharSDivText"/>
        </w:rPr>
        <w:t> </w:t>
      </w:r>
      <w:r>
        <w:rPr>
          <w:rStyle w:val="CharSchText"/>
        </w:rPr>
        <w:t>Probate fees</w:t>
      </w:r>
      <w:bookmarkEnd w:id="25"/>
    </w:p>
    <w:p>
      <w:pPr>
        <w:pStyle w:val="yShoulderClause"/>
      </w:pPr>
      <w:r>
        <w:t>[r. 4]</w:t>
      </w:r>
    </w:p>
    <w:p>
      <w:pPr>
        <w:pStyle w:val="yFootnoteheading"/>
      </w:pPr>
      <w:r>
        <w:tab/>
        <w:t>[Heading inserted in Gazette 15 Jun 2018 p. 2048.]</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pPr>
            <w:r>
              <w:br/>
            </w:r>
            <w:r>
              <w:br/>
              <w:t>370.00</w:t>
            </w:r>
          </w:p>
        </w:tc>
      </w:tr>
      <w:t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p>
          <w:p>
            <w:pPr>
              <w:pStyle w:val="yTableNAm"/>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pPr>
            <w:r>
              <w:br/>
            </w:r>
            <w:r>
              <w:br/>
              <w:t>1.85</w:t>
            </w:r>
          </w:p>
          <w:p>
            <w:pPr>
              <w:pStyle w:val="yTableNAm"/>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pPr>
            <w:r>
              <w:br/>
              <w:t>110.50</w:t>
            </w:r>
          </w:p>
          <w:p>
            <w:pPr>
              <w:pStyle w:val="yTableNAm"/>
            </w:pPr>
            <w:r>
              <w:br/>
              <w:t>110.50</w:t>
            </w:r>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tcPr>
          <w:p>
            <w:pPr>
              <w:pStyle w:val="yTableNAm"/>
            </w:pPr>
            <w:r>
              <w:br/>
              <w:t>44.50</w:t>
            </w:r>
          </w:p>
        </w:tc>
      </w:tr>
    </w:tbl>
    <w:p>
      <w:pPr>
        <w:pStyle w:val="yFootnotesection"/>
      </w:pPr>
      <w:r>
        <w:tab/>
        <w:t>[Schedule 3 inserted in Gazette 15 Jun 2018 p. 2048</w:t>
      </w:r>
      <w:r>
        <w:noBreakHyphen/>
        <w:t>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7" w:name="_Toc519770937"/>
      <w:r>
        <w:rPr>
          <w:rStyle w:val="CharSchNo"/>
        </w:rPr>
        <w:t>Schedule 4</w:t>
      </w:r>
      <w:r>
        <w:t xml:space="preserve"> — </w:t>
      </w:r>
      <w:r>
        <w:rPr>
          <w:rStyle w:val="CharSchText"/>
        </w:rPr>
        <w:t>Forms</w:t>
      </w:r>
      <w:bookmarkEnd w:id="27"/>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 amended in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28" w:name="_Toc519770938"/>
            <w:r>
              <w:rPr>
                <w:rStyle w:val="CharSClsNo"/>
              </w:rPr>
              <w:t>Form 3</w:t>
            </w:r>
            <w:bookmarkEnd w:id="28"/>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9" w:name="_Toc519770939"/>
      <w:r>
        <w:t>Notes</w:t>
      </w:r>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0" w:name="_Toc519770940"/>
      <w:r>
        <w:t>Compilation table</w:t>
      </w:r>
      <w:bookmarkEnd w:id="30"/>
    </w:p>
    <w:tbl>
      <w:tblPr>
        <w:tblW w:w="7202" w:type="dxa"/>
        <w:tblInd w:w="84" w:type="dxa"/>
        <w:tblLayout w:type="fixed"/>
        <w:tblCellMar>
          <w:left w:w="56" w:type="dxa"/>
          <w:right w:w="56" w:type="dxa"/>
        </w:tblCellMar>
        <w:tblLook w:val="0000" w:firstRow="0" w:lastRow="0" w:firstColumn="0" w:lastColumn="0" w:noHBand="0" w:noVBand="0"/>
      </w:tblPr>
      <w:tblGrid>
        <w:gridCol w:w="3095"/>
        <w:gridCol w:w="1267"/>
        <w:gridCol w:w="2670"/>
        <w:gridCol w:w="61"/>
        <w:gridCol w:w="109"/>
      </w:tblGrid>
      <w:tr>
        <w:trPr>
          <w:gridAfter w:val="1"/>
          <w:wAfter w:w="109" w:type="dxa"/>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9" w:type="dxa"/>
        </w:trP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1" w:type="dxa"/>
            <w:gridSpan w:val="2"/>
            <w:tcBorders>
              <w:top w:val="single" w:sz="8" w:space="0" w:color="auto"/>
            </w:tcBorders>
          </w:tcPr>
          <w:p>
            <w:pPr>
              <w:pStyle w:val="nTable"/>
              <w:spacing w:after="40"/>
            </w:pPr>
            <w:r>
              <w:t>1 Jan 2002 (see r. 2)</w:t>
            </w:r>
          </w:p>
        </w:tc>
      </w:tr>
      <w:tr>
        <w:trPr>
          <w:gridAfter w:val="1"/>
          <w:wAfter w:w="109" w:type="dxa"/>
        </w:trP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1" w:type="dxa"/>
            <w:gridSpan w:val="2"/>
          </w:tcPr>
          <w:p>
            <w:pPr>
              <w:pStyle w:val="nTable"/>
              <w:spacing w:after="40"/>
            </w:pPr>
            <w:r>
              <w:t>15 Feb 2002</w:t>
            </w:r>
          </w:p>
        </w:tc>
      </w:tr>
      <w:tr>
        <w:trPr>
          <w:gridAfter w:val="1"/>
          <w:wAfter w:w="109" w:type="dxa"/>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1" w:type="dxa"/>
            <w:gridSpan w:val="2"/>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109" w:type="dxa"/>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1" w:type="dxa"/>
            <w:gridSpan w:val="2"/>
          </w:tcPr>
          <w:p>
            <w:pPr>
              <w:pStyle w:val="nTable"/>
              <w:spacing w:after="40"/>
              <w:rPr>
                <w:i/>
              </w:rPr>
            </w:pPr>
            <w:r>
              <w:t>1 Jan 2004 (see r. 2)</w:t>
            </w:r>
          </w:p>
        </w:tc>
      </w:tr>
      <w:tr>
        <w:trPr>
          <w:gridAfter w:val="1"/>
          <w:wAfter w:w="109" w:type="dxa"/>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1" w:type="dxa"/>
            <w:gridSpan w:val="2"/>
          </w:tcPr>
          <w:p>
            <w:pPr>
              <w:pStyle w:val="nTable"/>
              <w:spacing w:after="40"/>
            </w:pPr>
            <w:r>
              <w:t xml:space="preserve">1 May 2005 (see r. 2 and </w:t>
            </w:r>
            <w:r>
              <w:rPr>
                <w:i/>
                <w:iCs/>
              </w:rPr>
              <w:t>Gazette</w:t>
            </w:r>
            <w:r>
              <w:t xml:space="preserve"> 31 Dec 2004 p. 7128)</w:t>
            </w:r>
          </w:p>
        </w:tc>
      </w:tr>
      <w:tr>
        <w:trPr>
          <w:gridAfter w:val="1"/>
          <w:wAfter w:w="109" w:type="dxa"/>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1" w:type="dxa"/>
            <w:gridSpan w:val="2"/>
          </w:tcPr>
          <w:p>
            <w:pPr>
              <w:pStyle w:val="nTable"/>
              <w:spacing w:after="40"/>
            </w:pPr>
            <w:r>
              <w:t>1 Jul 2005 (see r. 2)</w:t>
            </w:r>
          </w:p>
        </w:tc>
      </w:tr>
      <w:tr>
        <w:trPr>
          <w:gridAfter w:val="1"/>
          <w:wAfter w:w="109" w:type="dxa"/>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1" w:type="dxa"/>
            <w:gridSpan w:val="2"/>
          </w:tcPr>
          <w:p>
            <w:pPr>
              <w:pStyle w:val="nTable"/>
              <w:spacing w:after="40"/>
            </w:pPr>
            <w:r>
              <w:t>1 Jul 2006 (see r. 2)</w:t>
            </w:r>
          </w:p>
        </w:tc>
      </w:tr>
      <w:tr>
        <w:trPr>
          <w:gridAfter w:val="1"/>
          <w:wAfter w:w="109" w:type="dxa"/>
          <w:cantSplit/>
        </w:trPr>
        <w:tc>
          <w:tcPr>
            <w:tcW w:w="7093" w:type="dxa"/>
            <w:gridSpan w:val="4"/>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1" w:type="dxa"/>
            <w:gridSpan w:val="2"/>
          </w:tcPr>
          <w:p>
            <w:pPr>
              <w:pStyle w:val="nTable"/>
              <w:spacing w:after="40"/>
            </w:pPr>
            <w:r>
              <w:t>r. 1 and 2: 26 Jun 2007 (see r. 2(a));</w:t>
            </w:r>
            <w:r>
              <w:br/>
              <w:t>Regulations other than r. 1 and 2: 1 Jul 2007 (see r. 2(b)(i))</w:t>
            </w:r>
          </w:p>
        </w:tc>
      </w:tr>
      <w:tr>
        <w:trPr>
          <w:gridAfter w:val="1"/>
          <w:wAfter w:w="109" w:type="dxa"/>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1"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109" w:type="dxa"/>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1" w:type="dxa"/>
            <w:gridSpan w:val="2"/>
          </w:tcPr>
          <w:p>
            <w:pPr>
              <w:pStyle w:val="nTable"/>
              <w:spacing w:after="40"/>
            </w:pPr>
            <w:r>
              <w:rPr>
                <w:snapToGrid w:val="0"/>
              </w:rPr>
              <w:t>r. 1 and 2: 27 Jun 2008 (see r. 2(a));</w:t>
            </w:r>
            <w:r>
              <w:rPr>
                <w:snapToGrid w:val="0"/>
              </w:rPr>
              <w:br/>
              <w:t>Regulations other than r. 1 and 2: 1 Jul 2008 (see r. 2(b))</w:t>
            </w:r>
          </w:p>
        </w:tc>
      </w:tr>
      <w:tr>
        <w:trPr>
          <w:gridAfter w:val="1"/>
          <w:wAfter w:w="109" w:type="dxa"/>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1"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109" w:type="dxa"/>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1"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109" w:type="dxa"/>
          <w:cantSplit/>
        </w:trPr>
        <w:tc>
          <w:tcPr>
            <w:tcW w:w="7093" w:type="dxa"/>
            <w:gridSpan w:val="4"/>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2010</w:t>
            </w:r>
          </w:p>
        </w:tc>
        <w:tc>
          <w:tcPr>
            <w:tcW w:w="1267" w:type="dxa"/>
          </w:tcPr>
          <w:p>
            <w:pPr>
              <w:pStyle w:val="nTable"/>
              <w:spacing w:after="40"/>
              <w:rPr>
                <w:rFonts w:ascii="Times" w:hAnsi="Times"/>
              </w:rPr>
            </w:pPr>
            <w:r>
              <w:rPr>
                <w:rFonts w:ascii="Times" w:hAnsi="Times"/>
              </w:rPr>
              <w:t>30 Jul 2010 p. 3496-7</w:t>
            </w:r>
          </w:p>
        </w:tc>
        <w:tc>
          <w:tcPr>
            <w:tcW w:w="2731" w:type="dxa"/>
            <w:gridSpan w:val="2"/>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2011</w:t>
            </w:r>
          </w:p>
        </w:tc>
        <w:tc>
          <w:tcPr>
            <w:tcW w:w="1267" w:type="dxa"/>
          </w:tcPr>
          <w:p>
            <w:pPr>
              <w:pStyle w:val="nTable"/>
              <w:spacing w:after="40"/>
              <w:rPr>
                <w:rFonts w:ascii="Times" w:hAnsi="Times"/>
              </w:rPr>
            </w:pPr>
            <w:r>
              <w:rPr>
                <w:rFonts w:ascii="Times" w:hAnsi="Times"/>
              </w:rPr>
              <w:t>8 Mar 2011 p. 781</w:t>
            </w:r>
            <w:r>
              <w:rPr>
                <w:rFonts w:ascii="Times" w:hAnsi="Times"/>
              </w:rPr>
              <w:noBreakHyphen/>
              <w:t>4</w:t>
            </w:r>
          </w:p>
        </w:tc>
        <w:tc>
          <w:tcPr>
            <w:tcW w:w="2731"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2011</w:t>
            </w:r>
          </w:p>
        </w:tc>
        <w:tc>
          <w:tcPr>
            <w:tcW w:w="1267" w:type="dxa"/>
          </w:tcPr>
          <w:p>
            <w:pPr>
              <w:pStyle w:val="nTable"/>
              <w:spacing w:after="40"/>
              <w:rPr>
                <w:rFonts w:ascii="Times" w:hAnsi="Times"/>
              </w:rPr>
            </w:pPr>
            <w:r>
              <w:rPr>
                <w:rFonts w:ascii="Times" w:hAnsi="Times"/>
              </w:rPr>
              <w:t>20 Dec 2011 p. 5376-9</w:t>
            </w:r>
          </w:p>
        </w:tc>
        <w:tc>
          <w:tcPr>
            <w:tcW w:w="2731"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2012</w:t>
            </w:r>
          </w:p>
        </w:tc>
        <w:tc>
          <w:tcPr>
            <w:tcW w:w="1267" w:type="dxa"/>
          </w:tcPr>
          <w:p>
            <w:pPr>
              <w:pStyle w:val="nTable"/>
              <w:spacing w:after="40"/>
              <w:rPr>
                <w:rFonts w:ascii="Times" w:hAnsi="Times"/>
              </w:rPr>
            </w:pPr>
            <w:r>
              <w:rPr>
                <w:rFonts w:ascii="Times" w:hAnsi="Times"/>
              </w:rPr>
              <w:t>27 Mar 2012 p. 1508</w:t>
            </w:r>
          </w:p>
        </w:tc>
        <w:tc>
          <w:tcPr>
            <w:tcW w:w="2731"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3) 2012</w:t>
            </w:r>
          </w:p>
        </w:tc>
        <w:tc>
          <w:tcPr>
            <w:tcW w:w="1267" w:type="dxa"/>
          </w:tcPr>
          <w:p>
            <w:pPr>
              <w:pStyle w:val="nTable"/>
              <w:spacing w:after="40"/>
              <w:rPr>
                <w:rFonts w:ascii="Times" w:hAnsi="Times"/>
              </w:rPr>
            </w:pPr>
            <w:r>
              <w:rPr>
                <w:rFonts w:ascii="Times" w:hAnsi="Times"/>
              </w:rPr>
              <w:t>30 Nov 2012 p. 5784</w:t>
            </w:r>
            <w:r>
              <w:rPr>
                <w:rFonts w:ascii="Times" w:hAnsi="Times"/>
              </w:rPr>
              <w:noBreakHyphen/>
              <w:t>8</w:t>
            </w:r>
          </w:p>
        </w:tc>
        <w:tc>
          <w:tcPr>
            <w:tcW w:w="2731"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109" w:type="dxa"/>
          <w:cantSplit/>
        </w:trPr>
        <w:tc>
          <w:tcPr>
            <w:tcW w:w="3095" w:type="dxa"/>
          </w:tcPr>
          <w:p>
            <w:pPr>
              <w:pStyle w:val="nTable"/>
              <w:spacing w:after="40"/>
              <w:ind w:right="113"/>
              <w:rPr>
                <w:rFonts w:ascii="Times" w:hAnsi="Times"/>
                <w:i/>
              </w:rPr>
            </w:pPr>
            <w:r>
              <w:rPr>
                <w:i/>
              </w:rPr>
              <w:t>Supreme Court (Fees) Amendment Regulations 2013</w:t>
            </w:r>
          </w:p>
        </w:tc>
        <w:tc>
          <w:tcPr>
            <w:tcW w:w="1267" w:type="dxa"/>
          </w:tcPr>
          <w:p>
            <w:pPr>
              <w:pStyle w:val="nTable"/>
              <w:spacing w:after="40"/>
              <w:rPr>
                <w:rFonts w:ascii="Times" w:hAnsi="Times"/>
              </w:rPr>
            </w:pPr>
            <w:r>
              <w:t>19 Jul 2013 p. 3268-9</w:t>
            </w:r>
          </w:p>
        </w:tc>
        <w:tc>
          <w:tcPr>
            <w:tcW w:w="2731" w:type="dxa"/>
            <w:gridSpan w:val="2"/>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109" w:type="dxa"/>
          <w:cantSplit/>
        </w:trPr>
        <w:tc>
          <w:tcPr>
            <w:tcW w:w="3095" w:type="dxa"/>
          </w:tcPr>
          <w:p>
            <w:pPr>
              <w:pStyle w:val="nTable"/>
              <w:spacing w:after="40"/>
              <w:ind w:right="113"/>
              <w:rPr>
                <w:i/>
              </w:rPr>
            </w:pPr>
            <w:r>
              <w:rPr>
                <w:rFonts w:ascii="Times" w:hAnsi="Times"/>
                <w:i/>
              </w:rPr>
              <w:t>Supreme Court (Fees) Amendment Regulations (No. 2) 2013</w:t>
            </w:r>
          </w:p>
        </w:tc>
        <w:tc>
          <w:tcPr>
            <w:tcW w:w="1267" w:type="dxa"/>
          </w:tcPr>
          <w:p>
            <w:pPr>
              <w:pStyle w:val="nTable"/>
              <w:spacing w:after="40"/>
            </w:pPr>
            <w:r>
              <w:t>15 Nov 2013 p. 5239-42</w:t>
            </w:r>
          </w:p>
        </w:tc>
        <w:tc>
          <w:tcPr>
            <w:tcW w:w="2731" w:type="dxa"/>
            <w:gridSpan w:val="2"/>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2014</w:t>
            </w:r>
          </w:p>
        </w:tc>
        <w:tc>
          <w:tcPr>
            <w:tcW w:w="1267" w:type="dxa"/>
          </w:tcPr>
          <w:p>
            <w:pPr>
              <w:pStyle w:val="nTable"/>
              <w:spacing w:after="40"/>
            </w:pPr>
            <w:r>
              <w:t>27 Jun 2014 p. 2347-50</w:t>
            </w:r>
          </w:p>
        </w:tc>
        <w:tc>
          <w:tcPr>
            <w:tcW w:w="2731" w:type="dxa"/>
            <w:gridSpan w:val="2"/>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109" w:type="dxa"/>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1" w:type="dxa"/>
            <w:gridSpan w:val="2"/>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109" w:type="dxa"/>
          <w:cantSplit/>
        </w:trPr>
        <w:tc>
          <w:tcPr>
            <w:tcW w:w="7093" w:type="dxa"/>
            <w:gridSpan w:val="4"/>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1" w:type="dxa"/>
            <w:gridSpan w:val="2"/>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109" w:type="dxa"/>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1" w:type="dxa"/>
            <w:gridSpan w:val="2"/>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840" w:type="dxa"/>
            <w:gridSpan w:val="3"/>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840" w:type="dxa"/>
            <w:gridSpan w:val="3"/>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840" w:type="dxa"/>
            <w:gridSpan w:val="3"/>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840" w:type="dxa"/>
            <w:gridSpan w:val="3"/>
            <w:shd w:val="clear" w:color="auto" w:fill="auto"/>
          </w:tcPr>
          <w:p>
            <w:pPr>
              <w:pStyle w:val="nTable"/>
              <w:spacing w:after="40"/>
              <w:rPr>
                <w:bCs/>
                <w:snapToGrid w:val="0"/>
              </w:rPr>
            </w:pPr>
            <w:r>
              <w:rPr>
                <w:bCs/>
                <w:snapToGrid w:val="0"/>
              </w:rPr>
              <w:t>1 Jul 2018 (see r. 2(b))</w:t>
            </w:r>
          </w:p>
        </w:tc>
      </w:tr>
      <w:tr>
        <w:trPr>
          <w:gridAfter w:val="2"/>
          <w:wAfter w:w="170" w:type="dxa"/>
        </w:trPr>
        <w:tc>
          <w:tcPr>
            <w:tcW w:w="3095"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8</w:t>
            </w:r>
          </w:p>
        </w:tc>
        <w:tc>
          <w:tcPr>
            <w:tcW w:w="1267" w:type="dxa"/>
            <w:tcBorders>
              <w:bottom w:val="single" w:sz="4" w:space="0" w:color="auto"/>
            </w:tcBorders>
            <w:shd w:val="clear" w:color="auto" w:fill="auto"/>
          </w:tcPr>
          <w:p>
            <w:pPr>
              <w:pStyle w:val="nTable"/>
              <w:keepNext/>
              <w:spacing w:after="40"/>
            </w:pPr>
            <w:r>
              <w:t>20 Jul 2018 p. 2621</w:t>
            </w:r>
            <w:r>
              <w:noBreakHyphen/>
              <w:t>30</w:t>
            </w:r>
          </w:p>
        </w:tc>
        <w:tc>
          <w:tcPr>
            <w:tcW w:w="2670"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32" w:name="_Toc519770941"/>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19102739"/>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BC583-8DCF-44B1-8EF8-9E8DC7227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9520</Words>
  <Characters>45510</Characters>
  <Application>Microsoft Office Word</Application>
  <DocSecurity>0</DocSecurity>
  <Lines>3034</Lines>
  <Paragraphs>1342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2002 - 03-j0-00</dc:title>
  <dc:subject/>
  <dc:creator/>
  <cp:keywords/>
  <dc:description/>
  <cp:lastModifiedBy>svcMRProcess</cp:lastModifiedBy>
  <cp:revision>4</cp:revision>
  <cp:lastPrinted>2014-08-12T01:22:00Z</cp:lastPrinted>
  <dcterms:created xsi:type="dcterms:W3CDTF">2018-09-16T23:00:00Z</dcterms:created>
  <dcterms:modified xsi:type="dcterms:W3CDTF">2018-09-16T23:00:00Z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21 Jul 2018</vt:lpwstr>
  </property>
  <property fmtid="{D5CDD505-2E9C-101B-9397-08002B2CF9AE}" pid="8" name="Suffix">
    <vt:lpwstr>03-j0-00</vt:lpwstr>
  </property>
  <property fmtid="{D5CDD505-2E9C-101B-9397-08002B2CF9AE}" pid="9" name="CommencementDate">
    <vt:lpwstr>20180721</vt:lpwstr>
  </property>
</Properties>
</file>