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Surveillance Devices Act 1998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Surveillance Devices Regulations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Regulations 1999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_Toc515531136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_Toc515531137 \h </w:instrText>
      </w:r>
      <w:r>
        <w:fldChar w:fldCharType="separate"/>
      </w:r>
      <w:r>
        <w:t>1</w:t>
      </w:r>
      <w:r>
        <w:fldChar w:fldCharType="end"/>
      </w:r>
    </w:p>
    <w:p>
      <w:pPr>
        <w:pStyle w:val="TOC8"/>
        <w:rPr>
          <w:rFonts w:asciiTheme="minorHAnsi" w:eastAsiaTheme="minorEastAsia" w:hAnsiTheme="minorHAnsi" w:cstheme="minorBidi"/>
          <w:szCs w:val="22"/>
        </w:rPr>
      </w:pPr>
      <w:r>
        <w:t>3.</w:t>
      </w:r>
      <w:r>
        <w:tab/>
        <w:t>Forms</w:t>
      </w:r>
      <w:r>
        <w:tab/>
      </w:r>
      <w:r>
        <w:fldChar w:fldCharType="begin"/>
      </w:r>
      <w:r>
        <w:instrText xml:space="preserve"> PAGEREF _Toc515531138 \h </w:instrText>
      </w:r>
      <w:r>
        <w:fldChar w:fldCharType="separate"/>
      </w:r>
      <w:r>
        <w:t>1</w:t>
      </w:r>
      <w:r>
        <w:fldChar w:fldCharType="end"/>
      </w:r>
    </w:p>
    <w:p>
      <w:pPr>
        <w:pStyle w:val="TOC8"/>
        <w:rPr>
          <w:rFonts w:asciiTheme="minorHAnsi" w:eastAsiaTheme="minorEastAsia" w:hAnsiTheme="minorHAnsi" w:cstheme="minorBidi"/>
          <w:szCs w:val="22"/>
        </w:rPr>
      </w:pPr>
      <w:r>
        <w:t>4.</w:t>
      </w:r>
      <w:r>
        <w:tab/>
        <w:t>Law enforcement officers, classes prescribed</w:t>
      </w:r>
      <w:r>
        <w:tab/>
      </w:r>
      <w:r>
        <w:fldChar w:fldCharType="begin"/>
      </w:r>
      <w:r>
        <w:instrText xml:space="preserve"> PAGEREF _Toc515531139 \h </w:instrText>
      </w:r>
      <w:r>
        <w:fldChar w:fldCharType="separate"/>
      </w:r>
      <w:r>
        <w:t>2</w:t>
      </w:r>
      <w:r>
        <w:fldChar w:fldCharType="end"/>
      </w:r>
    </w:p>
    <w:p>
      <w:pPr>
        <w:pStyle w:val="TOC8"/>
        <w:rPr>
          <w:rFonts w:asciiTheme="minorHAnsi" w:eastAsiaTheme="minorEastAsia" w:hAnsiTheme="minorHAnsi" w:cstheme="minorBidi"/>
          <w:szCs w:val="22"/>
        </w:rPr>
      </w:pPr>
      <w:r>
        <w:t>5.</w:t>
      </w:r>
      <w:r>
        <w:tab/>
        <w:t>Commonwealth agencies, instrumentalities and bodies</w:t>
      </w:r>
      <w:r>
        <w:tab/>
      </w:r>
      <w:r>
        <w:fldChar w:fldCharType="begin"/>
      </w:r>
      <w:r>
        <w:instrText xml:space="preserve"> PAGEREF _Toc515531140 \h </w:instrText>
      </w:r>
      <w:r>
        <w:fldChar w:fldCharType="separate"/>
      </w:r>
      <w:r>
        <w:t>2</w:t>
      </w:r>
      <w:r>
        <w:fldChar w:fldCharType="end"/>
      </w:r>
    </w:p>
    <w:p>
      <w:pPr>
        <w:pStyle w:val="TOC8"/>
        <w:rPr>
          <w:rFonts w:asciiTheme="minorHAnsi" w:eastAsiaTheme="minorEastAsia" w:hAnsiTheme="minorHAnsi" w:cstheme="minorBidi"/>
          <w:szCs w:val="22"/>
        </w:rPr>
      </w:pPr>
      <w:r>
        <w:t>6.</w:t>
      </w:r>
      <w:r>
        <w:tab/>
        <w:t>Use of tracking devices without warrant</w:t>
      </w:r>
      <w:r>
        <w:tab/>
      </w:r>
      <w:r>
        <w:fldChar w:fldCharType="begin"/>
      </w:r>
      <w:r>
        <w:instrText xml:space="preserve"> PAGEREF _Toc515531141 \h </w:instrText>
      </w:r>
      <w:r>
        <w:fldChar w:fldCharType="separate"/>
      </w:r>
      <w:r>
        <w:t>3</w:t>
      </w:r>
      <w:r>
        <w:fldChar w:fldCharType="end"/>
      </w:r>
    </w:p>
    <w:p>
      <w:pPr>
        <w:pStyle w:val="TOC8"/>
        <w:rPr>
          <w:rFonts w:asciiTheme="minorHAnsi" w:eastAsiaTheme="minorEastAsia" w:hAnsiTheme="minorHAnsi" w:cstheme="minorBidi"/>
          <w:szCs w:val="22"/>
        </w:rPr>
      </w:pPr>
      <w:r>
        <w:t>7.</w:t>
      </w:r>
      <w:r>
        <w:tab/>
        <w:t>Storage and destruction of Part 5 records</w:t>
      </w:r>
      <w:r>
        <w:tab/>
      </w:r>
      <w:r>
        <w:fldChar w:fldCharType="begin"/>
      </w:r>
      <w:r>
        <w:instrText xml:space="preserve"> PAGEREF _Toc515531142 \h </w:instrText>
      </w:r>
      <w:r>
        <w:fldChar w:fldCharType="separate"/>
      </w:r>
      <w:r>
        <w:t>6</w:t>
      </w:r>
      <w:r>
        <w:fldChar w:fldCharType="end"/>
      </w:r>
    </w:p>
    <w:p>
      <w:pPr>
        <w:pStyle w:val="TOC8"/>
        <w:rPr>
          <w:rFonts w:asciiTheme="minorHAnsi" w:eastAsiaTheme="minorEastAsia" w:hAnsiTheme="minorHAnsi" w:cstheme="minorBidi"/>
          <w:szCs w:val="22"/>
        </w:rPr>
      </w:pPr>
      <w:r>
        <w:t>8.</w:t>
      </w:r>
      <w:r>
        <w:tab/>
        <w:t>Annual reports</w:t>
      </w:r>
      <w:r>
        <w:tab/>
      </w:r>
      <w:r>
        <w:fldChar w:fldCharType="begin"/>
      </w:r>
      <w:r>
        <w:instrText xml:space="preserve"> PAGEREF _Toc515531143 \h </w:instrText>
      </w:r>
      <w:r>
        <w:fldChar w:fldCharType="separate"/>
      </w:r>
      <w:r>
        <w:t>7</w:t>
      </w:r>
      <w:r>
        <w:fldChar w:fldCharType="end"/>
      </w:r>
    </w:p>
    <w:p>
      <w:pPr>
        <w:pStyle w:val="TOC8"/>
        <w:rPr>
          <w:rFonts w:asciiTheme="minorHAnsi" w:eastAsiaTheme="minorEastAsia" w:hAnsiTheme="minorHAnsi" w:cstheme="minorBidi"/>
          <w:szCs w:val="22"/>
        </w:rPr>
      </w:pPr>
      <w:r>
        <w:t>8A.</w:t>
      </w:r>
      <w:r>
        <w:tab/>
        <w:t>Reports by designated Commission</w:t>
      </w:r>
      <w:r>
        <w:tab/>
      </w:r>
      <w:r>
        <w:fldChar w:fldCharType="begin"/>
      </w:r>
      <w:r>
        <w:instrText xml:space="preserve"> PAGEREF _Toc515531144 \h </w:instrText>
      </w:r>
      <w:r>
        <w:fldChar w:fldCharType="separate"/>
      </w:r>
      <w:r>
        <w:t>7</w:t>
      </w:r>
      <w:r>
        <w:fldChar w:fldCharType="end"/>
      </w:r>
    </w:p>
    <w:p>
      <w:pPr>
        <w:pStyle w:val="TOC8"/>
        <w:rPr>
          <w:rFonts w:asciiTheme="minorHAnsi" w:eastAsiaTheme="minorEastAsia" w:hAnsiTheme="minorHAnsi" w:cstheme="minorBidi"/>
          <w:szCs w:val="22"/>
        </w:rPr>
      </w:pPr>
      <w:r>
        <w:t>9.</w:t>
      </w:r>
      <w:r>
        <w:tab/>
        <w:t>Unlawful possession of surveillance information</w:t>
      </w:r>
      <w:r>
        <w:tab/>
      </w:r>
      <w:r>
        <w:fldChar w:fldCharType="begin"/>
      </w:r>
      <w:r>
        <w:instrText xml:space="preserve"> PAGEREF _Toc515531145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_Toc515531148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3" w:name="_Toc515531136"/>
      <w:r>
        <w:rPr>
          <w:rStyle w:val="CharSectno"/>
        </w:rPr>
        <w:t>1</w:t>
      </w:r>
      <w:r>
        <w:t>.</w:t>
      </w:r>
      <w:r>
        <w:tab/>
        <w:t>Citation</w:t>
      </w:r>
      <w:bookmarkEnd w:id="3"/>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515531137"/>
      <w:r>
        <w:rPr>
          <w:rStyle w:val="CharSectno"/>
        </w:rPr>
        <w:t>2</w:t>
      </w:r>
      <w:r>
        <w:rPr>
          <w:spacing w:val="-2"/>
        </w:rPr>
        <w:t>.</w:t>
      </w:r>
      <w:r>
        <w:rPr>
          <w:spacing w:val="-2"/>
        </w:rPr>
        <w:tab/>
        <w:t>Commencement</w:t>
      </w:r>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515531138"/>
      <w:r>
        <w:rPr>
          <w:rStyle w:val="CharSectno"/>
        </w:rPr>
        <w:t>3</w:t>
      </w:r>
      <w:r>
        <w:t>.</w:t>
      </w:r>
      <w:r>
        <w:tab/>
        <w:t>Forms</w:t>
      </w:r>
      <w:bookmarkEnd w:id="5"/>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6" w:name="_Toc515531139"/>
      <w:r>
        <w:rPr>
          <w:rStyle w:val="CharSectno"/>
        </w:rPr>
        <w:t>4</w:t>
      </w:r>
      <w:r>
        <w:t>.</w:t>
      </w:r>
      <w:r>
        <w:tab/>
        <w:t>Law enforcement officers, classes prescribed</w:t>
      </w:r>
      <w:bookmarkEnd w:id="6"/>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7" w:name="_Toc515531140"/>
      <w:r>
        <w:rPr>
          <w:rStyle w:val="CharSectno"/>
        </w:rPr>
        <w:t>5</w:t>
      </w:r>
      <w:r>
        <w:t>.</w:t>
      </w:r>
      <w:r>
        <w:tab/>
        <w:t>Commonwealth agencies, instrumentalities and bodies</w:t>
      </w:r>
      <w:bookmarkEnd w:id="7"/>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8" w:name="_Toc515531141"/>
      <w:r>
        <w:rPr>
          <w:rStyle w:val="CharSectno"/>
        </w:rPr>
        <w:t>6</w:t>
      </w:r>
      <w:r>
        <w:t>.</w:t>
      </w:r>
      <w:r>
        <w:tab/>
        <w:t>Use of tracking devices without warrant</w:t>
      </w:r>
      <w:bookmarkEnd w:id="8"/>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w:t>
      </w:r>
    </w:p>
    <w:p>
      <w:pPr>
        <w:pStyle w:val="Heading5"/>
        <w:rPr>
          <w:rStyle w:val="CharSectno"/>
        </w:rPr>
      </w:pPr>
      <w:bookmarkStart w:id="9" w:name="_Toc515531142"/>
      <w:r>
        <w:rPr>
          <w:rStyle w:val="CharSectno"/>
        </w:rPr>
        <w:t>7</w:t>
      </w:r>
      <w:r>
        <w:t>.</w:t>
      </w:r>
      <w:r>
        <w:rPr>
          <w:rStyle w:val="CharSectno"/>
        </w:rPr>
        <w:tab/>
      </w:r>
      <w:r>
        <w:t>Storage and destruction of Part 5 records</w:t>
      </w:r>
      <w:bookmarkEnd w:id="9"/>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10" w:name="_Toc515531143"/>
      <w:r>
        <w:rPr>
          <w:rStyle w:val="CharSectno"/>
        </w:rPr>
        <w:t>8</w:t>
      </w:r>
      <w:r>
        <w:t>.</w:t>
      </w:r>
      <w:r>
        <w:tab/>
        <w:t>Annual reports</w:t>
      </w:r>
      <w:bookmarkEnd w:id="10"/>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11" w:name="_Toc515531144"/>
      <w:r>
        <w:rPr>
          <w:rStyle w:val="CharSectno"/>
        </w:rPr>
        <w:t>8A</w:t>
      </w:r>
      <w:r>
        <w:t>.</w:t>
      </w:r>
      <w:r>
        <w:tab/>
        <w:t>Reports by designated Commission</w:t>
      </w:r>
      <w:bookmarkEnd w:id="11"/>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12" w:name="_Toc515531145"/>
      <w:r>
        <w:rPr>
          <w:rStyle w:val="CharSectno"/>
        </w:rPr>
        <w:t>9</w:t>
      </w:r>
      <w:r>
        <w:t>.</w:t>
      </w:r>
      <w:r>
        <w:tab/>
        <w:t>Unlawful possession of surveillance information</w:t>
      </w:r>
      <w:bookmarkEnd w:id="12"/>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513707781"/>
      <w:bookmarkStart w:id="14" w:name="_Toc515531146"/>
      <w:r>
        <w:rPr>
          <w:rStyle w:val="CharSchNo"/>
        </w:rPr>
        <w:t>Schedule 1</w:t>
      </w:r>
      <w:r>
        <w:t xml:space="preserve"> — </w:t>
      </w:r>
      <w:r>
        <w:rPr>
          <w:rStyle w:val="CharSchText"/>
        </w:rPr>
        <w:t>Forms</w:t>
      </w:r>
      <w:bookmarkEnd w:id="13"/>
      <w:bookmarkEnd w:id="14"/>
    </w:p>
    <w:p>
      <w:pPr>
        <w:pStyle w:val="yShoulderClause"/>
      </w:pPr>
      <w:r>
        <w:t>[r. 3]</w:t>
      </w:r>
    </w:p>
    <w:tbl>
      <w:tblPr>
        <w:tblW w:w="73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141"/>
        <w:gridCol w:w="2103"/>
        <w:gridCol w:w="24"/>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394" w:type="dxa"/>
            <w:gridSpan w:val="4"/>
            <w:tcBorders>
              <w:top w:val="nil"/>
              <w:left w:val="nil"/>
              <w:bottom w:val="single" w:sz="4" w:space="0" w:color="auto"/>
              <w:right w:val="nil"/>
            </w:tcBorders>
          </w:tcPr>
          <w:p>
            <w:pPr>
              <w:pStyle w:val="yTableNAm"/>
              <w:rPr>
                <w:b/>
                <w:bCs/>
              </w:rPr>
            </w:pPr>
            <w:r>
              <w:rPr>
                <w:b/>
                <w:bCs/>
              </w:rPr>
              <w:t>Form</w:t>
            </w:r>
          </w:p>
        </w:tc>
        <w:tc>
          <w:tcPr>
            <w:tcW w:w="2127" w:type="dxa"/>
            <w:gridSpan w:val="2"/>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394" w:type="dxa"/>
            <w:gridSpan w:val="4"/>
            <w:tcBorders>
              <w:top w:val="nil"/>
              <w:left w:val="nil"/>
              <w:bottom w:val="nil"/>
              <w:right w:val="nil"/>
            </w:tcBorders>
          </w:tcPr>
          <w:p>
            <w:pPr>
              <w:pStyle w:val="yTableNAm"/>
            </w:pPr>
            <w:r>
              <w:t>Warrant</w:t>
            </w:r>
          </w:p>
        </w:tc>
        <w:tc>
          <w:tcPr>
            <w:tcW w:w="2127" w:type="dxa"/>
            <w:gridSpan w:val="2"/>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394" w:type="dxa"/>
            <w:gridSpan w:val="4"/>
            <w:tcBorders>
              <w:top w:val="nil"/>
              <w:left w:val="nil"/>
              <w:bottom w:val="nil"/>
              <w:right w:val="nil"/>
            </w:tcBorders>
          </w:tcPr>
          <w:p>
            <w:pPr>
              <w:pStyle w:val="yTableNAm"/>
            </w:pPr>
            <w:r>
              <w:t>Application for 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394" w:type="dxa"/>
            <w:gridSpan w:val="4"/>
            <w:tcBorders>
              <w:top w:val="nil"/>
              <w:left w:val="nil"/>
              <w:bottom w:val="nil"/>
              <w:right w:val="nil"/>
            </w:tcBorders>
          </w:tcPr>
          <w:p>
            <w:pPr>
              <w:pStyle w:val="yTableNAm"/>
            </w:pPr>
            <w:r>
              <w:t>Emergency authorisation</w:t>
            </w:r>
          </w:p>
        </w:tc>
        <w:tc>
          <w:tcPr>
            <w:tcW w:w="2127" w:type="dxa"/>
            <w:gridSpan w:val="2"/>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394"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gridSpan w:val="2"/>
            <w:tcBorders>
              <w:top w:val="nil"/>
              <w:left w:val="nil"/>
              <w:bottom w:val="nil"/>
              <w:right w:val="nil"/>
            </w:tcBorders>
          </w:tcPr>
          <w:p>
            <w:pPr>
              <w:pStyle w:val="yTableNAm"/>
            </w:pPr>
            <w:r>
              <w:t>15 and 19</w:t>
            </w:r>
          </w:p>
        </w:tc>
      </w:tr>
      <w:tr>
        <w:trPr>
          <w:gridAfter w:val="1"/>
          <w:wAfter w:w="24" w:type="dxa"/>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gridAfter w:val="1"/>
          <w:wAfter w:w="24" w:type="dxa"/>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gridAfter w:val="1"/>
          <w:wAfter w:w="24" w:type="dxa"/>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gridAfter w:val="1"/>
          <w:wAfter w:w="24" w:type="dxa"/>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gridAfter w:val="1"/>
          <w:wAfter w:w="24" w:type="dxa"/>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gridAfter w:val="1"/>
          <w:wAfter w:w="24" w:type="dxa"/>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gridAfter w:val="1"/>
          <w:wAfter w:w="24" w:type="dxa"/>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gridAfter w:val="1"/>
          <w:wAfter w:w="24" w:type="dxa"/>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nil"/>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nil"/>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nil"/>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 w:name="_Toc513707782"/>
      <w:bookmarkStart w:id="16" w:name="_Toc515531147"/>
      <w:r>
        <w:t>Notes</w:t>
      </w:r>
      <w:bookmarkEnd w:id="15"/>
      <w:bookmarkEnd w:id="16"/>
    </w:p>
    <w:p>
      <w:pPr>
        <w:pStyle w:val="nSubsection"/>
      </w:pPr>
      <w:r>
        <w:rPr>
          <w:vertAlign w:val="superscript"/>
        </w:rPr>
        <w:t>1</w:t>
      </w:r>
      <w:r>
        <w:tab/>
        <w:t xml:space="preserve">This is a compilation of the </w:t>
      </w:r>
      <w:r>
        <w:rPr>
          <w:i/>
          <w:noProof/>
        </w:rPr>
        <w:t>Surveillance Devices Regulations 1999</w:t>
      </w:r>
      <w:r>
        <w:t xml:space="preserve"> and includes the amendments made by the other written laws referred to in the following table.  The table also contains information about any reprint.</w:t>
      </w:r>
    </w:p>
    <w:p>
      <w:pPr>
        <w:pStyle w:val="nHeading3"/>
      </w:pPr>
      <w:bookmarkStart w:id="17" w:name="_Toc515531148"/>
      <w: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9" w:type="dxa"/>
          <w:cantSplit/>
        </w:trPr>
        <w:tc>
          <w:tcPr>
            <w:tcW w:w="7087"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rPr>
          <w:gridAfter w:val="1"/>
          <w:wAfter w:w="9" w:type="dxa"/>
        </w:trPr>
        <w:tc>
          <w:tcPr>
            <w:tcW w:w="3118"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9" w:type="dxa"/>
          <w:cantSplit/>
        </w:trPr>
        <w:tc>
          <w:tcPr>
            <w:tcW w:w="7087"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4"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4"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4"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4"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4" w:type="dxa"/>
            <w:gridSpan w:val="2"/>
          </w:tcPr>
          <w:p>
            <w:pPr>
              <w:pStyle w:val="nTable"/>
              <w:spacing w:after="40"/>
              <w:rPr>
                <w:rFonts w:ascii="Times" w:hAnsi="Times"/>
                <w:snapToGrid w:val="0"/>
                <w:spacing w:val="-2"/>
              </w:rPr>
            </w:pPr>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p>
        </w:tc>
      </w:tr>
      <w:tr>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4" w:type="dxa"/>
            <w:gridSpan w:val="2"/>
          </w:tcPr>
          <w:p>
            <w:pPr>
              <w:pStyle w:val="nTable"/>
              <w:spacing w:after="40"/>
              <w:rPr>
                <w:rFonts w:ascii="Times" w:hAnsi="Times"/>
                <w:snapToGrid w:val="0"/>
                <w:spacing w:val="-2"/>
              </w:rPr>
            </w:pPr>
            <w:r>
              <w:rPr>
                <w:rFonts w:ascii="Times" w:hAnsi="Times"/>
                <w:snapToGrid w:val="0"/>
                <w:spacing w:val="-2"/>
              </w:rPr>
              <w:t>r. 1 and 2: 23</w:t>
            </w:r>
            <w:r>
              <w:t> Dec 2016</w:t>
            </w:r>
            <w:r>
              <w:rPr>
                <w:rFonts w:ascii="Times" w:hAnsi="Times"/>
                <w:snapToGrid w:val="0"/>
                <w:spacing w:val="-2"/>
              </w:rPr>
              <w:t xml:space="preserve"> (see r. 2(a));</w:t>
            </w:r>
            <w:r>
              <w:rPr>
                <w:rFonts w:ascii="Times" w:hAnsi="Times"/>
                <w:snapToGrid w:val="0"/>
                <w:spacing w:val="-2"/>
              </w:rPr>
              <w:br/>
              <w:t>Regulations other than r. 1 and 2: 24</w:t>
            </w:r>
            <w:r>
              <w:t> Dec 2016</w:t>
            </w:r>
            <w:r>
              <w:rPr>
                <w:rFonts w:ascii="Times" w:hAnsi="Times"/>
                <w:snapToGrid w:val="0"/>
                <w:spacing w:val="-2"/>
              </w:rPr>
              <w:t xml:space="preserve"> (see r. 2(b))</w:t>
            </w:r>
          </w:p>
        </w:tc>
      </w:tr>
      <w:tr>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4" w:type="dxa"/>
            <w:gridSpan w:val="2"/>
          </w:tcPr>
          <w:p>
            <w:pPr>
              <w:pStyle w:val="nTable"/>
              <w:spacing w:after="40"/>
              <w:rPr>
                <w:rFonts w:ascii="Times" w:hAnsi="Times"/>
                <w:snapToGrid w:val="0"/>
                <w:spacing w:val="-2"/>
              </w:rPr>
            </w:pPr>
            <w:r>
              <w:rPr>
                <w:rFonts w:ascii="Times" w:hAnsi="Times"/>
                <w:snapToGrid w:val="0"/>
                <w:spacing w:val="-2"/>
              </w:rPr>
              <w:t>r. 1 and 2: 18</w:t>
            </w:r>
            <w:r>
              <w:t> Aug 2017</w:t>
            </w:r>
            <w:r>
              <w:rPr>
                <w:rFonts w:ascii="Times" w:hAnsi="Times"/>
                <w:snapToGrid w:val="0"/>
                <w:spacing w:val="-2"/>
              </w:rPr>
              <w:t xml:space="preserve"> (see r. 2(a));</w:t>
            </w:r>
            <w:r>
              <w:rPr>
                <w:rFonts w:ascii="Times" w:hAnsi="Times"/>
                <w:snapToGrid w:val="0"/>
                <w:spacing w:val="-2"/>
              </w:rPr>
              <w:br/>
              <w:t>Regulations other than r. 1 and 2: 19</w:t>
            </w:r>
            <w:r>
              <w:t> Aug 2017</w:t>
            </w:r>
            <w:r>
              <w:rPr>
                <w:rFonts w:ascii="Times" w:hAnsi="Times"/>
                <w:snapToGrid w:val="0"/>
                <w:spacing w:val="-2"/>
              </w:rPr>
              <w:t xml:space="preserve"> (see r. 2(b))</w:t>
            </w:r>
          </w:p>
        </w:tc>
      </w:tr>
      <w:tr>
        <w:trPr>
          <w:gridBefore w:val="1"/>
          <w:wBefore w:w="8" w:type="dxa"/>
          <w:cantSplit/>
        </w:trPr>
        <w:tc>
          <w:tcPr>
            <w:tcW w:w="7087" w:type="dxa"/>
            <w:gridSpan w:val="6"/>
            <w:tcBorders>
              <w:bottom w:val="single" w:sz="8" w:space="0" w:color="auto"/>
            </w:tcBorders>
            <w:shd w:val="clear" w:color="auto" w:fill="auto"/>
          </w:tcPr>
          <w:p>
            <w:pPr>
              <w:pStyle w:val="nTable"/>
              <w:spacing w:after="40"/>
              <w:rPr>
                <w:rFonts w:ascii="Times" w:hAnsi="Times"/>
                <w:snapToGrid w:val="0"/>
                <w:spacing w:val="-2"/>
              </w:rPr>
            </w:pPr>
            <w:r>
              <w:rPr>
                <w:rFonts w:ascii="Times" w:hAnsi="Times"/>
                <w:b/>
                <w:snapToGrid w:val="0"/>
                <w:spacing w:val="-2"/>
              </w:rPr>
              <w:t xml:space="preserve">Reprint 3: The </w:t>
            </w:r>
            <w:r>
              <w:rPr>
                <w:rFonts w:ascii="Times" w:hAnsi="Times"/>
                <w:b/>
                <w:i/>
                <w:noProof/>
                <w:snapToGrid w:val="0"/>
                <w:spacing w:val="-2"/>
              </w:rPr>
              <w:t>Surveillance Devices Regulations 1999</w:t>
            </w:r>
            <w:r>
              <w:rPr>
                <w:rFonts w:ascii="Times" w:hAnsi="Times"/>
                <w:b/>
                <w:snapToGrid w:val="0"/>
                <w:spacing w:val="-2"/>
              </w:rPr>
              <w:t xml:space="preserve"> as at 13 Jul 2018</w:t>
            </w:r>
            <w:r>
              <w:rPr>
                <w:rFonts w:ascii="Times" w:hAnsi="Times"/>
                <w:snapToGrid w:val="0"/>
                <w:spacing w:val="-2"/>
              </w:rPr>
              <w:t xml:space="preserve"> (includes amendments listed above)</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9" w:name="_Toc515531149"/>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emergency service</w:t>
      </w:r>
      <w:r>
        <w:tab/>
        <w:t>6(4)</w:t>
      </w:r>
    </w:p>
    <w:p>
      <w:pPr>
        <w:pStyle w:val="DefinedTerms"/>
      </w:pPr>
      <w:r>
        <w:t>hospital</w:t>
      </w:r>
      <w:r>
        <w:tab/>
        <w:t>6(4)</w:t>
      </w:r>
    </w:p>
    <w:p>
      <w:pPr>
        <w:pStyle w:val="DefinedTerms"/>
      </w:pPr>
      <w:r>
        <w:t>nursing home</w:t>
      </w:r>
      <w:r>
        <w:tab/>
        <w:t>6(4)</w:t>
      </w:r>
    </w:p>
    <w:p>
      <w:pPr>
        <w:pStyle w:val="DefinedTerms"/>
      </w:pPr>
      <w:r>
        <w:t>Part 5 record</w:t>
      </w:r>
      <w:r>
        <w:tab/>
        <w:t>7(3)</w:t>
      </w:r>
    </w:p>
    <w:p>
      <w:pPr>
        <w:pStyle w:val="DefinedTerms"/>
      </w:pPr>
      <w:r>
        <w:t>prison</w:t>
      </w:r>
      <w:r>
        <w:tab/>
        <w:t>6(4)</w:t>
      </w:r>
    </w:p>
    <w:p>
      <w:pPr>
        <w:pStyle w:val="DefinedTerms"/>
      </w:pPr>
      <w:r>
        <w:t>public authority</w:t>
      </w:r>
      <w:r>
        <w:tab/>
        <w:t>6(4)</w:t>
      </w:r>
    </w:p>
    <w:p>
      <w:pPr>
        <w:pStyle w:val="DefinedTerms"/>
      </w:pPr>
      <w:r>
        <w:t>researcher</w:t>
      </w:r>
      <w:r>
        <w:tab/>
        <w:t>6(4)</w:t>
      </w:r>
    </w:p>
    <w:p>
      <w:pPr>
        <w:pStyle w:val="DefinedTerms"/>
      </w:pPr>
      <w:r>
        <w:t>superintendent</w:t>
      </w:r>
      <w:r>
        <w:tab/>
        <w:t>6(4)</w:t>
      </w:r>
    </w:p>
    <w:p>
      <w:pPr>
        <w:pStyle w:val="DefinedTerms"/>
      </w:pPr>
      <w:r>
        <w:t>surveillance information</w:t>
      </w:r>
      <w:r>
        <w:tab/>
        <w:t>9(3)</w:t>
      </w:r>
    </w:p>
    <w:p>
      <w:pPr>
        <w:pStyle w:val="DefinedTerms"/>
      </w:pPr>
      <w:r>
        <w:t>vulnerable patient</w:t>
      </w:r>
      <w:r>
        <w:tab/>
        <w:t>6(4)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0092102"/>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4731</Words>
  <Characters>25975</Characters>
  <Application>Microsoft Office Word</Application>
  <DocSecurity>0</DocSecurity>
  <Lines>1082</Lines>
  <Paragraphs>653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1999 - 03-a0-03</dc:title>
  <dc:subject/>
  <dc:creator/>
  <cp:keywords/>
  <dc:description/>
  <cp:lastModifiedBy>svcMRProcess</cp:lastModifiedBy>
  <cp:revision>4</cp:revision>
  <cp:lastPrinted>2018-03-20T02:06:00Z</cp:lastPrinted>
  <dcterms:created xsi:type="dcterms:W3CDTF">2019-02-12T01:33:00Z</dcterms:created>
  <dcterms:modified xsi:type="dcterms:W3CDTF">2019-02-12T01:33:00Z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CommencementDate">
    <vt:lpwstr>20180713</vt:lpwstr>
  </property>
  <property fmtid="{D5CDD505-2E9C-101B-9397-08002B2CF9AE}" pid="8" name="AsAtDate">
    <vt:lpwstr>13 Jul 2018</vt:lpwstr>
  </property>
  <property fmtid="{D5CDD505-2E9C-101B-9397-08002B2CF9AE}" pid="9" name="Suffix">
    <vt:lpwstr>03-a0-03</vt:lpwstr>
  </property>
</Properties>
</file>