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Liquor Control Act 1988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Liquor Control Act 1988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_Toc522197183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_Toc522197184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_Toc522197185 \h </w:instrText>
      </w:r>
      <w:r>
        <w:fldChar w:fldCharType="separate"/>
      </w:r>
      <w:r>
        <w:t>2</w:t>
      </w:r>
      <w:r>
        <w:fldChar w:fldCharType="end"/>
      </w:r>
    </w:p>
    <w:p>
      <w:pPr>
        <w:pStyle w:val="TOC8"/>
        <w:rPr>
          <w:rFonts w:asciiTheme="minorHAnsi" w:eastAsiaTheme="minorEastAsia" w:hAnsiTheme="minorHAnsi" w:cstheme="minorBidi"/>
          <w:szCs w:val="22"/>
        </w:rPr>
      </w:pPr>
      <w:r>
        <w:t>3A.</w:t>
      </w:r>
      <w:r>
        <w:tab/>
        <w:t>Term used: drunk</w:t>
      </w:r>
      <w:r>
        <w:tab/>
      </w:r>
      <w:r>
        <w:fldChar w:fldCharType="begin"/>
      </w:r>
      <w:r>
        <w:instrText xml:space="preserve"> PAGEREF _Toc522197186 \h </w:instrText>
      </w:r>
      <w:r>
        <w:fldChar w:fldCharType="separate"/>
      </w:r>
      <w:r>
        <w:t>13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Storing and receiving liquor for licensed premises at other premises; records to be kept</w:t>
      </w:r>
      <w:r>
        <w:tab/>
      </w:r>
      <w:r>
        <w:fldChar w:fldCharType="begin"/>
      </w:r>
      <w:r>
        <w:instrText xml:space="preserve"> PAGEREF _Toc522197187 \h </w:instrText>
      </w:r>
      <w:r>
        <w:fldChar w:fldCharType="separate"/>
      </w:r>
      <w:r>
        <w:t>14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Objects of Act</w:t>
      </w:r>
      <w:r>
        <w:tab/>
      </w:r>
      <w:r>
        <w:fldChar w:fldCharType="begin"/>
      </w:r>
      <w:r>
        <w:instrText xml:space="preserve"> PAGEREF _Toc522197188 \h </w:instrText>
      </w:r>
      <w:r>
        <w:fldChar w:fldCharType="separate"/>
      </w:r>
      <w:r>
        <w:t>15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Act not to apply in certain cases</w:t>
      </w:r>
      <w:r>
        <w:tab/>
      </w:r>
      <w:r>
        <w:fldChar w:fldCharType="begin"/>
      </w:r>
      <w:r>
        <w:instrText xml:space="preserve"> PAGEREF _Toc522197189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2 — The licensing authority</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licensing authority</w:t>
      </w:r>
    </w:p>
    <w:p>
      <w:pPr>
        <w:pStyle w:val="TOC8"/>
        <w:rPr>
          <w:rFonts w:asciiTheme="minorHAnsi" w:eastAsiaTheme="minorEastAsia" w:hAnsiTheme="minorHAnsi" w:cstheme="minorBidi"/>
          <w:szCs w:val="22"/>
        </w:rPr>
      </w:pPr>
      <w:r>
        <w:t>7</w:t>
      </w:r>
      <w:r>
        <w:rPr>
          <w:snapToGrid w:val="0"/>
        </w:rPr>
        <w:t>.</w:t>
      </w:r>
      <w:r>
        <w:rPr>
          <w:snapToGrid w:val="0"/>
        </w:rPr>
        <w:tab/>
        <w:t>Constitution and jurisdiction of licensing authority</w:t>
      </w:r>
      <w:r>
        <w:tab/>
      </w:r>
      <w:r>
        <w:fldChar w:fldCharType="begin"/>
      </w:r>
      <w:r>
        <w:instrText xml:space="preserve"> PAGEREF _Toc522197192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 — The Liquor Commission</w:t>
      </w:r>
    </w:p>
    <w:p>
      <w:pPr>
        <w:pStyle w:val="TOC8"/>
        <w:rPr>
          <w:rFonts w:asciiTheme="minorHAnsi" w:eastAsiaTheme="minorEastAsia" w:hAnsiTheme="minorHAnsi" w:cstheme="minorBidi"/>
          <w:szCs w:val="22"/>
        </w:rPr>
      </w:pPr>
      <w:r>
        <w:t>8.</w:t>
      </w:r>
      <w:r>
        <w:tab/>
        <w:t>Commission established</w:t>
      </w:r>
      <w:r>
        <w:tab/>
      </w:r>
      <w:r>
        <w:fldChar w:fldCharType="begin"/>
      </w:r>
      <w:r>
        <w:instrText xml:space="preserve"> PAGEREF _Toc522197194 \h </w:instrText>
      </w:r>
      <w:r>
        <w:fldChar w:fldCharType="separate"/>
      </w:r>
      <w:r>
        <w:t>18</w:t>
      </w:r>
      <w:r>
        <w:fldChar w:fldCharType="end"/>
      </w:r>
    </w:p>
    <w:p>
      <w:pPr>
        <w:pStyle w:val="TOC8"/>
        <w:rPr>
          <w:rFonts w:asciiTheme="minorHAnsi" w:eastAsiaTheme="minorEastAsia" w:hAnsiTheme="minorHAnsi" w:cstheme="minorBidi"/>
          <w:szCs w:val="22"/>
        </w:rPr>
      </w:pPr>
      <w:r>
        <w:t>9.</w:t>
      </w:r>
      <w:r>
        <w:tab/>
        <w:t>Jurisdiction of Commission</w:t>
      </w:r>
      <w:r>
        <w:tab/>
      </w:r>
      <w:r>
        <w:fldChar w:fldCharType="begin"/>
      </w:r>
      <w:r>
        <w:instrText xml:space="preserve"> PAGEREF _Toc522197195 \h </w:instrText>
      </w:r>
      <w:r>
        <w:fldChar w:fldCharType="separate"/>
      </w:r>
      <w:r>
        <w:t>19</w:t>
      </w:r>
      <w:r>
        <w:fldChar w:fldCharType="end"/>
      </w:r>
    </w:p>
    <w:p>
      <w:pPr>
        <w:pStyle w:val="TOC8"/>
        <w:rPr>
          <w:rFonts w:asciiTheme="minorHAnsi" w:eastAsiaTheme="minorEastAsia" w:hAnsiTheme="minorHAnsi" w:cstheme="minorBidi"/>
          <w:szCs w:val="22"/>
        </w:rPr>
      </w:pPr>
      <w:r>
        <w:t>9A.</w:t>
      </w:r>
      <w:r>
        <w:tab/>
        <w:t>Constitution of Commission</w:t>
      </w:r>
      <w:r>
        <w:tab/>
      </w:r>
      <w:r>
        <w:fldChar w:fldCharType="begin"/>
      </w:r>
      <w:r>
        <w:instrText xml:space="preserve"> PAGEREF _Toc522197196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2A — Members of the Commission</w:t>
      </w:r>
    </w:p>
    <w:p>
      <w:pPr>
        <w:pStyle w:val="TOC8"/>
        <w:rPr>
          <w:rFonts w:asciiTheme="minorHAnsi" w:eastAsiaTheme="minorEastAsia" w:hAnsiTheme="minorHAnsi" w:cstheme="minorBidi"/>
          <w:szCs w:val="22"/>
        </w:rPr>
      </w:pPr>
      <w:r>
        <w:t>9B.</w:t>
      </w:r>
      <w:r>
        <w:tab/>
        <w:t>Commission members</w:t>
      </w:r>
      <w:r>
        <w:tab/>
      </w:r>
      <w:r>
        <w:fldChar w:fldCharType="begin"/>
      </w:r>
      <w:r>
        <w:instrText xml:space="preserve"> PAGEREF _Toc522197198 \h </w:instrText>
      </w:r>
      <w:r>
        <w:fldChar w:fldCharType="separate"/>
      </w:r>
      <w:r>
        <w:t>19</w:t>
      </w:r>
      <w:r>
        <w:fldChar w:fldCharType="end"/>
      </w:r>
    </w:p>
    <w:p>
      <w:pPr>
        <w:pStyle w:val="TOC8"/>
        <w:rPr>
          <w:rFonts w:asciiTheme="minorHAnsi" w:eastAsiaTheme="minorEastAsia" w:hAnsiTheme="minorHAnsi" w:cstheme="minorBidi"/>
          <w:szCs w:val="22"/>
        </w:rPr>
      </w:pPr>
      <w:r>
        <w:t>9C.</w:t>
      </w:r>
      <w:r>
        <w:tab/>
        <w:t>Tenure of office</w:t>
      </w:r>
      <w:r>
        <w:tab/>
      </w:r>
      <w:r>
        <w:fldChar w:fldCharType="begin"/>
      </w:r>
      <w:r>
        <w:instrText xml:space="preserve"> PAGEREF _Toc522197199 \h </w:instrText>
      </w:r>
      <w:r>
        <w:fldChar w:fldCharType="separate"/>
      </w:r>
      <w:r>
        <w:t>20</w:t>
      </w:r>
      <w:r>
        <w:fldChar w:fldCharType="end"/>
      </w:r>
    </w:p>
    <w:p>
      <w:pPr>
        <w:pStyle w:val="TOC8"/>
        <w:rPr>
          <w:rFonts w:asciiTheme="minorHAnsi" w:eastAsiaTheme="minorEastAsia" w:hAnsiTheme="minorHAnsi" w:cstheme="minorBidi"/>
          <w:szCs w:val="22"/>
        </w:rPr>
      </w:pPr>
      <w:r>
        <w:t>9D.</w:t>
      </w:r>
      <w:r>
        <w:tab/>
        <w:t>Deputy chairperson</w:t>
      </w:r>
      <w:r>
        <w:tab/>
      </w:r>
      <w:r>
        <w:fldChar w:fldCharType="begin"/>
      </w:r>
      <w:r>
        <w:instrText xml:space="preserve"> PAGEREF _Toc522197200 \h </w:instrText>
      </w:r>
      <w:r>
        <w:fldChar w:fldCharType="separate"/>
      </w:r>
      <w:r>
        <w:t>20</w:t>
      </w:r>
      <w:r>
        <w:fldChar w:fldCharType="end"/>
      </w:r>
    </w:p>
    <w:p>
      <w:pPr>
        <w:pStyle w:val="TOC8"/>
        <w:rPr>
          <w:rFonts w:asciiTheme="minorHAnsi" w:eastAsiaTheme="minorEastAsia" w:hAnsiTheme="minorHAnsi" w:cstheme="minorBidi"/>
          <w:szCs w:val="22"/>
        </w:rPr>
      </w:pPr>
      <w:r>
        <w:t>9E.</w:t>
      </w:r>
      <w:r>
        <w:tab/>
        <w:t>Removal or resignation</w:t>
      </w:r>
      <w:r>
        <w:tab/>
      </w:r>
      <w:r>
        <w:fldChar w:fldCharType="begin"/>
      </w:r>
      <w:r>
        <w:instrText xml:space="preserve"> PAGEREF _Toc522197201 \h </w:instrText>
      </w:r>
      <w:r>
        <w:fldChar w:fldCharType="separate"/>
      </w:r>
      <w:r>
        <w:t>21</w:t>
      </w:r>
      <w:r>
        <w:fldChar w:fldCharType="end"/>
      </w:r>
    </w:p>
    <w:p>
      <w:pPr>
        <w:pStyle w:val="TOC8"/>
        <w:rPr>
          <w:rFonts w:asciiTheme="minorHAnsi" w:eastAsiaTheme="minorEastAsia" w:hAnsiTheme="minorHAnsi" w:cstheme="minorBidi"/>
          <w:szCs w:val="22"/>
        </w:rPr>
      </w:pPr>
      <w:r>
        <w:t>9F.</w:t>
      </w:r>
      <w:r>
        <w:tab/>
        <w:t>Leave of absence</w:t>
      </w:r>
      <w:r>
        <w:tab/>
      </w:r>
      <w:r>
        <w:fldChar w:fldCharType="begin"/>
      </w:r>
      <w:r>
        <w:instrText xml:space="preserve"> PAGEREF _Toc522197202 \h </w:instrText>
      </w:r>
      <w:r>
        <w:fldChar w:fldCharType="separate"/>
      </w:r>
      <w:r>
        <w:t>21</w:t>
      </w:r>
      <w:r>
        <w:fldChar w:fldCharType="end"/>
      </w:r>
    </w:p>
    <w:p>
      <w:pPr>
        <w:pStyle w:val="TOC8"/>
        <w:rPr>
          <w:rFonts w:asciiTheme="minorHAnsi" w:eastAsiaTheme="minorEastAsia" w:hAnsiTheme="minorHAnsi" w:cstheme="minorBidi"/>
          <w:szCs w:val="22"/>
        </w:rPr>
      </w:pPr>
      <w:r>
        <w:t>9G.</w:t>
      </w:r>
      <w:r>
        <w:tab/>
        <w:t>Member whose term has expired may continue in office</w:t>
      </w:r>
      <w:r>
        <w:tab/>
      </w:r>
      <w:r>
        <w:fldChar w:fldCharType="begin"/>
      </w:r>
      <w:r>
        <w:instrText xml:space="preserve"> PAGEREF _Toc522197203 \h </w:instrText>
      </w:r>
      <w:r>
        <w:fldChar w:fldCharType="separate"/>
      </w:r>
      <w:r>
        <w:t>21</w:t>
      </w:r>
      <w:r>
        <w:fldChar w:fldCharType="end"/>
      </w:r>
    </w:p>
    <w:p>
      <w:pPr>
        <w:pStyle w:val="TOC8"/>
        <w:rPr>
          <w:rFonts w:asciiTheme="minorHAnsi" w:eastAsiaTheme="minorEastAsia" w:hAnsiTheme="minorHAnsi" w:cstheme="minorBidi"/>
          <w:szCs w:val="22"/>
        </w:rPr>
      </w:pPr>
      <w:r>
        <w:t>9H.</w:t>
      </w:r>
      <w:r>
        <w:tab/>
        <w:t>Remuneration and conditions of office</w:t>
      </w:r>
      <w:r>
        <w:tab/>
      </w:r>
      <w:r>
        <w:fldChar w:fldCharType="begin"/>
      </w:r>
      <w:r>
        <w:instrText xml:space="preserve"> PAGEREF _Toc522197204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2B — Other matters</w:t>
      </w:r>
    </w:p>
    <w:p>
      <w:pPr>
        <w:pStyle w:val="TOC8"/>
        <w:rPr>
          <w:rFonts w:asciiTheme="minorHAnsi" w:eastAsiaTheme="minorEastAsia" w:hAnsiTheme="minorHAnsi" w:cstheme="minorBidi"/>
          <w:szCs w:val="22"/>
        </w:rPr>
      </w:pPr>
      <w:r>
        <w:t>9I.</w:t>
      </w:r>
      <w:r>
        <w:tab/>
        <w:t>Decisions of Commission to be written etc.</w:t>
      </w:r>
      <w:r>
        <w:tab/>
      </w:r>
      <w:r>
        <w:fldChar w:fldCharType="begin"/>
      </w:r>
      <w:r>
        <w:instrText xml:space="preserve"> PAGEREF _Toc522197206 \h </w:instrText>
      </w:r>
      <w:r>
        <w:fldChar w:fldCharType="separate"/>
      </w:r>
      <w:r>
        <w:t>22</w:t>
      </w:r>
      <w:r>
        <w:fldChar w:fldCharType="end"/>
      </w:r>
    </w:p>
    <w:p>
      <w:pPr>
        <w:pStyle w:val="TOC8"/>
        <w:rPr>
          <w:rFonts w:asciiTheme="minorHAnsi" w:eastAsiaTheme="minorEastAsia" w:hAnsiTheme="minorHAnsi" w:cstheme="minorBidi"/>
          <w:szCs w:val="22"/>
        </w:rPr>
      </w:pPr>
      <w:r>
        <w:t>9J.</w:t>
      </w:r>
      <w:r>
        <w:tab/>
        <w:t>Seal of Commission</w:t>
      </w:r>
      <w:r>
        <w:tab/>
      </w:r>
      <w:r>
        <w:fldChar w:fldCharType="begin"/>
      </w:r>
      <w:r>
        <w:instrText xml:space="preserve"> PAGEREF _Toc522197207 \h </w:instrText>
      </w:r>
      <w:r>
        <w:fldChar w:fldCharType="separate"/>
      </w:r>
      <w:r>
        <w:t>22</w:t>
      </w:r>
      <w:r>
        <w:fldChar w:fldCharType="end"/>
      </w:r>
    </w:p>
    <w:p>
      <w:pPr>
        <w:pStyle w:val="TOC8"/>
        <w:rPr>
          <w:rFonts w:asciiTheme="minorHAnsi" w:eastAsiaTheme="minorEastAsia" w:hAnsiTheme="minorHAnsi" w:cstheme="minorBidi"/>
          <w:szCs w:val="22"/>
        </w:rPr>
      </w:pPr>
      <w:r>
        <w:t>9K.</w:t>
      </w:r>
      <w:r>
        <w:tab/>
        <w:t>Annual reports by Commission</w:t>
      </w:r>
      <w:r>
        <w:tab/>
      </w:r>
      <w:r>
        <w:fldChar w:fldCharType="begin"/>
      </w:r>
      <w:r>
        <w:instrText xml:space="preserve"> PAGEREF _Toc522197208 \h </w:instrText>
      </w:r>
      <w:r>
        <w:fldChar w:fldCharType="separate"/>
      </w:r>
      <w:r>
        <w:t>23</w:t>
      </w:r>
      <w:r>
        <w:fldChar w:fldCharType="end"/>
      </w:r>
    </w:p>
    <w:p>
      <w:pPr>
        <w:pStyle w:val="TOC8"/>
        <w:rPr>
          <w:rFonts w:asciiTheme="minorHAnsi" w:eastAsiaTheme="minorEastAsia" w:hAnsiTheme="minorHAnsi" w:cstheme="minorBidi"/>
          <w:szCs w:val="22"/>
        </w:rPr>
      </w:pPr>
      <w:r>
        <w:t>9L.</w:t>
      </w:r>
      <w:r>
        <w:tab/>
        <w:t>Laying annual report before House of Parliament not sitting</w:t>
      </w:r>
      <w:r>
        <w:tab/>
      </w:r>
      <w:r>
        <w:fldChar w:fldCharType="begin"/>
      </w:r>
      <w:r>
        <w:instrText xml:space="preserve"> PAGEREF _Toc522197209 \h </w:instrText>
      </w:r>
      <w:r>
        <w:fldChar w:fldCharType="separate"/>
      </w:r>
      <w:r>
        <w:t>24</w:t>
      </w:r>
      <w:r>
        <w:fldChar w:fldCharType="end"/>
      </w:r>
    </w:p>
    <w:p>
      <w:pPr>
        <w:pStyle w:val="TOC8"/>
        <w:rPr>
          <w:rFonts w:asciiTheme="minorHAnsi" w:eastAsiaTheme="minorEastAsia" w:hAnsiTheme="minorHAnsi" w:cstheme="minorBidi"/>
          <w:szCs w:val="22"/>
        </w:rPr>
      </w:pPr>
      <w:r>
        <w:t>9M.</w:t>
      </w:r>
      <w:r>
        <w:tab/>
        <w:t>Protection and immunity of members, parties etc.</w:t>
      </w:r>
      <w:r>
        <w:tab/>
      </w:r>
      <w:r>
        <w:fldChar w:fldCharType="begin"/>
      </w:r>
      <w:r>
        <w:instrText xml:space="preserve"> PAGEREF _Toc522197210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The Director of Liquor Licensing</w:t>
      </w:r>
    </w:p>
    <w:p>
      <w:pPr>
        <w:pStyle w:val="TOC8"/>
        <w:rPr>
          <w:rFonts w:asciiTheme="minorHAnsi" w:eastAsiaTheme="minorEastAsia" w:hAnsiTheme="minorHAnsi" w:cstheme="minorBidi"/>
          <w:szCs w:val="22"/>
        </w:rPr>
      </w:pPr>
      <w:r>
        <w:t>13</w:t>
      </w:r>
      <w:r>
        <w:rPr>
          <w:snapToGrid w:val="0"/>
        </w:rPr>
        <w:t>.</w:t>
      </w:r>
      <w:r>
        <w:rPr>
          <w:snapToGrid w:val="0"/>
        </w:rPr>
        <w:tab/>
        <w:t>Functions of and hearings by Director</w:t>
      </w:r>
      <w:r>
        <w:tab/>
      </w:r>
      <w:r>
        <w:fldChar w:fldCharType="begin"/>
      </w:r>
      <w:r>
        <w:instrText xml:space="preserve"> PAGEREF _Toc522197212 \h </w:instrText>
      </w:r>
      <w:r>
        <w:fldChar w:fldCharType="separate"/>
      </w:r>
      <w:r>
        <w:t>25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Inspectors etc., appointment of etc.</w:t>
      </w:r>
      <w:r>
        <w:tab/>
      </w:r>
      <w:r>
        <w:fldChar w:fldCharType="begin"/>
      </w:r>
      <w:r>
        <w:instrText xml:space="preserve"> PAGEREF _Toc522197213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Other staff of the licensing authority</w:t>
      </w:r>
    </w:p>
    <w:p>
      <w:pPr>
        <w:pStyle w:val="TOC8"/>
        <w:rPr>
          <w:rFonts w:asciiTheme="minorHAnsi" w:eastAsiaTheme="minorEastAsia" w:hAnsiTheme="minorHAnsi" w:cstheme="minorBidi"/>
          <w:szCs w:val="22"/>
        </w:rPr>
      </w:pPr>
      <w:r>
        <w:t>15</w:t>
      </w:r>
      <w:r>
        <w:rPr>
          <w:snapToGrid w:val="0"/>
        </w:rPr>
        <w:t>.</w:t>
      </w:r>
      <w:r>
        <w:rPr>
          <w:snapToGrid w:val="0"/>
        </w:rPr>
        <w:tab/>
        <w:t>Director may delegate etc.</w:t>
      </w:r>
      <w:r>
        <w:tab/>
      </w:r>
      <w:r>
        <w:fldChar w:fldCharType="begin"/>
      </w:r>
      <w:r>
        <w:instrText xml:space="preserve"> PAGEREF _Toc522197215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Proceedings before the licensing authority</w:t>
      </w:r>
    </w:p>
    <w:p>
      <w:pPr>
        <w:pStyle w:val="TOC8"/>
        <w:rPr>
          <w:rFonts w:asciiTheme="minorHAnsi" w:eastAsiaTheme="minorEastAsia" w:hAnsiTheme="minorHAnsi" w:cstheme="minorBidi"/>
          <w:szCs w:val="22"/>
        </w:rPr>
      </w:pPr>
      <w:r>
        <w:t>16</w:t>
      </w:r>
      <w:r>
        <w:rPr>
          <w:snapToGrid w:val="0"/>
        </w:rPr>
        <w:t>.</w:t>
      </w:r>
      <w:r>
        <w:rPr>
          <w:snapToGrid w:val="0"/>
        </w:rPr>
        <w:tab/>
        <w:t>Procedure, sittings, use of experts, evidentiary rules etc.</w:t>
      </w:r>
      <w:r>
        <w:tab/>
      </w:r>
      <w:r>
        <w:fldChar w:fldCharType="begin"/>
      </w:r>
      <w:r>
        <w:instrText xml:space="preserve"> PAGEREF _Toc522197217 \h </w:instrText>
      </w:r>
      <w:r>
        <w:fldChar w:fldCharType="separate"/>
      </w:r>
      <w:r>
        <w:t>28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Representation of parties</w:t>
      </w:r>
      <w:r>
        <w:tab/>
      </w:r>
      <w:r>
        <w:fldChar w:fldCharType="begin"/>
      </w:r>
      <w:r>
        <w:instrText xml:space="preserve"> PAGEREF _Toc522197218 \h </w:instrText>
      </w:r>
      <w:r>
        <w:fldChar w:fldCharType="separate"/>
      </w:r>
      <w:r>
        <w:t>31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Witnesses and evidence, powers to summon etc.</w:t>
      </w:r>
      <w:r>
        <w:tab/>
      </w:r>
      <w:r>
        <w:fldChar w:fldCharType="begin"/>
      </w:r>
      <w:r>
        <w:instrText xml:space="preserve"> PAGEREF _Toc522197219 \h </w:instrText>
      </w:r>
      <w:r>
        <w:fldChar w:fldCharType="separate"/>
      </w:r>
      <w:r>
        <w:t>32</w:t>
      </w:r>
      <w:r>
        <w:fldChar w:fldCharType="end"/>
      </w:r>
    </w:p>
    <w:p>
      <w:pPr>
        <w:pStyle w:val="TOC8"/>
        <w:rPr>
          <w:rFonts w:asciiTheme="minorHAnsi" w:eastAsiaTheme="minorEastAsia" w:hAnsiTheme="minorHAnsi" w:cstheme="minorBidi"/>
          <w:szCs w:val="22"/>
        </w:rPr>
      </w:pPr>
      <w:r>
        <w:t>18AA.</w:t>
      </w:r>
      <w:r>
        <w:tab/>
        <w:t>Notice of decision</w:t>
      </w:r>
      <w:r>
        <w:tab/>
      </w:r>
      <w:r>
        <w:fldChar w:fldCharType="begin"/>
      </w:r>
      <w:r>
        <w:instrText xml:space="preserve"> PAGEREF _Toc522197220 \h </w:instrText>
      </w:r>
      <w:r>
        <w:fldChar w:fldCharType="separate"/>
      </w:r>
      <w:r>
        <w:t>33</w:t>
      </w:r>
      <w:r>
        <w:fldChar w:fldCharType="end"/>
      </w:r>
    </w:p>
    <w:p>
      <w:pPr>
        <w:pStyle w:val="TOC8"/>
        <w:rPr>
          <w:rFonts w:asciiTheme="minorHAnsi" w:eastAsiaTheme="minorEastAsia" w:hAnsiTheme="minorHAnsi" w:cstheme="minorBidi"/>
          <w:szCs w:val="22"/>
        </w:rPr>
      </w:pPr>
      <w:r>
        <w:t>18A.</w:t>
      </w:r>
      <w:r>
        <w:tab/>
        <w:t>Enforcing decisions</w:t>
      </w:r>
      <w:r>
        <w:tab/>
      </w:r>
      <w:r>
        <w:fldChar w:fldCharType="begin"/>
      </w:r>
      <w:r>
        <w:instrText xml:space="preserve"> PAGEREF _Toc522197221 \h </w:instrText>
      </w:r>
      <w:r>
        <w:fldChar w:fldCharType="separate"/>
      </w:r>
      <w:r>
        <w:t>34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Enforcing monetary penalties</w:t>
      </w:r>
      <w:r>
        <w:tab/>
      </w:r>
      <w:r>
        <w:fldChar w:fldCharType="begin"/>
      </w:r>
      <w:r>
        <w:instrText xml:space="preserve"> PAGEREF _Toc522197222 \h </w:instrText>
      </w:r>
      <w:r>
        <w:fldChar w:fldCharType="separate"/>
      </w:r>
      <w:r>
        <w:t>35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Contempt etc.</w:t>
      </w:r>
      <w:r>
        <w:tab/>
      </w:r>
      <w:r>
        <w:fldChar w:fldCharType="begin"/>
      </w:r>
      <w:r>
        <w:instrText xml:space="preserve"> PAGEREF _Toc522197223 \h </w:instrText>
      </w:r>
      <w:r>
        <w:fldChar w:fldCharType="separate"/>
      </w:r>
      <w:r>
        <w:t>35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Costs</w:t>
      </w:r>
      <w:r>
        <w:tab/>
      </w:r>
      <w:r>
        <w:fldChar w:fldCharType="begin"/>
      </w:r>
      <w:r>
        <w:instrText xml:space="preserve"> PAGEREF _Toc522197224 \h </w:instrText>
      </w:r>
      <w:r>
        <w:fldChar w:fldCharType="separate"/>
      </w:r>
      <w:r>
        <w:t>36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 xml:space="preserve">Rules </w:t>
      </w:r>
      <w:r>
        <w:t>of Commission</w:t>
      </w:r>
      <w:r>
        <w:tab/>
      </w:r>
      <w:r>
        <w:fldChar w:fldCharType="begin"/>
      </w:r>
      <w:r>
        <w:instrText xml:space="preserve"> PAGEREF _Toc522197225 \h </w:instrText>
      </w:r>
      <w:r>
        <w:fldChar w:fldCharType="separate"/>
      </w:r>
      <w:r>
        <w:t>37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Proof of process; protection from personal liability</w:t>
      </w:r>
      <w:r>
        <w:tab/>
      </w:r>
      <w:r>
        <w:fldChar w:fldCharType="begin"/>
      </w:r>
      <w:r>
        <w:instrText xml:space="preserve"> PAGEREF _Toc522197226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Reference to the Commission, review and appeals</w:t>
      </w:r>
    </w:p>
    <w:p>
      <w:pPr>
        <w:pStyle w:val="TOC8"/>
        <w:rPr>
          <w:rFonts w:asciiTheme="minorHAnsi" w:eastAsiaTheme="minorEastAsia" w:hAnsiTheme="minorHAnsi" w:cstheme="minorBidi"/>
          <w:szCs w:val="22"/>
        </w:rPr>
      </w:pPr>
      <w:r>
        <w:t>24</w:t>
      </w:r>
      <w:r>
        <w:rPr>
          <w:snapToGrid w:val="0"/>
        </w:rPr>
        <w:t>.</w:t>
      </w:r>
      <w:r>
        <w:rPr>
          <w:snapToGrid w:val="0"/>
        </w:rPr>
        <w:tab/>
        <w:t>Director may refer matters to Commission</w:t>
      </w:r>
      <w:r>
        <w:tab/>
      </w:r>
      <w:r>
        <w:fldChar w:fldCharType="begin"/>
      </w:r>
      <w:r>
        <w:instrText xml:space="preserve"> PAGEREF _Toc522197228 \h </w:instrText>
      </w:r>
      <w:r>
        <w:fldChar w:fldCharType="separate"/>
      </w:r>
      <w:r>
        <w:t>38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Review of Director’s decisions</w:t>
      </w:r>
      <w:r>
        <w:tab/>
      </w:r>
      <w:r>
        <w:fldChar w:fldCharType="begin"/>
      </w:r>
      <w:r>
        <w:instrText xml:space="preserve"> PAGEREF _Toc522197229 \h </w:instrText>
      </w:r>
      <w:r>
        <w:fldChar w:fldCharType="separate"/>
      </w:r>
      <w:r>
        <w:t>39</w:t>
      </w:r>
      <w:r>
        <w:fldChar w:fldCharType="end"/>
      </w:r>
    </w:p>
    <w:p>
      <w:pPr>
        <w:pStyle w:val="TOC8"/>
        <w:rPr>
          <w:rFonts w:asciiTheme="minorHAnsi" w:eastAsiaTheme="minorEastAsia" w:hAnsiTheme="minorHAnsi" w:cstheme="minorBidi"/>
          <w:szCs w:val="22"/>
        </w:rPr>
      </w:pPr>
      <w:r>
        <w:t>26.</w:t>
      </w:r>
      <w:r>
        <w:tab/>
        <w:t>Some Director’s decisions have effect despite application to review</w:t>
      </w:r>
      <w:r>
        <w:tab/>
      </w:r>
      <w:r>
        <w:fldChar w:fldCharType="begin"/>
      </w:r>
      <w:r>
        <w:instrText xml:space="preserve"> PAGEREF _Toc522197230 \h </w:instrText>
      </w:r>
      <w:r>
        <w:fldChar w:fldCharType="separate"/>
      </w:r>
      <w:r>
        <w:t>42</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Question of law, Commission may state to Supreme Court</w:t>
      </w:r>
      <w:r>
        <w:tab/>
      </w:r>
      <w:r>
        <w:fldChar w:fldCharType="begin"/>
      </w:r>
      <w:r>
        <w:instrText xml:space="preserve"> PAGEREF _Toc522197231 \h </w:instrText>
      </w:r>
      <w:r>
        <w:fldChar w:fldCharType="separate"/>
      </w:r>
      <w:r>
        <w:t>42</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Appeals against Commission’s decisions</w:t>
      </w:r>
      <w:r>
        <w:tab/>
      </w:r>
      <w:r>
        <w:fldChar w:fldCharType="begin"/>
      </w:r>
      <w:r>
        <w:instrText xml:space="preserve"> PAGEREF _Toc522197232 \h </w:instrText>
      </w:r>
      <w:r>
        <w:fldChar w:fldCharType="separate"/>
      </w:r>
      <w:r>
        <w:t>42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Licence or permit continues to have effect pending appeal</w:t>
      </w:r>
      <w:r>
        <w:tab/>
      </w:r>
      <w:r>
        <w:fldChar w:fldCharType="begin"/>
      </w:r>
      <w:r>
        <w:instrText xml:space="preserve"> PAGEREF _Toc522197233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7 — Confidential police information</w:t>
      </w:r>
    </w:p>
    <w:p>
      <w:pPr>
        <w:pStyle w:val="TOC8"/>
        <w:rPr>
          <w:rFonts w:asciiTheme="minorHAnsi" w:eastAsiaTheme="minorEastAsia" w:hAnsiTheme="minorHAnsi" w:cstheme="minorBidi"/>
          <w:szCs w:val="22"/>
        </w:rPr>
      </w:pPr>
      <w:r>
        <w:t>30.</w:t>
      </w:r>
      <w:r>
        <w:tab/>
        <w:t>Confidential police information, use and protection of</w:t>
      </w:r>
      <w:r>
        <w:tab/>
      </w:r>
      <w:r>
        <w:fldChar w:fldCharType="begin"/>
      </w:r>
      <w:r>
        <w:instrText xml:space="preserve"> PAGEREF _Toc522197235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3 — Licences and permits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30A</w:t>
      </w:r>
      <w:r>
        <w:rPr>
          <w:snapToGrid w:val="0"/>
        </w:rPr>
        <w:t>.</w:t>
      </w:r>
      <w:r>
        <w:rPr>
          <w:snapToGrid w:val="0"/>
        </w:rPr>
        <w:tab/>
        <w:t>Licences to sell liquor, grant and nature of</w:t>
      </w:r>
      <w:r>
        <w:tab/>
      </w:r>
      <w:r>
        <w:fldChar w:fldCharType="begin"/>
      </w:r>
      <w:r>
        <w:instrText xml:space="preserve"> PAGEREF _Toc522197238 \h </w:instrText>
      </w:r>
      <w:r>
        <w:fldChar w:fldCharType="separate"/>
      </w:r>
      <w:r>
        <w:t>48</w:t>
      </w:r>
      <w:r>
        <w:fldChar w:fldCharType="end"/>
      </w:r>
    </w:p>
    <w:p>
      <w:pPr>
        <w:pStyle w:val="TOC8"/>
        <w:rPr>
          <w:rFonts w:asciiTheme="minorHAnsi" w:eastAsiaTheme="minorEastAsia" w:hAnsiTheme="minorHAnsi" w:cstheme="minorBidi"/>
          <w:szCs w:val="22"/>
        </w:rPr>
      </w:pPr>
      <w:r>
        <w:t>30B</w:t>
      </w:r>
      <w:r>
        <w:rPr>
          <w:snapToGrid w:val="0"/>
        </w:rPr>
        <w:t>.</w:t>
      </w:r>
      <w:r>
        <w:rPr>
          <w:snapToGrid w:val="0"/>
        </w:rPr>
        <w:tab/>
        <w:t>Power of attorney does not empower donee to act for licensee under this Act</w:t>
      </w:r>
      <w:r>
        <w:tab/>
      </w:r>
      <w:r>
        <w:fldChar w:fldCharType="begin"/>
      </w:r>
      <w:r>
        <w:instrText xml:space="preserve"> PAGEREF _Toc522197239 \h </w:instrText>
      </w:r>
      <w:r>
        <w:fldChar w:fldCharType="separate"/>
      </w:r>
      <w:r>
        <w:t>48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Licences, generally</w:t>
      </w:r>
      <w:r>
        <w:tab/>
      </w:r>
      <w:r>
        <w:fldChar w:fldCharType="begin"/>
      </w:r>
      <w:r>
        <w:instrText xml:space="preserve"> PAGEREF _Toc522197240 \h </w:instrText>
      </w:r>
      <w:r>
        <w:fldChar w:fldCharType="separate"/>
      </w:r>
      <w:r>
        <w:t>48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Duration of licences</w:t>
      </w:r>
      <w:r>
        <w:tab/>
      </w:r>
      <w:r>
        <w:fldChar w:fldCharType="begin"/>
      </w:r>
      <w:r>
        <w:instrText xml:space="preserve"> PAGEREF _Toc522197241 \h </w:instrText>
      </w:r>
      <w:r>
        <w:fldChar w:fldCharType="separate"/>
      </w:r>
      <w:r>
        <w:t>50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Powers of licensing authority when deciding applications</w:t>
      </w:r>
      <w:r>
        <w:tab/>
      </w:r>
      <w:r>
        <w:fldChar w:fldCharType="begin"/>
      </w:r>
      <w:r>
        <w:instrText xml:space="preserve"> PAGEREF _Toc522197242 \h </w:instrText>
      </w:r>
      <w:r>
        <w:fldChar w:fldCharType="separate"/>
      </w:r>
      <w:r>
        <w:t>51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Certain applications not to be decided</w:t>
      </w:r>
      <w:r>
        <w:tab/>
      </w:r>
      <w:r>
        <w:fldChar w:fldCharType="begin"/>
      </w:r>
      <w:r>
        <w:instrText xml:space="preserve"> PAGEREF _Toc522197243 \h </w:instrText>
      </w:r>
      <w:r>
        <w:fldChar w:fldCharType="separate"/>
      </w:r>
      <w:r>
        <w:t>54</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Persons who may hold licences</w:t>
      </w:r>
      <w:r>
        <w:tab/>
      </w:r>
      <w:r>
        <w:fldChar w:fldCharType="begin"/>
      </w:r>
      <w:r>
        <w:instrText xml:space="preserve"> PAGEREF _Toc522197244 \h </w:instrText>
      </w:r>
      <w:r>
        <w:fldChar w:fldCharType="separate"/>
      </w:r>
      <w:r>
        <w:t>56</w:t>
      </w:r>
      <w:r>
        <w:fldChar w:fldCharType="end"/>
      </w:r>
    </w:p>
    <w:p>
      <w:pPr>
        <w:pStyle w:val="TOC8"/>
        <w:rPr>
          <w:rFonts w:asciiTheme="minorHAnsi" w:eastAsiaTheme="minorEastAsia" w:hAnsiTheme="minorHAnsi" w:cstheme="minorBidi"/>
          <w:szCs w:val="22"/>
        </w:rPr>
      </w:pPr>
      <w:r>
        <w:t>35A</w:t>
      </w:r>
      <w:r>
        <w:rPr>
          <w:snapToGrid w:val="0"/>
        </w:rPr>
        <w:t>.</w:t>
      </w:r>
      <w:r>
        <w:rPr>
          <w:snapToGrid w:val="0"/>
        </w:rPr>
        <w:tab/>
        <w:t>Trustees for unincorporated bodies</w:t>
      </w:r>
      <w:r>
        <w:tab/>
      </w:r>
      <w:r>
        <w:fldChar w:fldCharType="begin"/>
      </w:r>
      <w:r>
        <w:instrText xml:space="preserve"> PAGEREF _Toc522197245 \h </w:instrText>
      </w:r>
      <w:r>
        <w:fldChar w:fldCharType="separate"/>
      </w:r>
      <w:r>
        <w:t>56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Two or more licences for same premises, restrictions on</w:t>
      </w:r>
      <w:r>
        <w:tab/>
      </w:r>
      <w:r>
        <w:fldChar w:fldCharType="begin"/>
      </w:r>
      <w:r>
        <w:instrText xml:space="preserve"> PAGEREF _Toc522197246 \h </w:instrText>
      </w:r>
      <w:r>
        <w:fldChar w:fldCharType="separate"/>
      </w:r>
      <w:r>
        <w:t>57</w:t>
      </w:r>
      <w:r>
        <w:fldChar w:fldCharType="end"/>
      </w:r>
    </w:p>
    <w:p>
      <w:pPr>
        <w:pStyle w:val="TOC8"/>
        <w:rPr>
          <w:rFonts w:asciiTheme="minorHAnsi" w:eastAsiaTheme="minorEastAsia" w:hAnsiTheme="minorHAnsi" w:cstheme="minorBidi"/>
          <w:szCs w:val="22"/>
        </w:rPr>
      </w:pPr>
      <w:r>
        <w:t>36A.</w:t>
      </w:r>
      <w:r>
        <w:tab/>
        <w:t>Petrol stations in some areas not to be granted licences</w:t>
      </w:r>
      <w:r>
        <w:tab/>
      </w:r>
      <w:r>
        <w:fldChar w:fldCharType="begin"/>
      </w:r>
      <w:r>
        <w:instrText xml:space="preserve"> PAGEREF _Toc522197247 \h </w:instrText>
      </w:r>
      <w:r>
        <w:fldChar w:fldCharType="separate"/>
      </w:r>
      <w:r>
        <w:t>57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Pre-requisites for grants of licences etc.; conditions on licences</w:t>
      </w:r>
      <w:r>
        <w:tab/>
      </w:r>
      <w:r>
        <w:fldChar w:fldCharType="begin"/>
      </w:r>
      <w:r>
        <w:instrText xml:space="preserve"> PAGEREF _Toc522197248 \h </w:instrText>
      </w:r>
      <w:r>
        <w:fldChar w:fldCharType="separate"/>
      </w:r>
      <w:r>
        <w:t>58</w:t>
      </w:r>
      <w:r>
        <w:fldChar w:fldCharType="end"/>
      </w:r>
    </w:p>
    <w:p>
      <w:pPr>
        <w:pStyle w:val="TOC8"/>
        <w:rPr>
          <w:rFonts w:asciiTheme="minorHAnsi" w:eastAsiaTheme="minorEastAsia" w:hAnsiTheme="minorHAnsi" w:cstheme="minorBidi"/>
          <w:szCs w:val="22"/>
        </w:rPr>
      </w:pPr>
      <w:r>
        <w:t>37A</w:t>
      </w:r>
      <w:r>
        <w:rPr>
          <w:snapToGrid w:val="0"/>
        </w:rPr>
        <w:t>.</w:t>
      </w:r>
      <w:r>
        <w:rPr>
          <w:snapToGrid w:val="0"/>
        </w:rPr>
        <w:tab/>
        <w:t>Conviction of licensee etc., duty to inform Director</w:t>
      </w:r>
      <w:r>
        <w:tab/>
      </w:r>
      <w:r>
        <w:fldChar w:fldCharType="begin"/>
      </w:r>
      <w:r>
        <w:instrText xml:space="preserve"> PAGEREF _Toc522197249 \h </w:instrText>
      </w:r>
      <w:r>
        <w:fldChar w:fldCharType="separate"/>
      </w:r>
      <w:r>
        <w:t>61</w:t>
      </w:r>
      <w:r>
        <w:fldChar w:fldCharType="end"/>
      </w:r>
    </w:p>
    <w:p>
      <w:pPr>
        <w:pStyle w:val="TOC8"/>
        <w:rPr>
          <w:rFonts w:asciiTheme="minorHAnsi" w:eastAsiaTheme="minorEastAsia" w:hAnsiTheme="minorHAnsi" w:cstheme="minorBidi"/>
          <w:szCs w:val="22"/>
        </w:rPr>
      </w:pPr>
      <w:r>
        <w:t>37B.</w:t>
      </w:r>
      <w:r>
        <w:tab/>
        <w:t>Fingerprints etc., licensing authority’s powers to obtain</w:t>
      </w:r>
      <w:r>
        <w:tab/>
      </w:r>
      <w:r>
        <w:fldChar w:fldCharType="begin"/>
      </w:r>
      <w:r>
        <w:instrText xml:space="preserve"> PAGEREF _Toc522197250 \h </w:instrText>
      </w:r>
      <w:r>
        <w:fldChar w:fldCharType="separate"/>
      </w:r>
      <w:r>
        <w:t>62</w:t>
      </w:r>
      <w:r>
        <w:fldChar w:fldCharType="end"/>
      </w:r>
    </w:p>
    <w:p>
      <w:pPr>
        <w:pStyle w:val="TOC8"/>
        <w:rPr>
          <w:rFonts w:asciiTheme="minorHAnsi" w:eastAsiaTheme="minorEastAsia" w:hAnsiTheme="minorHAnsi" w:cstheme="minorBidi"/>
          <w:szCs w:val="22"/>
        </w:rPr>
      </w:pPr>
      <w:r>
        <w:t>37C.</w:t>
      </w:r>
      <w:r>
        <w:tab/>
        <w:t>Register of licensed premises</w:t>
      </w:r>
      <w:r>
        <w:tab/>
      </w:r>
      <w:r>
        <w:fldChar w:fldCharType="begin"/>
      </w:r>
      <w:r>
        <w:instrText xml:space="preserve"> PAGEREF _Toc522197251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2 — Licences</w:t>
      </w:r>
    </w:p>
    <w:p>
      <w:pPr>
        <w:pStyle w:val="TOC8"/>
        <w:rPr>
          <w:rFonts w:asciiTheme="minorHAnsi" w:eastAsiaTheme="minorEastAsia" w:hAnsiTheme="minorHAnsi" w:cstheme="minorBidi"/>
          <w:szCs w:val="22"/>
        </w:rPr>
      </w:pPr>
      <w:r>
        <w:t>38.</w:t>
      </w:r>
      <w:r>
        <w:tab/>
        <w:t>Some applications not to be granted unless in the public interest</w:t>
      </w:r>
      <w:r>
        <w:tab/>
      </w:r>
      <w:r>
        <w:fldChar w:fldCharType="begin"/>
      </w:r>
      <w:r>
        <w:instrText xml:space="preserve"> PAGEREF _Toc522197253 \h </w:instrText>
      </w:r>
      <w:r>
        <w:fldChar w:fldCharType="separate"/>
      </w:r>
      <w:r>
        <w:t>64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Certificate of local government as to whether premises comply with laws</w:t>
      </w:r>
      <w:r>
        <w:tab/>
      </w:r>
      <w:r>
        <w:fldChar w:fldCharType="begin"/>
      </w:r>
      <w:r>
        <w:instrText xml:space="preserve"> PAGEREF _Toc522197254 \h </w:instrText>
      </w:r>
      <w:r>
        <w:fldChar w:fldCharType="separate"/>
      </w:r>
      <w:r>
        <w:t>65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Certificate of planning authority as to whether use of premises complies with planning laws</w:t>
      </w:r>
      <w:r>
        <w:tab/>
      </w:r>
      <w:r>
        <w:fldChar w:fldCharType="begin"/>
      </w:r>
      <w:r>
        <w:instrText xml:space="preserve"> PAGEREF _Toc522197255 \h </w:instrText>
      </w:r>
      <w:r>
        <w:fldChar w:fldCharType="separate"/>
      </w:r>
      <w:r>
        <w:t>66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Hotel licence, kinds, conditions and effect of</w:t>
      </w:r>
      <w:r>
        <w:tab/>
      </w:r>
      <w:r>
        <w:fldChar w:fldCharType="begin"/>
      </w:r>
      <w:r>
        <w:instrText xml:space="preserve"> PAGEREF _Toc522197256 \h </w:instrText>
      </w:r>
      <w:r>
        <w:fldChar w:fldCharType="separate"/>
      </w:r>
      <w:r>
        <w:t>67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Nightclub licence, effect and conditions of</w:t>
      </w:r>
      <w:r>
        <w:tab/>
      </w:r>
      <w:r>
        <w:fldChar w:fldCharType="begin"/>
      </w:r>
      <w:r>
        <w:instrText xml:space="preserve"> PAGEREF _Toc522197257 \h </w:instrText>
      </w:r>
      <w:r>
        <w:fldChar w:fldCharType="separate"/>
      </w:r>
      <w:r>
        <w:t>70</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N</w:t>
      </w:r>
      <w:r>
        <w:t xml:space="preserve">ightclub </w:t>
      </w:r>
      <w:r>
        <w:rPr>
          <w:snapToGrid w:val="0"/>
        </w:rPr>
        <w:t>licence, pre-requisites for grant of</w:t>
      </w:r>
      <w:r>
        <w:tab/>
      </w:r>
      <w:r>
        <w:fldChar w:fldCharType="begin"/>
      </w:r>
      <w:r>
        <w:instrText xml:space="preserve"> PAGEREF _Toc522197258 \h </w:instrText>
      </w:r>
      <w:r>
        <w:fldChar w:fldCharType="separate"/>
      </w:r>
      <w:r>
        <w:t>71</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Casino liquor licence, effect and conditions of</w:t>
      </w:r>
      <w:r>
        <w:tab/>
      </w:r>
      <w:r>
        <w:fldChar w:fldCharType="begin"/>
      </w:r>
      <w:r>
        <w:instrText xml:space="preserve"> PAGEREF _Toc522197259 \h </w:instrText>
      </w:r>
      <w:r>
        <w:fldChar w:fldCharType="separate"/>
      </w:r>
      <w:r>
        <w:t>71</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Casino liquor licence, pre-requisites for grant of</w:t>
      </w:r>
      <w:r>
        <w:tab/>
      </w:r>
      <w:r>
        <w:fldChar w:fldCharType="begin"/>
      </w:r>
      <w:r>
        <w:instrText xml:space="preserve"> PAGEREF _Toc522197260 \h </w:instrText>
      </w:r>
      <w:r>
        <w:fldChar w:fldCharType="separate"/>
      </w:r>
      <w:r>
        <w:t>72</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Special facility licence, pre-requisites for grant of</w:t>
      </w:r>
      <w:r>
        <w:tab/>
      </w:r>
      <w:r>
        <w:fldChar w:fldCharType="begin"/>
      </w:r>
      <w:r>
        <w:instrText xml:space="preserve"> PAGEREF _Toc522197261 \h </w:instrText>
      </w:r>
      <w:r>
        <w:fldChar w:fldCharType="separate"/>
      </w:r>
      <w:r>
        <w:t>73</w:t>
      </w:r>
      <w:r>
        <w:fldChar w:fldCharType="end"/>
      </w:r>
    </w:p>
    <w:p>
      <w:pPr>
        <w:pStyle w:val="TOC8"/>
        <w:rPr>
          <w:rFonts w:asciiTheme="minorHAnsi" w:eastAsiaTheme="minorEastAsia" w:hAnsiTheme="minorHAnsi" w:cstheme="minorBidi"/>
          <w:szCs w:val="22"/>
        </w:rPr>
      </w:pPr>
      <w:r>
        <w:t>46A.</w:t>
      </w:r>
      <w:r>
        <w:tab/>
        <w:t>Special facility licence, restrictions on varying</w:t>
      </w:r>
      <w:r>
        <w:tab/>
      </w:r>
      <w:r>
        <w:fldChar w:fldCharType="begin"/>
      </w:r>
      <w:r>
        <w:instrText xml:space="preserve"> PAGEREF _Toc522197262 \h </w:instrText>
      </w:r>
      <w:r>
        <w:fldChar w:fldCharType="separate"/>
      </w:r>
      <w:r>
        <w:t>75</w:t>
      </w:r>
      <w:r>
        <w:fldChar w:fldCharType="end"/>
      </w:r>
    </w:p>
    <w:p>
      <w:pPr>
        <w:pStyle w:val="TOC8"/>
        <w:rPr>
          <w:rFonts w:asciiTheme="minorHAnsi" w:eastAsiaTheme="minorEastAsia" w:hAnsiTheme="minorHAnsi" w:cstheme="minorBidi"/>
          <w:szCs w:val="22"/>
        </w:rPr>
      </w:pPr>
      <w:r>
        <w:t>46B.</w:t>
      </w:r>
      <w:r>
        <w:tab/>
        <w:t>Alternatives to granting or varying special facility licences</w:t>
      </w:r>
      <w:r>
        <w:tab/>
      </w:r>
      <w:r>
        <w:fldChar w:fldCharType="begin"/>
      </w:r>
      <w:r>
        <w:instrText xml:space="preserve"> PAGEREF _Toc522197263 \h </w:instrText>
      </w:r>
      <w:r>
        <w:fldChar w:fldCharType="separate"/>
      </w:r>
      <w:r>
        <w:t>75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Liquor store licence, effect of</w:t>
      </w:r>
      <w:r>
        <w:tab/>
      </w:r>
      <w:r>
        <w:fldChar w:fldCharType="begin"/>
      </w:r>
      <w:r>
        <w:instrText xml:space="preserve"> PAGEREF _Toc522197264 \h </w:instrText>
      </w:r>
      <w:r>
        <w:fldChar w:fldCharType="separate"/>
      </w:r>
      <w:r>
        <w:t>76</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Club licence, kinds, conditions and effect of</w:t>
      </w:r>
      <w:r>
        <w:tab/>
      </w:r>
      <w:r>
        <w:fldChar w:fldCharType="begin"/>
      </w:r>
      <w:r>
        <w:instrText xml:space="preserve"> PAGEREF _Toc522197265 \h </w:instrText>
      </w:r>
      <w:r>
        <w:fldChar w:fldCharType="separate"/>
      </w:r>
      <w:r>
        <w:t>77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Club licence, pre-requisites for grant of</w:t>
      </w:r>
      <w:r>
        <w:tab/>
      </w:r>
      <w:r>
        <w:fldChar w:fldCharType="begin"/>
      </w:r>
      <w:r>
        <w:instrText xml:space="preserve"> PAGEREF _Toc522197266 \h </w:instrText>
      </w:r>
      <w:r>
        <w:fldChar w:fldCharType="separate"/>
      </w:r>
      <w:r>
        <w:t>80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Restaurant licence, effect and conditions of</w:t>
      </w:r>
      <w:r>
        <w:tab/>
      </w:r>
      <w:r>
        <w:fldChar w:fldCharType="begin"/>
      </w:r>
      <w:r>
        <w:instrText xml:space="preserve"> PAGEREF _Toc522197267 \h </w:instrText>
      </w:r>
      <w:r>
        <w:fldChar w:fldCharType="separate"/>
      </w:r>
      <w:r>
        <w:t>83</w:t>
      </w:r>
      <w:r>
        <w:fldChar w:fldCharType="end"/>
      </w:r>
    </w:p>
    <w:p>
      <w:pPr>
        <w:pStyle w:val="TOC8"/>
        <w:rPr>
          <w:rFonts w:asciiTheme="minorHAnsi" w:eastAsiaTheme="minorEastAsia" w:hAnsiTheme="minorHAnsi" w:cstheme="minorBidi"/>
          <w:szCs w:val="22"/>
        </w:rPr>
      </w:pPr>
      <w:r>
        <w:t>50A.</w:t>
      </w:r>
      <w:r>
        <w:tab/>
        <w:t>Issue of extended trading permit under s. 60(4)(ca) for certain restaurant licences at time of grant</w:t>
      </w:r>
      <w:r>
        <w:tab/>
      </w:r>
      <w:r>
        <w:fldChar w:fldCharType="begin"/>
      </w:r>
      <w:r>
        <w:instrText xml:space="preserve"> PAGEREF _Toc522197268 \h </w:instrText>
      </w:r>
      <w:r>
        <w:fldChar w:fldCharType="separate"/>
      </w:r>
      <w:r>
        <w:t>85</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Unlicensed restaurants, supply of liquor in</w:t>
      </w:r>
      <w:r>
        <w:tab/>
      </w:r>
      <w:r>
        <w:fldChar w:fldCharType="begin"/>
      </w:r>
      <w:r>
        <w:instrText xml:space="preserve"> PAGEREF _Toc522197269 \h </w:instrText>
      </w:r>
      <w:r>
        <w:fldChar w:fldCharType="separate"/>
      </w:r>
      <w:r>
        <w:t>85</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Liquor sold or consumed with meals, effect of extended trading permit which authorises; evidentiary provisions</w:t>
      </w:r>
      <w:r>
        <w:tab/>
      </w:r>
      <w:r>
        <w:fldChar w:fldCharType="begin"/>
      </w:r>
      <w:r>
        <w:instrText xml:space="preserve"> PAGEREF _Toc522197270 \h </w:instrText>
      </w:r>
      <w:r>
        <w:fldChar w:fldCharType="separate"/>
      </w:r>
      <w:r>
        <w:t>86</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Restaurant licence and extended trading permit, effect of may be restricted as to selling liquor with meals</w:t>
      </w:r>
      <w:r>
        <w:tab/>
      </w:r>
      <w:r>
        <w:fldChar w:fldCharType="begin"/>
      </w:r>
      <w:r>
        <w:instrText xml:space="preserve"> PAGEREF _Toc522197271 \h </w:instrText>
      </w:r>
      <w:r>
        <w:fldChar w:fldCharType="separate"/>
      </w:r>
      <w:r>
        <w:t>87</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Producer’s licence, effect of</w:t>
      </w:r>
      <w:r>
        <w:tab/>
      </w:r>
      <w:r>
        <w:fldChar w:fldCharType="begin"/>
      </w:r>
      <w:r>
        <w:instrText xml:space="preserve"> PAGEREF _Toc522197272 \h </w:instrText>
      </w:r>
      <w:r>
        <w:fldChar w:fldCharType="separate"/>
      </w:r>
      <w:r>
        <w:t>88</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Production of liquor by person, presumption of</w:t>
      </w:r>
      <w:r>
        <w:tab/>
      </w:r>
      <w:r>
        <w:fldChar w:fldCharType="begin"/>
      </w:r>
      <w:r>
        <w:instrText xml:space="preserve"> PAGEREF _Toc522197273 \h </w:instrText>
      </w:r>
      <w:r>
        <w:fldChar w:fldCharType="separate"/>
      </w:r>
      <w:r>
        <w:t>89</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Producer’s licence, pre-requisites for grant of</w:t>
      </w:r>
      <w:r>
        <w:tab/>
      </w:r>
      <w:r>
        <w:fldChar w:fldCharType="begin"/>
      </w:r>
      <w:r>
        <w:instrText xml:space="preserve"> PAGEREF _Toc522197274 \h </w:instrText>
      </w:r>
      <w:r>
        <w:fldChar w:fldCharType="separate"/>
      </w:r>
      <w:r>
        <w:t>89</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Wholesaler’s licence, effect and conditions of</w:t>
      </w:r>
      <w:r>
        <w:tab/>
      </w:r>
      <w:r>
        <w:fldChar w:fldCharType="begin"/>
      </w:r>
      <w:r>
        <w:instrText xml:space="preserve"> PAGEREF _Toc522197275 \h </w:instrText>
      </w:r>
      <w:r>
        <w:fldChar w:fldCharType="separate"/>
      </w:r>
      <w:r>
        <w:t>90</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Occasional licence, effect, conditions and pre-requisites for grant of</w:t>
      </w:r>
      <w:r>
        <w:tab/>
      </w:r>
      <w:r>
        <w:fldChar w:fldCharType="begin"/>
      </w:r>
      <w:r>
        <w:instrText xml:space="preserve"> PAGEREF _Toc522197276 \h </w:instrText>
      </w:r>
      <w:r>
        <w:fldChar w:fldCharType="separate"/>
      </w:r>
      <w:r>
        <w:t>92</w:t>
      </w:r>
      <w:r>
        <w:fldChar w:fldCharType="end"/>
      </w:r>
    </w:p>
    <w:p>
      <w:pPr>
        <w:pStyle w:val="TOC8"/>
        <w:rPr>
          <w:rFonts w:asciiTheme="minorHAnsi" w:eastAsiaTheme="minorEastAsia" w:hAnsiTheme="minorHAnsi" w:cstheme="minorBidi"/>
          <w:szCs w:val="22"/>
        </w:rPr>
      </w:pPr>
      <w:r>
        <w:t>59A.</w:t>
      </w:r>
      <w:r>
        <w:tab/>
        <w:t>Additional authorisations relating to supply and sale of liquor on licensed premises</w:t>
      </w:r>
      <w:r>
        <w:tab/>
      </w:r>
      <w:r>
        <w:fldChar w:fldCharType="begin"/>
      </w:r>
      <w:r>
        <w:instrText xml:space="preserve"> PAGEREF _Toc522197277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Permits</w:t>
      </w:r>
    </w:p>
    <w:p>
      <w:pPr>
        <w:pStyle w:val="TOC8"/>
        <w:rPr>
          <w:rFonts w:asciiTheme="minorHAnsi" w:eastAsiaTheme="minorEastAsia" w:hAnsiTheme="minorHAnsi" w:cstheme="minorBidi"/>
          <w:szCs w:val="22"/>
        </w:rPr>
      </w:pPr>
      <w:r>
        <w:t>60</w:t>
      </w:r>
      <w:r>
        <w:rPr>
          <w:snapToGrid w:val="0"/>
        </w:rPr>
        <w:t>.</w:t>
      </w:r>
      <w:r>
        <w:rPr>
          <w:snapToGrid w:val="0"/>
        </w:rPr>
        <w:tab/>
        <w:t>Extended trading permit, purposes, effect and conditions of</w:t>
      </w:r>
      <w:r>
        <w:tab/>
      </w:r>
      <w:r>
        <w:fldChar w:fldCharType="begin"/>
      </w:r>
      <w:r>
        <w:instrText xml:space="preserve"> PAGEREF _Toc522197279 \h </w:instrText>
      </w:r>
      <w:r>
        <w:fldChar w:fldCharType="separate"/>
      </w:r>
      <w:r>
        <w:t>95</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Extended trading permit for extended area (s. 60(4)(h)), pre</w:t>
      </w:r>
      <w:r>
        <w:rPr>
          <w:snapToGrid w:val="0"/>
        </w:rPr>
        <w:noBreakHyphen/>
        <w:t>requisites for grant of</w:t>
      </w:r>
      <w:r>
        <w:tab/>
      </w:r>
      <w:r>
        <w:fldChar w:fldCharType="begin"/>
      </w:r>
      <w:r>
        <w:instrText xml:space="preserve"> PAGEREF _Toc522197280 \h </w:instrText>
      </w:r>
      <w:r>
        <w:fldChar w:fldCharType="separate"/>
      </w:r>
      <w:r>
        <w:t>101</w:t>
      </w:r>
      <w:r>
        <w:fldChar w:fldCharType="end"/>
      </w:r>
    </w:p>
    <w:p>
      <w:pPr>
        <w:pStyle w:val="TOC8"/>
        <w:rPr>
          <w:rFonts w:asciiTheme="minorHAnsi" w:eastAsiaTheme="minorEastAsia" w:hAnsiTheme="minorHAnsi" w:cstheme="minorBidi"/>
          <w:szCs w:val="22"/>
        </w:rPr>
      </w:pPr>
      <w:r>
        <w:t>61A.</w:t>
      </w:r>
      <w:r>
        <w:tab/>
        <w:t>Extended trading permit for sale of liquor (s. 60(4)(ia))</w:t>
      </w:r>
      <w:r>
        <w:tab/>
      </w:r>
      <w:r>
        <w:fldChar w:fldCharType="begin"/>
      </w:r>
      <w:r>
        <w:instrText xml:space="preserve"> PAGEREF _Toc522197281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Conditional grants or approvals</w:t>
      </w:r>
    </w:p>
    <w:p>
      <w:pPr>
        <w:pStyle w:val="TOC8"/>
        <w:rPr>
          <w:rFonts w:asciiTheme="minorHAnsi" w:eastAsiaTheme="minorEastAsia" w:hAnsiTheme="minorHAnsi" w:cstheme="minorBidi"/>
          <w:szCs w:val="22"/>
        </w:rPr>
      </w:pPr>
      <w:r>
        <w:t>62</w:t>
      </w:r>
      <w:r>
        <w:rPr>
          <w:snapToGrid w:val="0"/>
        </w:rPr>
        <w:t>.</w:t>
      </w:r>
      <w:r>
        <w:rPr>
          <w:snapToGrid w:val="0"/>
        </w:rPr>
        <w:tab/>
        <w:t>Uncompleted premises, conditional grant or removal in case of</w:t>
      </w:r>
      <w:r>
        <w:tab/>
      </w:r>
      <w:r>
        <w:fldChar w:fldCharType="begin"/>
      </w:r>
      <w:r>
        <w:instrText xml:space="preserve"> PAGEREF _Toc522197283 \h </w:instrText>
      </w:r>
      <w:r>
        <w:fldChar w:fldCharType="separate"/>
      </w:r>
      <w:r>
        <w:t>103</w:t>
      </w:r>
      <w:r>
        <w:fldChar w:fldCharType="end"/>
      </w:r>
    </w:p>
    <w:p>
      <w:pPr>
        <w:pStyle w:val="TOC8"/>
        <w:rPr>
          <w:rFonts w:asciiTheme="minorHAnsi" w:eastAsiaTheme="minorEastAsia" w:hAnsiTheme="minorHAnsi" w:cstheme="minorBidi"/>
          <w:szCs w:val="22"/>
        </w:rPr>
      </w:pPr>
      <w:r>
        <w:t>62A</w:t>
      </w:r>
      <w:r>
        <w:rPr>
          <w:snapToGrid w:val="0"/>
        </w:rPr>
        <w:t>.</w:t>
      </w:r>
      <w:r>
        <w:rPr>
          <w:snapToGrid w:val="0"/>
        </w:rPr>
        <w:tab/>
        <w:t>Pending certificate (s. 39 or 40) etc., conditional grant in case of</w:t>
      </w:r>
      <w:r>
        <w:tab/>
      </w:r>
      <w:r>
        <w:fldChar w:fldCharType="begin"/>
      </w:r>
      <w:r>
        <w:instrText xml:space="preserve"> PAGEREF _Toc522197284 \h </w:instrText>
      </w:r>
      <w:r>
        <w:fldChar w:fldCharType="separate"/>
      </w:r>
      <w:r>
        <w:t>106</w:t>
      </w:r>
      <w:r>
        <w:fldChar w:fldCharType="end"/>
      </w:r>
    </w:p>
    <w:p>
      <w:pPr>
        <w:pStyle w:val="TOC8"/>
        <w:rPr>
          <w:rFonts w:asciiTheme="minorHAnsi" w:eastAsiaTheme="minorEastAsia" w:hAnsiTheme="minorHAnsi" w:cstheme="minorBidi"/>
          <w:szCs w:val="22"/>
        </w:rPr>
      </w:pPr>
      <w:r>
        <w:t>62B</w:t>
      </w:r>
      <w:r>
        <w:rPr>
          <w:snapToGrid w:val="0"/>
        </w:rPr>
        <w:t>.</w:t>
      </w:r>
      <w:r>
        <w:rPr>
          <w:snapToGrid w:val="0"/>
        </w:rPr>
        <w:tab/>
        <w:t>Pending approval etc. (s. 77(5)), conditional approval of alteration etc. in case of</w:t>
      </w:r>
      <w:r>
        <w:tab/>
      </w:r>
      <w:r>
        <w:fldChar w:fldCharType="begin"/>
      </w:r>
      <w:r>
        <w:instrText xml:space="preserve"> PAGEREF _Toc522197285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Conditions, generally</w:t>
      </w:r>
    </w:p>
    <w:p>
      <w:pPr>
        <w:pStyle w:val="TOC8"/>
        <w:rPr>
          <w:rFonts w:asciiTheme="minorHAnsi" w:eastAsiaTheme="minorEastAsia" w:hAnsiTheme="minorHAnsi" w:cstheme="minorBidi"/>
          <w:szCs w:val="22"/>
        </w:rPr>
      </w:pPr>
      <w:r>
        <w:t>63</w:t>
      </w:r>
      <w:r>
        <w:rPr>
          <w:snapToGrid w:val="0"/>
        </w:rPr>
        <w:t>.</w:t>
      </w:r>
      <w:r>
        <w:rPr>
          <w:snapToGrid w:val="0"/>
        </w:rPr>
        <w:tab/>
        <w:t>Terms fixed and conditions imposed by Act, only some can be varied etc.</w:t>
      </w:r>
      <w:r>
        <w:tab/>
      </w:r>
      <w:r>
        <w:fldChar w:fldCharType="begin"/>
      </w:r>
      <w:r>
        <w:instrText xml:space="preserve"> PAGEREF _Toc522197287 \h </w:instrText>
      </w:r>
      <w:r>
        <w:fldChar w:fldCharType="separate"/>
      </w:r>
      <w:r>
        <w:t>107</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Imposing, varying and cancelling conditions</w:t>
      </w:r>
      <w:r>
        <w:tab/>
      </w:r>
      <w:r>
        <w:fldChar w:fldCharType="begin"/>
      </w:r>
      <w:r>
        <w:instrText xml:space="preserve"> PAGEREF _Toc522197288 \h </w:instrText>
      </w:r>
      <w:r>
        <w:fldChar w:fldCharType="separate"/>
      </w:r>
      <w:r>
        <w:t>108</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Packaged liquor, conditions relating to sale of for consumption off licensed premises</w:t>
      </w:r>
      <w:r>
        <w:tab/>
      </w:r>
      <w:r>
        <w:fldChar w:fldCharType="begin"/>
      </w:r>
      <w:r>
        <w:instrText xml:space="preserve"> PAGEREF _Toc522197289 \h </w:instrText>
      </w:r>
      <w:r>
        <w:fldChar w:fldCharType="separate"/>
      </w:r>
      <w:r>
        <w:t>113</w:t>
      </w:r>
      <w:r>
        <w:fldChar w:fldCharType="end"/>
      </w:r>
    </w:p>
    <w:p>
      <w:pPr>
        <w:pStyle w:val="TOC8"/>
        <w:rPr>
          <w:rFonts w:asciiTheme="minorHAnsi" w:eastAsiaTheme="minorEastAsia" w:hAnsiTheme="minorHAnsi" w:cstheme="minorBidi"/>
          <w:szCs w:val="22"/>
        </w:rPr>
      </w:pPr>
      <w:r>
        <w:t>65A.</w:t>
      </w:r>
      <w:r>
        <w:tab/>
        <w:t>Petrol station not to be established on premises from which packaged liquor is sold</w:t>
      </w:r>
      <w:r>
        <w:tab/>
      </w:r>
      <w:r>
        <w:fldChar w:fldCharType="begin"/>
      </w:r>
      <w:r>
        <w:instrText xml:space="preserve"> PAGEREF _Toc522197290 \h </w:instrText>
      </w:r>
      <w:r>
        <w:fldChar w:fldCharType="separate"/>
      </w:r>
      <w:r>
        <w:t>114</w:t>
      </w:r>
      <w:r>
        <w:fldChar w:fldCharType="end"/>
      </w:r>
    </w:p>
    <w:p>
      <w:pPr>
        <w:pStyle w:val="TOC8"/>
        <w:rPr>
          <w:rFonts w:asciiTheme="minorHAnsi" w:eastAsiaTheme="minorEastAsia" w:hAnsiTheme="minorHAnsi" w:cstheme="minorBidi"/>
          <w:szCs w:val="22"/>
        </w:rPr>
      </w:pPr>
      <w:r>
        <w:t>65B.</w:t>
      </w:r>
      <w:r>
        <w:tab/>
        <w:t>Promoting liquor, regulations may prescribe conditions about</w:t>
      </w:r>
      <w:r>
        <w:tab/>
      </w:r>
      <w:r>
        <w:fldChar w:fldCharType="begin"/>
      </w:r>
      <w:r>
        <w:instrText xml:space="preserve"> PAGEREF _Toc522197291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Applications</w:t>
      </w:r>
    </w:p>
    <w:p>
      <w:pPr>
        <w:pStyle w:val="TOC8"/>
        <w:rPr>
          <w:rFonts w:asciiTheme="minorHAnsi" w:eastAsiaTheme="minorEastAsia" w:hAnsiTheme="minorHAnsi" w:cstheme="minorBidi"/>
          <w:szCs w:val="22"/>
        </w:rPr>
      </w:pPr>
      <w:r>
        <w:t>66</w:t>
      </w:r>
      <w:r>
        <w:rPr>
          <w:snapToGrid w:val="0"/>
        </w:rPr>
        <w:t>.</w:t>
      </w:r>
      <w:r>
        <w:rPr>
          <w:snapToGrid w:val="0"/>
        </w:rPr>
        <w:tab/>
        <w:t>Plans and specifications of premises, requirements as to</w:t>
      </w:r>
      <w:r>
        <w:tab/>
      </w:r>
      <w:r>
        <w:fldChar w:fldCharType="begin"/>
      </w:r>
      <w:r>
        <w:instrText xml:space="preserve"> PAGEREF _Toc522197293 \h </w:instrText>
      </w:r>
      <w:r>
        <w:fldChar w:fldCharType="separate"/>
      </w:r>
      <w:r>
        <w:t>116</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Advertisement of applications</w:t>
      </w:r>
      <w:r>
        <w:tab/>
      </w:r>
      <w:r>
        <w:fldChar w:fldCharType="begin"/>
      </w:r>
      <w:r>
        <w:instrText xml:space="preserve"> PAGEREF _Toc522197294 \h </w:instrText>
      </w:r>
      <w:r>
        <w:fldChar w:fldCharType="separate"/>
      </w:r>
      <w:r>
        <w:t>117</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Form, manner, notice and public inspection of applications</w:t>
      </w:r>
      <w:r>
        <w:tab/>
      </w:r>
      <w:r>
        <w:fldChar w:fldCharType="begin"/>
      </w:r>
      <w:r>
        <w:instrText xml:space="preserve"> PAGEREF _Toc522197295 \h </w:instrText>
      </w:r>
      <w:r>
        <w:fldChar w:fldCharType="separate"/>
      </w:r>
      <w:r>
        <w:t>117</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Advertising, referring, investigating and intervening in applications</w:t>
      </w:r>
      <w:r>
        <w:tab/>
      </w:r>
      <w:r>
        <w:fldChar w:fldCharType="begin"/>
      </w:r>
      <w:r>
        <w:instrText xml:space="preserve"> PAGEREF _Toc522197296 \h </w:instrText>
      </w:r>
      <w:r>
        <w:fldChar w:fldCharType="separate"/>
      </w:r>
      <w:r>
        <w:t>118</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Club licence applications, intervening in</w:t>
      </w:r>
      <w:r>
        <w:tab/>
      </w:r>
      <w:r>
        <w:fldChar w:fldCharType="begin"/>
      </w:r>
      <w:r>
        <w:instrText xml:space="preserve"> PAGEREF _Toc522197297 \h </w:instrText>
      </w:r>
      <w:r>
        <w:fldChar w:fldCharType="separate"/>
      </w:r>
      <w:r>
        <w:t>123</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Owner etc. of premises, when consent of required; right of owner, lessee etc. to object</w:t>
      </w:r>
      <w:r>
        <w:tab/>
      </w:r>
      <w:r>
        <w:fldChar w:fldCharType="begin"/>
      </w:r>
      <w:r>
        <w:instrText xml:space="preserve"> PAGEREF _Toc522197298 \h </w:instrText>
      </w:r>
      <w:r>
        <w:fldChar w:fldCharType="separate"/>
      </w:r>
      <w:r>
        <w:t>123</w:t>
      </w:r>
      <w:r>
        <w:fldChar w:fldCharType="end"/>
      </w:r>
    </w:p>
    <w:p>
      <w:pPr>
        <w:pStyle w:val="TOC8"/>
        <w:rPr>
          <w:rFonts w:asciiTheme="minorHAnsi" w:eastAsiaTheme="minorEastAsia" w:hAnsiTheme="minorHAnsi" w:cstheme="minorBidi"/>
          <w:szCs w:val="22"/>
        </w:rPr>
      </w:pPr>
      <w:r>
        <w:t>72A.</w:t>
      </w:r>
      <w:r>
        <w:tab/>
        <w:t>Submissions generally</w:t>
      </w:r>
      <w:r>
        <w:tab/>
      </w:r>
      <w:r>
        <w:fldChar w:fldCharType="begin"/>
      </w:r>
      <w:r>
        <w:instrText xml:space="preserve"> PAGEREF _Toc522197299 \h </w:instrText>
      </w:r>
      <w:r>
        <w:fldChar w:fldCharType="separate"/>
      </w:r>
      <w:r>
        <w:t>124</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Objecting to applications, general right and rules as to</w:t>
      </w:r>
      <w:r>
        <w:tab/>
      </w:r>
      <w:r>
        <w:fldChar w:fldCharType="begin"/>
      </w:r>
      <w:r>
        <w:instrText xml:space="preserve"> PAGEREF _Toc522197300 \h </w:instrText>
      </w:r>
      <w:r>
        <w:fldChar w:fldCharType="separate"/>
      </w:r>
      <w:r>
        <w:t>125</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Objecting to applications, grounds for etc.</w:t>
      </w:r>
      <w:r>
        <w:tab/>
      </w:r>
      <w:r>
        <w:fldChar w:fldCharType="begin"/>
      </w:r>
      <w:r>
        <w:instrText xml:space="preserve"> PAGEREF _Toc522197301 \h </w:instrText>
      </w:r>
      <w:r>
        <w:fldChar w:fldCharType="separate"/>
      </w:r>
      <w:r>
        <w:t>127</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Occasional licence, applications for</w:t>
      </w:r>
      <w:r>
        <w:tab/>
      </w:r>
      <w:r>
        <w:fldChar w:fldCharType="begin"/>
      </w:r>
      <w:r>
        <w:instrText xml:space="preserve"> PAGEREF _Toc522197302 \h </w:instrText>
      </w:r>
      <w:r>
        <w:fldChar w:fldCharType="separate"/>
      </w:r>
      <w:r>
        <w:t>129</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Extended trading permit, applications for</w:t>
      </w:r>
      <w:r>
        <w:tab/>
      </w:r>
      <w:r>
        <w:fldChar w:fldCharType="begin"/>
      </w:r>
      <w:r>
        <w:instrText xml:space="preserve"> PAGEREF _Toc522197303 \h </w:instrText>
      </w:r>
      <w:r>
        <w:fldChar w:fldCharType="separate"/>
      </w:r>
      <w:r>
        <w:t>130</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No alteration of licensed premises without approval; application for approvals of alterations or redefinition of premises</w:t>
      </w:r>
      <w:r>
        <w:tab/>
      </w:r>
      <w:r>
        <w:fldChar w:fldCharType="begin"/>
      </w:r>
      <w:r>
        <w:instrText xml:space="preserve"> PAGEREF _Toc522197304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Removals</w:t>
      </w:r>
    </w:p>
    <w:p>
      <w:pPr>
        <w:pStyle w:val="TOC8"/>
        <w:rPr>
          <w:rFonts w:asciiTheme="minorHAnsi" w:eastAsiaTheme="minorEastAsia" w:hAnsiTheme="minorHAnsi" w:cstheme="minorBidi"/>
          <w:szCs w:val="22"/>
        </w:rPr>
      </w:pPr>
      <w:r>
        <w:t>78</w:t>
      </w:r>
      <w:r>
        <w:rPr>
          <w:snapToGrid w:val="0"/>
        </w:rPr>
        <w:t>.</w:t>
      </w:r>
      <w:r>
        <w:rPr>
          <w:snapToGrid w:val="0"/>
        </w:rPr>
        <w:tab/>
        <w:t>Casino liquor licence not removable without authority</w:t>
      </w:r>
      <w:r>
        <w:tab/>
      </w:r>
      <w:r>
        <w:fldChar w:fldCharType="begin"/>
      </w:r>
      <w:r>
        <w:instrText xml:space="preserve"> PAGEREF _Toc522197306 \h </w:instrText>
      </w:r>
      <w:r>
        <w:fldChar w:fldCharType="separate"/>
      </w:r>
      <w:r>
        <w:t>133</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Licence relating to transport, when removable</w:t>
      </w:r>
      <w:r>
        <w:tab/>
      </w:r>
      <w:r>
        <w:fldChar w:fldCharType="begin"/>
      </w:r>
      <w:r>
        <w:instrText xml:space="preserve"> PAGEREF _Toc522197307 \h </w:instrText>
      </w:r>
      <w:r>
        <w:fldChar w:fldCharType="separate"/>
      </w:r>
      <w:r>
        <w:t>133</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Temporary removal or redefinition of licence</w:t>
      </w:r>
      <w:r>
        <w:tab/>
      </w:r>
      <w:r>
        <w:fldChar w:fldCharType="begin"/>
      </w:r>
      <w:r>
        <w:instrText xml:space="preserve"> PAGEREF _Toc522197308 \h </w:instrText>
      </w:r>
      <w:r>
        <w:fldChar w:fldCharType="separate"/>
      </w:r>
      <w:r>
        <w:t>133</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Applications for removal of licence</w:t>
      </w:r>
      <w:r>
        <w:tab/>
      </w:r>
      <w:r>
        <w:fldChar w:fldCharType="begin"/>
      </w:r>
      <w:r>
        <w:instrText xml:space="preserve"> PAGEREF _Toc522197309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Transfers</w:t>
      </w:r>
    </w:p>
    <w:p>
      <w:pPr>
        <w:pStyle w:val="TOC8"/>
        <w:rPr>
          <w:rFonts w:asciiTheme="minorHAnsi" w:eastAsiaTheme="minorEastAsia" w:hAnsiTheme="minorHAnsi" w:cstheme="minorBidi"/>
          <w:szCs w:val="22"/>
        </w:rPr>
      </w:pPr>
      <w:r>
        <w:t>82</w:t>
      </w:r>
      <w:r>
        <w:rPr>
          <w:snapToGrid w:val="0"/>
        </w:rPr>
        <w:t>.</w:t>
      </w:r>
      <w:r>
        <w:rPr>
          <w:snapToGrid w:val="0"/>
        </w:rPr>
        <w:tab/>
        <w:t>Applications for transfer of licences</w:t>
      </w:r>
      <w:r>
        <w:tab/>
      </w:r>
      <w:r>
        <w:fldChar w:fldCharType="begin"/>
      </w:r>
      <w:r>
        <w:instrText xml:space="preserve"> PAGEREF _Toc522197311 \h </w:instrText>
      </w:r>
      <w:r>
        <w:fldChar w:fldCharType="separate"/>
      </w:r>
      <w:r>
        <w:t>136</w:t>
      </w:r>
      <w:r>
        <w:fldChar w:fldCharType="end"/>
      </w:r>
    </w:p>
    <w:p>
      <w:pPr>
        <w:pStyle w:val="TOC8"/>
        <w:rPr>
          <w:rFonts w:asciiTheme="minorHAnsi" w:eastAsiaTheme="minorEastAsia" w:hAnsiTheme="minorHAnsi" w:cstheme="minorBidi"/>
          <w:szCs w:val="22"/>
        </w:rPr>
      </w:pPr>
      <w:r>
        <w:t>82A</w:t>
      </w:r>
      <w:r>
        <w:rPr>
          <w:snapToGrid w:val="0"/>
        </w:rPr>
        <w:t>.</w:t>
      </w:r>
      <w:r>
        <w:rPr>
          <w:snapToGrid w:val="0"/>
        </w:rPr>
        <w:tab/>
        <w:t>Transfer of licence between licence holders</w:t>
      </w:r>
      <w:r>
        <w:tab/>
      </w:r>
      <w:r>
        <w:fldChar w:fldCharType="begin"/>
      </w:r>
      <w:r>
        <w:instrText xml:space="preserve"> PAGEREF _Toc522197312 \h </w:instrText>
      </w:r>
      <w:r>
        <w:fldChar w:fldCharType="separate"/>
      </w:r>
      <w:r>
        <w:t>136</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Certain licences not transferable</w:t>
      </w:r>
      <w:r>
        <w:tab/>
      </w:r>
      <w:r>
        <w:fldChar w:fldCharType="begin"/>
      </w:r>
      <w:r>
        <w:instrText xml:space="preserve"> PAGEREF _Toc522197313 \h </w:instrText>
      </w:r>
      <w:r>
        <w:fldChar w:fldCharType="separate"/>
      </w:r>
      <w:r>
        <w:t>137</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Pre-requisites for transfer of licence</w:t>
      </w:r>
      <w:r>
        <w:tab/>
      </w:r>
      <w:r>
        <w:fldChar w:fldCharType="begin"/>
      </w:r>
      <w:r>
        <w:instrText xml:space="preserve"> PAGEREF _Toc522197314 \h </w:instrText>
      </w:r>
      <w:r>
        <w:fldChar w:fldCharType="separate"/>
      </w:r>
      <w:r>
        <w:t>137</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Transferee to succeed to certain of transferor’s liabilities and rights</w:t>
      </w:r>
      <w:r>
        <w:tab/>
      </w:r>
      <w:r>
        <w:fldChar w:fldCharType="begin"/>
      </w:r>
      <w:r>
        <w:instrText xml:space="preserve"> PAGEREF _Toc522197315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t>Division 10</w:t>
      </w:r>
      <w:r>
        <w:rPr>
          <w:snapToGrid w:val="0"/>
        </w:rPr>
        <w:t> — </w:t>
      </w:r>
      <w:r>
        <w:t>Interim authorisations and protection orders</w:t>
      </w:r>
    </w:p>
    <w:p>
      <w:pPr>
        <w:pStyle w:val="TOC8"/>
        <w:rPr>
          <w:rFonts w:asciiTheme="minorHAnsi" w:eastAsiaTheme="minorEastAsia" w:hAnsiTheme="minorHAnsi" w:cstheme="minorBidi"/>
          <w:szCs w:val="22"/>
        </w:rPr>
      </w:pPr>
      <w:r>
        <w:t>86</w:t>
      </w:r>
      <w:r>
        <w:rPr>
          <w:snapToGrid w:val="0"/>
        </w:rPr>
        <w:t>.</w:t>
      </w:r>
      <w:r>
        <w:rPr>
          <w:snapToGrid w:val="0"/>
        </w:rPr>
        <w:tab/>
        <w:t>Interim authorisations to carry on business under licence</w:t>
      </w:r>
      <w:r>
        <w:tab/>
      </w:r>
      <w:r>
        <w:fldChar w:fldCharType="begin"/>
      </w:r>
      <w:r>
        <w:instrText xml:space="preserve"> PAGEREF _Toc522197317 \h </w:instrText>
      </w:r>
      <w:r>
        <w:fldChar w:fldCharType="separate"/>
      </w:r>
      <w:r>
        <w:t>140</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Protection orders, grant and term of etc.</w:t>
      </w:r>
      <w:r>
        <w:tab/>
      </w:r>
      <w:r>
        <w:fldChar w:fldCharType="begin"/>
      </w:r>
      <w:r>
        <w:instrText xml:space="preserve"> PAGEREF _Toc522197318 \h </w:instrText>
      </w:r>
      <w:r>
        <w:fldChar w:fldCharType="separate"/>
      </w:r>
      <w:r>
        <w:t>143</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Protection order, effect of</w:t>
      </w:r>
      <w:r>
        <w:tab/>
      </w:r>
      <w:r>
        <w:fldChar w:fldCharType="begin"/>
      </w:r>
      <w:r>
        <w:instrText xml:space="preserve"> PAGEREF _Toc522197319 \h </w:instrText>
      </w:r>
      <w:r>
        <w:fldChar w:fldCharType="separate"/>
      </w:r>
      <w:r>
        <w:t>146</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Dispute as to terms of lease, Director’s powers in case of</w:t>
      </w:r>
      <w:r>
        <w:tab/>
      </w:r>
      <w:r>
        <w:fldChar w:fldCharType="begin"/>
      </w:r>
      <w:r>
        <w:instrText xml:space="preserve"> PAGEREF _Toc522197320 \h </w:instrText>
      </w:r>
      <w:r>
        <w:fldChar w:fldCharType="separate"/>
      </w:r>
      <w:r>
        <w:t>147</w:t>
      </w:r>
      <w:r>
        <w:fldChar w:fldCharType="end"/>
      </w:r>
    </w:p>
    <w:p>
      <w:pPr>
        <w:pStyle w:val="TOC4"/>
        <w:tabs>
          <w:tab w:val="right" w:leader="dot" w:pos="7077"/>
        </w:tabs>
        <w:rPr>
          <w:rFonts w:asciiTheme="minorHAnsi" w:eastAsiaTheme="minorEastAsia" w:hAnsiTheme="minorHAnsi" w:cstheme="minorBidi"/>
          <w:b w:val="0"/>
          <w:szCs w:val="22"/>
        </w:rPr>
      </w:pPr>
      <w:r>
        <w:t>Division 11</w:t>
      </w:r>
      <w:r>
        <w:rPr>
          <w:snapToGrid w:val="0"/>
        </w:rPr>
        <w:t> — </w:t>
      </w:r>
      <w:r>
        <w:t>Suspensions</w:t>
      </w:r>
    </w:p>
    <w:p>
      <w:pPr>
        <w:pStyle w:val="TOC8"/>
        <w:rPr>
          <w:rFonts w:asciiTheme="minorHAnsi" w:eastAsiaTheme="minorEastAsia" w:hAnsiTheme="minorHAnsi" w:cstheme="minorBidi"/>
          <w:szCs w:val="22"/>
        </w:rPr>
      </w:pPr>
      <w:r>
        <w:t>91</w:t>
      </w:r>
      <w:r>
        <w:rPr>
          <w:snapToGrid w:val="0"/>
        </w:rPr>
        <w:t>.</w:t>
      </w:r>
      <w:r>
        <w:rPr>
          <w:snapToGrid w:val="0"/>
        </w:rPr>
        <w:tab/>
        <w:t>Suspension of licence or permit in the public interest</w:t>
      </w:r>
      <w:r>
        <w:tab/>
      </w:r>
      <w:r>
        <w:fldChar w:fldCharType="begin"/>
      </w:r>
      <w:r>
        <w:instrText xml:space="preserve"> PAGEREF _Toc522197322 \h </w:instrText>
      </w:r>
      <w:r>
        <w:fldChar w:fldCharType="separate"/>
      </w:r>
      <w:r>
        <w:t>147</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Suspension because business has ceased etc.</w:t>
      </w:r>
      <w:r>
        <w:tab/>
      </w:r>
      <w:r>
        <w:fldChar w:fldCharType="begin"/>
      </w:r>
      <w:r>
        <w:instrText xml:space="preserve"> PAGEREF _Toc522197323 \h </w:instrText>
      </w:r>
      <w:r>
        <w:fldChar w:fldCharType="separate"/>
      </w:r>
      <w:r>
        <w:t>148</w:t>
      </w:r>
      <w:r>
        <w:fldChar w:fldCharType="end"/>
      </w:r>
    </w:p>
    <w:p>
      <w:pPr>
        <w:pStyle w:val="TOC8"/>
        <w:rPr>
          <w:rFonts w:asciiTheme="minorHAnsi" w:eastAsiaTheme="minorEastAsia" w:hAnsiTheme="minorHAnsi" w:cstheme="minorBidi"/>
          <w:szCs w:val="22"/>
        </w:rPr>
      </w:pPr>
      <w:r>
        <w:t>92A</w:t>
      </w:r>
      <w:r>
        <w:rPr>
          <w:snapToGrid w:val="0"/>
        </w:rPr>
        <w:t>.</w:t>
      </w:r>
      <w:r>
        <w:rPr>
          <w:snapToGrid w:val="0"/>
        </w:rPr>
        <w:tab/>
        <w:t>Cancellation of suspension</w:t>
      </w:r>
      <w:r>
        <w:tab/>
      </w:r>
      <w:r>
        <w:fldChar w:fldCharType="begin"/>
      </w:r>
      <w:r>
        <w:instrText xml:space="preserve"> PAGEREF _Toc522197324 \h </w:instrText>
      </w:r>
      <w:r>
        <w:fldChar w:fldCharType="separate"/>
      </w:r>
      <w:r>
        <w:t>148</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Cancellation of suspended licences</w:t>
      </w:r>
      <w:r>
        <w:tab/>
      </w:r>
      <w:r>
        <w:fldChar w:fldCharType="begin"/>
      </w:r>
      <w:r>
        <w:instrText xml:space="preserve"> PAGEREF _Toc522197325 \h </w:instrText>
      </w:r>
      <w:r>
        <w:fldChar w:fldCharType="separate"/>
      </w:r>
      <w:r>
        <w:t>149</w:t>
      </w:r>
      <w:r>
        <w:fldChar w:fldCharType="end"/>
      </w:r>
    </w:p>
    <w:p>
      <w:pPr>
        <w:pStyle w:val="TOC4"/>
        <w:tabs>
          <w:tab w:val="right" w:leader="dot" w:pos="7077"/>
        </w:tabs>
        <w:rPr>
          <w:rFonts w:asciiTheme="minorHAnsi" w:eastAsiaTheme="minorEastAsia" w:hAnsiTheme="minorHAnsi" w:cstheme="minorBidi"/>
          <w:b w:val="0"/>
          <w:szCs w:val="22"/>
        </w:rPr>
      </w:pPr>
      <w:r>
        <w:t>Division 12</w:t>
      </w:r>
      <w:r>
        <w:rPr>
          <w:snapToGrid w:val="0"/>
        </w:rPr>
        <w:t> — </w:t>
      </w:r>
      <w:r>
        <w:t>Surrenders</w:t>
      </w:r>
    </w:p>
    <w:p>
      <w:pPr>
        <w:pStyle w:val="TOC8"/>
        <w:rPr>
          <w:rFonts w:asciiTheme="minorHAnsi" w:eastAsiaTheme="minorEastAsia" w:hAnsiTheme="minorHAnsi" w:cstheme="minorBidi"/>
          <w:szCs w:val="22"/>
        </w:rPr>
      </w:pPr>
      <w:r>
        <w:t>94</w:t>
      </w:r>
      <w:r>
        <w:rPr>
          <w:snapToGrid w:val="0"/>
        </w:rPr>
        <w:t>.</w:t>
      </w:r>
      <w:r>
        <w:rPr>
          <w:snapToGrid w:val="0"/>
        </w:rPr>
        <w:tab/>
        <w:t>Surrendering licences</w:t>
      </w:r>
      <w:r>
        <w:tab/>
      </w:r>
      <w:r>
        <w:fldChar w:fldCharType="begin"/>
      </w:r>
      <w:r>
        <w:instrText xml:space="preserve"> PAGEREF _Toc522197327 \h </w:instrText>
      </w:r>
      <w:r>
        <w:fldChar w:fldCharType="separate"/>
      </w:r>
      <w:r>
        <w:t>149</w:t>
      </w:r>
      <w:r>
        <w:fldChar w:fldCharType="end"/>
      </w:r>
    </w:p>
    <w:p>
      <w:pPr>
        <w:pStyle w:val="TOC4"/>
        <w:tabs>
          <w:tab w:val="right" w:leader="dot" w:pos="7077"/>
        </w:tabs>
        <w:rPr>
          <w:rFonts w:asciiTheme="minorHAnsi" w:eastAsiaTheme="minorEastAsia" w:hAnsiTheme="minorHAnsi" w:cstheme="minorBidi"/>
          <w:b w:val="0"/>
          <w:szCs w:val="22"/>
        </w:rPr>
      </w:pPr>
      <w:r>
        <w:t>Division 13</w:t>
      </w:r>
      <w:r>
        <w:rPr>
          <w:snapToGrid w:val="0"/>
        </w:rPr>
        <w:t> — </w:t>
      </w:r>
      <w:r>
        <w:t>Disciplinary matters</w:t>
      </w:r>
    </w:p>
    <w:p>
      <w:pPr>
        <w:pStyle w:val="TOC8"/>
        <w:rPr>
          <w:rFonts w:asciiTheme="minorHAnsi" w:eastAsiaTheme="minorEastAsia" w:hAnsiTheme="minorHAnsi" w:cstheme="minorBidi"/>
          <w:szCs w:val="22"/>
        </w:rPr>
      </w:pPr>
      <w:r>
        <w:t>95</w:t>
      </w:r>
      <w:r>
        <w:rPr>
          <w:snapToGrid w:val="0"/>
        </w:rPr>
        <w:t>.</w:t>
      </w:r>
      <w:r>
        <w:rPr>
          <w:snapToGrid w:val="0"/>
        </w:rPr>
        <w:tab/>
        <w:t>Disciplinary action against licensees, grounds and procedure for</w:t>
      </w:r>
      <w:r>
        <w:tab/>
      </w:r>
      <w:r>
        <w:fldChar w:fldCharType="begin"/>
      </w:r>
      <w:r>
        <w:instrText xml:space="preserve"> PAGEREF _Toc522197329 \h </w:instrText>
      </w:r>
      <w:r>
        <w:fldChar w:fldCharType="separate"/>
      </w:r>
      <w:r>
        <w:t>151</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Disciplinary action, powers to take</w:t>
      </w:r>
      <w:r>
        <w:tab/>
      </w:r>
      <w:r>
        <w:fldChar w:fldCharType="begin"/>
      </w:r>
      <w:r>
        <w:instrText xml:space="preserve"> PAGEREF _Toc522197330 \h </w:instrText>
      </w:r>
      <w:r>
        <w:fldChar w:fldCharType="separate"/>
      </w:r>
      <w:r>
        <w:t>155</w:t>
      </w:r>
      <w:r>
        <w:fldChar w:fldCharType="end"/>
      </w:r>
    </w:p>
    <w:p>
      <w:pPr>
        <w:pStyle w:val="TOC2"/>
        <w:tabs>
          <w:tab w:val="right" w:leader="dot" w:pos="7077"/>
        </w:tabs>
        <w:rPr>
          <w:rFonts w:asciiTheme="minorHAnsi" w:eastAsiaTheme="minorEastAsia" w:hAnsiTheme="minorHAnsi" w:cstheme="minorBidi"/>
          <w:b w:val="0"/>
          <w:sz w:val="22"/>
          <w:szCs w:val="22"/>
        </w:rPr>
      </w:pPr>
      <w:r>
        <w:t>Part 4 — The conduct of business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Hours of trading</w:t>
      </w:r>
    </w:p>
    <w:p>
      <w:pPr>
        <w:pStyle w:val="TOC8"/>
        <w:rPr>
          <w:rFonts w:asciiTheme="minorHAnsi" w:eastAsiaTheme="minorEastAsia" w:hAnsiTheme="minorHAnsi" w:cstheme="minorBidi"/>
          <w:szCs w:val="22"/>
        </w:rPr>
      </w:pPr>
      <w:r>
        <w:t>97</w:t>
      </w:r>
      <w:r>
        <w:rPr>
          <w:snapToGrid w:val="0"/>
        </w:rPr>
        <w:t>.</w:t>
      </w:r>
      <w:r>
        <w:rPr>
          <w:snapToGrid w:val="0"/>
        </w:rPr>
        <w:tab/>
        <w:t>Permitted hours generally</w:t>
      </w:r>
      <w:r>
        <w:tab/>
      </w:r>
      <w:r>
        <w:fldChar w:fldCharType="begin"/>
      </w:r>
      <w:r>
        <w:instrText xml:space="preserve"> PAGEREF _Toc522197333 \h </w:instrText>
      </w:r>
      <w:r>
        <w:fldChar w:fldCharType="separate"/>
      </w:r>
      <w:r>
        <w:t>158</w:t>
      </w:r>
      <w:r>
        <w:fldChar w:fldCharType="end"/>
      </w:r>
    </w:p>
    <w:p>
      <w:pPr>
        <w:pStyle w:val="TOC8"/>
        <w:rPr>
          <w:rFonts w:asciiTheme="minorHAnsi" w:eastAsiaTheme="minorEastAsia" w:hAnsiTheme="minorHAnsi" w:cstheme="minorBidi"/>
          <w:szCs w:val="22"/>
        </w:rPr>
      </w:pPr>
      <w:r>
        <w:t>98.</w:t>
      </w:r>
      <w:r>
        <w:tab/>
        <w:t>Hotel licence, permitted hours under</w:t>
      </w:r>
      <w:r>
        <w:tab/>
      </w:r>
      <w:r>
        <w:fldChar w:fldCharType="begin"/>
      </w:r>
      <w:r>
        <w:instrText xml:space="preserve"> PAGEREF _Toc522197334 \h </w:instrText>
      </w:r>
      <w:r>
        <w:fldChar w:fldCharType="separate"/>
      </w:r>
      <w:r>
        <w:t>158</w:t>
      </w:r>
      <w:r>
        <w:fldChar w:fldCharType="end"/>
      </w:r>
    </w:p>
    <w:p>
      <w:pPr>
        <w:pStyle w:val="TOC8"/>
        <w:rPr>
          <w:rFonts w:asciiTheme="minorHAnsi" w:eastAsiaTheme="minorEastAsia" w:hAnsiTheme="minorHAnsi" w:cstheme="minorBidi"/>
          <w:szCs w:val="22"/>
        </w:rPr>
      </w:pPr>
      <w:r>
        <w:t>98AA.</w:t>
      </w:r>
      <w:r>
        <w:tab/>
        <w:t>Permitted hours under small bar licence</w:t>
      </w:r>
      <w:r>
        <w:tab/>
      </w:r>
      <w:r>
        <w:fldChar w:fldCharType="begin"/>
      </w:r>
      <w:r>
        <w:instrText xml:space="preserve"> PAGEREF _Toc522197335 \h </w:instrText>
      </w:r>
      <w:r>
        <w:fldChar w:fldCharType="separate"/>
      </w:r>
      <w:r>
        <w:t>159</w:t>
      </w:r>
      <w:r>
        <w:fldChar w:fldCharType="end"/>
      </w:r>
    </w:p>
    <w:p>
      <w:pPr>
        <w:pStyle w:val="TOC8"/>
        <w:rPr>
          <w:rFonts w:asciiTheme="minorHAnsi" w:eastAsiaTheme="minorEastAsia" w:hAnsiTheme="minorHAnsi" w:cstheme="minorBidi"/>
          <w:szCs w:val="22"/>
        </w:rPr>
      </w:pPr>
      <w:r>
        <w:t>98A.</w:t>
      </w:r>
      <w:r>
        <w:tab/>
        <w:t>Nightclub licence, permitted hours under</w:t>
      </w:r>
      <w:r>
        <w:tab/>
      </w:r>
      <w:r>
        <w:fldChar w:fldCharType="begin"/>
      </w:r>
      <w:r>
        <w:instrText xml:space="preserve"> PAGEREF _Toc522197336 \h </w:instrText>
      </w:r>
      <w:r>
        <w:fldChar w:fldCharType="separate"/>
      </w:r>
      <w:r>
        <w:t>159</w:t>
      </w:r>
      <w:r>
        <w:fldChar w:fldCharType="end"/>
      </w:r>
    </w:p>
    <w:p>
      <w:pPr>
        <w:pStyle w:val="TOC8"/>
        <w:rPr>
          <w:rFonts w:asciiTheme="minorHAnsi" w:eastAsiaTheme="minorEastAsia" w:hAnsiTheme="minorHAnsi" w:cstheme="minorBidi"/>
          <w:szCs w:val="22"/>
        </w:rPr>
      </w:pPr>
      <w:r>
        <w:t>98B.</w:t>
      </w:r>
      <w:r>
        <w:tab/>
        <w:t>Casino liquor licence, permitted hours under</w:t>
      </w:r>
      <w:r>
        <w:tab/>
      </w:r>
      <w:r>
        <w:fldChar w:fldCharType="begin"/>
      </w:r>
      <w:r>
        <w:instrText xml:space="preserve"> PAGEREF _Toc522197337 \h </w:instrText>
      </w:r>
      <w:r>
        <w:fldChar w:fldCharType="separate"/>
      </w:r>
      <w:r>
        <w:t>160</w:t>
      </w:r>
      <w:r>
        <w:fldChar w:fldCharType="end"/>
      </w:r>
    </w:p>
    <w:p>
      <w:pPr>
        <w:pStyle w:val="TOC8"/>
        <w:rPr>
          <w:rFonts w:asciiTheme="minorHAnsi" w:eastAsiaTheme="minorEastAsia" w:hAnsiTheme="minorHAnsi" w:cstheme="minorBidi"/>
          <w:szCs w:val="22"/>
        </w:rPr>
      </w:pPr>
      <w:r>
        <w:t>98C.</w:t>
      </w:r>
      <w:r>
        <w:tab/>
        <w:t>Special facility licence, permitted hours under</w:t>
      </w:r>
      <w:r>
        <w:tab/>
      </w:r>
      <w:r>
        <w:fldChar w:fldCharType="begin"/>
      </w:r>
      <w:r>
        <w:instrText xml:space="preserve"> PAGEREF _Toc522197338 \h </w:instrText>
      </w:r>
      <w:r>
        <w:fldChar w:fldCharType="separate"/>
      </w:r>
      <w:r>
        <w:t>160</w:t>
      </w:r>
      <w:r>
        <w:fldChar w:fldCharType="end"/>
      </w:r>
    </w:p>
    <w:p>
      <w:pPr>
        <w:pStyle w:val="TOC8"/>
        <w:rPr>
          <w:rFonts w:asciiTheme="minorHAnsi" w:eastAsiaTheme="minorEastAsia" w:hAnsiTheme="minorHAnsi" w:cstheme="minorBidi"/>
          <w:szCs w:val="22"/>
        </w:rPr>
      </w:pPr>
      <w:r>
        <w:t>98D.</w:t>
      </w:r>
      <w:r>
        <w:tab/>
        <w:t>Liquor store licence, permitted hours under</w:t>
      </w:r>
      <w:r>
        <w:tab/>
      </w:r>
      <w:r>
        <w:fldChar w:fldCharType="begin"/>
      </w:r>
      <w:r>
        <w:instrText xml:space="preserve"> PAGEREF _Toc522197339 \h </w:instrText>
      </w:r>
      <w:r>
        <w:fldChar w:fldCharType="separate"/>
      </w:r>
      <w:r>
        <w:t>161</w:t>
      </w:r>
      <w:r>
        <w:fldChar w:fldCharType="end"/>
      </w:r>
    </w:p>
    <w:p>
      <w:pPr>
        <w:pStyle w:val="TOC8"/>
        <w:rPr>
          <w:rFonts w:asciiTheme="minorHAnsi" w:eastAsiaTheme="minorEastAsia" w:hAnsiTheme="minorHAnsi" w:cstheme="minorBidi"/>
          <w:szCs w:val="22"/>
        </w:rPr>
      </w:pPr>
      <w:r>
        <w:t>98E.</w:t>
      </w:r>
      <w:r>
        <w:tab/>
        <w:t>Club licence and club restricted licence, permitted hours under</w:t>
      </w:r>
      <w:r>
        <w:tab/>
      </w:r>
      <w:r>
        <w:fldChar w:fldCharType="begin"/>
      </w:r>
      <w:r>
        <w:instrText xml:space="preserve"> PAGEREF _Toc522197340 \h </w:instrText>
      </w:r>
      <w:r>
        <w:fldChar w:fldCharType="separate"/>
      </w:r>
      <w:r>
        <w:t>161</w:t>
      </w:r>
      <w:r>
        <w:fldChar w:fldCharType="end"/>
      </w:r>
    </w:p>
    <w:p>
      <w:pPr>
        <w:pStyle w:val="TOC8"/>
        <w:rPr>
          <w:rFonts w:asciiTheme="minorHAnsi" w:eastAsiaTheme="minorEastAsia" w:hAnsiTheme="minorHAnsi" w:cstheme="minorBidi"/>
          <w:szCs w:val="22"/>
        </w:rPr>
      </w:pPr>
      <w:r>
        <w:t>98F.</w:t>
      </w:r>
      <w:r>
        <w:tab/>
        <w:t>Restaurant licence, permitted hours under</w:t>
      </w:r>
      <w:r>
        <w:tab/>
      </w:r>
      <w:r>
        <w:fldChar w:fldCharType="begin"/>
      </w:r>
      <w:r>
        <w:instrText xml:space="preserve"> PAGEREF _Toc522197341 \h </w:instrText>
      </w:r>
      <w:r>
        <w:fldChar w:fldCharType="separate"/>
      </w:r>
      <w:r>
        <w:t>163</w:t>
      </w:r>
      <w:r>
        <w:fldChar w:fldCharType="end"/>
      </w:r>
    </w:p>
    <w:p>
      <w:pPr>
        <w:pStyle w:val="TOC8"/>
        <w:rPr>
          <w:rFonts w:asciiTheme="minorHAnsi" w:eastAsiaTheme="minorEastAsia" w:hAnsiTheme="minorHAnsi" w:cstheme="minorBidi"/>
          <w:szCs w:val="22"/>
        </w:rPr>
      </w:pPr>
      <w:r>
        <w:t>98G.</w:t>
      </w:r>
      <w:r>
        <w:tab/>
        <w:t>Producer’s licence, permitted hours under</w:t>
      </w:r>
      <w:r>
        <w:tab/>
      </w:r>
      <w:r>
        <w:fldChar w:fldCharType="begin"/>
      </w:r>
      <w:r>
        <w:instrText xml:space="preserve"> PAGEREF _Toc522197342 \h </w:instrText>
      </w:r>
      <w:r>
        <w:fldChar w:fldCharType="separate"/>
      </w:r>
      <w:r>
        <w:t>163</w:t>
      </w:r>
      <w:r>
        <w:fldChar w:fldCharType="end"/>
      </w:r>
    </w:p>
    <w:p>
      <w:pPr>
        <w:pStyle w:val="TOC8"/>
        <w:rPr>
          <w:rFonts w:asciiTheme="minorHAnsi" w:eastAsiaTheme="minorEastAsia" w:hAnsiTheme="minorHAnsi" w:cstheme="minorBidi"/>
          <w:szCs w:val="22"/>
        </w:rPr>
      </w:pPr>
      <w:r>
        <w:t>98H.</w:t>
      </w:r>
      <w:r>
        <w:tab/>
        <w:t>Wholesaler’s licence, permitted hours under</w:t>
      </w:r>
      <w:r>
        <w:tab/>
      </w:r>
      <w:r>
        <w:fldChar w:fldCharType="begin"/>
      </w:r>
      <w:r>
        <w:instrText xml:space="preserve"> PAGEREF _Toc522197343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Maintenance of the premises</w:t>
      </w:r>
    </w:p>
    <w:p>
      <w:pPr>
        <w:pStyle w:val="TOC8"/>
        <w:rPr>
          <w:rFonts w:asciiTheme="minorHAnsi" w:eastAsiaTheme="minorEastAsia" w:hAnsiTheme="minorHAnsi" w:cstheme="minorBidi"/>
          <w:szCs w:val="22"/>
        </w:rPr>
      </w:pPr>
      <w:r>
        <w:t>99</w:t>
      </w:r>
      <w:r>
        <w:rPr>
          <w:snapToGrid w:val="0"/>
        </w:rPr>
        <w:t>.</w:t>
      </w:r>
      <w:r>
        <w:rPr>
          <w:snapToGrid w:val="0"/>
        </w:rPr>
        <w:tab/>
        <w:t>Duty to keep premises clean and in good repair; powers to enforce duty and require alterations</w:t>
      </w:r>
      <w:r>
        <w:tab/>
      </w:r>
      <w:r>
        <w:fldChar w:fldCharType="begin"/>
      </w:r>
      <w:r>
        <w:instrText xml:space="preserve"> PAGEREF _Toc522197345 \h </w:instrText>
      </w:r>
      <w:r>
        <w:fldChar w:fldCharType="separate"/>
      </w:r>
      <w:r>
        <w:t>164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Supervision and management</w:t>
      </w:r>
    </w:p>
    <w:p>
      <w:pPr>
        <w:pStyle w:val="TOC6"/>
        <w:tabs>
          <w:tab w:val="right" w:leader="dot" w:pos="7077"/>
        </w:tabs>
        <w:rPr>
          <w:rFonts w:asciiTheme="minorHAnsi" w:eastAsiaTheme="minorEastAsia" w:hAnsiTheme="minorHAnsi" w:cstheme="minorBidi"/>
          <w:b w:val="0"/>
          <w:sz w:val="22"/>
          <w:szCs w:val="22"/>
        </w:rPr>
      </w:pPr>
      <w:r>
        <w:t>Subdivision 1 — Licensed premises to be supervised and managed</w:t>
      </w:r>
    </w:p>
    <w:p>
      <w:pPr>
        <w:pStyle w:val="TOC8"/>
        <w:rPr>
          <w:rFonts w:asciiTheme="minorHAnsi" w:eastAsiaTheme="minorEastAsia" w:hAnsiTheme="minorHAnsi" w:cstheme="minorBidi"/>
          <w:szCs w:val="22"/>
        </w:rPr>
      </w:pPr>
      <w:r>
        <w:t>100</w:t>
      </w:r>
      <w:r>
        <w:rPr>
          <w:snapToGrid w:val="0"/>
        </w:rPr>
        <w:t>.</w:t>
      </w:r>
      <w:r>
        <w:rPr>
          <w:snapToGrid w:val="0"/>
        </w:rPr>
        <w:tab/>
        <w:t>Licensee’s duties</w:t>
      </w:r>
      <w:r>
        <w:tab/>
      </w:r>
      <w:r>
        <w:fldChar w:fldCharType="begin"/>
      </w:r>
      <w:r>
        <w:instrText xml:space="preserve"> PAGEREF _Toc522197348 \h </w:instrText>
      </w:r>
      <w:r>
        <w:fldChar w:fldCharType="separate"/>
      </w:r>
      <w:r>
        <w:t>165</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Managers etc., liabilities of</w:t>
      </w:r>
      <w:r>
        <w:tab/>
      </w:r>
      <w:r>
        <w:fldChar w:fldCharType="begin"/>
      </w:r>
      <w:r>
        <w:instrText xml:space="preserve"> PAGEREF _Toc522197349 \h </w:instrText>
      </w:r>
      <w:r>
        <w:fldChar w:fldCharType="separate"/>
      </w:r>
      <w:r>
        <w:t>168</w:t>
      </w:r>
      <w:r>
        <w:fldChar w:fldCharType="end"/>
      </w:r>
    </w:p>
    <w:p>
      <w:pPr>
        <w:pStyle w:val="TOC6"/>
        <w:tabs>
          <w:tab w:val="right" w:leader="dot" w:pos="7077"/>
        </w:tabs>
        <w:rPr>
          <w:rFonts w:asciiTheme="minorHAnsi" w:eastAsiaTheme="minorEastAsia" w:hAnsiTheme="minorHAnsi" w:cstheme="minorBidi"/>
          <w:b w:val="0"/>
          <w:sz w:val="22"/>
          <w:szCs w:val="22"/>
        </w:rPr>
      </w:pPr>
      <w:r>
        <w:t>Subdivision 2 — Approval of managers</w:t>
      </w:r>
    </w:p>
    <w:p>
      <w:pPr>
        <w:pStyle w:val="TOC8"/>
        <w:rPr>
          <w:rFonts w:asciiTheme="minorHAnsi" w:eastAsiaTheme="minorEastAsia" w:hAnsiTheme="minorHAnsi" w:cstheme="minorBidi"/>
          <w:szCs w:val="22"/>
        </w:rPr>
      </w:pPr>
      <w:r>
        <w:t>102A.</w:t>
      </w:r>
      <w:r>
        <w:tab/>
        <w:t>Terms used</w:t>
      </w:r>
      <w:r>
        <w:tab/>
      </w:r>
      <w:r>
        <w:fldChar w:fldCharType="begin"/>
      </w:r>
      <w:r>
        <w:instrText xml:space="preserve"> PAGEREF _Toc522197351 \h </w:instrText>
      </w:r>
      <w:r>
        <w:fldChar w:fldCharType="separate"/>
      </w:r>
      <w:r>
        <w:t>169</w:t>
      </w:r>
      <w:r>
        <w:fldChar w:fldCharType="end"/>
      </w:r>
    </w:p>
    <w:p>
      <w:pPr>
        <w:pStyle w:val="TOC8"/>
        <w:rPr>
          <w:rFonts w:asciiTheme="minorHAnsi" w:eastAsiaTheme="minorEastAsia" w:hAnsiTheme="minorHAnsi" w:cstheme="minorBidi"/>
          <w:szCs w:val="22"/>
        </w:rPr>
      </w:pPr>
      <w:r>
        <w:t>102B.</w:t>
      </w:r>
      <w:r>
        <w:tab/>
        <w:t>Applications for and granting approvals</w:t>
      </w:r>
      <w:r>
        <w:tab/>
      </w:r>
      <w:r>
        <w:fldChar w:fldCharType="begin"/>
      </w:r>
      <w:r>
        <w:instrText xml:space="preserve"> PAGEREF _Toc522197352 \h </w:instrText>
      </w:r>
      <w:r>
        <w:fldChar w:fldCharType="separate"/>
      </w:r>
      <w:r>
        <w:t>169</w:t>
      </w:r>
      <w:r>
        <w:fldChar w:fldCharType="end"/>
      </w:r>
    </w:p>
    <w:p>
      <w:pPr>
        <w:pStyle w:val="TOC8"/>
        <w:rPr>
          <w:rFonts w:asciiTheme="minorHAnsi" w:eastAsiaTheme="minorEastAsia" w:hAnsiTheme="minorHAnsi" w:cstheme="minorBidi"/>
          <w:szCs w:val="22"/>
        </w:rPr>
      </w:pPr>
      <w:r>
        <w:t>102C.</w:t>
      </w:r>
      <w:r>
        <w:tab/>
        <w:t>Conditions on manager’s approval</w:t>
      </w:r>
      <w:r>
        <w:tab/>
      </w:r>
      <w:r>
        <w:fldChar w:fldCharType="begin"/>
      </w:r>
      <w:r>
        <w:instrText xml:space="preserve"> PAGEREF _Toc522197353 \h </w:instrText>
      </w:r>
      <w:r>
        <w:fldChar w:fldCharType="separate"/>
      </w:r>
      <w:r>
        <w:t>170</w:t>
      </w:r>
      <w:r>
        <w:fldChar w:fldCharType="end"/>
      </w:r>
    </w:p>
    <w:p>
      <w:pPr>
        <w:pStyle w:val="TOC8"/>
        <w:rPr>
          <w:rFonts w:asciiTheme="minorHAnsi" w:eastAsiaTheme="minorEastAsia" w:hAnsiTheme="minorHAnsi" w:cstheme="minorBidi"/>
          <w:szCs w:val="22"/>
        </w:rPr>
      </w:pPr>
      <w:r>
        <w:t>102D.</w:t>
      </w:r>
      <w:r>
        <w:tab/>
        <w:t>Duration of manager’s approval</w:t>
      </w:r>
      <w:r>
        <w:tab/>
      </w:r>
      <w:r>
        <w:fldChar w:fldCharType="begin"/>
      </w:r>
      <w:r>
        <w:instrText xml:space="preserve"> PAGEREF _Toc522197354 \h </w:instrText>
      </w:r>
      <w:r>
        <w:fldChar w:fldCharType="separate"/>
      </w:r>
      <w:r>
        <w:t>170</w:t>
      </w:r>
      <w:r>
        <w:fldChar w:fldCharType="end"/>
      </w:r>
    </w:p>
    <w:p>
      <w:pPr>
        <w:pStyle w:val="TOC8"/>
        <w:rPr>
          <w:rFonts w:asciiTheme="minorHAnsi" w:eastAsiaTheme="minorEastAsia" w:hAnsiTheme="minorHAnsi" w:cstheme="minorBidi"/>
          <w:szCs w:val="22"/>
        </w:rPr>
      </w:pPr>
      <w:r>
        <w:t>102E.</w:t>
      </w:r>
      <w:r>
        <w:tab/>
        <w:t>Renewal of manager’s approval</w:t>
      </w:r>
      <w:r>
        <w:tab/>
      </w:r>
      <w:r>
        <w:fldChar w:fldCharType="begin"/>
      </w:r>
      <w:r>
        <w:instrText xml:space="preserve"> PAGEREF _Toc522197355 \h </w:instrText>
      </w:r>
      <w:r>
        <w:fldChar w:fldCharType="separate"/>
      </w:r>
      <w:r>
        <w:t>170</w:t>
      </w:r>
      <w:r>
        <w:fldChar w:fldCharType="end"/>
      </w:r>
    </w:p>
    <w:p>
      <w:pPr>
        <w:pStyle w:val="TOC8"/>
        <w:rPr>
          <w:rFonts w:asciiTheme="minorHAnsi" w:eastAsiaTheme="minorEastAsia" w:hAnsiTheme="minorHAnsi" w:cstheme="minorBidi"/>
          <w:szCs w:val="22"/>
        </w:rPr>
      </w:pPr>
      <w:r>
        <w:t>102F.</w:t>
      </w:r>
      <w:r>
        <w:tab/>
        <w:t>Disciplinary action against approved managers</w:t>
      </w:r>
      <w:r>
        <w:tab/>
      </w:r>
      <w:r>
        <w:fldChar w:fldCharType="begin"/>
      </w:r>
      <w:r>
        <w:instrText xml:space="preserve"> PAGEREF _Toc522197356 \h </w:instrText>
      </w:r>
      <w:r>
        <w:fldChar w:fldCharType="separate"/>
      </w:r>
      <w:r>
        <w:t>170</w:t>
      </w:r>
      <w:r>
        <w:fldChar w:fldCharType="end"/>
      </w:r>
    </w:p>
    <w:p>
      <w:pPr>
        <w:pStyle w:val="TOC8"/>
        <w:rPr>
          <w:rFonts w:asciiTheme="minorHAnsi" w:eastAsiaTheme="minorEastAsia" w:hAnsiTheme="minorHAnsi" w:cstheme="minorBidi"/>
          <w:szCs w:val="22"/>
        </w:rPr>
      </w:pPr>
      <w:r>
        <w:t>102G.</w:t>
      </w:r>
      <w:r>
        <w:tab/>
        <w:t>Approval may be cancelled on request</w:t>
      </w:r>
      <w:r>
        <w:tab/>
      </w:r>
      <w:r>
        <w:fldChar w:fldCharType="begin"/>
      </w:r>
      <w:r>
        <w:instrText xml:space="preserve"> PAGEREF _Toc522197357 \h </w:instrText>
      </w:r>
      <w:r>
        <w:fldChar w:fldCharType="separate"/>
      </w:r>
      <w:r>
        <w:t>171</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 matters</w:t>
      </w:r>
    </w:p>
    <w:p>
      <w:pPr>
        <w:pStyle w:val="TOC8"/>
        <w:rPr>
          <w:rFonts w:asciiTheme="minorHAnsi" w:eastAsiaTheme="minorEastAsia" w:hAnsiTheme="minorHAnsi" w:cstheme="minorBidi"/>
          <w:szCs w:val="22"/>
        </w:rPr>
      </w:pPr>
      <w:r>
        <w:t>102</w:t>
      </w:r>
      <w:r>
        <w:rPr>
          <w:snapToGrid w:val="0"/>
        </w:rPr>
        <w:t>.</w:t>
      </w:r>
      <w:r>
        <w:rPr>
          <w:snapToGrid w:val="0"/>
        </w:rPr>
        <w:tab/>
        <w:t>Management and control of incorporated licensees, approvals required</w:t>
      </w:r>
      <w:r>
        <w:tab/>
      </w:r>
      <w:r>
        <w:fldChar w:fldCharType="begin"/>
      </w:r>
      <w:r>
        <w:instrText xml:space="preserve"> PAGEREF _Toc522197359 \h </w:instrText>
      </w:r>
      <w:r>
        <w:fldChar w:fldCharType="separate"/>
      </w:r>
      <w:r>
        <w:t>172</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Owners of licensed premises to notify Director of certain matters</w:t>
      </w:r>
      <w:r>
        <w:tab/>
      </w:r>
      <w:r>
        <w:fldChar w:fldCharType="begin"/>
      </w:r>
      <w:r>
        <w:instrText xml:space="preserve"> PAGEREF _Toc522197360 \h </w:instrText>
      </w:r>
      <w:r>
        <w:fldChar w:fldCharType="separate"/>
      </w:r>
      <w:r>
        <w:t>173</w:t>
      </w:r>
      <w:r>
        <w:fldChar w:fldCharType="end"/>
      </w:r>
    </w:p>
    <w:p>
      <w:pPr>
        <w:pStyle w:val="TOC4"/>
        <w:tabs>
          <w:tab w:val="right" w:leader="dot" w:pos="7077"/>
        </w:tabs>
        <w:rPr>
          <w:rFonts w:asciiTheme="minorHAnsi" w:eastAsiaTheme="minorEastAsia" w:hAnsiTheme="minorHAnsi" w:cstheme="minorBidi"/>
          <w:b w:val="0"/>
          <w:szCs w:val="22"/>
        </w:rPr>
      </w:pPr>
      <w:r>
        <w:t>Division 3A — Responsible practices in selling, supplying and serving liquor</w:t>
      </w:r>
    </w:p>
    <w:p>
      <w:pPr>
        <w:pStyle w:val="TOC8"/>
        <w:rPr>
          <w:rFonts w:asciiTheme="minorHAnsi" w:eastAsiaTheme="minorEastAsia" w:hAnsiTheme="minorHAnsi" w:cstheme="minorBidi"/>
          <w:szCs w:val="22"/>
        </w:rPr>
      </w:pPr>
      <w:r>
        <w:t>103AA.</w:t>
      </w:r>
      <w:r>
        <w:tab/>
        <w:t>Register of responsible practices’ training</w:t>
      </w:r>
      <w:r>
        <w:tab/>
      </w:r>
      <w:r>
        <w:fldChar w:fldCharType="begin"/>
      </w:r>
      <w:r>
        <w:instrText xml:space="preserve"> PAGEREF _Toc522197362 \h </w:instrText>
      </w:r>
      <w:r>
        <w:fldChar w:fldCharType="separate"/>
      </w:r>
      <w:r>
        <w:t>173</w:t>
      </w:r>
      <w:r>
        <w:fldChar w:fldCharType="end"/>
      </w:r>
    </w:p>
    <w:p>
      <w:pPr>
        <w:pStyle w:val="TOC8"/>
        <w:rPr>
          <w:rFonts w:asciiTheme="minorHAnsi" w:eastAsiaTheme="minorEastAsia" w:hAnsiTheme="minorHAnsi" w:cstheme="minorBidi"/>
          <w:szCs w:val="22"/>
        </w:rPr>
      </w:pPr>
      <w:r>
        <w:t>103A.</w:t>
      </w:r>
      <w:r>
        <w:tab/>
        <w:t>Regulations about training people in responsible practices</w:t>
      </w:r>
      <w:r>
        <w:tab/>
      </w:r>
      <w:r>
        <w:fldChar w:fldCharType="begin"/>
      </w:r>
      <w:r>
        <w:instrText xml:space="preserve"> PAGEREF _Toc522197363 \h </w:instrText>
      </w:r>
      <w:r>
        <w:fldChar w:fldCharType="separate"/>
      </w:r>
      <w:r>
        <w:t>174</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Profit sharing</w:t>
      </w:r>
    </w:p>
    <w:p>
      <w:pPr>
        <w:pStyle w:val="TOC8"/>
        <w:rPr>
          <w:rFonts w:asciiTheme="minorHAnsi" w:eastAsiaTheme="minorEastAsia" w:hAnsiTheme="minorHAnsi" w:cstheme="minorBidi"/>
          <w:szCs w:val="22"/>
        </w:rPr>
      </w:pPr>
      <w:r>
        <w:t>104</w:t>
      </w:r>
      <w:r>
        <w:rPr>
          <w:snapToGrid w:val="0"/>
        </w:rPr>
        <w:t>.</w:t>
      </w:r>
      <w:r>
        <w:rPr>
          <w:snapToGrid w:val="0"/>
        </w:rPr>
        <w:tab/>
        <w:t>Profit sharing etc. prohibited without approval</w:t>
      </w:r>
      <w:r>
        <w:tab/>
      </w:r>
      <w:r>
        <w:fldChar w:fldCharType="begin"/>
      </w:r>
      <w:r>
        <w:instrText xml:space="preserve"> PAGEREF _Toc522197365 \h </w:instrText>
      </w:r>
      <w:r>
        <w:fldChar w:fldCharType="separate"/>
      </w:r>
      <w:r>
        <w:t>175</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Lodgers</w:t>
      </w:r>
    </w:p>
    <w:p>
      <w:pPr>
        <w:pStyle w:val="TOC8"/>
        <w:rPr>
          <w:rFonts w:asciiTheme="minorHAnsi" w:eastAsiaTheme="minorEastAsia" w:hAnsiTheme="minorHAnsi" w:cstheme="minorBidi"/>
          <w:szCs w:val="22"/>
        </w:rPr>
      </w:pPr>
      <w:r>
        <w:t>105</w:t>
      </w:r>
      <w:r>
        <w:rPr>
          <w:snapToGrid w:val="0"/>
        </w:rPr>
        <w:t>.</w:t>
      </w:r>
      <w:r>
        <w:rPr>
          <w:snapToGrid w:val="0"/>
        </w:rPr>
        <w:tab/>
        <w:t>Persons deemed lodgers of licensed premises in some cases</w:t>
      </w:r>
      <w:r>
        <w:tab/>
      </w:r>
      <w:r>
        <w:fldChar w:fldCharType="begin"/>
      </w:r>
      <w:r>
        <w:instrText xml:space="preserve"> PAGEREF _Toc522197367 \h </w:instrText>
      </w:r>
      <w:r>
        <w:fldChar w:fldCharType="separate"/>
      </w:r>
      <w:r>
        <w:t>177</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Liquor supplied to lodgers etc., conditions applying to</w:t>
      </w:r>
      <w:r>
        <w:tab/>
      </w:r>
      <w:r>
        <w:fldChar w:fldCharType="begin"/>
      </w:r>
      <w:r>
        <w:instrText xml:space="preserve"> PAGEREF _Toc522197368 \h </w:instrText>
      </w:r>
      <w:r>
        <w:fldChar w:fldCharType="separate"/>
      </w:r>
      <w:r>
        <w:t>177</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Loss of lodger’s property, licensee’s liability for</w:t>
      </w:r>
      <w:r>
        <w:tab/>
      </w:r>
      <w:r>
        <w:fldChar w:fldCharType="begin"/>
      </w:r>
      <w:r>
        <w:instrText xml:space="preserve"> PAGEREF _Toc522197369 \h </w:instrText>
      </w:r>
      <w:r>
        <w:fldChar w:fldCharType="separate"/>
      </w:r>
      <w:r>
        <w:t>178</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The sale and consumption of liquor, etc.</w:t>
      </w:r>
    </w:p>
    <w:p>
      <w:pPr>
        <w:pStyle w:val="TOC8"/>
        <w:rPr>
          <w:rFonts w:asciiTheme="minorHAnsi" w:eastAsiaTheme="minorEastAsia" w:hAnsiTheme="minorHAnsi" w:cstheme="minorBidi"/>
          <w:szCs w:val="22"/>
        </w:rPr>
      </w:pPr>
      <w:r>
        <w:t>108.</w:t>
      </w:r>
      <w:r>
        <w:tab/>
        <w:t>Certain licensees to exhibit charges for meals and liquor</w:t>
      </w:r>
      <w:r>
        <w:tab/>
      </w:r>
      <w:r>
        <w:fldChar w:fldCharType="begin"/>
      </w:r>
      <w:r>
        <w:instrText xml:space="preserve"> PAGEREF _Toc522197371 \h </w:instrText>
      </w:r>
      <w:r>
        <w:fldChar w:fldCharType="separate"/>
      </w:r>
      <w:r>
        <w:t>179</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Sale of liquor, offences as to</w:t>
      </w:r>
      <w:r>
        <w:tab/>
      </w:r>
      <w:r>
        <w:fldChar w:fldCharType="begin"/>
      </w:r>
      <w:r>
        <w:instrText xml:space="preserve"> PAGEREF _Toc522197372 \h </w:instrText>
      </w:r>
      <w:r>
        <w:fldChar w:fldCharType="separate"/>
      </w:r>
      <w:r>
        <w:t>179</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Licensed premises and sports arenas, offences as to</w:t>
      </w:r>
      <w:r>
        <w:tab/>
      </w:r>
      <w:r>
        <w:fldChar w:fldCharType="begin"/>
      </w:r>
      <w:r>
        <w:instrText xml:space="preserve"> PAGEREF _Toc522197373 \h </w:instrText>
      </w:r>
      <w:r>
        <w:fldChar w:fldCharType="separate"/>
      </w:r>
      <w:r>
        <w:t>182</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Trading outside permitted hours, offences as to</w:t>
      </w:r>
      <w:r>
        <w:tab/>
      </w:r>
      <w:r>
        <w:fldChar w:fldCharType="begin"/>
      </w:r>
      <w:r>
        <w:instrText xml:space="preserve"> PAGEREF _Toc522197374 \h </w:instrText>
      </w:r>
      <w:r>
        <w:fldChar w:fldCharType="separate"/>
      </w:r>
      <w:r>
        <w:t>185</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Exceptions to s. 109, 110 and 111</w:t>
      </w:r>
      <w:r>
        <w:tab/>
      </w:r>
      <w:r>
        <w:fldChar w:fldCharType="begin"/>
      </w:r>
      <w:r>
        <w:instrText xml:space="preserve"> PAGEREF _Toc522197375 \h </w:instrText>
      </w:r>
      <w:r>
        <w:fldChar w:fldCharType="separate"/>
      </w:r>
      <w:r>
        <w:t>186</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Offence under s. 109, 110 or 111, finding as to unlawful dealing in liquor; forfeiture of liquor</w:t>
      </w:r>
      <w:r>
        <w:tab/>
      </w:r>
      <w:r>
        <w:fldChar w:fldCharType="begin"/>
      </w:r>
      <w:r>
        <w:instrText xml:space="preserve"> PAGEREF _Toc522197376 \h </w:instrText>
      </w:r>
      <w:r>
        <w:fldChar w:fldCharType="separate"/>
      </w:r>
      <w:r>
        <w:t>188</w:t>
      </w:r>
      <w:r>
        <w:fldChar w:fldCharType="end"/>
      </w:r>
    </w:p>
    <w:p>
      <w:pPr>
        <w:pStyle w:val="TOC8"/>
        <w:rPr>
          <w:rFonts w:asciiTheme="minorHAnsi" w:eastAsiaTheme="minorEastAsia" w:hAnsiTheme="minorHAnsi" w:cstheme="minorBidi"/>
          <w:szCs w:val="22"/>
        </w:rPr>
      </w:pPr>
      <w:r>
        <w:t>113A.</w:t>
      </w:r>
      <w:r>
        <w:tab/>
        <w:t>Websites of some licensees, information to be displayed on</w:t>
      </w:r>
      <w:r>
        <w:tab/>
      </w:r>
      <w:r>
        <w:fldChar w:fldCharType="begin"/>
      </w:r>
      <w:r>
        <w:instrText xml:space="preserve"> PAGEREF _Toc522197377 \h </w:instrText>
      </w:r>
      <w:r>
        <w:fldChar w:fldCharType="separate"/>
      </w:r>
      <w:r>
        <w:t>188</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Closure of licensed premises, police powers as to</w:t>
      </w:r>
      <w:r>
        <w:tab/>
      </w:r>
      <w:r>
        <w:fldChar w:fldCharType="begin"/>
      </w:r>
      <w:r>
        <w:instrText xml:space="preserve"> PAGEREF _Toc522197378 \h </w:instrText>
      </w:r>
      <w:r>
        <w:fldChar w:fldCharType="separate"/>
      </w:r>
      <w:r>
        <w:t>189</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Drunk etc. people, offences as to, refusal of entry to etc.</w:t>
      </w:r>
      <w:r>
        <w:tab/>
      </w:r>
      <w:r>
        <w:fldChar w:fldCharType="begin"/>
      </w:r>
      <w:r>
        <w:instrText xml:space="preserve"> PAGEREF _Toc522197379 \h </w:instrText>
      </w:r>
      <w:r>
        <w:fldChar w:fldCharType="separate"/>
      </w:r>
      <w:r>
        <w:t>190</w:t>
      </w:r>
      <w:r>
        <w:fldChar w:fldCharType="end"/>
      </w:r>
    </w:p>
    <w:p>
      <w:pPr>
        <w:pStyle w:val="TOC8"/>
        <w:rPr>
          <w:rFonts w:asciiTheme="minorHAnsi" w:eastAsiaTheme="minorEastAsia" w:hAnsiTheme="minorHAnsi" w:cstheme="minorBidi"/>
          <w:szCs w:val="22"/>
        </w:rPr>
      </w:pPr>
      <w:r>
        <w:t>115AA.</w:t>
      </w:r>
      <w:r>
        <w:tab/>
        <w:t>Banning people from licensed premises, Commissioner of Police’s power for</w:t>
      </w:r>
      <w:r>
        <w:tab/>
      </w:r>
      <w:r>
        <w:fldChar w:fldCharType="begin"/>
      </w:r>
      <w:r>
        <w:instrText xml:space="preserve"> PAGEREF _Toc522197380 \h </w:instrText>
      </w:r>
      <w:r>
        <w:fldChar w:fldCharType="separate"/>
      </w:r>
      <w:r>
        <w:t>194</w:t>
      </w:r>
      <w:r>
        <w:fldChar w:fldCharType="end"/>
      </w:r>
    </w:p>
    <w:p>
      <w:pPr>
        <w:pStyle w:val="TOC8"/>
        <w:rPr>
          <w:rFonts w:asciiTheme="minorHAnsi" w:eastAsiaTheme="minorEastAsia" w:hAnsiTheme="minorHAnsi" w:cstheme="minorBidi"/>
          <w:szCs w:val="22"/>
        </w:rPr>
      </w:pPr>
      <w:r>
        <w:t>115AB.</w:t>
      </w:r>
      <w:r>
        <w:tab/>
        <w:t>Delegation by Commissioner of Police</w:t>
      </w:r>
      <w:r>
        <w:tab/>
      </w:r>
      <w:r>
        <w:fldChar w:fldCharType="begin"/>
      </w:r>
      <w:r>
        <w:instrText xml:space="preserve"> PAGEREF _Toc522197381 \h </w:instrText>
      </w:r>
      <w:r>
        <w:fldChar w:fldCharType="separate"/>
      </w:r>
      <w:r>
        <w:t>196</w:t>
      </w:r>
      <w:r>
        <w:fldChar w:fldCharType="end"/>
      </w:r>
    </w:p>
    <w:p>
      <w:pPr>
        <w:pStyle w:val="TOC8"/>
        <w:rPr>
          <w:rFonts w:asciiTheme="minorHAnsi" w:eastAsiaTheme="minorEastAsia" w:hAnsiTheme="minorHAnsi" w:cstheme="minorBidi"/>
          <w:szCs w:val="22"/>
        </w:rPr>
      </w:pPr>
      <w:r>
        <w:t>115AC.</w:t>
      </w:r>
      <w:r>
        <w:tab/>
        <w:t>Publication of details of people banned under s. 115AA</w:t>
      </w:r>
      <w:r>
        <w:tab/>
      </w:r>
      <w:r>
        <w:fldChar w:fldCharType="begin"/>
      </w:r>
      <w:r>
        <w:instrText xml:space="preserve"> PAGEREF _Toc522197382 \h </w:instrText>
      </w:r>
      <w:r>
        <w:fldChar w:fldCharType="separate"/>
      </w:r>
      <w:r>
        <w:t>196</w:t>
      </w:r>
      <w:r>
        <w:fldChar w:fldCharType="end"/>
      </w:r>
    </w:p>
    <w:p>
      <w:pPr>
        <w:pStyle w:val="TOC8"/>
        <w:rPr>
          <w:rFonts w:asciiTheme="minorHAnsi" w:eastAsiaTheme="minorEastAsia" w:hAnsiTheme="minorHAnsi" w:cstheme="minorBidi"/>
          <w:szCs w:val="22"/>
        </w:rPr>
      </w:pPr>
      <w:r>
        <w:t>115AD.</w:t>
      </w:r>
      <w:r>
        <w:tab/>
        <w:t>Review of s. 115AA notices</w:t>
      </w:r>
      <w:r>
        <w:tab/>
      </w:r>
      <w:r>
        <w:fldChar w:fldCharType="begin"/>
      </w:r>
      <w:r>
        <w:instrText xml:space="preserve"> PAGEREF _Toc522197383 \h </w:instrText>
      </w:r>
      <w:r>
        <w:fldChar w:fldCharType="separate"/>
      </w:r>
      <w:r>
        <w:t>197</w:t>
      </w:r>
      <w:r>
        <w:fldChar w:fldCharType="end"/>
      </w:r>
    </w:p>
    <w:p>
      <w:pPr>
        <w:pStyle w:val="TOC8"/>
        <w:rPr>
          <w:rFonts w:asciiTheme="minorHAnsi" w:eastAsiaTheme="minorEastAsia" w:hAnsiTheme="minorHAnsi" w:cstheme="minorBidi"/>
          <w:szCs w:val="22"/>
        </w:rPr>
      </w:pPr>
      <w:r>
        <w:t>115AE.</w:t>
      </w:r>
      <w:r>
        <w:tab/>
        <w:t>Permitting entry to premises contrary to s. 115AA notice</w:t>
      </w:r>
      <w:r>
        <w:tab/>
      </w:r>
      <w:r>
        <w:fldChar w:fldCharType="begin"/>
      </w:r>
      <w:r>
        <w:instrText xml:space="preserve"> PAGEREF _Toc522197384 \h </w:instrText>
      </w:r>
      <w:r>
        <w:fldChar w:fldCharType="separate"/>
      </w:r>
      <w:r>
        <w:t>199</w:t>
      </w:r>
      <w:r>
        <w:fldChar w:fldCharType="end"/>
      </w:r>
    </w:p>
    <w:p>
      <w:pPr>
        <w:pStyle w:val="TOC8"/>
        <w:rPr>
          <w:rFonts w:asciiTheme="minorHAnsi" w:eastAsiaTheme="minorEastAsia" w:hAnsiTheme="minorHAnsi" w:cstheme="minorBidi"/>
          <w:szCs w:val="22"/>
        </w:rPr>
      </w:pPr>
      <w:r>
        <w:t>115A.</w:t>
      </w:r>
      <w:r>
        <w:tab/>
        <w:t>Drinking water to be provided free at certain licensed premises</w:t>
      </w:r>
      <w:r>
        <w:tab/>
      </w:r>
      <w:r>
        <w:fldChar w:fldCharType="begin"/>
      </w:r>
      <w:r>
        <w:instrText xml:space="preserve"> PAGEREF _Toc522197385 \h </w:instrText>
      </w:r>
      <w:r>
        <w:fldChar w:fldCharType="separate"/>
      </w:r>
      <w:r>
        <w:t>199</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Documents to be displayed etc. at premises and produced</w:t>
      </w:r>
      <w:r>
        <w:tab/>
      </w:r>
      <w:r>
        <w:fldChar w:fldCharType="begin"/>
      </w:r>
      <w:r>
        <w:instrText xml:space="preserve"> PAGEREF _Toc522197386 \h </w:instrText>
      </w:r>
      <w:r>
        <w:fldChar w:fldCharType="separate"/>
      </w:r>
      <w:r>
        <w:t>200</w:t>
      </w:r>
      <w:r>
        <w:fldChar w:fldCharType="end"/>
      </w:r>
    </w:p>
    <w:p>
      <w:pPr>
        <w:pStyle w:val="TOC8"/>
        <w:rPr>
          <w:rFonts w:asciiTheme="minorHAnsi" w:eastAsiaTheme="minorEastAsia" w:hAnsiTheme="minorHAnsi" w:cstheme="minorBidi"/>
          <w:szCs w:val="22"/>
        </w:rPr>
      </w:pPr>
      <w:r>
        <w:t>116A.</w:t>
      </w:r>
      <w:r>
        <w:tab/>
        <w:t>Register of incidents at licensed premises to be maintained</w:t>
      </w:r>
      <w:r>
        <w:tab/>
      </w:r>
      <w:r>
        <w:fldChar w:fldCharType="begin"/>
      </w:r>
      <w:r>
        <w:instrText xml:space="preserve"> PAGEREF _Toc522197387 \h </w:instrText>
      </w:r>
      <w:r>
        <w:fldChar w:fldCharType="separate"/>
      </w:r>
      <w:r>
        <w:t>201</w:t>
      </w:r>
      <w:r>
        <w:fldChar w:fldCharType="end"/>
      </w:r>
    </w:p>
    <w:p>
      <w:pPr>
        <w:pStyle w:val="TOC4"/>
        <w:tabs>
          <w:tab w:val="right" w:leader="dot" w:pos="7077"/>
        </w:tabs>
        <w:rPr>
          <w:rFonts w:asciiTheme="minorHAnsi" w:eastAsiaTheme="minorEastAsia" w:hAnsiTheme="minorHAnsi" w:cstheme="minorBidi"/>
          <w:b w:val="0"/>
          <w:szCs w:val="22"/>
        </w:rPr>
      </w:pPr>
      <w:r>
        <w:t>Division 7 — Complaints to Director</w:t>
      </w:r>
    </w:p>
    <w:p>
      <w:pPr>
        <w:pStyle w:val="TOC8"/>
        <w:rPr>
          <w:rFonts w:asciiTheme="minorHAnsi" w:eastAsiaTheme="minorEastAsia" w:hAnsiTheme="minorHAnsi" w:cstheme="minorBidi"/>
          <w:szCs w:val="22"/>
        </w:rPr>
      </w:pPr>
      <w:r>
        <w:t>117</w:t>
      </w:r>
      <w:r>
        <w:rPr>
          <w:snapToGrid w:val="0"/>
        </w:rPr>
        <w:t>.</w:t>
      </w:r>
      <w:r>
        <w:rPr>
          <w:snapToGrid w:val="0"/>
        </w:rPr>
        <w:tab/>
        <w:t>Noise or behaviour related to licensed premises, complaints about</w:t>
      </w:r>
      <w:r>
        <w:tab/>
      </w:r>
      <w:r>
        <w:fldChar w:fldCharType="begin"/>
      </w:r>
      <w:r>
        <w:instrText xml:space="preserve"> PAGEREF _Toc522197389 \h </w:instrText>
      </w:r>
      <w:r>
        <w:fldChar w:fldCharType="separate"/>
      </w:r>
      <w:r>
        <w:t>202</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Liquor on unlicensed premises</w:t>
      </w:r>
    </w:p>
    <w:p>
      <w:pPr>
        <w:pStyle w:val="TOC8"/>
        <w:rPr>
          <w:rFonts w:asciiTheme="minorHAnsi" w:eastAsiaTheme="minorEastAsia" w:hAnsiTheme="minorHAnsi" w:cstheme="minorBidi"/>
          <w:szCs w:val="22"/>
        </w:rPr>
      </w:pPr>
      <w:r>
        <w:t>118</w:t>
      </w:r>
      <w:r>
        <w:rPr>
          <w:snapToGrid w:val="0"/>
        </w:rPr>
        <w:t>.</w:t>
      </w:r>
      <w:r>
        <w:rPr>
          <w:snapToGrid w:val="0"/>
        </w:rPr>
        <w:tab/>
        <w:t>Persons purporting to be licensee</w:t>
      </w:r>
      <w:r>
        <w:tab/>
      </w:r>
      <w:r>
        <w:fldChar w:fldCharType="begin"/>
      </w:r>
      <w:r>
        <w:instrText xml:space="preserve"> PAGEREF _Toc522197391 \h </w:instrText>
      </w:r>
      <w:r>
        <w:fldChar w:fldCharType="separate"/>
      </w:r>
      <w:r>
        <w:t>207</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Unlicensed premises etc., offences as to</w:t>
      </w:r>
      <w:r>
        <w:tab/>
      </w:r>
      <w:r>
        <w:fldChar w:fldCharType="begin"/>
      </w:r>
      <w:r>
        <w:instrText xml:space="preserve"> PAGEREF _Toc522197392 \h </w:instrText>
      </w:r>
      <w:r>
        <w:fldChar w:fldCharType="separate"/>
      </w:r>
      <w:r>
        <w:t>208</w:t>
      </w:r>
      <w:r>
        <w:fldChar w:fldCharType="end"/>
      </w:r>
    </w:p>
    <w:p>
      <w:pPr>
        <w:pStyle w:val="TOC4"/>
        <w:tabs>
          <w:tab w:val="right" w:leader="dot" w:pos="7077"/>
        </w:tabs>
        <w:rPr>
          <w:rFonts w:asciiTheme="minorHAnsi" w:eastAsiaTheme="minorEastAsia" w:hAnsiTheme="minorHAnsi" w:cstheme="minorBidi"/>
          <w:b w:val="0"/>
          <w:szCs w:val="22"/>
        </w:rPr>
      </w:pPr>
      <w:r>
        <w:t>Division 8A — Conduct of unapproved businesses on or from licensed premises</w:t>
      </w:r>
    </w:p>
    <w:p>
      <w:pPr>
        <w:pStyle w:val="TOC8"/>
        <w:rPr>
          <w:rFonts w:asciiTheme="minorHAnsi" w:eastAsiaTheme="minorEastAsia" w:hAnsiTheme="minorHAnsi" w:cstheme="minorBidi"/>
          <w:szCs w:val="22"/>
        </w:rPr>
      </w:pPr>
      <w:r>
        <w:t>119A.</w:t>
      </w:r>
      <w:r>
        <w:tab/>
        <w:t>Non-liquor businesses on licensed premises, conduct of requires approval</w:t>
      </w:r>
      <w:r>
        <w:tab/>
      </w:r>
      <w:r>
        <w:fldChar w:fldCharType="begin"/>
      </w:r>
      <w:r>
        <w:instrText xml:space="preserve"> PAGEREF _Toc522197394 \h </w:instrText>
      </w:r>
      <w:r>
        <w:fldChar w:fldCharType="separate"/>
      </w:r>
      <w:r>
        <w:t>211</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Juveniles</w:t>
      </w:r>
    </w:p>
    <w:p>
      <w:pPr>
        <w:pStyle w:val="TOC8"/>
        <w:rPr>
          <w:rFonts w:asciiTheme="minorHAnsi" w:eastAsiaTheme="minorEastAsia" w:hAnsiTheme="minorHAnsi" w:cstheme="minorBidi"/>
          <w:szCs w:val="22"/>
        </w:rPr>
      </w:pPr>
      <w:r>
        <w:t>120</w:t>
      </w:r>
      <w:r>
        <w:rPr>
          <w:snapToGrid w:val="0"/>
        </w:rPr>
        <w:t>.</w:t>
      </w:r>
      <w:r>
        <w:rPr>
          <w:snapToGrid w:val="0"/>
        </w:rPr>
        <w:tab/>
        <w:t>When juveniles permitted on licensed premises</w:t>
      </w:r>
      <w:r>
        <w:tab/>
      </w:r>
      <w:r>
        <w:fldChar w:fldCharType="begin"/>
      </w:r>
      <w:r>
        <w:instrText xml:space="preserve"> PAGEREF _Toc522197396 \h </w:instrText>
      </w:r>
      <w:r>
        <w:fldChar w:fldCharType="separate"/>
      </w:r>
      <w:r>
        <w:t>212</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Licensed premises, offences as to juveniles</w:t>
      </w:r>
      <w:r>
        <w:tab/>
      </w:r>
      <w:r>
        <w:fldChar w:fldCharType="begin"/>
      </w:r>
      <w:r>
        <w:instrText xml:space="preserve"> PAGEREF _Toc522197397 \h </w:instrText>
      </w:r>
      <w:r>
        <w:fldChar w:fldCharType="separate"/>
      </w:r>
      <w:r>
        <w:t>214</w:t>
      </w:r>
      <w:r>
        <w:fldChar w:fldCharType="end"/>
      </w:r>
    </w:p>
    <w:p>
      <w:pPr>
        <w:pStyle w:val="TOC8"/>
        <w:rPr>
          <w:rFonts w:asciiTheme="minorHAnsi" w:eastAsiaTheme="minorEastAsia" w:hAnsiTheme="minorHAnsi" w:cstheme="minorBidi"/>
          <w:szCs w:val="22"/>
        </w:rPr>
      </w:pPr>
      <w:r>
        <w:t>122A.</w:t>
      </w:r>
      <w:r>
        <w:tab/>
        <w:t>Supplying juveniles with alcohol on unlicensed premises</w:t>
      </w:r>
      <w:r>
        <w:tab/>
      </w:r>
      <w:r>
        <w:fldChar w:fldCharType="begin"/>
      </w:r>
      <w:r>
        <w:instrText xml:space="preserve"> PAGEREF _Toc522197398 \h </w:instrText>
      </w:r>
      <w:r>
        <w:fldChar w:fldCharType="separate"/>
      </w:r>
      <w:r>
        <w:t>218</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Regulated premises, offences as to juveniles</w:t>
      </w:r>
      <w:r>
        <w:tab/>
      </w:r>
      <w:r>
        <w:fldChar w:fldCharType="begin"/>
      </w:r>
      <w:r>
        <w:instrText xml:space="preserve"> PAGEREF _Toc522197399 \h </w:instrText>
      </w:r>
      <w:r>
        <w:fldChar w:fldCharType="separate"/>
      </w:r>
      <w:r>
        <w:t>219</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Possession etc. of liquor, offences by juveniles</w:t>
      </w:r>
      <w:r>
        <w:tab/>
      </w:r>
      <w:r>
        <w:fldChar w:fldCharType="begin"/>
      </w:r>
      <w:r>
        <w:instrText xml:space="preserve"> PAGEREF _Toc522197400 \h </w:instrText>
      </w:r>
      <w:r>
        <w:fldChar w:fldCharType="separate"/>
      </w:r>
      <w:r>
        <w:t>221</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Sending juveniles to obtain liquor, offence</w:t>
      </w:r>
      <w:r>
        <w:tab/>
      </w:r>
      <w:r>
        <w:fldChar w:fldCharType="begin"/>
      </w:r>
      <w:r>
        <w:instrText xml:space="preserve"> PAGEREF _Toc522197401 \h </w:instrText>
      </w:r>
      <w:r>
        <w:fldChar w:fldCharType="separate"/>
      </w:r>
      <w:r>
        <w:t>221</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Defences to offences under this Division</w:t>
      </w:r>
      <w:r>
        <w:tab/>
      </w:r>
      <w:r>
        <w:fldChar w:fldCharType="begin"/>
      </w:r>
      <w:r>
        <w:instrText xml:space="preserve"> PAGEREF _Toc522197402 \h </w:instrText>
      </w:r>
      <w:r>
        <w:fldChar w:fldCharType="separate"/>
      </w:r>
      <w:r>
        <w:t>222</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Suspected juveniles, authorised persons’ powers as to, offences by</w:t>
      </w:r>
      <w:r>
        <w:tab/>
      </w:r>
      <w:r>
        <w:fldChar w:fldCharType="begin"/>
      </w:r>
      <w:r>
        <w:instrText xml:space="preserve"> PAGEREF _Toc522197403 \h </w:instrText>
      </w:r>
      <w:r>
        <w:fldChar w:fldCharType="separate"/>
      </w:r>
      <w:r>
        <w:t>223</w:t>
      </w:r>
      <w:r>
        <w:fldChar w:fldCharType="end"/>
      </w:r>
    </w:p>
    <w:p>
      <w:pPr>
        <w:pStyle w:val="TOC8"/>
        <w:rPr>
          <w:rFonts w:asciiTheme="minorHAnsi" w:eastAsiaTheme="minorEastAsia" w:hAnsiTheme="minorHAnsi" w:cstheme="minorBidi"/>
          <w:szCs w:val="22"/>
        </w:rPr>
      </w:pPr>
      <w:r>
        <w:t>126A.</w:t>
      </w:r>
      <w:r>
        <w:tab/>
        <w:t>Entertainment for juveniles on licensed premises, application for approval of</w:t>
      </w:r>
      <w:r>
        <w:tab/>
      </w:r>
      <w:r>
        <w:fldChar w:fldCharType="begin"/>
      </w:r>
      <w:r>
        <w:instrText xml:space="preserve"> PAGEREF _Toc522197404 \h </w:instrText>
      </w:r>
      <w:r>
        <w:fldChar w:fldCharType="separate"/>
      </w:r>
      <w:r>
        <w:t>225</w:t>
      </w:r>
      <w:r>
        <w:fldChar w:fldCharType="end"/>
      </w:r>
    </w:p>
    <w:p>
      <w:pPr>
        <w:pStyle w:val="TOC8"/>
        <w:rPr>
          <w:rFonts w:asciiTheme="minorHAnsi" w:eastAsiaTheme="minorEastAsia" w:hAnsiTheme="minorHAnsi" w:cstheme="minorBidi"/>
          <w:szCs w:val="22"/>
        </w:rPr>
      </w:pPr>
      <w:r>
        <w:t>126B.</w:t>
      </w:r>
      <w:r>
        <w:tab/>
        <w:t>Entertainment for juveniles on licensed premises, approval of</w:t>
      </w:r>
      <w:r>
        <w:tab/>
      </w:r>
      <w:r>
        <w:fldChar w:fldCharType="begin"/>
      </w:r>
      <w:r>
        <w:instrText xml:space="preserve"> PAGEREF _Toc522197405 \h </w:instrText>
      </w:r>
      <w:r>
        <w:fldChar w:fldCharType="separate"/>
      </w:r>
      <w:r>
        <w:t>226</w:t>
      </w:r>
      <w:r>
        <w:fldChar w:fldCharType="end"/>
      </w:r>
    </w:p>
    <w:p>
      <w:pPr>
        <w:pStyle w:val="TOC4"/>
        <w:tabs>
          <w:tab w:val="right" w:leader="dot" w:pos="7077"/>
        </w:tabs>
        <w:rPr>
          <w:rFonts w:asciiTheme="minorHAnsi" w:eastAsiaTheme="minorEastAsia" w:hAnsiTheme="minorHAnsi" w:cstheme="minorBidi"/>
          <w:b w:val="0"/>
          <w:szCs w:val="22"/>
        </w:rPr>
      </w:pPr>
      <w:r>
        <w:t>Division 10 — Miscellaneous</w:t>
      </w:r>
    </w:p>
    <w:p>
      <w:pPr>
        <w:pStyle w:val="TOC8"/>
        <w:rPr>
          <w:rFonts w:asciiTheme="minorHAnsi" w:eastAsiaTheme="minorEastAsia" w:hAnsiTheme="minorHAnsi" w:cstheme="minorBidi"/>
          <w:szCs w:val="22"/>
        </w:rPr>
      </w:pPr>
      <w:r>
        <w:t>126C.</w:t>
      </w:r>
      <w:r>
        <w:tab/>
        <w:t>Crowd controllers to be authorised when exercising powers of removal</w:t>
      </w:r>
      <w:r>
        <w:tab/>
      </w:r>
      <w:r>
        <w:fldChar w:fldCharType="begin"/>
      </w:r>
      <w:r>
        <w:instrText xml:space="preserve"> PAGEREF _Toc522197407 \h </w:instrText>
      </w:r>
      <w:r>
        <w:fldChar w:fldCharType="separate"/>
      </w:r>
      <w:r>
        <w:t>227</w:t>
      </w:r>
      <w:r>
        <w:fldChar w:fldCharType="end"/>
      </w:r>
    </w:p>
    <w:p>
      <w:pPr>
        <w:pStyle w:val="TOC8"/>
        <w:rPr>
          <w:rFonts w:asciiTheme="minorHAnsi" w:eastAsiaTheme="minorEastAsia" w:hAnsiTheme="minorHAnsi" w:cstheme="minorBidi"/>
          <w:szCs w:val="22"/>
        </w:rPr>
      </w:pPr>
      <w:r>
        <w:t>126D.</w:t>
      </w:r>
      <w:r>
        <w:tab/>
        <w:t>Undesirable liquor products, declaration of and offence as to</w:t>
      </w:r>
      <w:r>
        <w:tab/>
      </w:r>
      <w:r>
        <w:fldChar w:fldCharType="begin"/>
      </w:r>
      <w:r>
        <w:instrText xml:space="preserve"> PAGEREF _Toc522197408 \h </w:instrText>
      </w:r>
      <w:r>
        <w:fldChar w:fldCharType="separate"/>
      </w:r>
      <w:r>
        <w:t>227</w:t>
      </w:r>
      <w:r>
        <w:fldChar w:fldCharType="end"/>
      </w:r>
    </w:p>
    <w:p>
      <w:pPr>
        <w:pStyle w:val="TOC8"/>
        <w:rPr>
          <w:rFonts w:asciiTheme="minorHAnsi" w:eastAsiaTheme="minorEastAsia" w:hAnsiTheme="minorHAnsi" w:cstheme="minorBidi"/>
          <w:szCs w:val="22"/>
        </w:rPr>
      </w:pPr>
      <w:r>
        <w:t>126E.</w:t>
      </w:r>
      <w:r>
        <w:tab/>
        <w:t>Special events, operation of Act may be modified for</w:t>
      </w:r>
      <w:r>
        <w:tab/>
      </w:r>
      <w:r>
        <w:fldChar w:fldCharType="begin"/>
      </w:r>
      <w:r>
        <w:instrText xml:space="preserve"> PAGEREF _Toc522197409 \h </w:instrText>
      </w:r>
      <w:r>
        <w:fldChar w:fldCharType="separate"/>
      </w:r>
      <w:r>
        <w:t>229</w:t>
      </w:r>
      <w:r>
        <w:fldChar w:fldCharType="end"/>
      </w:r>
    </w:p>
    <w:p>
      <w:pPr>
        <w:pStyle w:val="TOC2"/>
        <w:tabs>
          <w:tab w:val="right" w:leader="dot" w:pos="7077"/>
        </w:tabs>
        <w:rPr>
          <w:rFonts w:asciiTheme="minorHAnsi" w:eastAsiaTheme="minorEastAsia" w:hAnsiTheme="minorHAnsi" w:cstheme="minorBidi"/>
          <w:b w:val="0"/>
          <w:sz w:val="22"/>
          <w:szCs w:val="22"/>
        </w:rPr>
      </w:pPr>
      <w:r>
        <w:t>Part 5 — Financial provisions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Licence fees</w:t>
      </w:r>
    </w:p>
    <w:p>
      <w:pPr>
        <w:pStyle w:val="TOC8"/>
        <w:rPr>
          <w:rFonts w:asciiTheme="minorHAnsi" w:eastAsiaTheme="minorEastAsia" w:hAnsiTheme="minorHAnsi" w:cstheme="minorBidi"/>
          <w:szCs w:val="22"/>
        </w:rPr>
      </w:pPr>
      <w:r>
        <w:t>127</w:t>
      </w:r>
      <w:r>
        <w:rPr>
          <w:snapToGrid w:val="0"/>
        </w:rPr>
        <w:t>.</w:t>
      </w:r>
      <w:r>
        <w:rPr>
          <w:snapToGrid w:val="0"/>
        </w:rPr>
        <w:tab/>
        <w:t>Payment of licence fees</w:t>
      </w:r>
      <w:r>
        <w:tab/>
      </w:r>
      <w:r>
        <w:fldChar w:fldCharType="begin"/>
      </w:r>
      <w:r>
        <w:instrText xml:space="preserve"> PAGEREF _Toc522197412 \h </w:instrText>
      </w:r>
      <w:r>
        <w:fldChar w:fldCharType="separate"/>
      </w:r>
      <w:r>
        <w:t>230</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Regulations about licence fees</w:t>
      </w:r>
      <w:r>
        <w:tab/>
      </w:r>
      <w:r>
        <w:fldChar w:fldCharType="begin"/>
      </w:r>
      <w:r>
        <w:instrText xml:space="preserve"> PAGEREF _Toc522197413 \h </w:instrText>
      </w:r>
      <w:r>
        <w:fldChar w:fldCharType="separate"/>
      </w:r>
      <w:r>
        <w:t>230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Subsidies</w:t>
      </w:r>
    </w:p>
    <w:p>
      <w:pPr>
        <w:pStyle w:val="TOC8"/>
        <w:rPr>
          <w:rFonts w:asciiTheme="minorHAnsi" w:eastAsiaTheme="minorEastAsia" w:hAnsiTheme="minorHAnsi" w:cstheme="minorBidi"/>
          <w:szCs w:val="22"/>
        </w:rPr>
      </w:pPr>
      <w:r>
        <w:t>129</w:t>
      </w:r>
      <w:r>
        <w:rPr>
          <w:snapToGrid w:val="0"/>
        </w:rPr>
        <w:t>.</w:t>
      </w:r>
      <w:r>
        <w:rPr>
          <w:snapToGrid w:val="0"/>
        </w:rPr>
        <w:tab/>
        <w:t>Terms used</w:t>
      </w:r>
      <w:r>
        <w:tab/>
      </w:r>
      <w:r>
        <w:fldChar w:fldCharType="begin"/>
      </w:r>
      <w:r>
        <w:instrText xml:space="preserve"> PAGEREF _Toc522197415 \h </w:instrText>
      </w:r>
      <w:r>
        <w:fldChar w:fldCharType="separate"/>
      </w:r>
      <w:r>
        <w:t>231</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Subsidies for wholesalers and producers</w:t>
      </w:r>
      <w:r>
        <w:tab/>
      </w:r>
      <w:r>
        <w:fldChar w:fldCharType="begin"/>
      </w:r>
      <w:r>
        <w:instrText xml:space="preserve"> PAGEREF _Toc522197416 \h </w:instrText>
      </w:r>
      <w:r>
        <w:fldChar w:fldCharType="separate"/>
      </w:r>
      <w:r>
        <w:t>231</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Application for subsidy</w:t>
      </w:r>
      <w:r>
        <w:tab/>
      </w:r>
      <w:r>
        <w:fldChar w:fldCharType="begin"/>
      </w:r>
      <w:r>
        <w:instrText xml:space="preserve"> PAGEREF _Toc522197417 \h </w:instrText>
      </w:r>
      <w:r>
        <w:fldChar w:fldCharType="separate"/>
      </w:r>
      <w:r>
        <w:t>232</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Director to pay subsidies</w:t>
      </w:r>
      <w:r>
        <w:tab/>
      </w:r>
      <w:r>
        <w:fldChar w:fldCharType="begin"/>
      </w:r>
      <w:r>
        <w:instrText xml:space="preserve"> PAGEREF _Toc522197418 \h </w:instrText>
      </w:r>
      <w:r>
        <w:fldChar w:fldCharType="separate"/>
      </w:r>
      <w:r>
        <w:t>232</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Consolidated Account appropriated</w:t>
      </w:r>
      <w:r>
        <w:tab/>
      </w:r>
      <w:r>
        <w:fldChar w:fldCharType="begin"/>
      </w:r>
      <w:r>
        <w:instrText xml:space="preserve"> PAGEREF _Toc522197419 \h </w:instrText>
      </w:r>
      <w:r>
        <w:fldChar w:fldCharType="separate"/>
      </w:r>
      <w:r>
        <w:t>232</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Correcting incorrect subsidy payments</w:t>
      </w:r>
      <w:r>
        <w:tab/>
      </w:r>
      <w:r>
        <w:fldChar w:fldCharType="begin"/>
      </w:r>
      <w:r>
        <w:instrText xml:space="preserve"> PAGEREF _Toc522197420 \h </w:instrText>
      </w:r>
      <w:r>
        <w:fldChar w:fldCharType="separate"/>
      </w:r>
      <w:r>
        <w:t>233</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Failure to correct incorrect subsidy application</w:t>
      </w:r>
      <w:r>
        <w:tab/>
      </w:r>
      <w:r>
        <w:fldChar w:fldCharType="begin"/>
      </w:r>
      <w:r>
        <w:instrText xml:space="preserve"> PAGEREF _Toc522197421 \h </w:instrText>
      </w:r>
      <w:r>
        <w:fldChar w:fldCharType="separate"/>
      </w:r>
      <w:r>
        <w:t>233</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Minister may order subsidies to cease</w:t>
      </w:r>
      <w:r>
        <w:tab/>
      </w:r>
      <w:r>
        <w:fldChar w:fldCharType="begin"/>
      </w:r>
      <w:r>
        <w:instrText xml:space="preserve"> PAGEREF _Toc522197422 \h </w:instrText>
      </w:r>
      <w:r>
        <w:fldChar w:fldCharType="separate"/>
      </w:r>
      <w:r>
        <w:t>234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Power of Commission with respect to moneys due</w:t>
      </w:r>
    </w:p>
    <w:p>
      <w:pPr>
        <w:pStyle w:val="TOC8"/>
        <w:rPr>
          <w:rFonts w:asciiTheme="minorHAnsi" w:eastAsiaTheme="minorEastAsia" w:hAnsiTheme="minorHAnsi" w:cstheme="minorBidi"/>
          <w:szCs w:val="22"/>
        </w:rPr>
      </w:pPr>
      <w:r>
        <w:t>143</w:t>
      </w:r>
      <w:r>
        <w:rPr>
          <w:snapToGrid w:val="0"/>
        </w:rPr>
        <w:t>.</w:t>
      </w:r>
      <w:r>
        <w:rPr>
          <w:snapToGrid w:val="0"/>
        </w:rPr>
        <w:tab/>
        <w:t>Order for payment of money</w:t>
      </w:r>
      <w:r>
        <w:tab/>
      </w:r>
      <w:r>
        <w:fldChar w:fldCharType="begin"/>
      </w:r>
      <w:r>
        <w:instrText xml:space="preserve"> PAGEREF _Toc522197424 \h </w:instrText>
      </w:r>
      <w:r>
        <w:fldChar w:fldCharType="separate"/>
      </w:r>
      <w:r>
        <w:t>235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Records and returns</w:t>
      </w:r>
    </w:p>
    <w:p>
      <w:pPr>
        <w:pStyle w:val="TOC8"/>
        <w:rPr>
          <w:rFonts w:asciiTheme="minorHAnsi" w:eastAsiaTheme="minorEastAsia" w:hAnsiTheme="minorHAnsi" w:cstheme="minorBidi"/>
          <w:szCs w:val="22"/>
        </w:rPr>
      </w:pPr>
      <w:r>
        <w:t>145</w:t>
      </w:r>
      <w:r>
        <w:rPr>
          <w:snapToGrid w:val="0"/>
        </w:rPr>
        <w:t>.</w:t>
      </w:r>
      <w:r>
        <w:rPr>
          <w:snapToGrid w:val="0"/>
        </w:rPr>
        <w:tab/>
        <w:t>Records of liquor transactions to be kept by licensees etc.</w:t>
      </w:r>
      <w:r>
        <w:tab/>
      </w:r>
      <w:r>
        <w:fldChar w:fldCharType="begin"/>
      </w:r>
      <w:r>
        <w:instrText xml:space="preserve"> PAGEREF _Toc522197426 \h </w:instrText>
      </w:r>
      <w:r>
        <w:fldChar w:fldCharType="separate"/>
      </w:r>
      <w:r>
        <w:t>236</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Information to be given to Director in returns</w:t>
      </w:r>
      <w:r>
        <w:tab/>
      </w:r>
      <w:r>
        <w:fldChar w:fldCharType="begin"/>
      </w:r>
      <w:r>
        <w:instrText xml:space="preserve"> PAGEREF _Toc522197427 \h </w:instrText>
      </w:r>
      <w:r>
        <w:fldChar w:fldCharType="separate"/>
      </w:r>
      <w:r>
        <w:t>237</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Recovery of illegal gains</w:t>
      </w:r>
    </w:p>
    <w:p>
      <w:pPr>
        <w:pStyle w:val="TOC8"/>
        <w:rPr>
          <w:rFonts w:asciiTheme="minorHAnsi" w:eastAsiaTheme="minorEastAsia" w:hAnsiTheme="minorHAnsi" w:cstheme="minorBidi"/>
          <w:szCs w:val="22"/>
        </w:rPr>
      </w:pPr>
      <w:r>
        <w:t>147</w:t>
      </w:r>
      <w:r>
        <w:rPr>
          <w:snapToGrid w:val="0"/>
        </w:rPr>
        <w:t>.</w:t>
      </w:r>
      <w:r>
        <w:rPr>
          <w:snapToGrid w:val="0"/>
        </w:rPr>
        <w:tab/>
        <w:t>Illegal gains, estimation and recovery of</w:t>
      </w:r>
      <w:r>
        <w:tab/>
      </w:r>
      <w:r>
        <w:fldChar w:fldCharType="begin"/>
      </w:r>
      <w:r>
        <w:instrText xml:space="preserve"> PAGEREF _Toc522197429 \h </w:instrText>
      </w:r>
      <w:r>
        <w:fldChar w:fldCharType="separate"/>
      </w:r>
      <w:r>
        <w:t>238</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Information</w:t>
      </w:r>
    </w:p>
    <w:p>
      <w:pPr>
        <w:pStyle w:val="TOC8"/>
        <w:rPr>
          <w:rFonts w:asciiTheme="minorHAnsi" w:eastAsiaTheme="minorEastAsia" w:hAnsiTheme="minorHAnsi" w:cstheme="minorBidi"/>
          <w:szCs w:val="22"/>
        </w:rPr>
      </w:pPr>
      <w:r>
        <w:t>148</w:t>
      </w:r>
      <w:r>
        <w:rPr>
          <w:snapToGrid w:val="0"/>
        </w:rPr>
        <w:t>.</w:t>
      </w:r>
      <w:r>
        <w:rPr>
          <w:snapToGrid w:val="0"/>
        </w:rPr>
        <w:tab/>
        <w:t>Information etc., Director’s powers to obtain</w:t>
      </w:r>
      <w:r>
        <w:tab/>
      </w:r>
      <w:r>
        <w:fldChar w:fldCharType="begin"/>
      </w:r>
      <w:r>
        <w:instrText xml:space="preserve"> PAGEREF _Toc522197431 \h </w:instrText>
      </w:r>
      <w:r>
        <w:fldChar w:fldCharType="separate"/>
      </w:r>
      <w:r>
        <w:t>239</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Use of information, Director’s powers as to</w:t>
      </w:r>
      <w:r>
        <w:tab/>
      </w:r>
      <w:r>
        <w:fldChar w:fldCharType="begin"/>
      </w:r>
      <w:r>
        <w:instrText xml:space="preserve"> PAGEREF _Toc522197432 \h </w:instrText>
      </w:r>
      <w:r>
        <w:fldChar w:fldCharType="separate"/>
      </w:r>
      <w:r>
        <w:t>239</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Premises and records, Director’s right of access to etc.</w:t>
      </w:r>
      <w:r>
        <w:tab/>
      </w:r>
      <w:r>
        <w:fldChar w:fldCharType="begin"/>
      </w:r>
      <w:r>
        <w:instrText xml:space="preserve"> PAGEREF _Toc522197433 \h </w:instrText>
      </w:r>
      <w:r>
        <w:fldChar w:fldCharType="separate"/>
      </w:r>
      <w:r>
        <w:t>239</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Licensing authority may assist other authorities</w:t>
      </w:r>
      <w:r>
        <w:tab/>
      </w:r>
      <w:r>
        <w:fldChar w:fldCharType="begin"/>
      </w:r>
      <w:r>
        <w:instrText xml:space="preserve"> PAGEREF _Toc522197434 \h </w:instrText>
      </w:r>
      <w:r>
        <w:fldChar w:fldCharType="separate"/>
      </w:r>
      <w:r>
        <w:t>240</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Disclosure of information by officials</w:t>
      </w:r>
      <w:r>
        <w:tab/>
      </w:r>
      <w:r>
        <w:fldChar w:fldCharType="begin"/>
      </w:r>
      <w:r>
        <w:instrText xml:space="preserve"> PAGEREF _Toc522197435 \h </w:instrText>
      </w:r>
      <w:r>
        <w:fldChar w:fldCharType="separate"/>
      </w:r>
      <w:r>
        <w:t>240</w:t>
      </w:r>
      <w:r>
        <w:fldChar w:fldCharType="end"/>
      </w:r>
    </w:p>
    <w:p>
      <w:pPr>
        <w:pStyle w:val="TOC2"/>
        <w:tabs>
          <w:tab w:val="right" w:leader="dot" w:pos="7077"/>
        </w:tabs>
        <w:rPr>
          <w:rFonts w:asciiTheme="minorHAnsi" w:eastAsiaTheme="minorEastAsia" w:hAnsiTheme="minorHAnsi" w:cstheme="minorBidi"/>
          <w:b w:val="0"/>
          <w:sz w:val="22"/>
          <w:szCs w:val="22"/>
        </w:rPr>
      </w:pPr>
      <w:r>
        <w:t>Part 5A — Prohibition orders</w:t>
      </w:r>
    </w:p>
    <w:p>
      <w:pPr>
        <w:pStyle w:val="TOC8"/>
        <w:rPr>
          <w:rFonts w:asciiTheme="minorHAnsi" w:eastAsiaTheme="minorEastAsia" w:hAnsiTheme="minorHAnsi" w:cstheme="minorBidi"/>
          <w:szCs w:val="22"/>
        </w:rPr>
      </w:pPr>
      <w:r>
        <w:t>152A.</w:t>
      </w:r>
      <w:r>
        <w:tab/>
        <w:t>Terms used</w:t>
      </w:r>
      <w:r>
        <w:tab/>
      </w:r>
      <w:r>
        <w:fldChar w:fldCharType="begin"/>
      </w:r>
      <w:r>
        <w:instrText xml:space="preserve"> PAGEREF _Toc522197437 \h </w:instrText>
      </w:r>
      <w:r>
        <w:fldChar w:fldCharType="separate"/>
      </w:r>
      <w:r>
        <w:t>242</w:t>
      </w:r>
      <w:r>
        <w:fldChar w:fldCharType="end"/>
      </w:r>
    </w:p>
    <w:p>
      <w:pPr>
        <w:pStyle w:val="TOC8"/>
        <w:rPr>
          <w:rFonts w:asciiTheme="minorHAnsi" w:eastAsiaTheme="minorEastAsia" w:hAnsiTheme="minorHAnsi" w:cstheme="minorBidi"/>
          <w:szCs w:val="22"/>
        </w:rPr>
      </w:pPr>
      <w:r>
        <w:t>152B.</w:t>
      </w:r>
      <w:r>
        <w:tab/>
        <w:t>Commissioner of Police may apply for prohibition orders</w:t>
      </w:r>
      <w:r>
        <w:tab/>
      </w:r>
      <w:r>
        <w:fldChar w:fldCharType="begin"/>
      </w:r>
      <w:r>
        <w:instrText xml:space="preserve"> PAGEREF _Toc522197438 \h </w:instrText>
      </w:r>
      <w:r>
        <w:fldChar w:fldCharType="separate"/>
      </w:r>
      <w:r>
        <w:t>242</w:t>
      </w:r>
      <w:r>
        <w:fldChar w:fldCharType="end"/>
      </w:r>
    </w:p>
    <w:p>
      <w:pPr>
        <w:pStyle w:val="TOC8"/>
        <w:rPr>
          <w:rFonts w:asciiTheme="minorHAnsi" w:eastAsiaTheme="minorEastAsia" w:hAnsiTheme="minorHAnsi" w:cstheme="minorBidi"/>
          <w:szCs w:val="22"/>
        </w:rPr>
      </w:pPr>
      <w:r>
        <w:t>152C.</w:t>
      </w:r>
      <w:r>
        <w:tab/>
        <w:t>Evidence in support of s. 152B application</w:t>
      </w:r>
      <w:r>
        <w:tab/>
      </w:r>
      <w:r>
        <w:fldChar w:fldCharType="begin"/>
      </w:r>
      <w:r>
        <w:instrText xml:space="preserve"> PAGEREF _Toc522197439 \h </w:instrText>
      </w:r>
      <w:r>
        <w:fldChar w:fldCharType="separate"/>
      </w:r>
      <w:r>
        <w:t>243</w:t>
      </w:r>
      <w:r>
        <w:fldChar w:fldCharType="end"/>
      </w:r>
    </w:p>
    <w:p>
      <w:pPr>
        <w:pStyle w:val="TOC8"/>
        <w:rPr>
          <w:rFonts w:asciiTheme="minorHAnsi" w:eastAsiaTheme="minorEastAsia" w:hAnsiTheme="minorHAnsi" w:cstheme="minorBidi"/>
          <w:szCs w:val="22"/>
        </w:rPr>
      </w:pPr>
      <w:r>
        <w:t>152D.</w:t>
      </w:r>
      <w:r>
        <w:tab/>
        <w:t>Notice of s. 152B application etc. to be given to relevant person</w:t>
      </w:r>
      <w:r>
        <w:tab/>
      </w:r>
      <w:r>
        <w:fldChar w:fldCharType="begin"/>
      </w:r>
      <w:r>
        <w:instrText xml:space="preserve"> PAGEREF _Toc522197440 \h </w:instrText>
      </w:r>
      <w:r>
        <w:fldChar w:fldCharType="separate"/>
      </w:r>
      <w:r>
        <w:t>243</w:t>
      </w:r>
      <w:r>
        <w:fldChar w:fldCharType="end"/>
      </w:r>
    </w:p>
    <w:p>
      <w:pPr>
        <w:pStyle w:val="TOC8"/>
        <w:rPr>
          <w:rFonts w:asciiTheme="minorHAnsi" w:eastAsiaTheme="minorEastAsia" w:hAnsiTheme="minorHAnsi" w:cstheme="minorBidi"/>
          <w:szCs w:val="22"/>
        </w:rPr>
      </w:pPr>
      <w:r>
        <w:t>152E.</w:t>
      </w:r>
      <w:r>
        <w:tab/>
        <w:t>Director may make prohibition orders</w:t>
      </w:r>
      <w:r>
        <w:tab/>
      </w:r>
      <w:r>
        <w:fldChar w:fldCharType="begin"/>
      </w:r>
      <w:r>
        <w:instrText xml:space="preserve"> PAGEREF _Toc522197441 \h </w:instrText>
      </w:r>
      <w:r>
        <w:fldChar w:fldCharType="separate"/>
      </w:r>
      <w:r>
        <w:t>244</w:t>
      </w:r>
      <w:r>
        <w:fldChar w:fldCharType="end"/>
      </w:r>
    </w:p>
    <w:p>
      <w:pPr>
        <w:pStyle w:val="TOC8"/>
        <w:rPr>
          <w:rFonts w:asciiTheme="minorHAnsi" w:eastAsiaTheme="minorEastAsia" w:hAnsiTheme="minorHAnsi" w:cstheme="minorBidi"/>
          <w:szCs w:val="22"/>
        </w:rPr>
      </w:pPr>
      <w:r>
        <w:t>152F.</w:t>
      </w:r>
      <w:r>
        <w:tab/>
        <w:t>Term of prohibition orders</w:t>
      </w:r>
      <w:r>
        <w:tab/>
      </w:r>
      <w:r>
        <w:fldChar w:fldCharType="begin"/>
      </w:r>
      <w:r>
        <w:instrText xml:space="preserve"> PAGEREF _Toc522197442 \h </w:instrText>
      </w:r>
      <w:r>
        <w:fldChar w:fldCharType="separate"/>
      </w:r>
      <w:r>
        <w:t>244</w:t>
      </w:r>
      <w:r>
        <w:fldChar w:fldCharType="end"/>
      </w:r>
    </w:p>
    <w:p>
      <w:pPr>
        <w:pStyle w:val="TOC8"/>
        <w:rPr>
          <w:rFonts w:asciiTheme="minorHAnsi" w:eastAsiaTheme="minorEastAsia" w:hAnsiTheme="minorHAnsi" w:cstheme="minorBidi"/>
          <w:szCs w:val="22"/>
        </w:rPr>
      </w:pPr>
      <w:r>
        <w:t>152G.</w:t>
      </w:r>
      <w:r>
        <w:tab/>
        <w:t>Applications to vary or revoke prohibition orders</w:t>
      </w:r>
      <w:r>
        <w:tab/>
      </w:r>
      <w:r>
        <w:fldChar w:fldCharType="begin"/>
      </w:r>
      <w:r>
        <w:instrText xml:space="preserve"> PAGEREF _Toc522197443 \h </w:instrText>
      </w:r>
      <w:r>
        <w:fldChar w:fldCharType="separate"/>
      </w:r>
      <w:r>
        <w:t>245</w:t>
      </w:r>
      <w:r>
        <w:fldChar w:fldCharType="end"/>
      </w:r>
    </w:p>
    <w:p>
      <w:pPr>
        <w:pStyle w:val="TOC8"/>
        <w:rPr>
          <w:rFonts w:asciiTheme="minorHAnsi" w:eastAsiaTheme="minorEastAsia" w:hAnsiTheme="minorHAnsi" w:cstheme="minorBidi"/>
          <w:szCs w:val="22"/>
        </w:rPr>
      </w:pPr>
      <w:r>
        <w:t>152H.</w:t>
      </w:r>
      <w:r>
        <w:tab/>
        <w:t>Evidence in support of s. 152G application</w:t>
      </w:r>
      <w:r>
        <w:tab/>
      </w:r>
      <w:r>
        <w:fldChar w:fldCharType="begin"/>
      </w:r>
      <w:r>
        <w:instrText xml:space="preserve"> PAGEREF _Toc522197444 \h </w:instrText>
      </w:r>
      <w:r>
        <w:fldChar w:fldCharType="separate"/>
      </w:r>
      <w:r>
        <w:t>245</w:t>
      </w:r>
      <w:r>
        <w:fldChar w:fldCharType="end"/>
      </w:r>
    </w:p>
    <w:p>
      <w:pPr>
        <w:pStyle w:val="TOC8"/>
        <w:rPr>
          <w:rFonts w:asciiTheme="minorHAnsi" w:eastAsiaTheme="minorEastAsia" w:hAnsiTheme="minorHAnsi" w:cstheme="minorBidi"/>
          <w:szCs w:val="22"/>
        </w:rPr>
      </w:pPr>
      <w:r>
        <w:t>152I.</w:t>
      </w:r>
      <w:r>
        <w:tab/>
        <w:t>Notice of s. 152G application etc. to be given to respondent</w:t>
      </w:r>
      <w:r>
        <w:tab/>
      </w:r>
      <w:r>
        <w:fldChar w:fldCharType="begin"/>
      </w:r>
      <w:r>
        <w:instrText xml:space="preserve"> PAGEREF _Toc522197445 \h </w:instrText>
      </w:r>
      <w:r>
        <w:fldChar w:fldCharType="separate"/>
      </w:r>
      <w:r>
        <w:t>245</w:t>
      </w:r>
      <w:r>
        <w:fldChar w:fldCharType="end"/>
      </w:r>
    </w:p>
    <w:p>
      <w:pPr>
        <w:pStyle w:val="TOC8"/>
        <w:rPr>
          <w:rFonts w:asciiTheme="minorHAnsi" w:eastAsiaTheme="minorEastAsia" w:hAnsiTheme="minorHAnsi" w:cstheme="minorBidi"/>
          <w:szCs w:val="22"/>
        </w:rPr>
      </w:pPr>
      <w:r>
        <w:t>152J.</w:t>
      </w:r>
      <w:r>
        <w:tab/>
        <w:t>Director may vary or revoke prohibition orders</w:t>
      </w:r>
      <w:r>
        <w:tab/>
      </w:r>
      <w:r>
        <w:fldChar w:fldCharType="begin"/>
      </w:r>
      <w:r>
        <w:instrText xml:space="preserve"> PAGEREF _Toc522197446 \h </w:instrText>
      </w:r>
      <w:r>
        <w:fldChar w:fldCharType="separate"/>
      </w:r>
      <w:r>
        <w:t>246</w:t>
      </w:r>
      <w:r>
        <w:fldChar w:fldCharType="end"/>
      </w:r>
    </w:p>
    <w:p>
      <w:pPr>
        <w:pStyle w:val="TOC8"/>
        <w:rPr>
          <w:rFonts w:asciiTheme="minorHAnsi" w:eastAsiaTheme="minorEastAsia" w:hAnsiTheme="minorHAnsi" w:cstheme="minorBidi"/>
          <w:szCs w:val="22"/>
        </w:rPr>
      </w:pPr>
      <w:r>
        <w:t>152K.</w:t>
      </w:r>
      <w:r>
        <w:tab/>
        <w:t>Service and publication of prohibition orders</w:t>
      </w:r>
      <w:r>
        <w:tab/>
      </w:r>
      <w:r>
        <w:fldChar w:fldCharType="begin"/>
      </w:r>
      <w:r>
        <w:instrText xml:space="preserve"> PAGEREF _Toc522197447 \h </w:instrText>
      </w:r>
      <w:r>
        <w:fldChar w:fldCharType="separate"/>
      </w:r>
      <w:r>
        <w:t>246</w:t>
      </w:r>
      <w:r>
        <w:fldChar w:fldCharType="end"/>
      </w:r>
    </w:p>
    <w:p>
      <w:pPr>
        <w:pStyle w:val="TOC8"/>
        <w:rPr>
          <w:rFonts w:asciiTheme="minorHAnsi" w:eastAsiaTheme="minorEastAsia" w:hAnsiTheme="minorHAnsi" w:cstheme="minorBidi"/>
          <w:szCs w:val="22"/>
        </w:rPr>
      </w:pPr>
      <w:r>
        <w:t>152L.</w:t>
      </w:r>
      <w:r>
        <w:tab/>
        <w:t>Failing to comply with prohibition orders</w:t>
      </w:r>
      <w:r>
        <w:tab/>
      </w:r>
      <w:r>
        <w:fldChar w:fldCharType="begin"/>
      </w:r>
      <w:r>
        <w:instrText xml:space="preserve"> PAGEREF _Toc522197448 \h </w:instrText>
      </w:r>
      <w:r>
        <w:fldChar w:fldCharType="separate"/>
      </w:r>
      <w:r>
        <w:t>247</w:t>
      </w:r>
      <w:r>
        <w:fldChar w:fldCharType="end"/>
      </w:r>
    </w:p>
    <w:p>
      <w:pPr>
        <w:pStyle w:val="TOC8"/>
        <w:rPr>
          <w:rFonts w:asciiTheme="minorHAnsi" w:eastAsiaTheme="minorEastAsia" w:hAnsiTheme="minorHAnsi" w:cstheme="minorBidi"/>
          <w:szCs w:val="22"/>
        </w:rPr>
      </w:pPr>
      <w:r>
        <w:t>152M.</w:t>
      </w:r>
      <w:r>
        <w:tab/>
        <w:t>Permitting entry to premises contrary to prohibition order</w:t>
      </w:r>
      <w:r>
        <w:tab/>
      </w:r>
      <w:r>
        <w:fldChar w:fldCharType="begin"/>
      </w:r>
      <w:r>
        <w:instrText xml:space="preserve"> PAGEREF _Toc522197449 \h </w:instrText>
      </w:r>
      <w:r>
        <w:fldChar w:fldCharType="separate"/>
      </w:r>
      <w:r>
        <w:t>248</w:t>
      </w:r>
      <w:r>
        <w:fldChar w:fldCharType="end"/>
      </w:r>
    </w:p>
    <w:p>
      <w:pPr>
        <w:pStyle w:val="TOC8"/>
        <w:rPr>
          <w:rFonts w:asciiTheme="minorHAnsi" w:eastAsiaTheme="minorEastAsia" w:hAnsiTheme="minorHAnsi" w:cstheme="minorBidi"/>
          <w:szCs w:val="22"/>
        </w:rPr>
      </w:pPr>
      <w:r>
        <w:t>152NA.</w:t>
      </w:r>
      <w:r>
        <w:tab/>
        <w:t xml:space="preserve">Relationship with </w:t>
      </w:r>
      <w:r>
        <w:rPr>
          <w:i/>
        </w:rPr>
        <w:t>Criminal Organisations Control Act 2012</w:t>
      </w:r>
      <w:r>
        <w:tab/>
      </w:r>
      <w:r>
        <w:fldChar w:fldCharType="begin"/>
      </w:r>
      <w:r>
        <w:instrText xml:space="preserve"> PAGEREF _Toc522197450 \h </w:instrText>
      </w:r>
      <w:r>
        <w:fldChar w:fldCharType="separate"/>
      </w:r>
      <w:r>
        <w:t>248</w:t>
      </w:r>
      <w:r>
        <w:fldChar w:fldCharType="end"/>
      </w:r>
    </w:p>
    <w:p>
      <w:pPr>
        <w:pStyle w:val="TOC2"/>
        <w:tabs>
          <w:tab w:val="right" w:leader="dot" w:pos="7077"/>
        </w:tabs>
        <w:rPr>
          <w:rFonts w:asciiTheme="minorHAnsi" w:eastAsiaTheme="minorEastAsia" w:hAnsiTheme="minorHAnsi" w:cstheme="minorBidi"/>
          <w:b w:val="0"/>
          <w:sz w:val="22"/>
          <w:szCs w:val="22"/>
        </w:rPr>
      </w:pPr>
      <w:r>
        <w:t>Part 5B — Liquor restricted premises</w:t>
      </w:r>
    </w:p>
    <w:p>
      <w:pPr>
        <w:pStyle w:val="TOC8"/>
        <w:rPr>
          <w:rFonts w:asciiTheme="minorHAnsi" w:eastAsiaTheme="minorEastAsia" w:hAnsiTheme="minorHAnsi" w:cstheme="minorBidi"/>
          <w:szCs w:val="22"/>
        </w:rPr>
      </w:pPr>
      <w:r>
        <w:t>152N.</w:t>
      </w:r>
      <w:r>
        <w:tab/>
        <w:t>Terms used</w:t>
      </w:r>
      <w:r>
        <w:tab/>
      </w:r>
      <w:r>
        <w:fldChar w:fldCharType="begin"/>
      </w:r>
      <w:r>
        <w:instrText xml:space="preserve"> PAGEREF _Toc522197452 \h </w:instrText>
      </w:r>
      <w:r>
        <w:fldChar w:fldCharType="separate"/>
      </w:r>
      <w:r>
        <w:t>249</w:t>
      </w:r>
      <w:r>
        <w:fldChar w:fldCharType="end"/>
      </w:r>
    </w:p>
    <w:p>
      <w:pPr>
        <w:pStyle w:val="TOC8"/>
        <w:rPr>
          <w:rFonts w:asciiTheme="minorHAnsi" w:eastAsiaTheme="minorEastAsia" w:hAnsiTheme="minorHAnsi" w:cstheme="minorBidi"/>
          <w:szCs w:val="22"/>
        </w:rPr>
      </w:pPr>
      <w:r>
        <w:t>152O.</w:t>
      </w:r>
      <w:r>
        <w:tab/>
        <w:t>Liquor on liquor restricted premises, offences as to</w:t>
      </w:r>
      <w:r>
        <w:tab/>
      </w:r>
      <w:r>
        <w:fldChar w:fldCharType="begin"/>
      </w:r>
      <w:r>
        <w:instrText xml:space="preserve"> PAGEREF _Toc522197453 \h </w:instrText>
      </w:r>
      <w:r>
        <w:fldChar w:fldCharType="separate"/>
      </w:r>
      <w:r>
        <w:t>249</w:t>
      </w:r>
      <w:r>
        <w:fldChar w:fldCharType="end"/>
      </w:r>
    </w:p>
    <w:p>
      <w:pPr>
        <w:pStyle w:val="TOC8"/>
        <w:rPr>
          <w:rFonts w:asciiTheme="minorHAnsi" w:eastAsiaTheme="minorEastAsia" w:hAnsiTheme="minorHAnsi" w:cstheme="minorBidi"/>
          <w:szCs w:val="22"/>
        </w:rPr>
      </w:pPr>
      <w:r>
        <w:t>152P.</w:t>
      </w:r>
      <w:r>
        <w:tab/>
        <w:t>Declaration of liquor restricted premises</w:t>
      </w:r>
      <w:r>
        <w:tab/>
      </w:r>
      <w:r>
        <w:fldChar w:fldCharType="begin"/>
      </w:r>
      <w:r>
        <w:instrText xml:space="preserve"> PAGEREF _Toc522197454 \h </w:instrText>
      </w:r>
      <w:r>
        <w:fldChar w:fldCharType="separate"/>
      </w:r>
      <w:r>
        <w:t>250</w:t>
      </w:r>
      <w:r>
        <w:fldChar w:fldCharType="end"/>
      </w:r>
    </w:p>
    <w:p>
      <w:pPr>
        <w:pStyle w:val="TOC8"/>
        <w:rPr>
          <w:rFonts w:asciiTheme="minorHAnsi" w:eastAsiaTheme="minorEastAsia" w:hAnsiTheme="minorHAnsi" w:cstheme="minorBidi"/>
          <w:szCs w:val="22"/>
        </w:rPr>
      </w:pPr>
      <w:r>
        <w:t>152Q.</w:t>
      </w:r>
      <w:r>
        <w:tab/>
        <w:t>Liquor restriction declarations, power to make</w:t>
      </w:r>
      <w:r>
        <w:tab/>
      </w:r>
      <w:r>
        <w:fldChar w:fldCharType="begin"/>
      </w:r>
      <w:r>
        <w:instrText xml:space="preserve"> PAGEREF _Toc522197455 \h </w:instrText>
      </w:r>
      <w:r>
        <w:fldChar w:fldCharType="separate"/>
      </w:r>
      <w:r>
        <w:t>251</w:t>
      </w:r>
      <w:r>
        <w:fldChar w:fldCharType="end"/>
      </w:r>
    </w:p>
    <w:p>
      <w:pPr>
        <w:pStyle w:val="TOC8"/>
        <w:rPr>
          <w:rFonts w:asciiTheme="minorHAnsi" w:eastAsiaTheme="minorEastAsia" w:hAnsiTheme="minorHAnsi" w:cstheme="minorBidi"/>
          <w:szCs w:val="22"/>
        </w:rPr>
      </w:pPr>
      <w:r>
        <w:t>152R.</w:t>
      </w:r>
      <w:r>
        <w:tab/>
        <w:t>Service etc. of liquor restriction declarations</w:t>
      </w:r>
      <w:r>
        <w:tab/>
      </w:r>
      <w:r>
        <w:fldChar w:fldCharType="begin"/>
      </w:r>
      <w:r>
        <w:instrText xml:space="preserve"> PAGEREF _Toc522197456 \h </w:instrText>
      </w:r>
      <w:r>
        <w:fldChar w:fldCharType="separate"/>
      </w:r>
      <w:r>
        <w:t>252</w:t>
      </w:r>
      <w:r>
        <w:fldChar w:fldCharType="end"/>
      </w:r>
    </w:p>
    <w:p>
      <w:pPr>
        <w:pStyle w:val="TOC8"/>
        <w:rPr>
          <w:rFonts w:asciiTheme="minorHAnsi" w:eastAsiaTheme="minorEastAsia" w:hAnsiTheme="minorHAnsi" w:cstheme="minorBidi"/>
          <w:szCs w:val="22"/>
        </w:rPr>
      </w:pPr>
      <w:r>
        <w:t>152S.</w:t>
      </w:r>
      <w:r>
        <w:tab/>
        <w:t>Notice of liquor restriction declaration to be displayed at premises</w:t>
      </w:r>
      <w:r>
        <w:tab/>
      </w:r>
      <w:r>
        <w:fldChar w:fldCharType="begin"/>
      </w:r>
      <w:r>
        <w:instrText xml:space="preserve"> PAGEREF _Toc522197457 \h </w:instrText>
      </w:r>
      <w:r>
        <w:fldChar w:fldCharType="separate"/>
      </w:r>
      <w:r>
        <w:t>253</w:t>
      </w:r>
      <w:r>
        <w:fldChar w:fldCharType="end"/>
      </w:r>
    </w:p>
    <w:p>
      <w:pPr>
        <w:pStyle w:val="TOC8"/>
        <w:rPr>
          <w:rFonts w:asciiTheme="minorHAnsi" w:eastAsiaTheme="minorEastAsia" w:hAnsiTheme="minorHAnsi" w:cstheme="minorBidi"/>
          <w:szCs w:val="22"/>
        </w:rPr>
      </w:pPr>
      <w:r>
        <w:t>152T.</w:t>
      </w:r>
      <w:r>
        <w:tab/>
        <w:t>Duration of liquor restriction declarations</w:t>
      </w:r>
      <w:r>
        <w:tab/>
      </w:r>
      <w:r>
        <w:fldChar w:fldCharType="begin"/>
      </w:r>
      <w:r>
        <w:instrText xml:space="preserve"> PAGEREF _Toc522197458 \h </w:instrText>
      </w:r>
      <w:r>
        <w:fldChar w:fldCharType="separate"/>
      </w:r>
      <w:r>
        <w:t>254</w:t>
      </w:r>
      <w:r>
        <w:fldChar w:fldCharType="end"/>
      </w:r>
    </w:p>
    <w:p>
      <w:pPr>
        <w:pStyle w:val="TOC8"/>
        <w:rPr>
          <w:rFonts w:asciiTheme="minorHAnsi" w:eastAsiaTheme="minorEastAsia" w:hAnsiTheme="minorHAnsi" w:cstheme="minorBidi"/>
          <w:szCs w:val="22"/>
        </w:rPr>
      </w:pPr>
      <w:r>
        <w:t>152U.</w:t>
      </w:r>
      <w:r>
        <w:tab/>
        <w:t>Varying liquor restriction declarations</w:t>
      </w:r>
      <w:r>
        <w:tab/>
      </w:r>
      <w:r>
        <w:fldChar w:fldCharType="begin"/>
      </w:r>
      <w:r>
        <w:instrText xml:space="preserve"> PAGEREF _Toc522197459 \h </w:instrText>
      </w:r>
      <w:r>
        <w:fldChar w:fldCharType="separate"/>
      </w:r>
      <w:r>
        <w:t>254</w:t>
      </w:r>
      <w:r>
        <w:fldChar w:fldCharType="end"/>
      </w:r>
    </w:p>
    <w:p>
      <w:pPr>
        <w:pStyle w:val="TOC8"/>
        <w:rPr>
          <w:rFonts w:asciiTheme="minorHAnsi" w:eastAsiaTheme="minorEastAsia" w:hAnsiTheme="minorHAnsi" w:cstheme="minorBidi"/>
          <w:szCs w:val="22"/>
        </w:rPr>
      </w:pPr>
      <w:r>
        <w:t>152V.</w:t>
      </w:r>
      <w:r>
        <w:tab/>
        <w:t>Revoking liquor restriction declarations</w:t>
      </w:r>
      <w:r>
        <w:tab/>
      </w:r>
      <w:r>
        <w:fldChar w:fldCharType="begin"/>
      </w:r>
      <w:r>
        <w:instrText xml:space="preserve"> PAGEREF _Toc522197460 \h </w:instrText>
      </w:r>
      <w:r>
        <w:fldChar w:fldCharType="separate"/>
      </w:r>
      <w:r>
        <w:t>256</w:t>
      </w:r>
      <w:r>
        <w:fldChar w:fldCharType="end"/>
      </w:r>
    </w:p>
    <w:p>
      <w:pPr>
        <w:pStyle w:val="TOC8"/>
        <w:rPr>
          <w:rFonts w:asciiTheme="minorHAnsi" w:eastAsiaTheme="minorEastAsia" w:hAnsiTheme="minorHAnsi" w:cstheme="minorBidi"/>
          <w:szCs w:val="22"/>
        </w:rPr>
      </w:pPr>
      <w:r>
        <w:t>152W.</w:t>
      </w:r>
      <w:r>
        <w:tab/>
        <w:t>Applications generally</w:t>
      </w:r>
      <w:r>
        <w:tab/>
      </w:r>
      <w:r>
        <w:fldChar w:fldCharType="begin"/>
      </w:r>
      <w:r>
        <w:instrText xml:space="preserve"> PAGEREF _Toc522197461 \h </w:instrText>
      </w:r>
      <w:r>
        <w:fldChar w:fldCharType="separate"/>
      </w:r>
      <w:r>
        <w:t>256</w:t>
      </w:r>
      <w:r>
        <w:fldChar w:fldCharType="end"/>
      </w:r>
    </w:p>
    <w:p>
      <w:pPr>
        <w:pStyle w:val="TOC8"/>
        <w:rPr>
          <w:rFonts w:asciiTheme="minorHAnsi" w:eastAsiaTheme="minorEastAsia" w:hAnsiTheme="minorHAnsi" w:cstheme="minorBidi"/>
          <w:szCs w:val="22"/>
        </w:rPr>
      </w:pPr>
      <w:r>
        <w:t>152X.</w:t>
      </w:r>
      <w:r>
        <w:tab/>
        <w:t>Decisions under Part 5B not subject to review under s. 25</w:t>
      </w:r>
      <w:r>
        <w:tab/>
      </w:r>
      <w:r>
        <w:fldChar w:fldCharType="begin"/>
      </w:r>
      <w:r>
        <w:instrText xml:space="preserve"> PAGEREF _Toc522197462 \h </w:instrText>
      </w:r>
      <w:r>
        <w:fldChar w:fldCharType="separate"/>
      </w:r>
      <w:r>
        <w:t>257</w:t>
      </w:r>
      <w:r>
        <w:fldChar w:fldCharType="end"/>
      </w:r>
    </w:p>
    <w:p>
      <w:pPr>
        <w:pStyle w:val="TOC2"/>
        <w:tabs>
          <w:tab w:val="right" w:leader="dot" w:pos="7077"/>
        </w:tabs>
        <w:rPr>
          <w:rFonts w:asciiTheme="minorHAnsi" w:eastAsiaTheme="minorEastAsia" w:hAnsiTheme="minorHAnsi" w:cstheme="minorBidi"/>
          <w:b w:val="0"/>
          <w:sz w:val="22"/>
          <w:szCs w:val="22"/>
        </w:rPr>
      </w:pPr>
      <w:r>
        <w:t>Part 6 — Enforcement</w:t>
      </w:r>
    </w:p>
    <w:p>
      <w:pPr>
        <w:pStyle w:val="TOC8"/>
        <w:rPr>
          <w:rFonts w:asciiTheme="minorHAnsi" w:eastAsiaTheme="minorEastAsia" w:hAnsiTheme="minorHAnsi" w:cstheme="minorBidi"/>
          <w:szCs w:val="22"/>
        </w:rPr>
      </w:pPr>
      <w:r>
        <w:t>153</w:t>
      </w:r>
      <w:r>
        <w:rPr>
          <w:snapToGrid w:val="0"/>
        </w:rPr>
        <w:t>.</w:t>
      </w:r>
      <w:r>
        <w:rPr>
          <w:snapToGrid w:val="0"/>
        </w:rPr>
        <w:tab/>
        <w:t>Authorised officers etc., functions and reports of</w:t>
      </w:r>
      <w:r>
        <w:tab/>
      </w:r>
      <w:r>
        <w:fldChar w:fldCharType="begin"/>
      </w:r>
      <w:r>
        <w:instrText xml:space="preserve"> PAGEREF _Toc522197464 \h </w:instrText>
      </w:r>
      <w:r>
        <w:fldChar w:fldCharType="separate"/>
      </w:r>
      <w:r>
        <w:t>258</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Authorised officers, powers of entry etc., offences as to</w:t>
      </w:r>
      <w:r>
        <w:tab/>
      </w:r>
      <w:r>
        <w:fldChar w:fldCharType="begin"/>
      </w:r>
      <w:r>
        <w:instrText xml:space="preserve"> PAGEREF _Toc522197465 \h </w:instrText>
      </w:r>
      <w:r>
        <w:fldChar w:fldCharType="separate"/>
      </w:r>
      <w:r>
        <w:t>259</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Police, powers of to enter, seize liquor etc.</w:t>
      </w:r>
      <w:r>
        <w:tab/>
      </w:r>
      <w:r>
        <w:fldChar w:fldCharType="begin"/>
      </w:r>
      <w:r>
        <w:instrText xml:space="preserve"> PAGEREF _Toc522197466 \h </w:instrText>
      </w:r>
      <w:r>
        <w:fldChar w:fldCharType="separate"/>
      </w:r>
      <w:r>
        <w:t>261</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Local governments, functions of</w:t>
      </w:r>
      <w:r>
        <w:tab/>
      </w:r>
      <w:r>
        <w:fldChar w:fldCharType="begin"/>
      </w:r>
      <w:r>
        <w:instrText xml:space="preserve"> PAGEREF _Toc522197467 \h </w:instrText>
      </w:r>
      <w:r>
        <w:fldChar w:fldCharType="separate"/>
      </w:r>
      <w:r>
        <w:t>263</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Evasion of fees due etc., offence</w:t>
      </w:r>
      <w:r>
        <w:tab/>
      </w:r>
      <w:r>
        <w:fldChar w:fldCharType="begin"/>
      </w:r>
      <w:r>
        <w:instrText xml:space="preserve"> PAGEREF _Toc522197468 \h </w:instrText>
      </w:r>
      <w:r>
        <w:fldChar w:fldCharType="separate"/>
      </w:r>
      <w:r>
        <w:t>264</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Failing to comply with licensing authority’s requirements etc., offence</w:t>
      </w:r>
      <w:r>
        <w:tab/>
      </w:r>
      <w:r>
        <w:fldChar w:fldCharType="begin"/>
      </w:r>
      <w:r>
        <w:instrText xml:space="preserve"> PAGEREF _Toc522197469 \h </w:instrText>
      </w:r>
      <w:r>
        <w:fldChar w:fldCharType="separate"/>
      </w:r>
      <w:r>
        <w:t>264</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False or misleading statements and records, offence</w:t>
      </w:r>
      <w:r>
        <w:tab/>
      </w:r>
      <w:r>
        <w:fldChar w:fldCharType="begin"/>
      </w:r>
      <w:r>
        <w:instrText xml:space="preserve"> PAGEREF _Toc522197470 \h </w:instrText>
      </w:r>
      <w:r>
        <w:fldChar w:fldCharType="separate"/>
      </w:r>
      <w:r>
        <w:t>265</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Information about offences, power to obtain</w:t>
      </w:r>
      <w:r>
        <w:tab/>
      </w:r>
      <w:r>
        <w:fldChar w:fldCharType="begin"/>
      </w:r>
      <w:r>
        <w:instrText xml:space="preserve"> PAGEREF _Toc522197471 \h </w:instrText>
      </w:r>
      <w:r>
        <w:fldChar w:fldCharType="separate"/>
      </w:r>
      <w:r>
        <w:t>266</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Search warrants, issue and execution of</w:t>
      </w:r>
      <w:r>
        <w:tab/>
      </w:r>
      <w:r>
        <w:fldChar w:fldCharType="begin"/>
      </w:r>
      <w:r>
        <w:instrText xml:space="preserve"> PAGEREF _Toc522197472 \h </w:instrText>
      </w:r>
      <w:r>
        <w:fldChar w:fldCharType="separate"/>
      </w:r>
      <w:r>
        <w:t>267</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Separate offences and continuing offences</w:t>
      </w:r>
      <w:r>
        <w:tab/>
      </w:r>
      <w:r>
        <w:fldChar w:fldCharType="begin"/>
      </w:r>
      <w:r>
        <w:instrText xml:space="preserve"> PAGEREF _Toc522197473 \h </w:instrText>
      </w:r>
      <w:r>
        <w:fldChar w:fldCharType="separate"/>
      </w:r>
      <w:r>
        <w:t>269</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Sale of liquor, presumption of in some cases</w:t>
      </w:r>
      <w:r>
        <w:tab/>
      </w:r>
      <w:r>
        <w:fldChar w:fldCharType="begin"/>
      </w:r>
      <w:r>
        <w:instrText xml:space="preserve"> PAGEREF _Toc522197474 \h </w:instrText>
      </w:r>
      <w:r>
        <w:fldChar w:fldCharType="separate"/>
      </w:r>
      <w:r>
        <w:t>270</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Bodies corporate and partnerships, offences by</w:t>
      </w:r>
      <w:r>
        <w:tab/>
      </w:r>
      <w:r>
        <w:fldChar w:fldCharType="begin"/>
      </w:r>
      <w:r>
        <w:instrText xml:space="preserve"> PAGEREF _Toc522197475 \h </w:instrText>
      </w:r>
      <w:r>
        <w:fldChar w:fldCharType="separate"/>
      </w:r>
      <w:r>
        <w:t>270</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Licensee liable for act of employee etc.</w:t>
      </w:r>
      <w:r>
        <w:tab/>
      </w:r>
      <w:r>
        <w:fldChar w:fldCharType="begin"/>
      </w:r>
      <w:r>
        <w:instrText xml:space="preserve"> PAGEREF _Toc522197476 \h </w:instrText>
      </w:r>
      <w:r>
        <w:fldChar w:fldCharType="separate"/>
      </w:r>
      <w:r>
        <w:t>273</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General penalty</w:t>
      </w:r>
      <w:r>
        <w:tab/>
      </w:r>
      <w:r>
        <w:fldChar w:fldCharType="begin"/>
      </w:r>
      <w:r>
        <w:instrText xml:space="preserve"> PAGEREF _Toc522197477 \h </w:instrText>
      </w:r>
      <w:r>
        <w:fldChar w:fldCharType="separate"/>
      </w:r>
      <w:r>
        <w:t>273</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Infringement notices</w:t>
      </w:r>
      <w:r>
        <w:tab/>
      </w:r>
      <w:r>
        <w:fldChar w:fldCharType="begin"/>
      </w:r>
      <w:r>
        <w:instrText xml:space="preserve"> PAGEREF _Toc522197478 \h </w:instrText>
      </w:r>
      <w:r>
        <w:fldChar w:fldCharType="separate"/>
      </w:r>
      <w:r>
        <w:t>274</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Prosecutions, institution of</w:t>
      </w:r>
      <w:r>
        <w:tab/>
      </w:r>
      <w:r>
        <w:fldChar w:fldCharType="begin"/>
      </w:r>
      <w:r>
        <w:instrText xml:space="preserve"> PAGEREF _Toc522197479 \h </w:instrText>
      </w:r>
      <w:r>
        <w:fldChar w:fldCharType="separate"/>
      </w:r>
      <w:r>
        <w:t>276</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Prosecutions, hearing of and limitation periods for</w:t>
      </w:r>
      <w:r>
        <w:tab/>
      </w:r>
      <w:r>
        <w:fldChar w:fldCharType="begin"/>
      </w:r>
      <w:r>
        <w:instrText xml:space="preserve"> PAGEREF _Toc522197480 \h </w:instrText>
      </w:r>
      <w:r>
        <w:fldChar w:fldCharType="separate"/>
      </w:r>
      <w:r>
        <w:t>276</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Evidentiary provisions as to proof of certain facts</w:t>
      </w:r>
      <w:r>
        <w:tab/>
      </w:r>
      <w:r>
        <w:fldChar w:fldCharType="begin"/>
      </w:r>
      <w:r>
        <w:instrText xml:space="preserve"> PAGEREF _Toc522197481 \h </w:instrText>
      </w:r>
      <w:r>
        <w:fldChar w:fldCharType="separate"/>
      </w:r>
      <w:r>
        <w:t>277</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Accomplices, who are not, evidence of</w:t>
      </w:r>
      <w:r>
        <w:tab/>
      </w:r>
      <w:r>
        <w:fldChar w:fldCharType="begin"/>
      </w:r>
      <w:r>
        <w:instrText xml:space="preserve"> PAGEREF _Toc522197482 \h </w:instrText>
      </w:r>
      <w:r>
        <w:fldChar w:fldCharType="separate"/>
      </w:r>
      <w:r>
        <w:t>278</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Averments in charges, proof of certain documents and facts</w:t>
      </w:r>
      <w:r>
        <w:tab/>
      </w:r>
      <w:r>
        <w:fldChar w:fldCharType="begin"/>
      </w:r>
      <w:r>
        <w:instrText xml:space="preserve"> PAGEREF _Toc522197483 \h </w:instrText>
      </w:r>
      <w:r>
        <w:fldChar w:fldCharType="separate"/>
      </w:r>
      <w:r>
        <w:t>279</w:t>
      </w:r>
      <w:r>
        <w:fldChar w:fldCharType="end"/>
      </w:r>
    </w:p>
    <w:p>
      <w:pPr>
        <w:pStyle w:val="TOC8"/>
        <w:rPr>
          <w:rFonts w:asciiTheme="minorHAnsi" w:eastAsiaTheme="minorEastAsia" w:hAnsiTheme="minorHAnsi" w:cstheme="minorBidi"/>
          <w:szCs w:val="22"/>
        </w:rPr>
      </w:pPr>
      <w:r>
        <w:t>172A.</w:t>
      </w:r>
      <w:r>
        <w:tab/>
        <w:t>Forfeiture of liquor etc. on conviction or payment of modified penalty</w:t>
      </w:r>
      <w:r>
        <w:tab/>
      </w:r>
      <w:r>
        <w:fldChar w:fldCharType="begin"/>
      </w:r>
      <w:r>
        <w:instrText xml:space="preserve"> PAGEREF _Toc522197484 \h </w:instrText>
      </w:r>
      <w:r>
        <w:fldChar w:fldCharType="separate"/>
      </w:r>
      <w:r>
        <w:t>285</w:t>
      </w:r>
      <w:r>
        <w:fldChar w:fldCharType="end"/>
      </w:r>
    </w:p>
    <w:p>
      <w:pPr>
        <w:pStyle w:val="TOC2"/>
        <w:tabs>
          <w:tab w:val="right" w:leader="dot" w:pos="7077"/>
        </w:tabs>
        <w:rPr>
          <w:rFonts w:asciiTheme="minorHAnsi" w:eastAsiaTheme="minorEastAsia" w:hAnsiTheme="minorHAnsi" w:cstheme="minorBidi"/>
          <w:b w:val="0"/>
          <w:sz w:val="22"/>
          <w:szCs w:val="22"/>
        </w:rPr>
      </w:pPr>
      <w:r>
        <w:t>Part 7 — General</w:t>
      </w:r>
    </w:p>
    <w:p>
      <w:pPr>
        <w:pStyle w:val="TOC8"/>
        <w:rPr>
          <w:rFonts w:asciiTheme="minorHAnsi" w:eastAsiaTheme="minorEastAsia" w:hAnsiTheme="minorHAnsi" w:cstheme="minorBidi"/>
          <w:szCs w:val="22"/>
        </w:rPr>
      </w:pPr>
      <w:r>
        <w:t>173</w:t>
      </w:r>
      <w:r>
        <w:rPr>
          <w:snapToGrid w:val="0"/>
        </w:rPr>
        <w:t>.</w:t>
      </w:r>
      <w:r>
        <w:rPr>
          <w:snapToGrid w:val="0"/>
        </w:rPr>
        <w:tab/>
        <w:t>Pending review etc. not to affect liability</w:t>
      </w:r>
      <w:r>
        <w:tab/>
      </w:r>
      <w:r>
        <w:fldChar w:fldCharType="begin"/>
      </w:r>
      <w:r>
        <w:instrText xml:space="preserve"> PAGEREF _Toc522197486 \h </w:instrText>
      </w:r>
      <w:r>
        <w:fldChar w:fldCharType="separate"/>
      </w:r>
      <w:r>
        <w:t>286</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Service of documents</w:t>
      </w:r>
      <w:r>
        <w:tab/>
      </w:r>
      <w:r>
        <w:fldChar w:fldCharType="begin"/>
      </w:r>
      <w:r>
        <w:instrText xml:space="preserve"> PAGEREF _Toc522197487 \h </w:instrText>
      </w:r>
      <w:r>
        <w:fldChar w:fldCharType="separate"/>
      </w:r>
      <w:r>
        <w:t>286</w:t>
      </w:r>
      <w:r>
        <w:fldChar w:fldCharType="end"/>
      </w:r>
    </w:p>
    <w:p>
      <w:pPr>
        <w:pStyle w:val="TOC8"/>
        <w:rPr>
          <w:rFonts w:asciiTheme="minorHAnsi" w:eastAsiaTheme="minorEastAsia" w:hAnsiTheme="minorHAnsi" w:cstheme="minorBidi"/>
          <w:szCs w:val="22"/>
        </w:rPr>
      </w:pPr>
      <w:r>
        <w:t>174A.</w:t>
      </w:r>
      <w:r>
        <w:tab/>
      </w:r>
      <w:r>
        <w:rPr>
          <w:i/>
          <w:iCs/>
        </w:rPr>
        <w:t>Criminal and Found Property Disposal Act 2006</w:t>
      </w:r>
      <w:r>
        <w:rPr>
          <w:iCs/>
        </w:rPr>
        <w:t xml:space="preserve">, </w:t>
      </w:r>
      <w:r>
        <w:t>application of</w:t>
      </w:r>
      <w:r>
        <w:tab/>
      </w:r>
      <w:r>
        <w:fldChar w:fldCharType="begin"/>
      </w:r>
      <w:r>
        <w:instrText xml:space="preserve"> PAGEREF _Toc522197488 \h </w:instrText>
      </w:r>
      <w:r>
        <w:fldChar w:fldCharType="separate"/>
      </w:r>
      <w:r>
        <w:t>287</w:t>
      </w:r>
      <w:r>
        <w:fldChar w:fldCharType="end"/>
      </w:r>
    </w:p>
    <w:p>
      <w:pPr>
        <w:pStyle w:val="TOC8"/>
        <w:rPr>
          <w:rFonts w:asciiTheme="minorHAnsi" w:eastAsiaTheme="minorEastAsia" w:hAnsiTheme="minorHAnsi" w:cstheme="minorBidi"/>
          <w:szCs w:val="22"/>
        </w:rPr>
      </w:pPr>
      <w:r>
        <w:t>174B.</w:t>
      </w:r>
      <w:r>
        <w:tab/>
        <w:t xml:space="preserve">Liquor accords: authorisation for purposes of </w:t>
      </w:r>
      <w:r>
        <w:rPr>
          <w:i/>
        </w:rPr>
        <w:t>Competition and Consumer Act 2010</w:t>
      </w:r>
      <w:r>
        <w:t xml:space="preserve"> and Competition Code</w:t>
      </w:r>
      <w:r>
        <w:tab/>
      </w:r>
      <w:r>
        <w:fldChar w:fldCharType="begin"/>
      </w:r>
      <w:r>
        <w:instrText xml:space="preserve"> PAGEREF _Toc522197489 \h </w:instrText>
      </w:r>
      <w:r>
        <w:fldChar w:fldCharType="separate"/>
      </w:r>
      <w:r>
        <w:t>287</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Regulations</w:t>
      </w:r>
      <w:r>
        <w:tab/>
      </w:r>
      <w:r>
        <w:fldChar w:fldCharType="begin"/>
      </w:r>
      <w:r>
        <w:instrText xml:space="preserve"> PAGEREF _Toc522197490 \h </w:instrText>
      </w:r>
      <w:r>
        <w:fldChar w:fldCharType="separate"/>
      </w:r>
      <w:r>
        <w:t>287</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Transitional provisions (Sch. 1)</w:t>
      </w:r>
      <w:r>
        <w:tab/>
      </w:r>
      <w:r>
        <w:fldChar w:fldCharType="begin"/>
      </w:r>
      <w:r>
        <w:instrText xml:space="preserve"> PAGEREF _Toc522197491 \h </w:instrText>
      </w:r>
      <w:r>
        <w:fldChar w:fldCharType="separate"/>
      </w:r>
      <w:r>
        <w:t>289</w:t>
      </w:r>
      <w:r>
        <w:fldChar w:fldCharType="end"/>
      </w:r>
    </w:p>
    <w:p>
      <w:pPr>
        <w:pStyle w:val="TOC8"/>
        <w:rPr>
          <w:rFonts w:asciiTheme="minorHAnsi" w:eastAsiaTheme="minorEastAsia" w:hAnsiTheme="minorHAnsi" w:cstheme="minorBidi"/>
          <w:szCs w:val="22"/>
        </w:rPr>
      </w:pPr>
      <w:r>
        <w:t>177A.</w:t>
      </w:r>
      <w:r>
        <w:tab/>
        <w:t xml:space="preserve">Transitional provisions for </w:t>
      </w:r>
      <w:r>
        <w:rPr>
          <w:i/>
        </w:rPr>
        <w:t>Liquor and Gaming Legislation Amendment Act 2006</w:t>
      </w:r>
      <w:r>
        <w:t xml:space="preserve"> </w:t>
      </w:r>
      <w:r>
        <w:rPr>
          <w:snapToGrid w:val="0"/>
        </w:rPr>
        <w:t>(Sch. 1A)</w:t>
      </w:r>
      <w:r>
        <w:tab/>
      </w:r>
      <w:r>
        <w:fldChar w:fldCharType="begin"/>
      </w:r>
      <w:r>
        <w:instrText xml:space="preserve"> PAGEREF _Toc522197492 \h </w:instrText>
      </w:r>
      <w:r>
        <w:fldChar w:fldCharType="separate"/>
      </w:r>
      <w:r>
        <w:t>290</w:t>
      </w:r>
      <w:r>
        <w:fldChar w:fldCharType="end"/>
      </w:r>
    </w:p>
    <w:p>
      <w:pPr>
        <w:pStyle w:val="TOC8"/>
        <w:rPr>
          <w:rFonts w:asciiTheme="minorHAnsi" w:eastAsiaTheme="minorEastAsia" w:hAnsiTheme="minorHAnsi" w:cstheme="minorBidi"/>
          <w:szCs w:val="22"/>
        </w:rPr>
      </w:pPr>
      <w:r>
        <w:t>177B.</w:t>
      </w:r>
      <w:r>
        <w:tab/>
        <w:t xml:space="preserve">Transitional provisions for </w:t>
      </w:r>
      <w:r>
        <w:rPr>
          <w:i/>
          <w:iCs/>
        </w:rPr>
        <w:t>Liquor Control Amendment Act 2010</w:t>
      </w:r>
      <w:r>
        <w:rPr>
          <w:iCs/>
        </w:rPr>
        <w:t xml:space="preserve"> </w:t>
      </w:r>
      <w:r>
        <w:rPr>
          <w:snapToGrid w:val="0"/>
        </w:rPr>
        <w:t>(Sch. 1B)</w:t>
      </w:r>
      <w:r>
        <w:tab/>
      </w:r>
      <w:r>
        <w:fldChar w:fldCharType="begin"/>
      </w:r>
      <w:r>
        <w:instrText xml:space="preserve"> PAGEREF _Toc522197493 \h </w:instrText>
      </w:r>
      <w:r>
        <w:fldChar w:fldCharType="separate"/>
      </w:r>
      <w:r>
        <w:t>290</w:t>
      </w:r>
      <w:r>
        <w:fldChar w:fldCharType="end"/>
      </w:r>
    </w:p>
    <w:p>
      <w:pPr>
        <w:pStyle w:val="TOC8"/>
        <w:rPr>
          <w:rFonts w:asciiTheme="minorHAnsi" w:eastAsiaTheme="minorEastAsia" w:hAnsiTheme="minorHAnsi" w:cstheme="minorBidi"/>
          <w:szCs w:val="22"/>
        </w:rPr>
      </w:pPr>
      <w:r>
        <w:t>177C.</w:t>
      </w:r>
      <w:r>
        <w:tab/>
        <w:t xml:space="preserve">Transitional provisions for </w:t>
      </w:r>
      <w:r>
        <w:rPr>
          <w:i/>
        </w:rPr>
        <w:t>Liquor Control Amendment Act 2018</w:t>
      </w:r>
      <w:r>
        <w:t xml:space="preserve"> (Sch. 1C)</w:t>
      </w:r>
      <w:r>
        <w:tab/>
      </w:r>
      <w:r>
        <w:fldChar w:fldCharType="begin"/>
      </w:r>
      <w:r>
        <w:instrText xml:space="preserve"> PAGEREF _Toc522197494 \h </w:instrText>
      </w:r>
      <w:r>
        <w:fldChar w:fldCharType="separate"/>
      </w:r>
      <w:r>
        <w:t>290</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Review of Act</w:t>
      </w:r>
      <w:r>
        <w:tab/>
      </w:r>
      <w:r>
        <w:fldChar w:fldCharType="begin"/>
      </w:r>
      <w:r>
        <w:instrText xml:space="preserve"> PAGEREF _Toc522197495 \h </w:instrText>
      </w:r>
      <w:r>
        <w:fldChar w:fldCharType="separate"/>
      </w:r>
      <w:r>
        <w:t>290</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_Toc522197497 \h </w:instrText>
      </w:r>
      <w:r>
        <w:fldChar w:fldCharType="separate"/>
      </w:r>
      <w:r>
        <w:t>292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Continuing effect of convictions, forfeitures etc.</w:t>
      </w:r>
      <w:r>
        <w:tab/>
      </w:r>
      <w:r>
        <w:fldChar w:fldCharType="begin"/>
      </w:r>
      <w:r>
        <w:instrText xml:space="preserve"> PAGEREF _Toc522197498 \h </w:instrText>
      </w:r>
      <w:r>
        <w:fldChar w:fldCharType="separate"/>
      </w:r>
      <w:r>
        <w:t>293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Proceedings part heard, rules of court, and appointments under repealed Act</w:t>
      </w:r>
      <w:r>
        <w:tab/>
      </w:r>
      <w:r>
        <w:fldChar w:fldCharType="begin"/>
      </w:r>
      <w:r>
        <w:instrText xml:space="preserve"> PAGEREF _Toc522197499 \h </w:instrText>
      </w:r>
      <w:r>
        <w:fldChar w:fldCharType="separate"/>
      </w:r>
      <w:r>
        <w:t>293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Fees</w:t>
      </w:r>
      <w:r>
        <w:tab/>
      </w:r>
      <w:r>
        <w:fldChar w:fldCharType="begin"/>
      </w:r>
      <w:r>
        <w:instrText xml:space="preserve"> PAGEREF _Toc522197500 \h </w:instrText>
      </w:r>
      <w:r>
        <w:fldChar w:fldCharType="separate"/>
      </w:r>
      <w:r>
        <w:t>295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Continuing effect of conditions, delineated or designated areas, approvals etc.</w:t>
      </w:r>
      <w:r>
        <w:tab/>
      </w:r>
      <w:r>
        <w:fldChar w:fldCharType="begin"/>
      </w:r>
      <w:r>
        <w:instrText xml:space="preserve"> PAGEREF _Toc522197501 \h </w:instrText>
      </w:r>
      <w:r>
        <w:fldChar w:fldCharType="separate"/>
      </w:r>
      <w:r>
        <w:t>296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Conversion of licences generally</w:t>
      </w:r>
      <w:r>
        <w:tab/>
      </w:r>
      <w:r>
        <w:fldChar w:fldCharType="begin"/>
      </w:r>
      <w:r>
        <w:instrText xml:space="preserve"> PAGEREF _Toc522197502 \h </w:instrText>
      </w:r>
      <w:r>
        <w:fldChar w:fldCharType="separate"/>
      </w:r>
      <w:r>
        <w:t>297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Hotel licences</w:t>
      </w:r>
      <w:r>
        <w:tab/>
      </w:r>
      <w:r>
        <w:fldChar w:fldCharType="begin"/>
      </w:r>
      <w:r>
        <w:instrText xml:space="preserve"> PAGEREF _Toc522197503 \h </w:instrText>
      </w:r>
      <w:r>
        <w:fldChar w:fldCharType="separate"/>
      </w:r>
      <w:r>
        <w:t>299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Limited hotel licences</w:t>
      </w:r>
      <w:r>
        <w:tab/>
      </w:r>
      <w:r>
        <w:fldChar w:fldCharType="begin"/>
      </w:r>
      <w:r>
        <w:instrText xml:space="preserve"> PAGEREF _Toc522197504 \h </w:instrText>
      </w:r>
      <w:r>
        <w:fldChar w:fldCharType="separate"/>
      </w:r>
      <w:r>
        <w:t>299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Tavern licences</w:t>
      </w:r>
      <w:r>
        <w:tab/>
      </w:r>
      <w:r>
        <w:fldChar w:fldCharType="begin"/>
      </w:r>
      <w:r>
        <w:instrText xml:space="preserve"> PAGEREF _Toc522197505 \h </w:instrText>
      </w:r>
      <w:r>
        <w:fldChar w:fldCharType="separate"/>
      </w:r>
      <w:r>
        <w:t>299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Obligatory trading hours relating to hotel licences</w:t>
      </w:r>
      <w:r>
        <w:tab/>
      </w:r>
      <w:r>
        <w:fldChar w:fldCharType="begin"/>
      </w:r>
      <w:r>
        <w:instrText xml:space="preserve"> PAGEREF _Toc522197506 \h </w:instrText>
      </w:r>
      <w:r>
        <w:fldChar w:fldCharType="separate"/>
      </w:r>
      <w:r>
        <w:t>299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Winehouse licences and Australian wine licences</w:t>
      </w:r>
      <w:r>
        <w:tab/>
      </w:r>
      <w:r>
        <w:fldChar w:fldCharType="begin"/>
      </w:r>
      <w:r>
        <w:instrText xml:space="preserve"> PAGEREF _Toc522197507 \h </w:instrText>
      </w:r>
      <w:r>
        <w:fldChar w:fldCharType="separate"/>
      </w:r>
      <w:r>
        <w:t>300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Casino liquor licences</w:t>
      </w:r>
      <w:r>
        <w:tab/>
      </w:r>
      <w:r>
        <w:fldChar w:fldCharType="begin"/>
      </w:r>
      <w:r>
        <w:instrText xml:space="preserve"> PAGEREF _Toc522197508 \h </w:instrText>
      </w:r>
      <w:r>
        <w:fldChar w:fldCharType="separate"/>
      </w:r>
      <w:r>
        <w:t>301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Cabaret licences</w:t>
      </w:r>
      <w:r>
        <w:tab/>
      </w:r>
      <w:r>
        <w:fldChar w:fldCharType="begin"/>
      </w:r>
      <w:r>
        <w:instrText xml:space="preserve"> PAGEREF _Toc522197509 \h </w:instrText>
      </w:r>
      <w:r>
        <w:fldChar w:fldCharType="separate"/>
      </w:r>
      <w:r>
        <w:t>301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Restaurant licences</w:t>
      </w:r>
      <w:r>
        <w:tab/>
      </w:r>
      <w:r>
        <w:fldChar w:fldCharType="begin"/>
      </w:r>
      <w:r>
        <w:instrText xml:space="preserve"> PAGEREF _Toc522197510 \h </w:instrText>
      </w:r>
      <w:r>
        <w:fldChar w:fldCharType="separate"/>
      </w:r>
      <w:r>
        <w:t>301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Restaurant facilities on premises formerly licensed as a hotel, tavern, limited hotel, or winehouse</w:t>
      </w:r>
      <w:r>
        <w:tab/>
      </w:r>
      <w:r>
        <w:fldChar w:fldCharType="begin"/>
      </w:r>
      <w:r>
        <w:instrText xml:space="preserve"> PAGEREF _Toc522197511 \h </w:instrText>
      </w:r>
      <w:r>
        <w:fldChar w:fldCharType="separate"/>
      </w:r>
      <w:r>
        <w:t>301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Store licences</w:t>
      </w:r>
      <w:r>
        <w:tab/>
      </w:r>
      <w:r>
        <w:fldChar w:fldCharType="begin"/>
      </w:r>
      <w:r>
        <w:instrText xml:space="preserve"> PAGEREF _Toc522197512 \h </w:instrText>
      </w:r>
      <w:r>
        <w:fldChar w:fldCharType="separate"/>
      </w:r>
      <w:r>
        <w:t>302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Vigneron’s licences and brewer’s licences</w:t>
      </w:r>
      <w:r>
        <w:tab/>
      </w:r>
      <w:r>
        <w:fldChar w:fldCharType="begin"/>
      </w:r>
      <w:r>
        <w:instrText xml:space="preserve"> PAGEREF _Toc522197513 \h </w:instrText>
      </w:r>
      <w:r>
        <w:fldChar w:fldCharType="separate"/>
      </w:r>
      <w:r>
        <w:t>303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Wholesale licences</w:t>
      </w:r>
      <w:r>
        <w:tab/>
      </w:r>
      <w:r>
        <w:fldChar w:fldCharType="begin"/>
      </w:r>
      <w:r>
        <w:instrText xml:space="preserve"> PAGEREF _Toc522197514 \h </w:instrText>
      </w:r>
      <w:r>
        <w:fldChar w:fldCharType="separate"/>
      </w:r>
      <w:r>
        <w:t>303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Club licences and unlicensed club permits</w:t>
      </w:r>
      <w:r>
        <w:tab/>
      </w:r>
      <w:r>
        <w:fldChar w:fldCharType="begin"/>
      </w:r>
      <w:r>
        <w:instrText xml:space="preserve"> PAGEREF _Toc522197515 \h </w:instrText>
      </w:r>
      <w:r>
        <w:fldChar w:fldCharType="separate"/>
      </w:r>
      <w:r>
        <w:t>304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Certain licences to become special facility licences</w:t>
      </w:r>
      <w:r>
        <w:tab/>
      </w:r>
      <w:r>
        <w:fldChar w:fldCharType="begin"/>
      </w:r>
      <w:r>
        <w:instrText xml:space="preserve"> PAGEREF _Toc522197516 \h </w:instrText>
      </w:r>
      <w:r>
        <w:fldChar w:fldCharType="separate"/>
      </w:r>
      <w:r>
        <w:t>305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Caterer’s permit</w:t>
      </w:r>
      <w:r>
        <w:tab/>
      </w:r>
      <w:r>
        <w:fldChar w:fldCharType="begin"/>
      </w:r>
      <w:r>
        <w:instrText xml:space="preserve"> PAGEREF _Toc522197517 \h </w:instrText>
      </w:r>
      <w:r>
        <w:fldChar w:fldCharType="separate"/>
      </w:r>
      <w:r>
        <w:t>307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Exempted producers etc.</w:t>
      </w:r>
      <w:r>
        <w:tab/>
      </w:r>
      <w:r>
        <w:fldChar w:fldCharType="begin"/>
      </w:r>
      <w:r>
        <w:instrText xml:space="preserve"> PAGEREF _Toc522197518 \h </w:instrText>
      </w:r>
      <w:r>
        <w:fldChar w:fldCharType="separate"/>
      </w:r>
      <w:r>
        <w:t>307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Certain licences may become special facility licences</w:t>
      </w:r>
      <w:r>
        <w:tab/>
      </w:r>
      <w:r>
        <w:fldChar w:fldCharType="begin"/>
      </w:r>
      <w:r>
        <w:instrText xml:space="preserve"> PAGEREF _Toc522197519 \h </w:instrText>
      </w:r>
      <w:r>
        <w:fldChar w:fldCharType="separate"/>
      </w:r>
      <w:r>
        <w:t>307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References in other written laws</w:t>
      </w:r>
      <w:r>
        <w:tab/>
      </w:r>
      <w:r>
        <w:fldChar w:fldCharType="begin"/>
      </w:r>
      <w:r>
        <w:instrText xml:space="preserve"> PAGEREF _Toc522197520 \h </w:instrText>
      </w:r>
      <w:r>
        <w:fldChar w:fldCharType="separate"/>
      </w:r>
      <w:r>
        <w:t>308</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1A — Transitional provisions relating to the </w:t>
      </w:r>
      <w:r>
        <w:rPr>
          <w:i/>
        </w:rPr>
        <w:t>Liquor and Gaming Legislation Amendment Act 2006</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_Toc522197522 \h </w:instrText>
      </w:r>
      <w:r>
        <w:fldChar w:fldCharType="separate"/>
      </w:r>
      <w:r>
        <w:t>309</w:t>
      </w:r>
      <w:r>
        <w:fldChar w:fldCharType="end"/>
      </w:r>
    </w:p>
    <w:p>
      <w:pPr>
        <w:pStyle w:val="TOC8"/>
        <w:rPr>
          <w:rFonts w:asciiTheme="minorHAnsi" w:eastAsiaTheme="minorEastAsia" w:hAnsiTheme="minorHAnsi" w:cstheme="minorBidi"/>
          <w:szCs w:val="22"/>
        </w:rPr>
      </w:pPr>
      <w:r>
        <w:t>2.</w:t>
      </w:r>
      <w:r>
        <w:tab/>
        <w:t>Liquor Licensing Court</w:t>
      </w:r>
      <w:r>
        <w:tab/>
      </w:r>
      <w:r>
        <w:fldChar w:fldCharType="begin"/>
      </w:r>
      <w:r>
        <w:instrText xml:space="preserve"> PAGEREF _Toc522197523 \h </w:instrText>
      </w:r>
      <w:r>
        <w:fldChar w:fldCharType="separate"/>
      </w:r>
      <w:r>
        <w:t>309</w:t>
      </w:r>
      <w:r>
        <w:fldChar w:fldCharType="end"/>
      </w:r>
    </w:p>
    <w:p>
      <w:pPr>
        <w:pStyle w:val="TOC8"/>
        <w:rPr>
          <w:rFonts w:asciiTheme="minorHAnsi" w:eastAsiaTheme="minorEastAsia" w:hAnsiTheme="minorHAnsi" w:cstheme="minorBidi"/>
          <w:szCs w:val="22"/>
        </w:rPr>
      </w:pPr>
      <w:r>
        <w:t>3.</w:t>
      </w:r>
      <w:r>
        <w:tab/>
        <w:t>Liquor Licensing Court judge</w:t>
      </w:r>
      <w:r>
        <w:tab/>
      </w:r>
      <w:r>
        <w:fldChar w:fldCharType="begin"/>
      </w:r>
      <w:r>
        <w:instrText xml:space="preserve"> PAGEREF _Toc522197524 \h </w:instrText>
      </w:r>
      <w:r>
        <w:fldChar w:fldCharType="separate"/>
      </w:r>
      <w:r>
        <w:t>309</w:t>
      </w:r>
      <w:r>
        <w:fldChar w:fldCharType="end"/>
      </w:r>
    </w:p>
    <w:p>
      <w:pPr>
        <w:pStyle w:val="TOC8"/>
        <w:rPr>
          <w:rFonts w:asciiTheme="minorHAnsi" w:eastAsiaTheme="minorEastAsia" w:hAnsiTheme="minorHAnsi" w:cstheme="minorBidi"/>
          <w:szCs w:val="22"/>
        </w:rPr>
      </w:pPr>
      <w:r>
        <w:t>4.</w:t>
      </w:r>
      <w:r>
        <w:tab/>
        <w:t>Pending cases stated and appeals to Supreme Court</w:t>
      </w:r>
      <w:r>
        <w:tab/>
      </w:r>
      <w:r>
        <w:fldChar w:fldCharType="begin"/>
      </w:r>
      <w:r>
        <w:instrText xml:space="preserve"> PAGEREF _Toc522197525 \h </w:instrText>
      </w:r>
      <w:r>
        <w:fldChar w:fldCharType="separate"/>
      </w:r>
      <w:r>
        <w:t>310</w:t>
      </w:r>
      <w:r>
        <w:fldChar w:fldCharType="end"/>
      </w:r>
    </w:p>
    <w:p>
      <w:pPr>
        <w:pStyle w:val="TOC8"/>
        <w:rPr>
          <w:rFonts w:asciiTheme="minorHAnsi" w:eastAsiaTheme="minorEastAsia" w:hAnsiTheme="minorHAnsi" w:cstheme="minorBidi"/>
          <w:szCs w:val="22"/>
        </w:rPr>
      </w:pPr>
      <w:r>
        <w:t>5.</w:t>
      </w:r>
      <w:r>
        <w:tab/>
        <w:t>Pending applications and matters</w:t>
      </w:r>
      <w:r>
        <w:tab/>
      </w:r>
      <w:r>
        <w:fldChar w:fldCharType="begin"/>
      </w:r>
      <w:r>
        <w:instrText xml:space="preserve"> PAGEREF _Toc522197526 \h </w:instrText>
      </w:r>
      <w:r>
        <w:fldChar w:fldCharType="separate"/>
      </w:r>
      <w:r>
        <w:t>310</w:t>
      </w:r>
      <w:r>
        <w:fldChar w:fldCharType="end"/>
      </w:r>
    </w:p>
    <w:p>
      <w:pPr>
        <w:pStyle w:val="TOC8"/>
        <w:rPr>
          <w:rFonts w:asciiTheme="minorHAnsi" w:eastAsiaTheme="minorEastAsia" w:hAnsiTheme="minorHAnsi" w:cstheme="minorBidi"/>
          <w:szCs w:val="22"/>
        </w:rPr>
      </w:pPr>
      <w:r>
        <w:t>6.</w:t>
      </w:r>
      <w:r>
        <w:tab/>
        <w:t>Licences granted and permits issued by Liquor Licensing Court</w:t>
      </w:r>
      <w:r>
        <w:tab/>
      </w:r>
      <w:r>
        <w:fldChar w:fldCharType="begin"/>
      </w:r>
      <w:r>
        <w:instrText xml:space="preserve"> PAGEREF _Toc522197527 \h </w:instrText>
      </w:r>
      <w:r>
        <w:fldChar w:fldCharType="separate"/>
      </w:r>
      <w:r>
        <w:t>311</w:t>
      </w:r>
      <w:r>
        <w:fldChar w:fldCharType="end"/>
      </w:r>
    </w:p>
    <w:p>
      <w:pPr>
        <w:pStyle w:val="TOC8"/>
        <w:rPr>
          <w:rFonts w:asciiTheme="minorHAnsi" w:eastAsiaTheme="minorEastAsia" w:hAnsiTheme="minorHAnsi" w:cstheme="minorBidi"/>
          <w:szCs w:val="22"/>
        </w:rPr>
      </w:pPr>
      <w:r>
        <w:t>7.</w:t>
      </w:r>
      <w:r>
        <w:tab/>
        <w:t>Cabaret licences</w:t>
      </w:r>
      <w:r>
        <w:tab/>
      </w:r>
      <w:r>
        <w:fldChar w:fldCharType="begin"/>
      </w:r>
      <w:r>
        <w:instrText xml:space="preserve"> PAGEREF _Toc522197528 \h </w:instrText>
      </w:r>
      <w:r>
        <w:fldChar w:fldCharType="separate"/>
      </w:r>
      <w:r>
        <w:t>311</w:t>
      </w:r>
      <w:r>
        <w:fldChar w:fldCharType="end"/>
      </w:r>
    </w:p>
    <w:p>
      <w:pPr>
        <w:pStyle w:val="TOC8"/>
        <w:rPr>
          <w:rFonts w:asciiTheme="minorHAnsi" w:eastAsiaTheme="minorEastAsia" w:hAnsiTheme="minorHAnsi" w:cstheme="minorBidi"/>
          <w:szCs w:val="22"/>
        </w:rPr>
      </w:pPr>
      <w:r>
        <w:t>8.</w:t>
      </w:r>
      <w:r>
        <w:tab/>
        <w:t>Courses of training and assessments</w:t>
      </w:r>
      <w:r>
        <w:tab/>
      </w:r>
      <w:r>
        <w:fldChar w:fldCharType="begin"/>
      </w:r>
      <w:r>
        <w:instrText xml:space="preserve"> PAGEREF _Toc522197529 \h </w:instrText>
      </w:r>
      <w:r>
        <w:fldChar w:fldCharType="separate"/>
      </w:r>
      <w:r>
        <w:t>311</w:t>
      </w:r>
      <w:r>
        <w:fldChar w:fldCharType="end"/>
      </w:r>
    </w:p>
    <w:p>
      <w:pPr>
        <w:pStyle w:val="TOC8"/>
        <w:rPr>
          <w:rFonts w:asciiTheme="minorHAnsi" w:eastAsiaTheme="minorEastAsia" w:hAnsiTheme="minorHAnsi" w:cstheme="minorBidi"/>
          <w:szCs w:val="22"/>
        </w:rPr>
      </w:pPr>
      <w:r>
        <w:t>9.</w:t>
      </w:r>
      <w:r>
        <w:tab/>
        <w:t>References to Liquor Licensing Court and Liquor Licensing Court judge</w:t>
      </w:r>
      <w:r>
        <w:tab/>
      </w:r>
      <w:r>
        <w:fldChar w:fldCharType="begin"/>
      </w:r>
      <w:r>
        <w:instrText xml:space="preserve"> PAGEREF _Toc522197530 \h </w:instrText>
      </w:r>
      <w:r>
        <w:fldChar w:fldCharType="separate"/>
      </w:r>
      <w:r>
        <w:t>312</w:t>
      </w:r>
      <w:r>
        <w:fldChar w:fldCharType="end"/>
      </w:r>
    </w:p>
    <w:p>
      <w:pPr>
        <w:pStyle w:val="TOC8"/>
        <w:rPr>
          <w:rFonts w:asciiTheme="minorHAnsi" w:eastAsiaTheme="minorEastAsia" w:hAnsiTheme="minorHAnsi" w:cstheme="minorBidi"/>
          <w:szCs w:val="22"/>
        </w:rPr>
      </w:pPr>
      <w:r>
        <w:t>10.</w:t>
      </w:r>
      <w:r>
        <w:tab/>
        <w:t>Transitional regulations</w:t>
      </w:r>
      <w:r>
        <w:tab/>
      </w:r>
      <w:r>
        <w:fldChar w:fldCharType="begin"/>
      </w:r>
      <w:r>
        <w:instrText xml:space="preserve"> PAGEREF _Toc522197531 \h </w:instrText>
      </w:r>
      <w:r>
        <w:fldChar w:fldCharType="separate"/>
      </w:r>
      <w:r>
        <w:t>312</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1B — Transitional provisions relating to the </w:t>
      </w:r>
      <w:r>
        <w:rPr>
          <w:i/>
        </w:rPr>
        <w:t>Liquor Control Amendment Act 2010</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_Toc522197533 \h </w:instrText>
      </w:r>
      <w:r>
        <w:fldChar w:fldCharType="separate"/>
      </w:r>
      <w:r>
        <w:t>313</w:t>
      </w:r>
      <w:r>
        <w:fldChar w:fldCharType="end"/>
      </w:r>
    </w:p>
    <w:p>
      <w:pPr>
        <w:pStyle w:val="TOC8"/>
        <w:rPr>
          <w:rFonts w:asciiTheme="minorHAnsi" w:eastAsiaTheme="minorEastAsia" w:hAnsiTheme="minorHAnsi" w:cstheme="minorBidi"/>
          <w:szCs w:val="22"/>
        </w:rPr>
      </w:pPr>
      <w:r>
        <w:t>2.</w:t>
      </w:r>
      <w:r>
        <w:tab/>
        <w:t>Current managers taken to be licensed</w:t>
      </w:r>
      <w:r>
        <w:tab/>
      </w:r>
      <w:r>
        <w:fldChar w:fldCharType="begin"/>
      </w:r>
      <w:r>
        <w:instrText xml:space="preserve"> PAGEREF _Toc522197534 \h </w:instrText>
      </w:r>
      <w:r>
        <w:fldChar w:fldCharType="separate"/>
      </w:r>
      <w:r>
        <w:t>313</w:t>
      </w:r>
      <w:r>
        <w:fldChar w:fldCharType="end"/>
      </w:r>
    </w:p>
    <w:p>
      <w:pPr>
        <w:pStyle w:val="TOC8"/>
        <w:rPr>
          <w:rFonts w:asciiTheme="minorHAnsi" w:eastAsiaTheme="minorEastAsia" w:hAnsiTheme="minorHAnsi" w:cstheme="minorBidi"/>
          <w:szCs w:val="22"/>
        </w:rPr>
      </w:pPr>
      <w:r>
        <w:t>3.</w:t>
      </w:r>
      <w:r>
        <w:tab/>
        <w:t>Duration of transitioned approvals</w:t>
      </w:r>
      <w:r>
        <w:tab/>
      </w:r>
      <w:r>
        <w:fldChar w:fldCharType="begin"/>
      </w:r>
      <w:r>
        <w:instrText xml:space="preserve"> PAGEREF _Toc522197535 \h </w:instrText>
      </w:r>
      <w:r>
        <w:fldChar w:fldCharType="separate"/>
      </w:r>
      <w:r>
        <w:t>313</w:t>
      </w:r>
      <w:r>
        <w:fldChar w:fldCharType="end"/>
      </w:r>
    </w:p>
    <w:p>
      <w:pPr>
        <w:pStyle w:val="TOC8"/>
        <w:rPr>
          <w:rFonts w:asciiTheme="minorHAnsi" w:eastAsiaTheme="minorEastAsia" w:hAnsiTheme="minorHAnsi" w:cstheme="minorBidi"/>
          <w:szCs w:val="22"/>
        </w:rPr>
      </w:pPr>
      <w:r>
        <w:t>4.</w:t>
      </w:r>
      <w:r>
        <w:tab/>
        <w:t>Current applications</w:t>
      </w:r>
      <w:r>
        <w:tab/>
      </w:r>
      <w:r>
        <w:fldChar w:fldCharType="begin"/>
      </w:r>
      <w:r>
        <w:instrText xml:space="preserve"> PAGEREF _Toc522197536 \h </w:instrText>
      </w:r>
      <w:r>
        <w:fldChar w:fldCharType="separate"/>
      </w:r>
      <w:r>
        <w:t>314</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1C — Transitional provisions relating to the </w:t>
      </w:r>
      <w:r>
        <w:rPr>
          <w:i/>
        </w:rPr>
        <w:t>Liquor Control Amendment Act 2018</w:t>
      </w:r>
    </w:p>
    <w:p>
      <w:pPr>
        <w:pStyle w:val="TOC8"/>
        <w:rPr>
          <w:rFonts w:asciiTheme="minorHAnsi" w:eastAsiaTheme="minorEastAsia" w:hAnsiTheme="minorHAnsi" w:cstheme="minorBidi"/>
          <w:szCs w:val="22"/>
        </w:rPr>
      </w:pPr>
      <w:r>
        <w:t>1.</w:t>
      </w:r>
      <w:r>
        <w:tab/>
        <w:t>Application of s. 36B to existing applications for grant or removal of licence</w:t>
      </w:r>
      <w:r>
        <w:tab/>
      </w:r>
      <w:r>
        <w:fldChar w:fldCharType="begin"/>
      </w:r>
      <w:r>
        <w:instrText xml:space="preserve"> PAGEREF _Toc522197538 \h </w:instrText>
      </w:r>
      <w:r>
        <w:fldChar w:fldCharType="separate"/>
      </w:r>
      <w:r>
        <w:t>315</w:t>
      </w:r>
      <w:r>
        <w:fldChar w:fldCharType="end"/>
      </w:r>
    </w:p>
    <w:p>
      <w:pPr>
        <w:pStyle w:val="TOC8"/>
        <w:rPr>
          <w:rFonts w:asciiTheme="minorHAnsi" w:eastAsiaTheme="minorEastAsia" w:hAnsiTheme="minorHAnsi" w:cstheme="minorBidi"/>
          <w:szCs w:val="22"/>
        </w:rPr>
      </w:pPr>
      <w:r>
        <w:t>2.</w:t>
      </w:r>
      <w:r>
        <w:tab/>
        <w:t>Small bar licences</w:t>
      </w:r>
      <w:r>
        <w:tab/>
      </w:r>
      <w:r>
        <w:fldChar w:fldCharType="begin"/>
      </w:r>
      <w:r>
        <w:instrText xml:space="preserve"> PAGEREF _Toc522197539 \h </w:instrText>
      </w:r>
      <w:r>
        <w:fldChar w:fldCharType="separate"/>
      </w:r>
      <w:r>
        <w:t>315</w:t>
      </w:r>
      <w:r>
        <w:fldChar w:fldCharType="end"/>
      </w:r>
    </w:p>
    <w:p>
      <w:pPr>
        <w:pStyle w:val="TOC8"/>
        <w:rPr>
          <w:rFonts w:asciiTheme="minorHAnsi" w:eastAsiaTheme="minorEastAsia" w:hAnsiTheme="minorHAnsi" w:cstheme="minorBidi"/>
          <w:szCs w:val="22"/>
        </w:rPr>
      </w:pPr>
      <w:r>
        <w:t>3.</w:t>
      </w:r>
      <w:r>
        <w:tab/>
        <w:t>Certain restaurant licences: no fee for application for extended trading permit under section 60(4)(ca)</w:t>
      </w:r>
      <w:r>
        <w:tab/>
      </w:r>
      <w:r>
        <w:fldChar w:fldCharType="begin"/>
      </w:r>
      <w:r>
        <w:instrText xml:space="preserve"> PAGEREF _Toc522197540 \h </w:instrText>
      </w:r>
      <w:r>
        <w:fldChar w:fldCharType="separate"/>
      </w:r>
      <w:r>
        <w:t>315</w:t>
      </w:r>
      <w:r>
        <w:fldChar w:fldCharType="end"/>
      </w:r>
    </w:p>
    <w:p>
      <w:pPr>
        <w:pStyle w:val="TOC8"/>
        <w:rPr>
          <w:rFonts w:asciiTheme="minorHAnsi" w:eastAsiaTheme="minorEastAsia" w:hAnsiTheme="minorHAnsi" w:cstheme="minorBidi"/>
          <w:szCs w:val="22"/>
        </w:rPr>
      </w:pPr>
      <w:r>
        <w:t>4.</w:t>
      </w:r>
      <w:r>
        <w:tab/>
        <w:t>Application of s. 77A to existing applications for alteration or redefinition of licensed premises</w:t>
      </w:r>
      <w:r>
        <w:tab/>
      </w:r>
      <w:r>
        <w:fldChar w:fldCharType="begin"/>
      </w:r>
      <w:r>
        <w:instrText xml:space="preserve"> PAGEREF _Toc522197541 \h </w:instrText>
      </w:r>
      <w:r>
        <w:fldChar w:fldCharType="separate"/>
      </w:r>
      <w:r>
        <w:t>316</w:t>
      </w:r>
      <w:r>
        <w:fldChar w:fldCharType="end"/>
      </w:r>
    </w:p>
    <w:p>
      <w:pPr>
        <w:pStyle w:val="TOC2"/>
        <w:tabs>
          <w:tab w:val="right" w:leader="dot" w:pos="7077"/>
        </w:tabs>
        <w:rPr>
          <w:rFonts w:asciiTheme="minorHAnsi" w:eastAsiaTheme="minorEastAsia" w:hAnsiTheme="minorHAnsi" w:cstheme="minorBidi"/>
          <w:b w:val="0"/>
          <w:sz w:val="22"/>
          <w:szCs w:val="22"/>
        </w:rPr>
      </w:pPr>
      <w:r>
        <w:t>Schedule 2 — Unincorporated clubs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Anzac Club</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_Toc522197544 \h </w:instrText>
      </w:r>
      <w:r>
        <w:fldChar w:fldCharType="separate"/>
      </w:r>
      <w:r>
        <w:t>317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Anzac Club</w:t>
      </w:r>
      <w:r>
        <w:tab/>
      </w:r>
      <w:r>
        <w:fldChar w:fldCharType="begin"/>
      </w:r>
      <w:r>
        <w:instrText xml:space="preserve"> PAGEREF _Toc522197545 \h </w:instrText>
      </w:r>
      <w:r>
        <w:fldChar w:fldCharType="separate"/>
      </w:r>
      <w:r>
        <w:t>317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The Air Force Association Club</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_Toc522197547 \h </w:instrText>
      </w:r>
      <w:r>
        <w:fldChar w:fldCharType="separate"/>
      </w:r>
      <w:r>
        <w:t>319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Air Force Association (Western Australia Division) Club</w:t>
      </w:r>
      <w:r>
        <w:tab/>
      </w:r>
      <w:r>
        <w:fldChar w:fldCharType="begin"/>
      </w:r>
      <w:r>
        <w:instrText xml:space="preserve"> PAGEREF _Toc522197548 \h </w:instrText>
      </w:r>
      <w:r>
        <w:fldChar w:fldCharType="separate"/>
      </w:r>
      <w:r>
        <w:t>319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_Toc522197550 \h </w:instrText>
      </w:r>
      <w:r>
        <w:fldChar w:fldCharType="separate"/>
      </w:r>
      <w:r>
        <w:t>321</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_Toc522197551 \h </w:instrText>
      </w:r>
      <w:r>
        <w:fldChar w:fldCharType="separate"/>
      </w:r>
      <w:r>
        <w:t>326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after="840"/>
      </w:pPr>
      <w:r>
        <w:t>Liquor Control Act 1988</w:t>
      </w:r>
    </w:p>
    <w:p>
      <w:pPr>
        <w:pStyle w:val="LongTitle"/>
        <w:rPr>
          <w:snapToGrid w:val="0"/>
        </w:rPr>
      </w:pPr>
      <w:r>
        <w:rPr>
          <w:snapToGrid w:val="0"/>
        </w:rPr>
        <w:t>An Act to regulate the sale, supply and consumption of liquor, the use of premises on which liquor is sold, and the services and facilities provided in conjunction with or ancillary to the sale of liquor, to minimise harm or ill</w:t>
      </w:r>
      <w:r>
        <w:rPr>
          <w:snapToGrid w:val="0"/>
        </w:rPr>
        <w:noBreakHyphen/>
        <w:t xml:space="preserve">health caused to people, or any group of people due to the use of liquor, </w:t>
      </w:r>
      <w:r>
        <w:t xml:space="preserve">to provide for orders that may prohibit persons from being employed at, or from entering, licensed premises, </w:t>
      </w:r>
      <w:r>
        <w:rPr>
          <w:snapToGrid w:val="0"/>
        </w:rPr>
        <w:t xml:space="preserve">to repeal the </w:t>
      </w:r>
      <w:r>
        <w:rPr>
          <w:i/>
          <w:snapToGrid w:val="0"/>
        </w:rPr>
        <w:t>Liquor Act 1970</w:t>
      </w:r>
      <w:r>
        <w:rPr>
          <w:b w:val="0"/>
          <w:snapToGrid w:val="0"/>
          <w:vertAlign w:val="superscript"/>
        </w:rPr>
        <w:t> 2</w:t>
      </w:r>
      <w:r>
        <w:rPr>
          <w:snapToGrid w:val="0"/>
        </w:rPr>
        <w:t>, and for related matters.</w:t>
      </w:r>
    </w:p>
    <w:p>
      <w:pPr>
        <w:pStyle w:val="Footnotelongtitle"/>
      </w:pPr>
      <w:r>
        <w:tab/>
        <w:t xml:space="preserve">[Long title amended by No. 12 of 1998 s. 4 (correction in Gazette 31 Jul 1998 p. 3942); No. 73 of 2006 s. 4.] </w:t>
      </w:r>
    </w:p>
    <w:p>
      <w:pPr>
        <w:pStyle w:val="Heading2"/>
      </w:pPr>
      <w:bookmarkStart w:id="3" w:name="_Toc471906663"/>
      <w:bookmarkStart w:id="4" w:name="_Toc472001580"/>
      <w:bookmarkStart w:id="5" w:name="_Toc472676608"/>
      <w:bookmarkStart w:id="6" w:name="_Toc472681993"/>
      <w:bookmarkStart w:id="7" w:name="_Toc473119134"/>
      <w:bookmarkStart w:id="8" w:name="_Toc522197182"/>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r>
        <w:rPr>
          <w:rStyle w:val="CharPartText"/>
        </w:rPr>
        <w:t xml:space="preserve"> </w:t>
      </w:r>
    </w:p>
    <w:p>
      <w:pPr>
        <w:pStyle w:val="Heading5"/>
        <w:rPr>
          <w:snapToGrid w:val="0"/>
        </w:rPr>
      </w:pPr>
      <w:bookmarkStart w:id="9" w:name="_Toc522197183"/>
      <w:r>
        <w:rPr>
          <w:rStyle w:val="CharSectno"/>
        </w:rPr>
        <w:t>1</w:t>
      </w:r>
      <w:r>
        <w:rPr>
          <w:snapToGrid w:val="0"/>
        </w:rPr>
        <w:t>.</w:t>
      </w:r>
      <w:r>
        <w:rPr>
          <w:snapToGrid w:val="0"/>
        </w:rPr>
        <w:tab/>
        <w:t>Short title</w:t>
      </w:r>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r>
        <w:rPr>
          <w:snapToGrid w:val="0"/>
        </w:rPr>
        <w:t xml:space="preserve"> </w:t>
      </w:r>
      <w:r>
        <w:rPr>
          <w:snapToGrid w:val="0"/>
          <w:vertAlign w:val="superscript"/>
        </w:rPr>
        <w:t>1</w:t>
      </w:r>
      <w:r>
        <w:rPr>
          <w:snapToGrid w:val="0"/>
        </w:rPr>
        <w:t>.</w:t>
      </w:r>
    </w:p>
    <w:p>
      <w:pPr>
        <w:pStyle w:val="Footnotesection"/>
      </w:pPr>
      <w:r>
        <w:tab/>
        <w:t>[Section 1 amended by No. 73 of 2006 s. 5.]</w:t>
      </w:r>
    </w:p>
    <w:p>
      <w:pPr>
        <w:pStyle w:val="Heading5"/>
        <w:rPr>
          <w:snapToGrid w:val="0"/>
        </w:rPr>
      </w:pPr>
      <w:bookmarkStart w:id="10" w:name="_Toc522197184"/>
      <w:r>
        <w:rPr>
          <w:rStyle w:val="CharSectno"/>
        </w:rPr>
        <w:t>2</w:t>
      </w:r>
      <w:r>
        <w:rPr>
          <w:snapToGrid w:val="0"/>
        </w:rPr>
        <w:t>.</w:t>
      </w:r>
      <w:r>
        <w:rPr>
          <w:snapToGrid w:val="0"/>
        </w:rPr>
        <w:tab/>
        <w:t>Commencement</w:t>
      </w:r>
      <w:bookmarkEnd w:id="10"/>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11" w:name="_Toc522197185"/>
      <w:r>
        <w:rPr>
          <w:rStyle w:val="CharSectno"/>
        </w:rPr>
        <w:t>3</w:t>
      </w:r>
      <w:r>
        <w:rPr>
          <w:snapToGrid w:val="0"/>
        </w:rPr>
        <w:t>.</w:t>
      </w:r>
      <w:r>
        <w:rPr>
          <w:snapToGrid w:val="0"/>
        </w:rPr>
        <w:tab/>
        <w:t>Terms used</w:t>
      </w:r>
      <w:bookmarkEnd w:id="11"/>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approved restricted manager</w:t>
      </w:r>
      <w:r>
        <w:t xml:space="preserve"> means a person approved under section 102B(1)(b);</w:t>
      </w:r>
    </w:p>
    <w:p>
      <w:pPr>
        <w:pStyle w:val="Defstart"/>
      </w:pPr>
      <w:r>
        <w:tab/>
      </w:r>
      <w:r>
        <w:rPr>
          <w:rStyle w:val="CharDefText"/>
        </w:rPr>
        <w:t>approved unrestricted manager</w:t>
      </w:r>
      <w:r>
        <w:t xml:space="preserve"> means a person approved under section 102B(1)(a);</w:t>
      </w:r>
    </w:p>
    <w:p>
      <w:pPr>
        <w:pStyle w:val="Defstart"/>
      </w:pPr>
      <w:r>
        <w:rPr>
          <w:b/>
        </w:rPr>
        <w:tab/>
      </w:r>
      <w:r>
        <w:rPr>
          <w:rStyle w:val="CharDefText"/>
        </w:rPr>
        <w:t>assessment</w:t>
      </w:r>
      <w:r>
        <w:t xml:space="preserve"> in relation to a subsidy includes determining eligibility to receive the subsidy and the calculation of the subsidy;</w:t>
      </w:r>
    </w:p>
    <w:p>
      <w:pPr>
        <w:pStyle w:val="Defstart"/>
      </w:pPr>
      <w:r>
        <w:rPr>
          <w:b/>
        </w:rPr>
        <w:tab/>
      </w:r>
      <w:r>
        <w:rPr>
          <w:rStyle w:val="CharDefText"/>
        </w:rPr>
        <w:t>authorised officer</w:t>
      </w:r>
      <w:r>
        <w:t xml:space="preserve"> means — </w:t>
      </w:r>
    </w:p>
    <w:p>
      <w:pPr>
        <w:pStyle w:val="Defpara"/>
      </w:pPr>
      <w:r>
        <w:tab/>
        <w:t>(a)</w:t>
      </w:r>
      <w:r>
        <w:tab/>
        <w:t>the Director; or</w:t>
      </w:r>
    </w:p>
    <w:p>
      <w:pPr>
        <w:pStyle w:val="Defpara"/>
      </w:pPr>
      <w:r>
        <w:tab/>
        <w:t>(b)</w:t>
      </w:r>
      <w:r>
        <w:tab/>
        <w:t>an inspector; or</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r>
      <w:r>
        <w:rPr>
          <w:rStyle w:val="CharDefText"/>
        </w:rPr>
        <w:t>authorised person</w:t>
      </w:r>
      <w:r>
        <w:t>, in relation to licensed or regulated premises, means — </w:t>
      </w:r>
    </w:p>
    <w:p>
      <w:pPr>
        <w:pStyle w:val="Defpara"/>
      </w:pPr>
      <w:r>
        <w:tab/>
        <w:t>(a)</w:t>
      </w:r>
      <w:r>
        <w:tab/>
        <w:t>the licensee or occupier of the premises; or</w:t>
      </w:r>
    </w:p>
    <w:p>
      <w:pPr>
        <w:pStyle w:val="Defpara"/>
      </w:pPr>
      <w:r>
        <w:tab/>
        <w:t>(b)</w:t>
      </w:r>
      <w:r>
        <w:tab/>
        <w:t>a manager of the premises; or</w:t>
      </w:r>
    </w:p>
    <w:p>
      <w:pPr>
        <w:pStyle w:val="Defpara"/>
      </w:pPr>
      <w:r>
        <w:tab/>
        <w:t>(c)</w:t>
      </w:r>
      <w:r>
        <w:tab/>
        <w:t>an employee or agent of the licensee or occupier or a manager; or</w:t>
      </w:r>
    </w:p>
    <w:p>
      <w:pPr>
        <w:pStyle w:val="Defpara"/>
      </w:pPr>
      <w:r>
        <w:tab/>
        <w:t>(d)</w:t>
      </w:r>
      <w:r>
        <w:tab/>
        <w:t>a member of the Police Force;</w:t>
      </w:r>
    </w:p>
    <w:p>
      <w:pPr>
        <w:pStyle w:val="Defstart"/>
      </w:pPr>
      <w:r>
        <w:rPr>
          <w:b/>
        </w:rPr>
        <w:tab/>
      </w:r>
      <w:r>
        <w:rPr>
          <w:rStyle w:val="CharDefText"/>
        </w:rPr>
        <w:t>beer</w:t>
      </w:r>
      <w:r>
        <w:t xml:space="preserve"> means liquor of the type known as beer, ale, lager, porter, or stout or any other type of liquor produced by brewing;</w:t>
      </w:r>
    </w:p>
    <w:p>
      <w:pPr>
        <w:pStyle w:val="Defstart"/>
      </w:pPr>
      <w:r>
        <w:rPr>
          <w:b/>
        </w:rPr>
        <w:tab/>
      </w:r>
      <w:r>
        <w:rPr>
          <w:rStyle w:val="CharDefText"/>
        </w:rPr>
        <w:t>casino</w:t>
      </w:r>
      <w:r>
        <w:t xml:space="preserve">, </w:t>
      </w:r>
      <w:r>
        <w:rPr>
          <w:rStyle w:val="CharDefText"/>
        </w:rPr>
        <w:t>casino complex</w:t>
      </w:r>
      <w:r>
        <w:t xml:space="preserve">, </w:t>
      </w:r>
      <w:r>
        <w:rPr>
          <w:rStyle w:val="CharDefText"/>
        </w:rPr>
        <w:t>casino complex agreement</w:t>
      </w:r>
      <w:r>
        <w:t xml:space="preserve">, and </w:t>
      </w:r>
      <w:r>
        <w:rPr>
          <w:rStyle w:val="CharDefText"/>
        </w:rPr>
        <w:t>casino gaming licence</w:t>
      </w:r>
      <w:r>
        <w:t xml:space="preserve"> have the same respective meanings as in the </w:t>
      </w:r>
      <w:r>
        <w:rPr>
          <w:i/>
        </w:rPr>
        <w:t>Casino Control Act 1984</w:t>
      </w:r>
      <w:r>
        <w:t>;</w:t>
      </w:r>
    </w:p>
    <w:p>
      <w:pPr>
        <w:pStyle w:val="Defstart"/>
      </w:pPr>
      <w:r>
        <w:rPr>
          <w:b/>
        </w:rPr>
        <w:tab/>
      </w:r>
      <w:r>
        <w:rPr>
          <w:rStyle w:val="CharDefText"/>
        </w:rPr>
        <w:t>casino liquor licence</w:t>
      </w:r>
      <w:r>
        <w:t xml:space="preserve"> means a licence granted under section 44;</w:t>
      </w:r>
    </w:p>
    <w:p>
      <w:pPr>
        <w:pStyle w:val="Defstart"/>
      </w:pPr>
      <w:r>
        <w:tab/>
      </w:r>
      <w:r>
        <w:rPr>
          <w:rStyle w:val="CharDefText"/>
        </w:rPr>
        <w:t>cellar door permit</w:t>
      </w:r>
      <w:r>
        <w:t xml:space="preserve"> has the meaning given in section 61A(1);</w:t>
      </w:r>
    </w:p>
    <w:p>
      <w:pPr>
        <w:pStyle w:val="Defstart"/>
      </w:pPr>
      <w:r>
        <w:rPr>
          <w:b/>
        </w:rPr>
        <w:tab/>
      </w:r>
      <w:r>
        <w:rPr>
          <w:rStyle w:val="CharDefText"/>
        </w:rPr>
        <w:t>chairperson</w:t>
      </w:r>
      <w:r>
        <w:t xml:space="preserve"> means the chairperson of the Commission;</w:t>
      </w:r>
    </w:p>
    <w:p>
      <w:pPr>
        <w:pStyle w:val="Defstart"/>
      </w:pPr>
      <w:r>
        <w:tab/>
      </w:r>
      <w:r>
        <w:rPr>
          <w:rStyle w:val="CharDefText"/>
        </w:rPr>
        <w:t>Chief Health Officer</w:t>
      </w:r>
      <w:r>
        <w:t xml:space="preserve"> has the meaning given in the </w:t>
      </w:r>
      <w:r>
        <w:rPr>
          <w:i/>
        </w:rPr>
        <w:t>Public Health Act 2016</w:t>
      </w:r>
      <w:r>
        <w:t xml:space="preserve"> section 4(1);</w:t>
      </w:r>
    </w:p>
    <w:p>
      <w:pPr>
        <w:pStyle w:val="Defstart"/>
      </w:pPr>
      <w:r>
        <w:rPr>
          <w:b/>
        </w:rPr>
        <w:tab/>
      </w:r>
      <w:r>
        <w:rPr>
          <w:rStyle w:val="CharDefText"/>
        </w:rPr>
        <w:t>club licence</w:t>
      </w:r>
      <w:r>
        <w:t xml:space="preserve"> means a licence granted under section 48, which may be granted without restriction or as a club restricted licence;</w:t>
      </w:r>
    </w:p>
    <w:p>
      <w:pPr>
        <w:pStyle w:val="Defstart"/>
      </w:pPr>
      <w:r>
        <w:rPr>
          <w:b/>
        </w:rPr>
        <w:tab/>
      </w:r>
      <w:r>
        <w:rPr>
          <w:rStyle w:val="CharDefText"/>
        </w:rPr>
        <w:t>club restricted licence</w:t>
      </w:r>
      <w:r>
        <w:t xml:space="preserve"> means a club licence of the kind referred to in section 48(1);</w:t>
      </w:r>
    </w:p>
    <w:p>
      <w:pPr>
        <w:pStyle w:val="Defstart"/>
      </w:pPr>
      <w:r>
        <w:rPr>
          <w:b/>
        </w:rPr>
        <w:tab/>
      </w:r>
      <w:r>
        <w:rPr>
          <w:rStyle w:val="CharDefText"/>
        </w:rPr>
        <w:t>Commission</w:t>
      </w:r>
      <w:r>
        <w:t xml:space="preserve"> means the Liquor Commission established under section 8;</w:t>
      </w:r>
    </w:p>
    <w:p>
      <w:pPr>
        <w:pStyle w:val="Defstart"/>
      </w:pPr>
      <w:r>
        <w:rPr>
          <w:b/>
        </w:rPr>
        <w:tab/>
      </w:r>
      <w:r>
        <w:rPr>
          <w:rStyle w:val="CharDefText"/>
        </w:rPr>
        <w:t>Commissioner of Police</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r>
      <w:r>
        <w:rPr>
          <w:rStyle w:val="CharDefText"/>
        </w:rPr>
        <w:t>condition</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confidential police information</w:t>
      </w:r>
      <w:r>
        <w:t xml:space="preserve"> means any information or document classified by the Commissioner of Police as confidential under section 30(1);</w:t>
      </w:r>
    </w:p>
    <w:p>
      <w:pPr>
        <w:pStyle w:val="Defstart"/>
      </w:pPr>
      <w:r>
        <w:rPr>
          <w:b/>
        </w:rPr>
        <w:tab/>
      </w:r>
      <w:r>
        <w:rPr>
          <w:rStyle w:val="CharDefText"/>
        </w:rPr>
        <w:t>consume</w:t>
      </w:r>
      <w:r>
        <w:t>, in relation to liquor, includes inhale and absorb;</w:t>
      </w:r>
    </w:p>
    <w:p>
      <w:pPr>
        <w:pStyle w:val="Defstart"/>
      </w:pPr>
      <w:r>
        <w:rPr>
          <w:b/>
        </w:rPr>
        <w:tab/>
      </w:r>
      <w:r>
        <w:rPr>
          <w:rStyle w:val="CharDefText"/>
        </w:rPr>
        <w:t>crowd control agent</w:t>
      </w:r>
      <w:r>
        <w:t xml:space="preserve"> has the same meaning as it has in the </w:t>
      </w:r>
      <w:r>
        <w:rPr>
          <w:i/>
        </w:rPr>
        <w:t>Security and Related Activities (Control) Act 1996</w:t>
      </w:r>
      <w:r>
        <w:t xml:space="preserve"> section 34;</w:t>
      </w:r>
    </w:p>
    <w:p>
      <w:pPr>
        <w:pStyle w:val="Defstart"/>
      </w:pPr>
      <w:r>
        <w:rPr>
          <w:b/>
        </w:rPr>
        <w:tab/>
      </w:r>
      <w:r>
        <w:rPr>
          <w:rStyle w:val="CharDefText"/>
        </w:rPr>
        <w:t>crowd controller’s licence</w:t>
      </w:r>
      <w:r>
        <w:t xml:space="preserve"> means a licence issued for the purposes of the </w:t>
      </w:r>
      <w:r>
        <w:rPr>
          <w:i/>
        </w:rPr>
        <w:t>Security and Related Activities (Control) Act 1996</w:t>
      </w:r>
      <w:r>
        <w:t xml:space="preserve"> section 37;</w:t>
      </w:r>
    </w:p>
    <w:p>
      <w:pPr>
        <w:pStyle w:val="Defstart"/>
      </w:pPr>
      <w:r>
        <w:rPr>
          <w:b/>
        </w:rPr>
        <w:tab/>
      </w:r>
      <w:r>
        <w:rPr>
          <w:rStyle w:val="CharDefText"/>
        </w:rPr>
        <w:t>decision</w:t>
      </w:r>
      <w:r>
        <w:t xml:space="preserve"> includes an order, direction or determination;</w:t>
      </w:r>
    </w:p>
    <w:p>
      <w:pPr>
        <w:pStyle w:val="Defstart"/>
      </w:pPr>
      <w:r>
        <w:tab/>
      </w:r>
      <w:r>
        <w:rPr>
          <w:rStyle w:val="CharDefText"/>
        </w:rPr>
        <w:t>Department</w:t>
      </w:r>
      <w:r>
        <w:t xml:space="preserve"> means the department of the Public Service principally assisting in the administration of this Act;</w:t>
      </w:r>
    </w:p>
    <w:p>
      <w:pPr>
        <w:pStyle w:val="Defstart"/>
      </w:pPr>
      <w:r>
        <w:tab/>
      </w:r>
      <w:r>
        <w:rPr>
          <w:rStyle w:val="CharDefText"/>
        </w:rPr>
        <w:t>Department’s website</w:t>
      </w:r>
      <w:r>
        <w:t xml:space="preserve"> means a website maintained by or on behalf of the Department;</w:t>
      </w:r>
    </w:p>
    <w:p>
      <w:pPr>
        <w:pStyle w:val="Defstart"/>
      </w:pPr>
      <w:r>
        <w:rPr>
          <w:b/>
        </w:rPr>
        <w:tab/>
      </w:r>
      <w:r>
        <w:rPr>
          <w:rStyle w:val="CharDefText"/>
        </w:rPr>
        <w:t>dining area</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t>used solely or primarily for the supply of meals;</w:t>
      </w:r>
    </w:p>
    <w:p>
      <w:pPr>
        <w:pStyle w:val="Defstart"/>
      </w:pPr>
      <w:r>
        <w:rPr>
          <w:b/>
        </w:rPr>
        <w:tab/>
      </w:r>
      <w:r>
        <w:rPr>
          <w:rStyle w:val="CharDefText"/>
        </w:rPr>
        <w:t>director</w:t>
      </w:r>
      <w:r>
        <w:t>, in relation to a body corporate, includes — </w:t>
      </w:r>
    </w:p>
    <w:p>
      <w:pPr>
        <w:pStyle w:val="Defpara"/>
      </w:pPr>
      <w:r>
        <w:tab/>
        <w:t>(a)</w:t>
      </w:r>
      <w:r>
        <w:tab/>
        <w:t>a member of the board or committee of management of the body corporate; and</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rPr>
          <w:b/>
        </w:rPr>
      </w:pPr>
      <w:r>
        <w:tab/>
        <w:t>(c)</w:t>
      </w:r>
      <w:r>
        <w:tab/>
        <w:t>any person in accordance with whose directions or instructions directors of the body corporate are accustomed to act;</w:t>
      </w:r>
    </w:p>
    <w:p>
      <w:pPr>
        <w:pStyle w:val="Defstart"/>
      </w:pPr>
      <w:r>
        <w:tab/>
      </w:r>
      <w:r>
        <w:rPr>
          <w:rStyle w:val="CharDefText"/>
        </w:rPr>
        <w:t>Director</w:t>
      </w:r>
      <w:r>
        <w:t xml:space="preserve"> or </w:t>
      </w:r>
      <w:r>
        <w:rPr>
          <w:rStyle w:val="CharDefText"/>
        </w:rPr>
        <w:t>Director of Liquor Licensing</w:t>
      </w:r>
      <w:r>
        <w:t xml:space="preserve"> means the chief executive officer of the Department;</w:t>
      </w:r>
    </w:p>
    <w:p>
      <w:pPr>
        <w:pStyle w:val="Defstart"/>
      </w:pPr>
      <w:r>
        <w:rPr>
          <w:b/>
        </w:rPr>
        <w:tab/>
      </w:r>
      <w:r>
        <w:rPr>
          <w:rStyle w:val="CharDefText"/>
        </w:rPr>
        <w:t>disqualified</w:t>
      </w:r>
      <w:r>
        <w:t xml:space="preserve"> means — </w:t>
      </w:r>
    </w:p>
    <w:p>
      <w:pPr>
        <w:pStyle w:val="Defpara"/>
      </w:pPr>
      <w:r>
        <w:tab/>
        <w:t>(a)</w:t>
      </w:r>
      <w:r>
        <w:tab/>
        <w:t>in relation to an applicant for a licence — a person to whom section 34(2) applies; and</w:t>
      </w:r>
    </w:p>
    <w:p>
      <w:pPr>
        <w:pStyle w:val="Defpara"/>
      </w:pPr>
      <w:r>
        <w:tab/>
        <w:t>(b)</w:t>
      </w:r>
      <w:r>
        <w:tab/>
        <w:t>in relation to the occupier of a position of authority in a body corporate that holds or seeks a licence — a person to whom section 34(2) or an order made under section 96(1)(g) applies;</w:t>
      </w:r>
    </w:p>
    <w:p>
      <w:pPr>
        <w:pStyle w:val="Defstart"/>
      </w:pPr>
      <w:r>
        <w:rPr>
          <w:b/>
        </w:rPr>
        <w:tab/>
      </w:r>
      <w:r>
        <w:rPr>
          <w:rStyle w:val="CharDefText"/>
        </w:rPr>
        <w:t>drunk</w:t>
      </w:r>
      <w:r>
        <w:t xml:space="preserve"> has the meaning given by section 3A(1);</w:t>
      </w:r>
    </w:p>
    <w:p>
      <w:pPr>
        <w:pStyle w:val="Defstart"/>
      </w:pPr>
      <w:r>
        <w:rPr>
          <w:b/>
        </w:rPr>
        <w:tab/>
      </w:r>
      <w:r>
        <w:rPr>
          <w:rStyle w:val="CharDefText"/>
        </w:rPr>
        <w:t>extended trading permit</w:t>
      </w:r>
      <w:r>
        <w:t xml:space="preserve"> means a permit issued under section 60;</w:t>
      </w:r>
    </w:p>
    <w:p>
      <w:pPr>
        <w:pStyle w:val="Defstart"/>
      </w:pPr>
      <w:r>
        <w:rPr>
          <w:b/>
        </w:rPr>
        <w:tab/>
      </w:r>
      <w:r>
        <w:rPr>
          <w:rStyle w:val="CharDefText"/>
        </w:rPr>
        <w:t>function</w:t>
      </w:r>
      <w:r>
        <w:t xml:space="preserve"> means a gathering, occasion or event (including a sporting contest, show, exhibition, trade or other fair, or reception) at which it is proposed that liquor be sold or supplied to those present;</w:t>
      </w:r>
    </w:p>
    <w:p>
      <w:pPr>
        <w:pStyle w:val="Defstart"/>
      </w:pPr>
      <w:r>
        <w:tab/>
      </w:r>
      <w:r>
        <w:rPr>
          <w:rStyle w:val="CharDefText"/>
        </w:rPr>
        <w:t>Gaming and Wagering 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gross turnover</w:t>
      </w:r>
      <w:r>
        <w:t>, in relation to a licence, means the gross proceeds derived by the licensee from the sale of liquor under the licence;</w:t>
      </w:r>
    </w:p>
    <w:p>
      <w:pPr>
        <w:pStyle w:val="Defstart"/>
      </w:pPr>
      <w:r>
        <w:rPr>
          <w:b/>
        </w:rPr>
        <w:tab/>
      </w:r>
      <w:r>
        <w:rPr>
          <w:rStyle w:val="CharDefText"/>
        </w:rPr>
        <w:t>guest</w:t>
      </w:r>
      <w:r>
        <w:t>, in relation to licensed premises under a club licence, means a person who not being a member of the club is introduced to the club by a member in accordance with the rules of the club;</w:t>
      </w:r>
    </w:p>
    <w:p>
      <w:pPr>
        <w:pStyle w:val="Defstart"/>
      </w:pPr>
      <w:r>
        <w:rPr>
          <w:b/>
        </w:rPr>
        <w:tab/>
      </w:r>
      <w:r>
        <w:rPr>
          <w:rStyle w:val="CharDefText"/>
        </w:rPr>
        <w:t>hotel licence</w:t>
      </w:r>
      <w:r>
        <w:t xml:space="preserve"> means a licence granted under section 41, which may be granted without restriction, as a hotel restricted licence, as a tavern licence or tavern restricted licence;</w:t>
      </w:r>
    </w:p>
    <w:p>
      <w:pPr>
        <w:pStyle w:val="Defstart"/>
      </w:pPr>
      <w:r>
        <w:rPr>
          <w:b/>
        </w:rPr>
        <w:tab/>
      </w:r>
      <w:r>
        <w:rPr>
          <w:rStyle w:val="CharDefText"/>
        </w:rPr>
        <w:t>hotel restricted licence</w:t>
      </w:r>
      <w:r>
        <w:t xml:space="preserve"> means a hotel licence of the kind referred to in section 41(1)(b);</w:t>
      </w:r>
    </w:p>
    <w:p>
      <w:pPr>
        <w:pStyle w:val="Defstart"/>
      </w:pPr>
      <w:r>
        <w:tab/>
      </w:r>
      <w:r>
        <w:rPr>
          <w:rStyle w:val="CharDefText"/>
        </w:rPr>
        <w:t>inspector</w:t>
      </w:r>
      <w:r>
        <w:t xml:space="preserve"> means an inspector appointed under section 14(1)(a);</w:t>
      </w:r>
    </w:p>
    <w:p>
      <w:pPr>
        <w:pStyle w:val="Defstart"/>
      </w:pPr>
      <w:r>
        <w:rPr>
          <w:b/>
        </w:rPr>
        <w:tab/>
      </w:r>
      <w:r>
        <w:rPr>
          <w:rStyle w:val="CharDefText"/>
        </w:rPr>
        <w:t>juvenile</w:t>
      </w:r>
      <w:r>
        <w:t xml:space="preserve"> means a person under the age of 18 years;</w:t>
      </w:r>
    </w:p>
    <w:p>
      <w:pPr>
        <w:pStyle w:val="Defstart"/>
      </w:pPr>
      <w:r>
        <w:tab/>
      </w:r>
      <w:r>
        <w:rPr>
          <w:rStyle w:val="CharDefText"/>
        </w:rPr>
        <w:t>kind</w:t>
      </w:r>
      <w:r>
        <w:t>,</w:t>
      </w:r>
      <w:r>
        <w:rPr>
          <w:b/>
          <w:i/>
        </w:rPr>
        <w:t xml:space="preserve"> </w:t>
      </w:r>
      <w:r>
        <w:t>in relation to liquor, means one of the following kinds — </w:t>
      </w:r>
    </w:p>
    <w:p>
      <w:pPr>
        <w:pStyle w:val="Defpara"/>
      </w:pPr>
      <w:r>
        <w:tab/>
        <w:t>(a)</w:t>
      </w:r>
      <w:r>
        <w:tab/>
        <w:t>wine made from grapes; or</w:t>
      </w:r>
    </w:p>
    <w:p>
      <w:pPr>
        <w:pStyle w:val="Defpara"/>
      </w:pPr>
      <w:r>
        <w:tab/>
        <w:t>(b)</w:t>
      </w:r>
      <w:r>
        <w:tab/>
        <w:t>wine not made from grapes; or</w:t>
      </w:r>
    </w:p>
    <w:p>
      <w:pPr>
        <w:pStyle w:val="Defpara"/>
      </w:pPr>
      <w:r>
        <w:tab/>
        <w:t>(c)</w:t>
      </w:r>
      <w:r>
        <w:tab/>
        <w:t>spirits; or</w:t>
      </w:r>
    </w:p>
    <w:p>
      <w:pPr>
        <w:pStyle w:val="Defpara"/>
      </w:pPr>
      <w:r>
        <w:tab/>
        <w:t>(d)</w:t>
      </w:r>
      <w:r>
        <w:tab/>
        <w:t>beer; or</w:t>
      </w:r>
    </w:p>
    <w:p>
      <w:pPr>
        <w:pStyle w:val="Defpara"/>
      </w:pPr>
      <w:r>
        <w:tab/>
        <w:t>(e)</w:t>
      </w:r>
      <w:r>
        <w:tab/>
        <w:t>any other kind prescribed;</w:t>
      </w:r>
    </w:p>
    <w:p>
      <w:pPr>
        <w:pStyle w:val="Defstart"/>
      </w:pPr>
      <w:r>
        <w:rPr>
          <w:i/>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lease</w:t>
      </w:r>
      <w:r>
        <w:t xml:space="preserve"> includes any tenancy or letting of, or licence to occupy, premises, in writing or otherwise and, if in writing, whether by deed or otherwise, and </w:t>
      </w:r>
      <w:r>
        <w:rPr>
          <w:rStyle w:val="CharDefText"/>
        </w:rPr>
        <w:t>lessee</w:t>
      </w:r>
      <w:r>
        <w:t xml:space="preserve"> and </w:t>
      </w:r>
      <w:r>
        <w:rPr>
          <w:rStyle w:val="CharDefText"/>
        </w:rPr>
        <w:t>lessor</w:t>
      </w:r>
      <w:r>
        <w:t xml:space="preserve"> shall be construed accordingly;</w:t>
      </w:r>
    </w:p>
    <w:p>
      <w:pPr>
        <w:pStyle w:val="Defstart"/>
        <w:keepNext/>
      </w:pPr>
      <w:r>
        <w:rPr>
          <w:b/>
        </w:rPr>
        <w:tab/>
      </w:r>
      <w:r>
        <w:rPr>
          <w:rStyle w:val="CharDefText"/>
        </w:rPr>
        <w:t>licence</w:t>
      </w:r>
      <w:r>
        <w:t xml:space="preserve"> means a licence granted under this Act;</w:t>
      </w:r>
    </w:p>
    <w:p>
      <w:pPr>
        <w:pStyle w:val="Defstart"/>
      </w:pPr>
      <w:r>
        <w:rPr>
          <w:b/>
        </w:rPr>
        <w:tab/>
      </w:r>
      <w:r>
        <w:rPr>
          <w:rStyle w:val="CharDefText"/>
        </w:rPr>
        <w:t>licence fee</w:t>
      </w:r>
      <w:r>
        <w:t xml:space="preserve"> means the fee payable for a licence in respect of a licence period or the fee payable in respect of a permit;</w:t>
      </w:r>
    </w:p>
    <w:p>
      <w:pPr>
        <w:pStyle w:val="Defstart"/>
      </w:pPr>
      <w:r>
        <w:rPr>
          <w:b/>
        </w:rPr>
        <w:tab/>
      </w:r>
      <w:r>
        <w:rPr>
          <w:rStyle w:val="CharDefText"/>
        </w:rPr>
        <w:t>licence period</w:t>
      </w:r>
      <w:r>
        <w:t>, in relation to a licence, means each calendar year during which, or during any part of which, the licence is in force;</w:t>
      </w:r>
    </w:p>
    <w:p>
      <w:pPr>
        <w:pStyle w:val="Defstart"/>
      </w:pPr>
      <w:r>
        <w:rPr>
          <w:b/>
        </w:rPr>
        <w:tab/>
      </w:r>
      <w:r>
        <w:rPr>
          <w:rStyle w:val="CharDefText"/>
        </w:rPr>
        <w:t>licensed premises</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r>
      <w:r>
        <w:rPr>
          <w:rStyle w:val="CharDefText"/>
        </w:rPr>
        <w:t>licensee</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r>
      <w:r>
        <w:rPr>
          <w:rStyle w:val="CharDefText"/>
        </w:rPr>
        <w:t>licensing authority</w:t>
      </w:r>
      <w:r>
        <w:t xml:space="preserve"> means — </w:t>
      </w:r>
    </w:p>
    <w:p>
      <w:pPr>
        <w:pStyle w:val="Defpara"/>
      </w:pPr>
      <w:r>
        <w:tab/>
        <w:t>(a)</w:t>
      </w:r>
      <w:r>
        <w:tab/>
        <w:t>in relation to an application or matter that is, under this Act, to be determined by the Commission — the Commission; and</w:t>
      </w:r>
    </w:p>
    <w:p>
      <w:pPr>
        <w:pStyle w:val="Defpara"/>
      </w:pPr>
      <w:r>
        <w:tab/>
        <w:t>(b)</w:t>
      </w:r>
      <w:r>
        <w:tab/>
        <w:t>otherwise — the Director;</w:t>
      </w:r>
    </w:p>
    <w:p>
      <w:pPr>
        <w:pStyle w:val="Defstart"/>
        <w:keepNext/>
      </w:pPr>
      <w:r>
        <w:rPr>
          <w:b/>
        </w:rPr>
        <w:tab/>
      </w:r>
      <w:r>
        <w:rPr>
          <w:rStyle w:val="CharDefText"/>
        </w:rPr>
        <w:t>liquor</w:t>
      </w:r>
      <w:r>
        <w:t xml:space="preserve"> means — </w:t>
      </w:r>
    </w:p>
    <w:p>
      <w:pPr>
        <w:pStyle w:val="Defpara"/>
      </w:pPr>
      <w:r>
        <w:tab/>
        <w:t>(a)</w:t>
      </w:r>
      <w:r>
        <w:tab/>
        <w:t>a substance intended for human consumption which at 20° Celsius contains more than 1.15% ethanol by volume, or such other proportion as is prescribed; and</w:t>
      </w:r>
    </w:p>
    <w:p>
      <w:pPr>
        <w:pStyle w:val="Defpara"/>
      </w:pPr>
      <w:r>
        <w:tab/>
        <w:t>(b)</w:t>
      </w:r>
      <w:r>
        <w:tab/>
        <w:t>any other substance prescribed as being liquor for the purposes of this Act; and</w:t>
      </w:r>
    </w:p>
    <w:p>
      <w:pPr>
        <w:pStyle w:val="Defpara"/>
      </w:pPr>
      <w:r>
        <w:tab/>
        <w:t>(c)</w:t>
      </w:r>
      <w:r>
        <w:tab/>
        <w:t>any thing that, for the purposes of sale, is held out to be such a substance;</w:t>
      </w:r>
    </w:p>
    <w:p>
      <w:pPr>
        <w:pStyle w:val="Defstart"/>
      </w:pPr>
      <w:r>
        <w:rPr>
          <w:b/>
        </w:rPr>
        <w:tab/>
      </w:r>
      <w:r>
        <w:rPr>
          <w:rStyle w:val="CharDefText"/>
        </w:rPr>
        <w:t>liquor merchant</w:t>
      </w:r>
      <w:r>
        <w:t xml:space="preserve"> means a person who is — </w:t>
      </w:r>
    </w:p>
    <w:p>
      <w:pPr>
        <w:pStyle w:val="Defpara"/>
      </w:pPr>
      <w:r>
        <w:tab/>
        <w:t>(a)</w:t>
      </w:r>
      <w:r>
        <w:tab/>
        <w:t>licensed under this Act, otherwise than by an occasional licence only; or</w:t>
      </w:r>
    </w:p>
    <w:p>
      <w:pPr>
        <w:pStyle w:val="Defpara"/>
      </w:pPr>
      <w:r>
        <w:tab/>
        <w:t>(b)</w:t>
      </w:r>
      <w:r>
        <w:tab/>
        <w:t>authorised under the law of another State, or of a Territory,</w:t>
      </w:r>
    </w:p>
    <w:p>
      <w:pPr>
        <w:pStyle w:val="Defstart"/>
      </w:pPr>
      <w:r>
        <w:tab/>
        <w:t>to sell liquor;</w:t>
      </w:r>
    </w:p>
    <w:p>
      <w:pPr>
        <w:pStyle w:val="Defstart"/>
      </w:pPr>
      <w:r>
        <w:rPr>
          <w:b/>
        </w:rPr>
        <w:tab/>
      </w:r>
      <w:r>
        <w:rPr>
          <w:rStyle w:val="CharDefText"/>
        </w:rPr>
        <w:t>liquor store licence</w:t>
      </w:r>
      <w:r>
        <w:t xml:space="preserve"> means a licence granted under section 47;</w:t>
      </w:r>
    </w:p>
    <w:p>
      <w:pPr>
        <w:pStyle w:val="Defstart"/>
      </w:pPr>
      <w:r>
        <w:rPr>
          <w:b/>
        </w:rPr>
        <w:tab/>
      </w:r>
      <w:r>
        <w:rPr>
          <w:rStyle w:val="CharDefText"/>
        </w:rPr>
        <w:t>lodger</w:t>
      </w:r>
      <w:r>
        <w:t xml:space="preserve"> means a person residing, whether casually or permanently, on the premises;</w:t>
      </w:r>
    </w:p>
    <w:p>
      <w:pPr>
        <w:pStyle w:val="Defstart"/>
      </w:pPr>
      <w:r>
        <w:tab/>
      </w:r>
      <w:r>
        <w:rPr>
          <w:rStyle w:val="CharDefText"/>
        </w:rPr>
        <w:t>manager</w:t>
      </w:r>
      <w:r>
        <w:t>, in relation to licensed premises, means —</w:t>
      </w:r>
    </w:p>
    <w:p>
      <w:pPr>
        <w:pStyle w:val="Defpara"/>
      </w:pPr>
      <w:r>
        <w:tab/>
        <w:t>(a)</w:t>
      </w:r>
      <w:r>
        <w:tab/>
        <w:t>an approved unrestricted manager or approved restricted manager appointed by the licensee of the premises to supervise and manage the premises; or</w:t>
      </w:r>
    </w:p>
    <w:p>
      <w:pPr>
        <w:pStyle w:val="Defpara"/>
      </w:pPr>
      <w:r>
        <w:tab/>
        <w:t>(b)</w:t>
      </w:r>
      <w:r>
        <w:tab/>
        <w:t>a person appointed in accordance with section 100(3) to act as a temporary manager of the premises;</w:t>
      </w:r>
    </w:p>
    <w:p>
      <w:pPr>
        <w:pStyle w:val="Defstart"/>
      </w:pPr>
      <w:r>
        <w:rPr>
          <w:b/>
        </w:rPr>
        <w:tab/>
      </w:r>
      <w:r>
        <w:rPr>
          <w:rStyle w:val="CharDefText"/>
        </w:rPr>
        <w:t>meal</w:t>
      </w:r>
      <w:r>
        <w:t xml:space="preserve"> means food — </w:t>
      </w:r>
    </w:p>
    <w:p>
      <w:pPr>
        <w:pStyle w:val="Defpara"/>
      </w:pPr>
      <w:r>
        <w:tab/>
        <w:t>(a)</w:t>
      </w:r>
      <w:r>
        <w:tab/>
        <w:t>that is eaten by a person sitting at a table, or a fixed structure used as a table, with cutlery provided for the purpose of eating the food; and</w:t>
      </w:r>
    </w:p>
    <w:p>
      <w:pPr>
        <w:pStyle w:val="Defpara"/>
      </w:pPr>
      <w:r>
        <w:tab/>
        <w:t>(b)</w:t>
      </w:r>
      <w:r>
        <w:tab/>
        <w:t>that is of sufficient substance as to be ordinarily accepted as a meal; and</w:t>
      </w:r>
    </w:p>
    <w:p>
      <w:pPr>
        <w:pStyle w:val="Defpara"/>
        <w:keepNext/>
      </w:pPr>
      <w:r>
        <w:tab/>
        <w:t>(c)</w:t>
      </w:r>
      <w:r>
        <w:tab/>
        <w:t>that may consist of one or more courses,</w:t>
      </w:r>
    </w:p>
    <w:p>
      <w:pPr>
        <w:pStyle w:val="Defstart"/>
      </w:pPr>
      <w:r>
        <w:tab/>
        <w:t>but does not include any food prescribed not to be a meal;</w:t>
      </w:r>
    </w:p>
    <w:p>
      <w:pPr>
        <w:pStyle w:val="Defstart"/>
      </w:pPr>
      <w:r>
        <w:tab/>
      </w:r>
      <w:r>
        <w:rPr>
          <w:rStyle w:val="CharDefText"/>
        </w:rPr>
        <w:t>member</w:t>
      </w:r>
      <w:r>
        <w:t xml:space="preserve"> — </w:t>
      </w:r>
    </w:p>
    <w:p>
      <w:pPr>
        <w:pStyle w:val="Defpara"/>
      </w:pPr>
      <w:r>
        <w:tab/>
        <w:t>(a)</w:t>
      </w:r>
      <w:r>
        <w:tab/>
        <w:t>in relation to a club — includes a person who is a member of the club by reason of reciprocal arrangements with another club made in accordance with the rules of the club; and</w:t>
      </w:r>
    </w:p>
    <w:p>
      <w:pPr>
        <w:pStyle w:val="Defpara"/>
      </w:pPr>
      <w:r>
        <w:tab/>
        <w:t>(b)</w:t>
      </w:r>
      <w:r>
        <w:tab/>
        <w:t>in relation to the Commission — means a member of the Commission and includes the chairperson;</w:t>
      </w:r>
    </w:p>
    <w:p>
      <w:pPr>
        <w:pStyle w:val="Defstart"/>
        <w:keepNext/>
      </w:pPr>
      <w:r>
        <w:rPr>
          <w:b/>
        </w:rPr>
        <w:tab/>
      </w:r>
      <w:r>
        <w:rPr>
          <w:rStyle w:val="CharDefText"/>
        </w:rPr>
        <w:t>metropolitan area</w:t>
      </w:r>
      <w:r>
        <w:t xml:space="preserve"> means — </w:t>
      </w:r>
    </w:p>
    <w:p>
      <w:pPr>
        <w:pStyle w:val="Defpara"/>
      </w:pPr>
      <w:r>
        <w:tab/>
        <w:t>(a)</w:t>
      </w:r>
      <w:r>
        <w:tab/>
        <w:t xml:space="preserve">the region described in the </w:t>
      </w:r>
      <w:r>
        <w:rPr>
          <w:i/>
        </w:rPr>
        <w:t>Planning and Development Act 2005</w:t>
      </w:r>
      <w:r>
        <w:t xml:space="preserve"> Schedule 3; and</w:t>
      </w:r>
    </w:p>
    <w:p>
      <w:pPr>
        <w:pStyle w:val="Defpara"/>
      </w:pPr>
      <w:r>
        <w:tab/>
        <w:t>(b)</w:t>
      </w:r>
      <w:r>
        <w:tab/>
        <w:t>such other area as may be prescribed;</w:t>
      </w:r>
    </w:p>
    <w:p>
      <w:pPr>
        <w:pStyle w:val="Defstart"/>
      </w:pPr>
      <w:r>
        <w:tab/>
      </w:r>
      <w:r>
        <w:rPr>
          <w:rStyle w:val="CharDefText"/>
        </w:rPr>
        <w:t>nightclub licence</w:t>
      </w:r>
      <w:r>
        <w:t xml:space="preserve"> means a licence granted under section 42;</w:t>
      </w:r>
    </w:p>
    <w:p>
      <w:pPr>
        <w:pStyle w:val="Defstart"/>
      </w:pPr>
      <w:r>
        <w:rPr>
          <w:b/>
        </w:rPr>
        <w:tab/>
      </w:r>
      <w:r>
        <w:rPr>
          <w:rStyle w:val="CharDefText"/>
        </w:rPr>
        <w:t>occasional licence</w:t>
      </w:r>
      <w:r>
        <w:t xml:space="preserve"> means a licence granted under section 59;</w:t>
      </w:r>
    </w:p>
    <w:p>
      <w:pPr>
        <w:pStyle w:val="Defstart"/>
      </w:pPr>
      <w:r>
        <w:rPr>
          <w:b/>
        </w:rPr>
        <w:tab/>
      </w:r>
      <w:r>
        <w:rPr>
          <w:rStyle w:val="CharDefText"/>
        </w:rPr>
        <w:t>owner</w:t>
      </w:r>
      <w:r>
        <w:t>, in relation to licensed premises or regulated premises, means a person — </w:t>
      </w:r>
    </w:p>
    <w:p>
      <w:pPr>
        <w:pStyle w:val="Defpara"/>
      </w:pPr>
      <w:r>
        <w:tab/>
        <w:t>(a)</w:t>
      </w:r>
      <w:r>
        <w:tab/>
        <w:t>entitled to the rents or profits of the premises; or</w:t>
      </w:r>
    </w:p>
    <w:p>
      <w:pPr>
        <w:pStyle w:val="Defpara"/>
      </w:pPr>
      <w:r>
        <w:tab/>
        <w:t>(b)</w:t>
      </w:r>
      <w:r>
        <w:tab/>
        <w:t>who would be so entitled if the premises were let at a rent; or</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t>and includes, where the premises are the subject of a contract for sale or assignment, both vendor and purchaser;</w:t>
      </w:r>
    </w:p>
    <w:p>
      <w:pPr>
        <w:pStyle w:val="Defstart"/>
      </w:pPr>
      <w:r>
        <w:rPr>
          <w:b/>
        </w:rPr>
        <w:tab/>
      </w:r>
      <w:r>
        <w:rPr>
          <w:rStyle w:val="CharDefText"/>
        </w:rPr>
        <w:t>packaged liquor</w:t>
      </w:r>
      <w:r>
        <w:t xml:space="preserve"> means liquor delivered to or on behalf of the purchaser in sealed containers for consumption off the licensed premises;</w:t>
      </w:r>
    </w:p>
    <w:p>
      <w:pPr>
        <w:pStyle w:val="Defstart"/>
      </w:pPr>
      <w:r>
        <w:tab/>
      </w:r>
      <w:r>
        <w:rPr>
          <w:rStyle w:val="CharDefText"/>
        </w:rPr>
        <w:t>party to proceedings</w:t>
      </w:r>
      <w:r>
        <w:t xml:space="preserve"> includes — </w:t>
      </w:r>
    </w:p>
    <w:p>
      <w:pPr>
        <w:pStyle w:val="Defpara"/>
      </w:pPr>
      <w:r>
        <w:tab/>
        <w:t>(a)</w:t>
      </w:r>
      <w:r>
        <w:tab/>
        <w:t>an objector, unless a determination is made under section 74(4) in relation to the objection; and</w:t>
      </w:r>
    </w:p>
    <w:p>
      <w:pPr>
        <w:pStyle w:val="Defpara"/>
      </w:pPr>
      <w:r>
        <w:tab/>
        <w:t>(b)</w:t>
      </w:r>
      <w:r>
        <w:tab/>
        <w:t>a person who intervenes in proceedings;</w:t>
      </w:r>
    </w:p>
    <w:p>
      <w:pPr>
        <w:pStyle w:val="Defstart"/>
      </w:pPr>
      <w:r>
        <w:rPr>
          <w:b/>
        </w:rPr>
        <w:tab/>
      </w:r>
      <w:r>
        <w:rPr>
          <w:rStyle w:val="CharDefText"/>
        </w:rPr>
        <w:t>permit</w:t>
      </w:r>
      <w:r>
        <w:t xml:space="preserve"> means an extended trading permit issued under section 60;</w:t>
      </w:r>
    </w:p>
    <w:p>
      <w:pPr>
        <w:pStyle w:val="Defstart"/>
      </w:pPr>
      <w:r>
        <w:rPr>
          <w:b/>
        </w:rPr>
        <w:tab/>
      </w:r>
      <w:r>
        <w:rPr>
          <w:rStyle w:val="CharDefText"/>
        </w:rPr>
        <w:t>permitted hours</w:t>
      </w:r>
      <w:r>
        <w:t>, in relation to licensed premises, means the hours during which the licensee is, under Part 4 Division 1 or the terms and conditions of the licence, authorised to sell liquor;</w:t>
      </w:r>
    </w:p>
    <w:p>
      <w:pPr>
        <w:pStyle w:val="Defstart"/>
      </w:pPr>
      <w:r>
        <w:rPr>
          <w:b/>
        </w:rPr>
        <w:tab/>
      </w:r>
      <w:r>
        <w:rPr>
          <w:rStyle w:val="CharDefText"/>
        </w:rPr>
        <w:t>premises</w:t>
      </w:r>
      <w:r>
        <w:t xml:space="preserve"> includes — </w:t>
      </w:r>
    </w:p>
    <w:p>
      <w:pPr>
        <w:pStyle w:val="Defpara"/>
      </w:pPr>
      <w:r>
        <w:tab/>
        <w:t>(a)</w:t>
      </w:r>
      <w:r>
        <w:tab/>
        <w:t>land; or</w:t>
      </w:r>
    </w:p>
    <w:p>
      <w:pPr>
        <w:pStyle w:val="Defpara"/>
      </w:pPr>
      <w:r>
        <w:tab/>
        <w:t>(b)</w:t>
      </w:r>
      <w:r>
        <w:tab/>
        <w:t>a vehicle; or</w:t>
      </w:r>
    </w:p>
    <w:p>
      <w:pPr>
        <w:pStyle w:val="Defpara"/>
      </w:pPr>
      <w:r>
        <w:tab/>
        <w:t>(c)</w:t>
      </w:r>
      <w:r>
        <w:tab/>
        <w:t>a part of premises,</w:t>
      </w:r>
    </w:p>
    <w:p>
      <w:pPr>
        <w:pStyle w:val="Defstart"/>
      </w:pPr>
      <w:r>
        <w:tab/>
        <w:t>and in relation to an application to which section 62 applies includes premises proposed to be erected and premises as proposed to be altered;</w:t>
      </w:r>
    </w:p>
    <w:p>
      <w:pPr>
        <w:pStyle w:val="Defstart"/>
      </w:pPr>
      <w:r>
        <w:tab/>
      </w:r>
      <w:r>
        <w:rPr>
          <w:rStyle w:val="CharDefText"/>
        </w:rPr>
        <w:t>prescribed</w:t>
      </w:r>
      <w:r>
        <w:t xml:space="preserve"> means prescribed in regulations under section 175;</w:t>
      </w:r>
    </w:p>
    <w:p>
      <w:pPr>
        <w:pStyle w:val="Defstart"/>
      </w:pPr>
      <w:r>
        <w:rPr>
          <w:b/>
        </w:rPr>
        <w:tab/>
      </w:r>
      <w:r>
        <w:rPr>
          <w:rStyle w:val="CharDefText"/>
        </w:rPr>
        <w:t>producer’s licence</w:t>
      </w:r>
      <w:r>
        <w:t xml:space="preserve"> means a licence granted under section 55;</w:t>
      </w:r>
    </w:p>
    <w:p>
      <w:pPr>
        <w:pStyle w:val="Defstart"/>
      </w:pPr>
      <w:r>
        <w:rPr>
          <w:b/>
        </w:rPr>
        <w:tab/>
      </w:r>
      <w:r>
        <w:rPr>
          <w:rStyle w:val="CharDefText"/>
        </w:rPr>
        <w:t>proprietary company</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protection order</w:t>
      </w:r>
      <w:r>
        <w:t xml:space="preserve"> means an order made under section 87 or 89;</w:t>
      </w:r>
    </w:p>
    <w:p>
      <w:pPr>
        <w:pStyle w:val="Defstart"/>
      </w:pPr>
      <w:r>
        <w:rPr>
          <w:b/>
        </w:rPr>
        <w:tab/>
      </w:r>
      <w:r>
        <w:rPr>
          <w:rStyle w:val="CharDefText"/>
        </w:rPr>
        <w:t>reception</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r>
      <w:r>
        <w:rPr>
          <w:rStyle w:val="CharDefText"/>
        </w:rPr>
        <w:t>reception area</w:t>
      </w:r>
      <w:r>
        <w:t xml:space="preserve"> means a part of any premises on which liquor is supplied for consumption ancillary to a meal but not necessarily during the meal;</w:t>
      </w:r>
    </w:p>
    <w:p>
      <w:pPr>
        <w:pStyle w:val="Defstart"/>
        <w:keepNext/>
      </w:pPr>
      <w:r>
        <w:rPr>
          <w:b/>
        </w:rPr>
        <w:tab/>
      </w:r>
      <w:r>
        <w:rPr>
          <w:rStyle w:val="CharDefText"/>
        </w:rPr>
        <w:t>record</w:t>
      </w:r>
      <w:r>
        <w:t xml:space="preserve"> means — </w:t>
      </w:r>
    </w:p>
    <w:p>
      <w:pPr>
        <w:pStyle w:val="Defpara"/>
      </w:pPr>
      <w:r>
        <w:tab/>
        <w:t>(a)</w:t>
      </w:r>
      <w:r>
        <w:tab/>
        <w:t>any book, account, document, paper or other source of information compiled, recorded or stored in written form or on microfilm, or by electronic or other means or process; and</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pPr>
      <w:r>
        <w:rPr>
          <w:b/>
        </w:rPr>
        <w:tab/>
      </w:r>
      <w:r>
        <w:rPr>
          <w:rStyle w:val="CharDefText"/>
        </w:rPr>
        <w:t>regulated premises</w:t>
      </w:r>
      <w:r>
        <w:t xml:space="preserve"> means premises to which section 122 applies;</w:t>
      </w:r>
    </w:p>
    <w:p>
      <w:pPr>
        <w:pStyle w:val="Defstart"/>
      </w:pPr>
      <w:r>
        <w:rPr>
          <w:b/>
        </w:rPr>
        <w:tab/>
      </w:r>
      <w:r>
        <w:rPr>
          <w:rStyle w:val="CharDefText"/>
        </w:rPr>
        <w:t>related body corporate</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relative</w:t>
      </w:r>
      <w:r>
        <w:t>, in relation to a licensee, includes a de facto partner of the licensee;</w:t>
      </w:r>
    </w:p>
    <w:p>
      <w:pPr>
        <w:pStyle w:val="Defstart"/>
      </w:pPr>
      <w:r>
        <w:rPr>
          <w:b/>
        </w:rPr>
        <w:tab/>
      </w:r>
      <w:r>
        <w:rPr>
          <w:rStyle w:val="CharDefText"/>
        </w:rPr>
        <w:t>removal</w:t>
      </w:r>
      <w:r>
        <w:t>, in relation to a licence, has the meaning assigned by section 31(1)(b);</w:t>
      </w:r>
    </w:p>
    <w:p>
      <w:pPr>
        <w:pStyle w:val="Defstart"/>
      </w:pPr>
      <w:r>
        <w:tab/>
      </w:r>
      <w:r>
        <w:rPr>
          <w:rStyle w:val="CharDefText"/>
        </w:rPr>
        <w:t>responsible person</w:t>
      </w:r>
      <w:r>
        <w:t>, in relation to licensed premises, means —</w:t>
      </w:r>
    </w:p>
    <w:p>
      <w:pPr>
        <w:pStyle w:val="Defpara"/>
      </w:pPr>
      <w:r>
        <w:tab/>
        <w:t>(a)</w:t>
      </w:r>
      <w:r>
        <w:tab/>
        <w:t>the licensee or occupier of the premises; or</w:t>
      </w:r>
    </w:p>
    <w:p>
      <w:pPr>
        <w:pStyle w:val="Defpara"/>
      </w:pPr>
      <w:r>
        <w:tab/>
        <w:t>(b)</w:t>
      </w:r>
      <w:r>
        <w:tab/>
        <w:t>a manager of the premises; or</w:t>
      </w:r>
    </w:p>
    <w:p>
      <w:pPr>
        <w:pStyle w:val="Defpara"/>
      </w:pPr>
      <w:r>
        <w:tab/>
        <w:t>(c)</w:t>
      </w:r>
      <w:r>
        <w:tab/>
        <w:t>an employee or agent of the licensee or occupier or a manager;</w:t>
      </w:r>
    </w:p>
    <w:p>
      <w:pPr>
        <w:pStyle w:val="Defstart"/>
      </w:pPr>
      <w:r>
        <w:rPr>
          <w:b/>
        </w:rPr>
        <w:tab/>
      </w:r>
      <w:r>
        <w:rPr>
          <w:rStyle w:val="CharDefText"/>
        </w:rPr>
        <w:t>restaurant</w:t>
      </w:r>
      <w:r>
        <w:t xml:space="preserve"> means premises on which meals are, or upon the grant of a licence in relation to the premises are proposed to be, regularly prepared for sale, or supplied, and are eaten;</w:t>
      </w:r>
    </w:p>
    <w:p>
      <w:pPr>
        <w:pStyle w:val="Defstart"/>
      </w:pPr>
      <w:r>
        <w:rPr>
          <w:b/>
        </w:rPr>
        <w:tab/>
      </w:r>
      <w:r>
        <w:rPr>
          <w:rStyle w:val="CharDefText"/>
        </w:rPr>
        <w:t>restaurant licence</w:t>
      </w:r>
      <w:r>
        <w:t xml:space="preserve"> means a licence granted under section 50;</w:t>
      </w:r>
    </w:p>
    <w:p>
      <w:pPr>
        <w:pStyle w:val="Defstart"/>
      </w:pPr>
      <w:r>
        <w:rPr>
          <w:b/>
        </w:rPr>
        <w:tab/>
      </w:r>
      <w:r>
        <w:rPr>
          <w:rStyle w:val="CharDefText"/>
        </w:rPr>
        <w:t>sample</w:t>
      </w:r>
      <w:r>
        <w:t>, in relation to a type of liquor, means the prescribed quantity of that type of liquor;</w:t>
      </w:r>
    </w:p>
    <w:p>
      <w:pPr>
        <w:pStyle w:val="Defstart"/>
      </w:pPr>
      <w:r>
        <w:rPr>
          <w:b/>
        </w:rPr>
        <w:tab/>
      </w:r>
      <w:r>
        <w:rPr>
          <w:rStyle w:val="CharDefText"/>
        </w:rPr>
        <w:t>Secretary</w:t>
      </w:r>
      <w:r>
        <w:t>, in relation to a club, means the principal executive officer of the club, for the time being, by whatever name called and whether or not that person is a member of the club;</w:t>
      </w:r>
    </w:p>
    <w:p>
      <w:pPr>
        <w:pStyle w:val="Defstart"/>
        <w:keepNext/>
      </w:pPr>
      <w:r>
        <w:rPr>
          <w:b/>
        </w:rPr>
        <w:tab/>
      </w:r>
      <w:r>
        <w:rPr>
          <w:rStyle w:val="CharDefText"/>
        </w:rPr>
        <w:t>sell</w:t>
      </w:r>
      <w:r>
        <w:t>, in relation to liquor, includes — </w:t>
      </w:r>
    </w:p>
    <w:p>
      <w:pPr>
        <w:pStyle w:val="Defpara"/>
      </w:pPr>
      <w:r>
        <w:tab/>
        <w:t>(a)</w:t>
      </w:r>
      <w:r>
        <w:tab/>
        <w:t>agree or attempt to sell; or</w:t>
      </w:r>
    </w:p>
    <w:p>
      <w:pPr>
        <w:pStyle w:val="Defpara"/>
      </w:pPr>
      <w:r>
        <w:tab/>
        <w:t>(b)</w:t>
      </w:r>
      <w:r>
        <w:tab/>
        <w:t>offer or expose for the purpose of selling; or</w:t>
      </w:r>
    </w:p>
    <w:p>
      <w:pPr>
        <w:pStyle w:val="Defpara"/>
      </w:pPr>
      <w:r>
        <w:tab/>
        <w:t>(c)</w:t>
      </w:r>
      <w:r>
        <w:tab/>
        <w:t>send, forward or deliver for sale or on sale; or</w:t>
      </w:r>
    </w:p>
    <w:p>
      <w:pPr>
        <w:pStyle w:val="Defpara"/>
        <w:keepNext/>
      </w:pPr>
      <w:r>
        <w:tab/>
        <w:t>(d)</w:t>
      </w:r>
      <w:r>
        <w:tab/>
        <w:t>barter or exchange; or</w:t>
      </w:r>
    </w:p>
    <w:p>
      <w:pPr>
        <w:pStyle w:val="Defpara"/>
      </w:pPr>
      <w:r>
        <w:tab/>
        <w:t>(e)</w:t>
      </w:r>
      <w:r>
        <w:tab/>
        <w:t>dispose, by lot or chance or by auction; or</w:t>
      </w:r>
    </w:p>
    <w:p>
      <w:pPr>
        <w:pStyle w:val="Defpara"/>
        <w:keepNext/>
      </w:pPr>
      <w:r>
        <w:tab/>
        <w:t>(f)</w:t>
      </w:r>
      <w:r>
        <w:tab/>
        <w:t>supply, or offer, agree or attempt to supply — </w:t>
      </w:r>
    </w:p>
    <w:p>
      <w:pPr>
        <w:pStyle w:val="Defsubpara"/>
      </w:pPr>
      <w:r>
        <w:tab/>
        <w:t>(i)</w:t>
      </w:r>
      <w:r>
        <w:tab/>
        <w:t>in circumstances in which the supplier derives, or would be likely to derive, a direct or indirect pecuniary benefit; or</w:t>
      </w:r>
    </w:p>
    <w:p>
      <w:pPr>
        <w:pStyle w:val="Defsubpara"/>
      </w:pPr>
      <w:r>
        <w:tab/>
        <w:t>(ii)</w:t>
      </w:r>
      <w:r>
        <w:tab/>
        <w:t xml:space="preserve">gratuitously, but with a view to gaining or maintaining custom or other commercial advantage; </w:t>
      </w:r>
    </w:p>
    <w:p>
      <w:pPr>
        <w:pStyle w:val="Defpara"/>
      </w:pPr>
      <w:r>
        <w:tab/>
      </w:r>
      <w:r>
        <w:tab/>
        <w:t>or</w:t>
      </w:r>
    </w:p>
    <w:p>
      <w:pPr>
        <w:pStyle w:val="Defpara"/>
      </w:pPr>
      <w:r>
        <w:tab/>
        <w:t>(g)</w:t>
      </w:r>
      <w:r>
        <w:tab/>
        <w:t>authorise, direct, cause or permit to be done any act referred to in this definition,</w:t>
      </w:r>
    </w:p>
    <w:p>
      <w:pPr>
        <w:pStyle w:val="Defstart"/>
      </w:pP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r>
      <w:r>
        <w:rPr>
          <w:rStyle w:val="CharDefText"/>
        </w:rPr>
        <w:t>ship</w:t>
      </w:r>
      <w:r>
        <w:t xml:space="preserve"> includes a boat or vessel;</w:t>
      </w:r>
    </w:p>
    <w:p>
      <w:pPr>
        <w:pStyle w:val="Defstart"/>
      </w:pPr>
      <w:r>
        <w:tab/>
      </w:r>
      <w:r>
        <w:rPr>
          <w:rStyle w:val="CharDefText"/>
        </w:rPr>
        <w:t>small bar licence</w:t>
      </w:r>
      <w:r>
        <w:t xml:space="preserve"> means a licence granted under section 41A;</w:t>
      </w:r>
    </w:p>
    <w:p>
      <w:pPr>
        <w:pStyle w:val="Defstart"/>
      </w:pPr>
      <w:r>
        <w:rPr>
          <w:b/>
        </w:rPr>
        <w:tab/>
      </w:r>
      <w:r>
        <w:rPr>
          <w:rStyle w:val="CharDefText"/>
        </w:rPr>
        <w:t>special facility licence</w:t>
      </w:r>
      <w:r>
        <w:t xml:space="preserve"> means a licence granted under section 46;</w:t>
      </w:r>
    </w:p>
    <w:p>
      <w:pPr>
        <w:pStyle w:val="Defstart"/>
      </w:pPr>
      <w:r>
        <w:rPr>
          <w:b/>
        </w:rPr>
        <w:tab/>
      </w:r>
      <w:r>
        <w:rPr>
          <w:rStyle w:val="CharDefText"/>
        </w:rPr>
        <w:t>spirits</w:t>
      </w:r>
      <w:r>
        <w:t xml:space="preserve"> means potable spirit which at 20° Celsius contains more than 20.06% ethanol by volume;</w:t>
      </w:r>
    </w:p>
    <w:p>
      <w:pPr>
        <w:pStyle w:val="Defstart"/>
      </w:pPr>
      <w:r>
        <w:rPr>
          <w:b/>
        </w:rPr>
        <w:tab/>
      </w:r>
      <w:r>
        <w:rPr>
          <w:rStyle w:val="CharDefText"/>
        </w:rPr>
        <w:t>subsidy</w:t>
      </w:r>
      <w:r>
        <w:t xml:space="preserve"> means subsidy within the meaning of Division 2 of Part 5;</w:t>
      </w:r>
    </w:p>
    <w:p>
      <w:pPr>
        <w:pStyle w:val="Defstart"/>
      </w:pPr>
      <w:r>
        <w:rPr>
          <w:b/>
        </w:rPr>
        <w:tab/>
      </w:r>
      <w:r>
        <w:rPr>
          <w:rStyle w:val="CharDefText"/>
        </w:rPr>
        <w:t>substance</w:t>
      </w:r>
      <w:r>
        <w:t xml:space="preserve">, in the definition of </w:t>
      </w:r>
      <w:r>
        <w:rPr>
          <w:b/>
          <w:bCs/>
          <w:i/>
          <w:iCs/>
        </w:rPr>
        <w:t>liquor</w:t>
      </w:r>
      <w:r>
        <w:t>, includes a vapour;</w:t>
      </w:r>
    </w:p>
    <w:p>
      <w:pPr>
        <w:pStyle w:val="Defstart"/>
      </w:pPr>
      <w:r>
        <w:rPr>
          <w:b/>
        </w:rPr>
        <w:tab/>
      </w:r>
      <w:r>
        <w:rPr>
          <w:rStyle w:val="CharDefText"/>
        </w:rPr>
        <w:t>tavern licence</w:t>
      </w:r>
      <w:r>
        <w:t xml:space="preserve"> means a hotel licence of the kind referred to in section 41(1)(a);</w:t>
      </w:r>
    </w:p>
    <w:p>
      <w:pPr>
        <w:pStyle w:val="Defstart"/>
      </w:pPr>
      <w:r>
        <w:tab/>
      </w:r>
      <w:r>
        <w:rPr>
          <w:rStyle w:val="CharDefText"/>
        </w:rPr>
        <w:t>tavern restricted licence</w:t>
      </w:r>
      <w:r>
        <w:t xml:space="preserve"> means a hotel licence of the kind referred to in section 41(1)(c);</w:t>
      </w:r>
    </w:p>
    <w:p>
      <w:pPr>
        <w:pStyle w:val="Defstart"/>
      </w:pPr>
      <w:r>
        <w:rPr>
          <w:b/>
        </w:rPr>
        <w:tab/>
      </w:r>
      <w:r>
        <w:rPr>
          <w:rStyle w:val="CharDefText"/>
        </w:rPr>
        <w:t>this Act</w:t>
      </w:r>
      <w:r>
        <w:t xml:space="preserve"> includes subsidiary legislation made under it;</w:t>
      </w:r>
    </w:p>
    <w:p>
      <w:pPr>
        <w:pStyle w:val="Defstart"/>
      </w:pPr>
      <w:r>
        <w:rPr>
          <w:b/>
        </w:rPr>
        <w:tab/>
      </w:r>
      <w:r>
        <w:rPr>
          <w:rStyle w:val="CharDefText"/>
        </w:rPr>
        <w:t>townsite</w:t>
      </w:r>
      <w:r>
        <w:t xml:space="preserve"> means a townsite under the </w:t>
      </w:r>
      <w:r>
        <w:rPr>
          <w:i/>
        </w:rPr>
        <w:t>Land Administration Act 1997</w:t>
      </w:r>
      <w:r>
        <w:t>;</w:t>
      </w:r>
    </w:p>
    <w:p>
      <w:pPr>
        <w:pStyle w:val="Defstart"/>
      </w:pPr>
      <w:r>
        <w:rPr>
          <w:b/>
        </w:rPr>
        <w:tab/>
      </w:r>
      <w:r>
        <w:rPr>
          <w:rStyle w:val="CharDefText"/>
        </w:rPr>
        <w:t>trustee</w:t>
      </w:r>
      <w:r>
        <w:t xml:space="preserve"> means a person appointed under section 35A;</w:t>
      </w:r>
    </w:p>
    <w:p>
      <w:pPr>
        <w:pStyle w:val="Defstart"/>
      </w:pPr>
      <w:r>
        <w:rPr>
          <w:b/>
        </w:rPr>
        <w:tab/>
      </w:r>
      <w:r>
        <w:rPr>
          <w:rStyle w:val="CharDefText"/>
        </w:rPr>
        <w:t>vehicle</w:t>
      </w:r>
      <w:r>
        <w:t xml:space="preserve"> includes a ship, train or aircraft and any other conveyance used for the carriage of persons;</w:t>
      </w:r>
    </w:p>
    <w:p>
      <w:pPr>
        <w:pStyle w:val="Defstart"/>
      </w:pPr>
      <w:r>
        <w:rPr>
          <w:b/>
        </w:rPr>
        <w:tab/>
      </w:r>
      <w:r>
        <w:rPr>
          <w:rStyle w:val="CharDefText"/>
        </w:rPr>
        <w:t>wholesaler’s licence</w:t>
      </w:r>
      <w:r>
        <w:t xml:space="preserve"> means a licence granted under section 58;</w:t>
      </w:r>
    </w:p>
    <w:p>
      <w:pPr>
        <w:pStyle w:val="Defstart"/>
      </w:pPr>
      <w:r>
        <w:rPr>
          <w:b/>
        </w:rPr>
        <w:tab/>
      </w:r>
      <w:r>
        <w:rPr>
          <w:rStyle w:val="CharDefText"/>
        </w:rPr>
        <w:t>wine</w:t>
      </w:r>
      <w:r>
        <w:t xml:space="preserve"> includes — </w:t>
      </w:r>
    </w:p>
    <w:p>
      <w:pPr>
        <w:pStyle w:val="Defpara"/>
      </w:pPr>
      <w:r>
        <w:tab/>
        <w:t>(a)</w:t>
      </w:r>
      <w:r>
        <w:tab/>
        <w:t>liquor of the type known as mead, cider, cyser, or perry; or</w:t>
      </w:r>
    </w:p>
    <w:p>
      <w:pPr>
        <w:pStyle w:val="Defpara"/>
      </w:pPr>
      <w:r>
        <w:tab/>
        <w:t>(b)</w:t>
      </w:r>
      <w:r>
        <w:tab/>
        <w:t>liquor obtained from the alcoholic fermentation of grapes or the must of grapes; or</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 or</w:t>
      </w:r>
    </w:p>
    <w:p>
      <w:pPr>
        <w:pStyle w:val="Indenta"/>
        <w:rPr>
          <w:snapToGrid w:val="0"/>
        </w:rPr>
      </w:pPr>
      <w:r>
        <w:rPr>
          <w:snapToGrid w:val="0"/>
        </w:rPr>
        <w:tab/>
        <w:t>(b)</w:t>
      </w:r>
      <w:r>
        <w:rPr>
          <w:snapToGrid w:val="0"/>
        </w:rPr>
        <w:tab/>
        <w:t xml:space="preserve">for the hire of glasses or containers </w:t>
      </w:r>
      <w:r>
        <w:t xml:space="preserve">or any device </w:t>
      </w:r>
      <w:r>
        <w:rPr>
          <w:snapToGrid w:val="0"/>
        </w:rPr>
        <w:t>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keepNext/>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 or</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pPr>
      <w:r>
        <w:rPr>
          <w:snapToGrid w:val="0"/>
        </w:rPr>
        <w:tab/>
        <w:t>(c)</w:t>
      </w:r>
      <w:r>
        <w:rPr>
          <w:snapToGrid w:val="0"/>
        </w:rPr>
        <w:tab/>
        <w:t>manages, or is to manage, the business of the body corporate to be conducted under a licence</w:t>
      </w:r>
      <w:r>
        <w:t>; or</w:t>
      </w:r>
    </w:p>
    <w:p>
      <w:pPr>
        <w:pStyle w:val="Indenta"/>
        <w:keepNext/>
        <w:rPr>
          <w:snapToGrid w:val="0"/>
        </w:rPr>
      </w:pPr>
      <w:r>
        <w:tab/>
        <w:t>(d)</w:t>
      </w:r>
      <w:r>
        <w:tab/>
        <w:t>occupies a position, in relation to the body corporate, prescribed to be a position of authority,</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Subsection"/>
        <w:keepNext/>
        <w:keepLines/>
      </w:pPr>
      <w:r>
        <w:tab/>
        <w:t>(7)</w:t>
      </w:r>
      <w:r>
        <w:tab/>
        <w:t xml:space="preserve">In the definitions of </w:t>
      </w:r>
      <w:r>
        <w:rPr>
          <w:b/>
          <w:i/>
        </w:rPr>
        <w:t>authorised person</w:t>
      </w:r>
      <w:r>
        <w:t xml:space="preserve"> and </w:t>
      </w:r>
      <w:r>
        <w:rPr>
          <w:b/>
          <w:i/>
        </w:rPr>
        <w:t>responsible person</w:t>
      </w:r>
      <w:r>
        <w:t xml:space="preserve"> in subsection (1) — </w:t>
      </w:r>
    </w:p>
    <w:p>
      <w:pPr>
        <w:pStyle w:val="Defstart"/>
        <w:keepNext/>
      </w:pPr>
      <w:r>
        <w:rPr>
          <w:b/>
        </w:rPr>
        <w:tab/>
      </w:r>
      <w:r>
        <w:rPr>
          <w:rStyle w:val="CharDefText"/>
        </w:rPr>
        <w:t>employee</w:t>
      </w:r>
      <w:r>
        <w:t xml:space="preserve"> includes — </w:t>
      </w:r>
    </w:p>
    <w:p>
      <w:pPr>
        <w:pStyle w:val="Defpara"/>
      </w:pPr>
      <w:r>
        <w:tab/>
        <w:t>(a)</w:t>
      </w:r>
      <w:r>
        <w:tab/>
        <w:t>a person engaged under a contract for services by the licensee or occupier or a manager of licensed or regulated premises; and</w:t>
      </w:r>
    </w:p>
    <w:p>
      <w:pPr>
        <w:pStyle w:val="Defpara"/>
      </w:pPr>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pPr>
        <w:pStyle w:val="Footnotesection"/>
        <w:keepLines w:val="0"/>
        <w:spacing w:before="80"/>
        <w:ind w:left="890" w:hanging="890"/>
      </w:pPr>
      <w:r>
        <w:tab/>
        <w:t>[Section 3 amended by No. 56 of 1997 s. 26(1), (2) and (3); No. 12 of 1998 s. 5 and 70(5); No. 23 of 2000 s. 4; No. 27 of 2000 s. 9; No. 10 of 2001 s. 220; No. 28 of 2003 s. 105; No. 35 of 2003 s. 173(2); No. 73 of 2006 s. 6 and 106; No. 21 of 2008 s. 675(2); No. 56 of 2010 s. 4, 25, 27 and 35</w:t>
      </w:r>
      <w:r>
        <w:rPr>
          <w:spacing w:val="-4"/>
        </w:rPr>
        <w:t>; No. 47 of 2011 s. 27; No. 35 of 2015 s. 4; No. 19 of 2016 s. 162; No. 9 of 2018 s. 4</w:t>
      </w:r>
      <w:r>
        <w:t xml:space="preserve">.] </w:t>
      </w:r>
    </w:p>
    <w:p>
      <w:pPr>
        <w:pStyle w:val="Heading5"/>
        <w:spacing w:before="180"/>
      </w:pPr>
      <w:bookmarkStart w:id="12" w:name="_Toc522197186"/>
      <w:r>
        <w:rPr>
          <w:rStyle w:val="CharSectno"/>
        </w:rPr>
        <w:t>3A</w:t>
      </w:r>
      <w:r>
        <w:t>.</w:t>
      </w:r>
      <w:r>
        <w:tab/>
        <w:t>Term used: drunk</w:t>
      </w:r>
      <w:bookmarkEnd w:id="12"/>
    </w:p>
    <w:p>
      <w:pPr>
        <w:pStyle w:val="Subsection"/>
        <w:spacing w:before="120"/>
      </w:pPr>
      <w:r>
        <w:tab/>
        <w:t>(1)</w:t>
      </w:r>
      <w:r>
        <w:tab/>
        <w:t xml:space="preserve">A person is </w:t>
      </w:r>
      <w:r>
        <w:rPr>
          <w:rStyle w:val="CharDefText"/>
        </w:rPr>
        <w:t>drunk</w:t>
      </w:r>
      <w:r>
        <w:t xml:space="preserve"> for the purposes of this Act if — </w:t>
      </w:r>
    </w:p>
    <w:p>
      <w:pPr>
        <w:pStyle w:val="Indenta"/>
      </w:pPr>
      <w:r>
        <w:tab/>
        <w:t>(a)</w:t>
      </w:r>
      <w:r>
        <w:tab/>
        <w:t>the person is on licensed premises or regulated premises; and</w:t>
      </w:r>
    </w:p>
    <w:p>
      <w:pPr>
        <w:pStyle w:val="Indenta"/>
      </w:pPr>
      <w:r>
        <w:tab/>
        <w:t>(b)</w:t>
      </w:r>
      <w:r>
        <w:tab/>
        <w:t>the person’s speech, balance, co</w:t>
      </w:r>
      <w:r>
        <w:noBreakHyphen/>
        <w:t>ordination or behaviour appears to be noticeably impaired; and</w:t>
      </w:r>
    </w:p>
    <w:p>
      <w:pPr>
        <w:pStyle w:val="Indenta"/>
      </w:pPr>
      <w:r>
        <w:tab/>
        <w:t>(c)</w:t>
      </w:r>
      <w:r>
        <w:tab/>
        <w:t>it is reasonable in the circumstances to believe that that impairment results from the consumption of liquor.</w:t>
      </w:r>
    </w:p>
    <w:p>
      <w:pPr>
        <w:pStyle w:val="Subsection"/>
        <w:spacing w:before="120"/>
      </w:pPr>
      <w:r>
        <w:tab/>
        <w:t>(2)</w:t>
      </w:r>
      <w:r>
        <w:tab/>
        <w:t>If an authorised officer or a person on whom a duty is imposed under section 115 decides, in accordance with subsection (1), that a person is drunk at a particular time, then, in the absence of proof to the contrary, that person is to be taken to be drunk at that time.</w:t>
      </w:r>
    </w:p>
    <w:p>
      <w:pPr>
        <w:pStyle w:val="Footnotesection"/>
      </w:pPr>
      <w:r>
        <w:tab/>
        <w:t>[Section 3A inserted by No. 73 of 2006 s. 7.]</w:t>
      </w:r>
    </w:p>
    <w:p>
      <w:pPr>
        <w:pStyle w:val="Heading5"/>
        <w:spacing w:before="180"/>
        <w:rPr>
          <w:snapToGrid w:val="0"/>
        </w:rPr>
      </w:pPr>
      <w:bookmarkStart w:id="13" w:name="_Toc522197187"/>
      <w:r>
        <w:rPr>
          <w:rStyle w:val="CharSectno"/>
        </w:rPr>
        <w:t>4</w:t>
      </w:r>
      <w:r>
        <w:rPr>
          <w:snapToGrid w:val="0"/>
        </w:rPr>
        <w:t>.</w:t>
      </w:r>
      <w:r>
        <w:rPr>
          <w:snapToGrid w:val="0"/>
        </w:rPr>
        <w:tab/>
        <w:t>Storing and receiving liquor for licensed premises at other premises; records to be kept</w:t>
      </w:r>
      <w:bookmarkEnd w:id="13"/>
    </w:p>
    <w:p>
      <w:pPr>
        <w:pStyle w:val="Ednotesubsection"/>
        <w:keepNext/>
        <w:keepLines/>
        <w:spacing w:before="120"/>
      </w:pPr>
      <w:r>
        <w:tab/>
        <w:t>[(1)</w:t>
      </w:r>
      <w:r>
        <w:noBreakHyphen/>
        <w:t>(4)</w:t>
      </w:r>
      <w:r>
        <w:tab/>
        <w:t>deleted]</w:t>
      </w:r>
    </w:p>
    <w:p>
      <w:pPr>
        <w:pStyle w:val="Subsection"/>
        <w:spacing w:before="120"/>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spacing w:before="180"/>
        <w:rPr>
          <w:snapToGrid w:val="0"/>
        </w:rPr>
      </w:pPr>
      <w:r>
        <w:rPr>
          <w:snapToGrid w:val="0"/>
        </w:rPr>
        <w:tab/>
        <w:t>(6)</w:t>
      </w:r>
      <w:r>
        <w:rPr>
          <w:snapToGrid w:val="0"/>
        </w:rPr>
        <w:tab/>
        <w:t>On application by a licensee,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keepNext/>
        <w:spacing w:before="180"/>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spacing w:before="60"/>
        <w:rPr>
          <w:snapToGrid w:val="0"/>
        </w:rPr>
      </w:pPr>
      <w:r>
        <w:rPr>
          <w:snapToGrid w:val="0"/>
        </w:rPr>
        <w:tab/>
        <w:t>(a)</w:t>
      </w:r>
      <w:r>
        <w:rPr>
          <w:snapToGrid w:val="0"/>
        </w:rPr>
        <w:tab/>
        <w:t>whenever a delivery of liquor by the licensee was effected otherwise than at the licensed premises; and</w:t>
      </w:r>
    </w:p>
    <w:p>
      <w:pPr>
        <w:pStyle w:val="Indenta"/>
        <w:spacing w:before="60"/>
        <w:rPr>
          <w:snapToGrid w:val="0"/>
        </w:rPr>
      </w:pPr>
      <w:r>
        <w:rPr>
          <w:snapToGrid w:val="0"/>
        </w:rPr>
        <w:tab/>
        <w:t>(b)</w:t>
      </w:r>
      <w:r>
        <w:rPr>
          <w:snapToGrid w:val="0"/>
        </w:rPr>
        <w:tab/>
        <w:t>the place at which it was delivered.</w:t>
      </w:r>
    </w:p>
    <w:p>
      <w:pPr>
        <w:pStyle w:val="Footnotesection"/>
        <w:ind w:left="890" w:hanging="890"/>
      </w:pPr>
      <w:r>
        <w:tab/>
        <w:t xml:space="preserve">[Section 4 amended by No. 56 of 1997 s. 27; No. 12 of 1998 s. 6; No. 73 of 2006 s. 8.] </w:t>
      </w:r>
    </w:p>
    <w:p>
      <w:pPr>
        <w:pStyle w:val="Heading5"/>
        <w:rPr>
          <w:snapToGrid w:val="0"/>
        </w:rPr>
      </w:pPr>
      <w:bookmarkStart w:id="14" w:name="_Toc522197188"/>
      <w:r>
        <w:rPr>
          <w:rStyle w:val="CharSectno"/>
        </w:rPr>
        <w:t>5</w:t>
      </w:r>
      <w:r>
        <w:rPr>
          <w:snapToGrid w:val="0"/>
        </w:rPr>
        <w:t>.</w:t>
      </w:r>
      <w:r>
        <w:rPr>
          <w:snapToGrid w:val="0"/>
        </w:rPr>
        <w:tab/>
        <w:t>Objects of Act</w:t>
      </w:r>
      <w:bookmarkEnd w:id="14"/>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spacing w:before="60"/>
        <w:rPr>
          <w:snapToGrid w:val="0"/>
        </w:rPr>
      </w:pPr>
      <w:r>
        <w:rPr>
          <w:snapToGrid w:val="0"/>
        </w:rPr>
        <w:tab/>
        <w:t>(a)</w:t>
      </w:r>
      <w:r>
        <w:rPr>
          <w:snapToGrid w:val="0"/>
        </w:rPr>
        <w:tab/>
        <w:t>to regulate the sale, supply and consumption of liquor; and</w:t>
      </w:r>
    </w:p>
    <w:p>
      <w:pPr>
        <w:pStyle w:val="Indenta"/>
        <w:spacing w:before="60"/>
      </w:pPr>
      <w:r>
        <w:rPr>
          <w:snapToGrid w:val="0"/>
        </w:rPr>
        <w:tab/>
        <w:t>(b)</w:t>
      </w:r>
      <w:r>
        <w:rPr>
          <w:snapToGrid w:val="0"/>
        </w:rPr>
        <w:tab/>
        <w:t>to minimise harm or ill</w:t>
      </w:r>
      <w:r>
        <w:rPr>
          <w:snapToGrid w:val="0"/>
        </w:rPr>
        <w:noBreakHyphen/>
        <w:t>health caused to people, or any group of people, due to the use of liquor</w:t>
      </w:r>
      <w:r>
        <w:t>; and</w:t>
      </w:r>
    </w:p>
    <w:p>
      <w:pPr>
        <w:pStyle w:val="Indenta"/>
        <w:spacing w:before="60"/>
        <w:rPr>
          <w:snapToGrid w:val="0"/>
        </w:rPr>
      </w:pPr>
      <w:r>
        <w:tab/>
        <w:t>(c)</w:t>
      </w:r>
      <w:r>
        <w:tab/>
        <w:t>to cater for the requirements of consumers for liquor and related services, with regard to the proper development of the liquor industry, the tourism industry and other hospitality industries in the State.</w:t>
      </w:r>
    </w:p>
    <w:p>
      <w:pPr>
        <w:pStyle w:val="Subsection"/>
        <w:rPr>
          <w:snapToGrid w:val="0"/>
        </w:rPr>
      </w:pPr>
      <w:r>
        <w:rPr>
          <w:snapToGrid w:val="0"/>
        </w:rPr>
        <w:tab/>
        <w:t>(2)</w:t>
      </w:r>
      <w:r>
        <w:rPr>
          <w:snapToGrid w:val="0"/>
        </w:rPr>
        <w:tab/>
        <w:t xml:space="preserve">In carrying out its functions under this Act, the licensing authority shall have regard to the primary objects of this Act and also to the following </w:t>
      </w:r>
      <w:r>
        <w:t xml:space="preserve">secondary </w:t>
      </w:r>
      <w:r>
        <w:rPr>
          <w:snapToGrid w:val="0"/>
        </w:rPr>
        <w:t>objects — </w:t>
      </w:r>
    </w:p>
    <w:p>
      <w:pPr>
        <w:pStyle w:val="Indenta"/>
      </w:pPr>
      <w:r>
        <w:tab/>
        <w:t>(a)</w:t>
      </w:r>
      <w:r>
        <w:tab/>
        <w:t>to facilitate the use and development of licensed facilities, including their use and development for the performance of live original music, reflecting the diversity of the requirements of consumers in the State; and</w:t>
      </w:r>
    </w:p>
    <w:p>
      <w:pPr>
        <w:pStyle w:val="Ednotepara"/>
        <w:spacing w:before="80"/>
      </w:pPr>
      <w:r>
        <w:tab/>
        <w:t>[(b), (c)</w:t>
      </w:r>
      <w:r>
        <w:tab/>
        <w:t>deleted]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 xml:space="preserve">to provide a flexible system, with as little formality or technicality as may be practicable, for the administration of this </w:t>
      </w:r>
      <w:r>
        <w:t>Act; and</w:t>
      </w:r>
    </w:p>
    <w:p>
      <w:pPr>
        <w:pStyle w:val="Indenta"/>
      </w:pPr>
      <w:r>
        <w:tab/>
        <w:t>(f)</w:t>
      </w:r>
      <w:r>
        <w:tab/>
        <w:t>to encourage responsible attitudes and practices towards the promotion, sale, supply, service and consumption of liquor that are consistent with the interests of the community.</w:t>
      </w:r>
    </w:p>
    <w:p>
      <w:pPr>
        <w:pStyle w:val="Subsection"/>
        <w:rPr>
          <w:snapToGrid w:val="0"/>
        </w:rPr>
      </w:pPr>
      <w:r>
        <w:tab/>
        <w:t>(3)</w:t>
      </w:r>
      <w:r>
        <w:tab/>
        <w:t>If, in carrying out any of its functions under this Act, the licensing authority considers that there is any inconsistency between the primary objects referred to in subsection (1) and the secondary objects referred to in subsection (2), the primary objects take precedence.</w:t>
      </w:r>
    </w:p>
    <w:p>
      <w:pPr>
        <w:pStyle w:val="Footnotesection"/>
      </w:pPr>
      <w:r>
        <w:tab/>
        <w:t xml:space="preserve">[Section 5 amended by No. 12 of 1998 s. 7; No. 73 of 2006 s. 9; No. 9 of 2018 s. 6.] </w:t>
      </w:r>
    </w:p>
    <w:p>
      <w:pPr>
        <w:pStyle w:val="Heading5"/>
        <w:rPr>
          <w:snapToGrid w:val="0"/>
        </w:rPr>
      </w:pPr>
      <w:bookmarkStart w:id="15" w:name="_Toc522197189"/>
      <w:r>
        <w:rPr>
          <w:rStyle w:val="CharSectno"/>
        </w:rPr>
        <w:t>6</w:t>
      </w:r>
      <w:r>
        <w:rPr>
          <w:snapToGrid w:val="0"/>
        </w:rPr>
        <w:t>.</w:t>
      </w:r>
      <w:r>
        <w:rPr>
          <w:snapToGrid w:val="0"/>
        </w:rPr>
        <w:tab/>
        <w:t>Act not to apply in certain cases</w:t>
      </w:r>
      <w:bookmarkEnd w:id="15"/>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organisation or its representative for sacramental or similar religious purposes; or</w:t>
      </w:r>
    </w:p>
    <w:p>
      <w:pPr>
        <w:pStyle w:val="Indenta"/>
      </w:pPr>
      <w:r>
        <w:tab/>
        <w:t>(b)</w:t>
      </w:r>
      <w:r>
        <w:tab/>
        <w:t xml:space="preserve">where liquor is sold or administered for medicinal purposes — </w:t>
      </w:r>
    </w:p>
    <w:p>
      <w:pPr>
        <w:pStyle w:val="Indenti"/>
      </w:pPr>
      <w:r>
        <w:tab/>
        <w:t>(i)</w:t>
      </w:r>
      <w:r>
        <w:tab/>
        <w:t xml:space="preserve">by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pharmacy profession; or</w:t>
      </w:r>
    </w:p>
    <w:p>
      <w:pPr>
        <w:pStyle w:val="Indenti"/>
      </w:pPr>
      <w:r>
        <w:tab/>
        <w:t>(ii)</w:t>
      </w:r>
      <w:r>
        <w:tab/>
        <w:t xml:space="preserve">by or on the prescription of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 or registered under that Law in the medical profession;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 or</w:t>
      </w:r>
    </w:p>
    <w:p>
      <w:pPr>
        <w:pStyle w:val="Indenta"/>
        <w:rPr>
          <w:snapToGrid w:val="0"/>
        </w:rPr>
      </w:pPr>
      <w:r>
        <w:rPr>
          <w:snapToGrid w:val="0"/>
        </w:rPr>
        <w:tab/>
        <w:t>(d)</w:t>
      </w:r>
      <w:r>
        <w:rPr>
          <w:snapToGrid w:val="0"/>
        </w:rPr>
        <w:tab/>
        <w:t>where liquor is sold or consumed in Parliament House, by permission of the proper authority; or</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 or</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 or</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 or</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 or</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 or</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 or</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 or</w:t>
      </w:r>
    </w:p>
    <w:p>
      <w:pPr>
        <w:pStyle w:val="Indenta"/>
        <w:rPr>
          <w:snapToGrid w:val="0"/>
        </w:rPr>
      </w:pPr>
      <w:r>
        <w:rPr>
          <w:snapToGrid w:val="0"/>
        </w:rPr>
        <w:tab/>
        <w:t>(m)</w:t>
      </w:r>
      <w:r>
        <w:rPr>
          <w:snapToGrid w:val="0"/>
        </w:rPr>
        <w:tab/>
        <w:t>to the sale of distilled spirits in bond, by the occupier of a vineyard to the occupier of another vineyard; or</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 xml:space="preserve">where the </w:t>
      </w:r>
      <w:r>
        <w:t>sale or supply of liquor is to, or the consumption of liquor is by, a person who is at least 18 years of age and that sale, supply or consumption</w:t>
      </w:r>
      <w:r>
        <w:rPr>
          <w:snapToGrid w:val="0"/>
        </w:rPr>
        <w:t xml:space="preserve"> is exempted by the regulations from the application of this Act.</w:t>
      </w:r>
    </w:p>
    <w:p>
      <w:pPr>
        <w:pStyle w:val="Subsection"/>
        <w:spacing w:before="120"/>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keepLines w:val="0"/>
        <w:ind w:left="890" w:hanging="890"/>
      </w:pPr>
      <w:r>
        <w:tab/>
        <w:t xml:space="preserve">[Section 6 amended by No. 12 of 1998 s. 35(2); No. 31 of 2003 s. 151; No. 35 of 2010 s. 104; No. 56 of 2010 s. 36.] </w:t>
      </w:r>
    </w:p>
    <w:p>
      <w:pPr>
        <w:pStyle w:val="Heading2"/>
      </w:pPr>
      <w:bookmarkStart w:id="16" w:name="_Toc471906671"/>
      <w:bookmarkStart w:id="17" w:name="_Toc472001588"/>
      <w:bookmarkStart w:id="18" w:name="_Toc472676616"/>
      <w:bookmarkStart w:id="19" w:name="_Toc472682001"/>
      <w:bookmarkStart w:id="20" w:name="_Toc473119142"/>
      <w:bookmarkStart w:id="21" w:name="_Toc522197190"/>
      <w:r>
        <w:rPr>
          <w:rStyle w:val="CharPartNo"/>
        </w:rPr>
        <w:t>Part 2</w:t>
      </w:r>
      <w:r>
        <w:t> — </w:t>
      </w:r>
      <w:r>
        <w:rPr>
          <w:rStyle w:val="CharPartText"/>
        </w:rPr>
        <w:t>The licensing authority</w:t>
      </w:r>
      <w:bookmarkEnd w:id="16"/>
      <w:bookmarkEnd w:id="17"/>
      <w:bookmarkEnd w:id="18"/>
      <w:bookmarkEnd w:id="19"/>
      <w:bookmarkEnd w:id="20"/>
      <w:bookmarkEnd w:id="21"/>
      <w:r>
        <w:rPr>
          <w:rStyle w:val="CharPartText"/>
        </w:rPr>
        <w:t xml:space="preserve"> </w:t>
      </w:r>
    </w:p>
    <w:p>
      <w:pPr>
        <w:pStyle w:val="Heading3"/>
        <w:rPr>
          <w:snapToGrid w:val="0"/>
        </w:rPr>
      </w:pPr>
      <w:bookmarkStart w:id="22" w:name="_Toc471906672"/>
      <w:bookmarkStart w:id="23" w:name="_Toc472001589"/>
      <w:bookmarkStart w:id="24" w:name="_Toc472676617"/>
      <w:bookmarkStart w:id="25" w:name="_Toc472682002"/>
      <w:bookmarkStart w:id="26" w:name="_Toc473119143"/>
      <w:bookmarkStart w:id="27" w:name="_Toc522197191"/>
      <w:r>
        <w:rPr>
          <w:rStyle w:val="CharDivNo"/>
        </w:rPr>
        <w:t>Division 1</w:t>
      </w:r>
      <w:r>
        <w:rPr>
          <w:snapToGrid w:val="0"/>
        </w:rPr>
        <w:t> — </w:t>
      </w:r>
      <w:r>
        <w:rPr>
          <w:rStyle w:val="CharDivText"/>
        </w:rPr>
        <w:t>The licensing authority</w:t>
      </w:r>
      <w:bookmarkEnd w:id="22"/>
      <w:bookmarkEnd w:id="23"/>
      <w:bookmarkEnd w:id="24"/>
      <w:bookmarkEnd w:id="25"/>
      <w:bookmarkEnd w:id="26"/>
      <w:bookmarkEnd w:id="27"/>
      <w:r>
        <w:rPr>
          <w:rStyle w:val="CharDivText"/>
        </w:rPr>
        <w:t xml:space="preserve"> </w:t>
      </w:r>
    </w:p>
    <w:p>
      <w:pPr>
        <w:pStyle w:val="Heading5"/>
        <w:spacing w:before="180"/>
        <w:rPr>
          <w:snapToGrid w:val="0"/>
        </w:rPr>
      </w:pPr>
      <w:bookmarkStart w:id="28" w:name="_Toc522197192"/>
      <w:r>
        <w:rPr>
          <w:rStyle w:val="CharSectno"/>
        </w:rPr>
        <w:t>7</w:t>
      </w:r>
      <w:r>
        <w:rPr>
          <w:snapToGrid w:val="0"/>
        </w:rPr>
        <w:t>.</w:t>
      </w:r>
      <w:r>
        <w:rPr>
          <w:snapToGrid w:val="0"/>
        </w:rPr>
        <w:tab/>
        <w:t>Constitution and jurisdiction of licensing authority</w:t>
      </w:r>
      <w:bookmarkEnd w:id="28"/>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 xml:space="preserve">the Liquor </w:t>
      </w:r>
      <w:r>
        <w:t xml:space="preserve">Commission; </w:t>
      </w:r>
      <w:r>
        <w:rPr>
          <w:snapToGrid w:val="0"/>
        </w:rPr>
        <w:t>and</w:t>
      </w:r>
    </w:p>
    <w:p>
      <w:pPr>
        <w:pStyle w:val="Indenta"/>
        <w:rPr>
          <w:snapToGrid w:val="0"/>
        </w:rPr>
      </w:pPr>
      <w:r>
        <w:rPr>
          <w:snapToGrid w:val="0"/>
        </w:rPr>
        <w:tab/>
        <w:t>(b)</w:t>
      </w:r>
      <w:r>
        <w:rPr>
          <w:snapToGrid w:val="0"/>
        </w:rPr>
        <w:tab/>
        <w:t>the Director of Liquor Licensing,</w:t>
      </w:r>
    </w:p>
    <w:p>
      <w:pPr>
        <w:pStyle w:val="Subsection"/>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rPr>
          <w:snapToGrid w:val="0"/>
        </w:rPr>
      </w:pPr>
      <w:r>
        <w:rPr>
          <w:snapToGrid w:val="0"/>
        </w:rPr>
        <w:tab/>
        <w:t>(2)</w:t>
      </w:r>
      <w:r>
        <w:rPr>
          <w:snapToGrid w:val="0"/>
        </w:rPr>
        <w:tab/>
        <w:t>The licensing authority as constituted by the Commission may sit and exercise the jurisdiction of the Commission notwithstanding that the licensing authority as constituted by the Director is at the same time exercising jurisdiction, and the Director may exercise jurisdiction while the Commission is sitting, but not in relation to the same application or matter.</w:t>
      </w:r>
    </w:p>
    <w:p>
      <w:pPr>
        <w:pStyle w:val="Subsection"/>
      </w:pPr>
      <w:r>
        <w:tab/>
        <w:t>(3)</w:t>
      </w:r>
      <w:r>
        <w:tab/>
        <w:t xml:space="preserve">Subject to this Act, the Director — </w:t>
      </w:r>
    </w:p>
    <w:p>
      <w:pPr>
        <w:pStyle w:val="Indenta"/>
      </w:pPr>
      <w:r>
        <w:tab/>
        <w:t>(a)</w:t>
      </w:r>
      <w:r>
        <w:tab/>
        <w:t>is not to exercise jurisdiction in respect of a matter before the Commission or within the jurisdiction of the Commission; and</w:t>
      </w:r>
    </w:p>
    <w:p>
      <w:pPr>
        <w:pStyle w:val="Indenta"/>
      </w:pPr>
      <w:r>
        <w:tab/>
        <w:t>(b)</w:t>
      </w:r>
      <w:r>
        <w:tab/>
        <w:t>is not subject to direction by the Commission, except as a party to proceedings or as may be specifically provided by this Act.</w:t>
      </w:r>
    </w:p>
    <w:p>
      <w:pPr>
        <w:pStyle w:val="Footnotesection"/>
      </w:pPr>
      <w:r>
        <w:tab/>
        <w:t xml:space="preserve">[Section 7 amended by No. 12 of 1998 s. 8; No. 73 of 2006 s. 10 and 106.] </w:t>
      </w:r>
    </w:p>
    <w:p>
      <w:pPr>
        <w:pStyle w:val="Heading3"/>
        <w:spacing w:before="200"/>
        <w:rPr>
          <w:rStyle w:val="CharDivText"/>
        </w:rPr>
      </w:pPr>
      <w:bookmarkStart w:id="29" w:name="_Toc471906674"/>
      <w:bookmarkStart w:id="30" w:name="_Toc472001591"/>
      <w:bookmarkStart w:id="31" w:name="_Toc472676619"/>
      <w:bookmarkStart w:id="32" w:name="_Toc472682004"/>
      <w:bookmarkStart w:id="33" w:name="_Toc473119145"/>
      <w:bookmarkStart w:id="34" w:name="_Toc522197193"/>
      <w:r>
        <w:rPr>
          <w:rStyle w:val="CharDivNo"/>
        </w:rPr>
        <w:t>Division 2</w:t>
      </w:r>
      <w:r>
        <w:t> — </w:t>
      </w:r>
      <w:r>
        <w:rPr>
          <w:rStyle w:val="CharDivText"/>
        </w:rPr>
        <w:t>The Liquor Commission</w:t>
      </w:r>
      <w:bookmarkEnd w:id="29"/>
      <w:bookmarkEnd w:id="30"/>
      <w:bookmarkEnd w:id="31"/>
      <w:bookmarkEnd w:id="32"/>
      <w:bookmarkEnd w:id="33"/>
      <w:bookmarkEnd w:id="34"/>
    </w:p>
    <w:p>
      <w:pPr>
        <w:pStyle w:val="Footnoteheading"/>
      </w:pPr>
      <w:r>
        <w:tab/>
        <w:t>[Heading inserted by No. 73 of 2006 s. 11.]</w:t>
      </w:r>
    </w:p>
    <w:p>
      <w:pPr>
        <w:pStyle w:val="Heading5"/>
        <w:keepNext w:val="0"/>
        <w:keepLines w:val="0"/>
        <w:spacing w:before="180"/>
      </w:pPr>
      <w:bookmarkStart w:id="35" w:name="_Toc522197194"/>
      <w:r>
        <w:rPr>
          <w:rStyle w:val="CharSectno"/>
        </w:rPr>
        <w:t>8</w:t>
      </w:r>
      <w:r>
        <w:t>.</w:t>
      </w:r>
      <w:r>
        <w:tab/>
        <w:t>Commission established</w:t>
      </w:r>
      <w:bookmarkEnd w:id="35"/>
    </w:p>
    <w:p>
      <w:pPr>
        <w:pStyle w:val="Subsection"/>
        <w:spacing w:before="120"/>
      </w:pPr>
      <w:r>
        <w:tab/>
      </w:r>
      <w:r>
        <w:tab/>
        <w:t>A commission called the Liquor Commission is established.</w:t>
      </w:r>
    </w:p>
    <w:p>
      <w:pPr>
        <w:pStyle w:val="Footnotesection"/>
        <w:spacing w:before="60"/>
        <w:ind w:left="890" w:hanging="890"/>
      </w:pPr>
      <w:r>
        <w:tab/>
        <w:t>[Section 8 inserted by No. 73 of 2006 s. 11.]</w:t>
      </w:r>
    </w:p>
    <w:p>
      <w:pPr>
        <w:pStyle w:val="Heading5"/>
      </w:pPr>
      <w:bookmarkStart w:id="36" w:name="_Toc522197195"/>
      <w:r>
        <w:rPr>
          <w:rStyle w:val="CharSectno"/>
        </w:rPr>
        <w:t>9</w:t>
      </w:r>
      <w:r>
        <w:t>.</w:t>
      </w:r>
      <w:r>
        <w:tab/>
        <w:t>Jurisdiction of Commission</w:t>
      </w:r>
      <w:bookmarkEnd w:id="36"/>
    </w:p>
    <w:p>
      <w:pPr>
        <w:pStyle w:val="Subsection"/>
      </w:pPr>
      <w:r>
        <w:tab/>
        <w:t>(1)</w:t>
      </w:r>
      <w:r>
        <w:tab/>
        <w:t>The Commission has the jurisdiction conferred on it by this Act and any other written law.</w:t>
      </w:r>
    </w:p>
    <w:p>
      <w:pPr>
        <w:pStyle w:val="Subsection"/>
      </w:pPr>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p>
    <w:p>
      <w:pPr>
        <w:pStyle w:val="Footnotesection"/>
      </w:pPr>
      <w:r>
        <w:tab/>
        <w:t>[Section 9 inserted by No. 73 of 2006 s. 11.]</w:t>
      </w:r>
    </w:p>
    <w:p>
      <w:pPr>
        <w:pStyle w:val="Heading5"/>
      </w:pPr>
      <w:bookmarkStart w:id="37" w:name="_Toc522197196"/>
      <w:r>
        <w:rPr>
          <w:rStyle w:val="CharSectno"/>
        </w:rPr>
        <w:t>9A</w:t>
      </w:r>
      <w:r>
        <w:t>.</w:t>
      </w:r>
      <w:r>
        <w:tab/>
        <w:t>Constitution of Commission</w:t>
      </w:r>
      <w:bookmarkEnd w:id="37"/>
    </w:p>
    <w:p>
      <w:pPr>
        <w:pStyle w:val="Subsection"/>
      </w:pPr>
      <w:r>
        <w:tab/>
        <w:t>(1)</w:t>
      </w:r>
      <w:r>
        <w:tab/>
        <w:t>Except as otherwise stated in this Act or determined by the chairperson under subsection (2), the Commission is to be constituted by one member.</w:t>
      </w:r>
    </w:p>
    <w:p>
      <w:pPr>
        <w:pStyle w:val="Subsection"/>
      </w:pPr>
      <w:r>
        <w:tab/>
        <w:t>(2)</w:t>
      </w:r>
      <w:r>
        <w:tab/>
        <w:t>The chairperson may determine that, in respect of any particular matter or any matter of a particular kind, the Commission is to be constituted by 3 members.</w:t>
      </w:r>
    </w:p>
    <w:p>
      <w:pPr>
        <w:pStyle w:val="Subsection"/>
      </w:pPr>
      <w:r>
        <w:tab/>
        <w:t>(3)</w:t>
      </w:r>
      <w:r>
        <w:tab/>
        <w:t>If the Commission is constituted by 3 members and they are divided on a question they are required to decide, the question is decided according to the opinion of the majority of them.</w:t>
      </w:r>
    </w:p>
    <w:p>
      <w:pPr>
        <w:pStyle w:val="Footnotesection"/>
      </w:pPr>
      <w:r>
        <w:tab/>
        <w:t>[Section 9A inserted by No. 73 of 2006 s. 11.]</w:t>
      </w:r>
    </w:p>
    <w:p>
      <w:pPr>
        <w:pStyle w:val="Heading3"/>
      </w:pPr>
      <w:bookmarkStart w:id="38" w:name="_Toc471906678"/>
      <w:bookmarkStart w:id="39" w:name="_Toc472001595"/>
      <w:bookmarkStart w:id="40" w:name="_Toc472676623"/>
      <w:bookmarkStart w:id="41" w:name="_Toc472682008"/>
      <w:bookmarkStart w:id="42" w:name="_Toc473119149"/>
      <w:bookmarkStart w:id="43" w:name="_Toc522197197"/>
      <w:r>
        <w:rPr>
          <w:rStyle w:val="CharDivNo"/>
        </w:rPr>
        <w:t>Division 2A</w:t>
      </w:r>
      <w:r>
        <w:t> — </w:t>
      </w:r>
      <w:r>
        <w:rPr>
          <w:rStyle w:val="CharDivText"/>
        </w:rPr>
        <w:t>Members of the Commission</w:t>
      </w:r>
      <w:bookmarkEnd w:id="38"/>
      <w:bookmarkEnd w:id="39"/>
      <w:bookmarkEnd w:id="40"/>
      <w:bookmarkEnd w:id="41"/>
      <w:bookmarkEnd w:id="42"/>
      <w:bookmarkEnd w:id="43"/>
    </w:p>
    <w:p>
      <w:pPr>
        <w:pStyle w:val="Footnoteheading"/>
      </w:pPr>
      <w:r>
        <w:tab/>
        <w:t>[Heading inserted by No. 73 of 2006 s. 11.]</w:t>
      </w:r>
    </w:p>
    <w:p>
      <w:pPr>
        <w:pStyle w:val="Heading5"/>
      </w:pPr>
      <w:bookmarkStart w:id="44" w:name="_Toc522197198"/>
      <w:r>
        <w:rPr>
          <w:rStyle w:val="CharSectno"/>
        </w:rPr>
        <w:t>9B</w:t>
      </w:r>
      <w:r>
        <w:t>.</w:t>
      </w:r>
      <w:r>
        <w:tab/>
        <w:t>Commission members</w:t>
      </w:r>
      <w:bookmarkEnd w:id="44"/>
    </w:p>
    <w:p>
      <w:pPr>
        <w:pStyle w:val="Subsection"/>
      </w:pPr>
      <w:r>
        <w:tab/>
        <w:t>(1)</w:t>
      </w:r>
      <w:r>
        <w:tab/>
        <w:t xml:space="preserve">The Commission is to have — </w:t>
      </w:r>
    </w:p>
    <w:p>
      <w:pPr>
        <w:pStyle w:val="Indenta"/>
      </w:pPr>
      <w:r>
        <w:tab/>
        <w:t>(a)</w:t>
      </w:r>
      <w:r>
        <w:tab/>
        <w:t>a chairperson; and</w:t>
      </w:r>
    </w:p>
    <w:p>
      <w:pPr>
        <w:pStyle w:val="Indenta"/>
      </w:pPr>
      <w:r>
        <w:tab/>
        <w:t>(b)</w:t>
      </w:r>
      <w:r>
        <w:tab/>
        <w:t>other members as determined by the Minister.</w:t>
      </w:r>
    </w:p>
    <w:p>
      <w:pPr>
        <w:pStyle w:val="Subsection"/>
      </w:pPr>
      <w:r>
        <w:tab/>
        <w:t>(2)</w:t>
      </w:r>
      <w:r>
        <w:tab/>
        <w:t>The chairperson and other members are to be appointed in writing by the Minister.</w:t>
      </w:r>
    </w:p>
    <w:p>
      <w:pPr>
        <w:pStyle w:val="Subsection"/>
      </w:pPr>
      <w:r>
        <w:tab/>
        <w:t>(3)</w:t>
      </w:r>
      <w:r>
        <w:tab/>
        <w:t>A person may be appointed as a member if, in the opinion of the Minister, the person has knowledge or experience relevant to the functions of the Commission.</w:t>
      </w:r>
    </w:p>
    <w:p>
      <w:pPr>
        <w:pStyle w:val="Subsection"/>
      </w:pPr>
      <w:r>
        <w:tab/>
        <w:t>(4)</w:t>
      </w:r>
      <w:r>
        <w:tab/>
        <w:t>The Minister is to ensure that at least one member is a lawyer.</w:t>
      </w:r>
    </w:p>
    <w:p>
      <w:pPr>
        <w:pStyle w:val="Footnotesection"/>
      </w:pPr>
      <w:r>
        <w:tab/>
        <w:t>[Section 9B inserted by No. 73 of 2006 s. 11; amended by No. 21 of 2008 s. 675(3).]</w:t>
      </w:r>
    </w:p>
    <w:p>
      <w:pPr>
        <w:pStyle w:val="Heading5"/>
      </w:pPr>
      <w:bookmarkStart w:id="45" w:name="_Toc522197199"/>
      <w:r>
        <w:rPr>
          <w:rStyle w:val="CharSectno"/>
        </w:rPr>
        <w:t>9C</w:t>
      </w:r>
      <w:r>
        <w:t>.</w:t>
      </w:r>
      <w:r>
        <w:tab/>
        <w:t>Tenure of office</w:t>
      </w:r>
      <w:bookmarkEnd w:id="45"/>
    </w:p>
    <w:p>
      <w:pPr>
        <w:pStyle w:val="Subsection"/>
      </w:pPr>
      <w:r>
        <w:tab/>
        <w:t>(1)</w:t>
      </w:r>
      <w:r>
        <w:tab/>
        <w:t>A member is to be appointed to hold office on a full</w:t>
      </w:r>
      <w:r>
        <w:noBreakHyphen/>
        <w:t>time basis, part</w:t>
      </w:r>
      <w:r>
        <w:noBreakHyphen/>
        <w:t>time basis or sessional basis.</w:t>
      </w:r>
    </w:p>
    <w:p>
      <w:pPr>
        <w:pStyle w:val="Subsection"/>
      </w:pPr>
      <w:r>
        <w:tab/>
        <w:t>(2)</w:t>
      </w:r>
      <w:r>
        <w:tab/>
        <w:t>The term for which a person is appointed as a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Footnotesection"/>
      </w:pPr>
      <w:r>
        <w:tab/>
        <w:t>[Section 9C inserted by No. 73 of 2006 s. 11.]</w:t>
      </w:r>
    </w:p>
    <w:p>
      <w:pPr>
        <w:pStyle w:val="Heading5"/>
      </w:pPr>
      <w:bookmarkStart w:id="46" w:name="_Toc522197200"/>
      <w:r>
        <w:rPr>
          <w:rStyle w:val="CharSectno"/>
        </w:rPr>
        <w:t>9D</w:t>
      </w:r>
      <w:r>
        <w:t>.</w:t>
      </w:r>
      <w:r>
        <w:tab/>
        <w:t>Deputy chairperson</w:t>
      </w:r>
      <w:bookmarkEnd w:id="46"/>
    </w:p>
    <w:p>
      <w:pPr>
        <w:pStyle w:val="Subsection"/>
      </w:pPr>
      <w:r>
        <w:tab/>
        <w:t>(1)</w:t>
      </w:r>
      <w:r>
        <w:tab/>
        <w:t>The Minister is to appoint a member as the deputy chairperson of the Commission.</w:t>
      </w:r>
    </w:p>
    <w:p>
      <w:pPr>
        <w:pStyle w:val="Subsection"/>
      </w:pPr>
      <w:r>
        <w:tab/>
        <w:t>(2)</w:t>
      </w:r>
      <w:r>
        <w:tab/>
        <w:t xml:space="preserve">The deputy chairperson may act as chairperson — </w:t>
      </w:r>
    </w:p>
    <w:p>
      <w:pPr>
        <w:pStyle w:val="Indenta"/>
      </w:pPr>
      <w:r>
        <w:tab/>
        <w:t>(a)</w:t>
      </w:r>
      <w:r>
        <w:tab/>
        <w:t>in the absence of the chairperson; or</w:t>
      </w:r>
    </w:p>
    <w:p>
      <w:pPr>
        <w:pStyle w:val="Indenta"/>
      </w:pPr>
      <w:r>
        <w:tab/>
        <w:t>(b)</w:t>
      </w:r>
      <w:r>
        <w:tab/>
        <w:t>if so requested by the chairperson; or</w:t>
      </w:r>
    </w:p>
    <w:p>
      <w:pPr>
        <w:pStyle w:val="Indenta"/>
      </w:pPr>
      <w:r>
        <w:tab/>
        <w:t>(c)</w:t>
      </w:r>
      <w:r>
        <w:tab/>
        <w:t>during a vacancy in the office of chairperson.</w:t>
      </w:r>
    </w:p>
    <w:p>
      <w:pPr>
        <w:pStyle w:val="Subsection"/>
      </w:pPr>
      <w:r>
        <w:tab/>
        <w:t>(3)</w:t>
      </w:r>
      <w:r>
        <w:tab/>
        <w:t>While acting as chairperson the deputy chairperson has, and may perform, the functions of chairperson.</w:t>
      </w:r>
    </w:p>
    <w:p>
      <w:pPr>
        <w:pStyle w:val="Subsection"/>
      </w:pPr>
      <w:r>
        <w:tab/>
        <w:t>(4)</w:t>
      </w:r>
      <w:r>
        <w:tab/>
        <w:t>No act or omission of a person acting in the place of the chairperson under this section is to be questioned on the ground that the occasion for acting had not arisen or had ceased.</w:t>
      </w:r>
    </w:p>
    <w:p>
      <w:pPr>
        <w:pStyle w:val="Footnotesection"/>
      </w:pPr>
      <w:r>
        <w:tab/>
        <w:t>[Section 9D inserted by No. 73 of 2006 s. 11.]</w:t>
      </w:r>
    </w:p>
    <w:p>
      <w:pPr>
        <w:pStyle w:val="Heading5"/>
      </w:pPr>
      <w:bookmarkStart w:id="47" w:name="_Toc522197201"/>
      <w:r>
        <w:rPr>
          <w:rStyle w:val="CharSectno"/>
        </w:rPr>
        <w:t>9E</w:t>
      </w:r>
      <w:r>
        <w:t>.</w:t>
      </w:r>
      <w:r>
        <w:tab/>
        <w:t>Removal or resignation</w:t>
      </w:r>
      <w:bookmarkEnd w:id="47"/>
      <w:r>
        <w:t xml:space="preserve"> </w:t>
      </w:r>
    </w:p>
    <w:p>
      <w:pPr>
        <w:pStyle w:val="Subsection"/>
      </w:pPr>
      <w:r>
        <w:tab/>
        <w:t>(1)</w:t>
      </w:r>
      <w:r>
        <w:tab/>
        <w:t xml:space="preserve">The Minister may terminate the term of office of a member if — </w:t>
      </w:r>
    </w:p>
    <w:p>
      <w:pPr>
        <w:pStyle w:val="Indenta"/>
      </w:pPr>
      <w:r>
        <w:tab/>
        <w:t>(a)</w:t>
      </w:r>
      <w:r>
        <w:tab/>
        <w:t xml:space="preserve">the member has been convicted of an indictable offence or an offence that, if committed in </w:t>
      </w:r>
      <w:smartTag w:uri="urn:schemas-microsoft-com:office:smarttags" w:element="place">
        <w:smartTag w:uri="urn:schemas-microsoft-com:office:smarttags" w:element="State">
          <w:r>
            <w:t>Western Australia</w:t>
          </w:r>
        </w:smartTag>
      </w:smartTag>
      <w:r>
        <w:t>, would be an indictable offence; or</w:t>
      </w:r>
    </w:p>
    <w:p>
      <w:pPr>
        <w:pStyle w:val="Indenta"/>
      </w:pPr>
      <w:r>
        <w:tab/>
        <w:t>(b)</w:t>
      </w:r>
      <w:r>
        <w:tab/>
        <w:t xml:space="preserve">the member is an insolvent under administration according to the meaning of that term in the Commonwealth </w:t>
      </w:r>
      <w:r>
        <w:rPr>
          <w:i/>
        </w:rPr>
        <w:t>Corporations Act 2001</w:t>
      </w:r>
      <w:r>
        <w:t>; or</w:t>
      </w:r>
    </w:p>
    <w:p>
      <w:pPr>
        <w:pStyle w:val="Indenta"/>
      </w:pPr>
      <w:r>
        <w:tab/>
        <w:t>(c)</w:t>
      </w:r>
      <w:r>
        <w:tab/>
        <w:t>the Minister is satisfied that the member has become incapable of performing, or has neglected to perform, the duties of office; or</w:t>
      </w:r>
    </w:p>
    <w:p>
      <w:pPr>
        <w:pStyle w:val="Indenta"/>
      </w:pPr>
      <w:r>
        <w:tab/>
        <w:t>(d)</w:t>
      </w:r>
      <w:r>
        <w:tab/>
        <w:t>the Minister is satisfied that the member is unfit to hold office because of misconduct.</w:t>
      </w:r>
    </w:p>
    <w:p>
      <w:pPr>
        <w:pStyle w:val="Subsection"/>
      </w:pPr>
      <w:r>
        <w:tab/>
        <w:t>(2)</w:t>
      </w:r>
      <w:r>
        <w:tab/>
        <w:t>A member may resign office by giving the Minister a signed letter of resignation.</w:t>
      </w:r>
    </w:p>
    <w:p>
      <w:pPr>
        <w:pStyle w:val="Footnotesection"/>
      </w:pPr>
      <w:r>
        <w:tab/>
        <w:t>[Section 9E inserted by No. 73 of 2006 s. 11.]</w:t>
      </w:r>
    </w:p>
    <w:p>
      <w:pPr>
        <w:pStyle w:val="Heading5"/>
      </w:pPr>
      <w:bookmarkStart w:id="48" w:name="_Toc522197202"/>
      <w:r>
        <w:rPr>
          <w:rStyle w:val="CharSectno"/>
        </w:rPr>
        <w:t>9F</w:t>
      </w:r>
      <w:r>
        <w:t>.</w:t>
      </w:r>
      <w:r>
        <w:tab/>
        <w:t>Leave of absence</w:t>
      </w:r>
      <w:bookmarkEnd w:id="48"/>
    </w:p>
    <w:p>
      <w:pPr>
        <w:pStyle w:val="Subsection"/>
      </w:pPr>
      <w:r>
        <w:tab/>
      </w:r>
      <w:r>
        <w:tab/>
        <w:t>The Minister may grant leave of absence to a member on the terms and conditions that the Minister thinks fit.</w:t>
      </w:r>
    </w:p>
    <w:p>
      <w:pPr>
        <w:pStyle w:val="Footnotesection"/>
      </w:pPr>
      <w:r>
        <w:tab/>
        <w:t>[Section 9F inserted by No. 73 of 2006 s. 11.]</w:t>
      </w:r>
    </w:p>
    <w:p>
      <w:pPr>
        <w:pStyle w:val="Heading5"/>
      </w:pPr>
      <w:bookmarkStart w:id="49" w:name="_Toc522197203"/>
      <w:r>
        <w:rPr>
          <w:rStyle w:val="CharSectno"/>
        </w:rPr>
        <w:t>9G</w:t>
      </w:r>
      <w:r>
        <w:t>.</w:t>
      </w:r>
      <w:r>
        <w:tab/>
        <w:t>Member whose term has expired may continue in office</w:t>
      </w:r>
      <w:bookmarkEnd w:id="49"/>
    </w:p>
    <w:p>
      <w:pPr>
        <w:pStyle w:val="Subsection"/>
      </w:pPr>
      <w:r>
        <w:tab/>
      </w:r>
      <w:r>
        <w:tab/>
        <w:t xml:space="preserve">Despite the term of office of a member having expired by the passage of time, the member may continue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Minister otherwise directs.</w:t>
      </w:r>
    </w:p>
    <w:p>
      <w:pPr>
        <w:pStyle w:val="Footnotesection"/>
      </w:pPr>
      <w:r>
        <w:tab/>
        <w:t>[Section 9G inserted by No. 73 of 2006 s. 11.]</w:t>
      </w:r>
    </w:p>
    <w:p>
      <w:pPr>
        <w:pStyle w:val="Heading5"/>
      </w:pPr>
      <w:bookmarkStart w:id="50" w:name="_Toc522197204"/>
      <w:r>
        <w:rPr>
          <w:rStyle w:val="CharSectno"/>
        </w:rPr>
        <w:t>9H</w:t>
      </w:r>
      <w:r>
        <w:t>.</w:t>
      </w:r>
      <w:r>
        <w:tab/>
        <w:t>Remuneration and conditions of office</w:t>
      </w:r>
      <w:bookmarkEnd w:id="50"/>
    </w:p>
    <w:p>
      <w:pPr>
        <w:pStyle w:val="Subsection"/>
      </w:pPr>
      <w:r>
        <w:tab/>
        <w:t>(1)</w:t>
      </w:r>
      <w:r>
        <w:tab/>
        <w:t>The remuneration and allowances and other conditions of office of a member are to be determined by the Minister after consultation with the Public Sector Commissioner.</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are not to be varied while the member is in office so as to become less favourable to the member.</w:t>
      </w:r>
    </w:p>
    <w:p>
      <w:pPr>
        <w:pStyle w:val="Footnotesection"/>
      </w:pPr>
      <w:r>
        <w:tab/>
        <w:t>[Section 9H inserted by No. 73 of 2006 s. 11; amended by No. 39 of 2010 s. 89.]</w:t>
      </w:r>
    </w:p>
    <w:p>
      <w:pPr>
        <w:pStyle w:val="Heading3"/>
      </w:pPr>
      <w:bookmarkStart w:id="51" w:name="_Toc471906686"/>
      <w:bookmarkStart w:id="52" w:name="_Toc472001603"/>
      <w:bookmarkStart w:id="53" w:name="_Toc472676631"/>
      <w:bookmarkStart w:id="54" w:name="_Toc472682016"/>
      <w:bookmarkStart w:id="55" w:name="_Toc473119157"/>
      <w:bookmarkStart w:id="56" w:name="_Toc522197205"/>
      <w:r>
        <w:rPr>
          <w:rStyle w:val="CharDivNo"/>
        </w:rPr>
        <w:t>Division 2B</w:t>
      </w:r>
      <w:r>
        <w:t> — </w:t>
      </w:r>
      <w:r>
        <w:rPr>
          <w:rStyle w:val="CharDivText"/>
        </w:rPr>
        <w:t>Other matters</w:t>
      </w:r>
      <w:bookmarkEnd w:id="51"/>
      <w:bookmarkEnd w:id="52"/>
      <w:bookmarkEnd w:id="53"/>
      <w:bookmarkEnd w:id="54"/>
      <w:bookmarkEnd w:id="55"/>
      <w:bookmarkEnd w:id="56"/>
    </w:p>
    <w:p>
      <w:pPr>
        <w:pStyle w:val="Footnoteheading"/>
      </w:pPr>
      <w:r>
        <w:tab/>
        <w:t>[Heading inserted by No. 73 of 2006 s. 11.]</w:t>
      </w:r>
    </w:p>
    <w:p>
      <w:pPr>
        <w:pStyle w:val="Heading5"/>
        <w:spacing w:before="240"/>
      </w:pPr>
      <w:bookmarkStart w:id="57" w:name="_Toc522197206"/>
      <w:r>
        <w:rPr>
          <w:rStyle w:val="CharSectno"/>
        </w:rPr>
        <w:t>9I</w:t>
      </w:r>
      <w:r>
        <w:t>.</w:t>
      </w:r>
      <w:r>
        <w:tab/>
        <w:t>Decisions of Commission to be written etc.</w:t>
      </w:r>
      <w:bookmarkEnd w:id="57"/>
    </w:p>
    <w:p>
      <w:pPr>
        <w:pStyle w:val="Subsection"/>
      </w:pPr>
      <w:r>
        <w:tab/>
        <w:t>(1)</w:t>
      </w:r>
      <w:r>
        <w:tab/>
        <w:t>A decision of the Commission is to be given in writing and authenticated in accordance with rules of the Commission.</w:t>
      </w:r>
    </w:p>
    <w:p>
      <w:pPr>
        <w:pStyle w:val="Subsection"/>
      </w:pPr>
      <w:r>
        <w:tab/>
        <w:t>(2)</w:t>
      </w:r>
      <w:r>
        <w:tab/>
        <w:t>The Commission is to give a copy of a decision to each party to the proceedings.</w:t>
      </w:r>
    </w:p>
    <w:p>
      <w:pPr>
        <w:pStyle w:val="Subsection"/>
      </w:pPr>
      <w:r>
        <w:tab/>
        <w:t>(3)</w:t>
      </w:r>
      <w:r>
        <w:tab/>
        <w:t>A failure of the Commission to comply with subsection (1) or (2) does not affect the validity of a decision.</w:t>
      </w:r>
    </w:p>
    <w:p>
      <w:pPr>
        <w:pStyle w:val="Footnotesection"/>
      </w:pPr>
      <w:r>
        <w:tab/>
        <w:t>[Section 9I inserted by No. 73 of 2006 s. 11.]</w:t>
      </w:r>
    </w:p>
    <w:p>
      <w:pPr>
        <w:pStyle w:val="Heading5"/>
        <w:spacing w:before="240"/>
      </w:pPr>
      <w:bookmarkStart w:id="58" w:name="_Toc522197207"/>
      <w:r>
        <w:rPr>
          <w:rStyle w:val="CharSectno"/>
        </w:rPr>
        <w:t>9J</w:t>
      </w:r>
      <w:r>
        <w:t>.</w:t>
      </w:r>
      <w:r>
        <w:tab/>
        <w:t>Seal of Commission</w:t>
      </w:r>
      <w:bookmarkEnd w:id="58"/>
    </w:p>
    <w:p>
      <w:pPr>
        <w:pStyle w:val="Subsection"/>
      </w:pPr>
      <w:r>
        <w:tab/>
        <w:t>(1)</w:t>
      </w:r>
      <w:r>
        <w:tab/>
        <w:t>The Commission is to have a seal.</w:t>
      </w:r>
    </w:p>
    <w:p>
      <w:pPr>
        <w:pStyle w:val="Subsection"/>
      </w:pPr>
      <w:r>
        <w:tab/>
        <w:t>(2)</w:t>
      </w:r>
      <w:r>
        <w:tab/>
        <w:t>All courts and persons acting judicially are required to take judicial notice of the official seal of the Commission affixed to a document.</w:t>
      </w:r>
    </w:p>
    <w:p>
      <w:pPr>
        <w:pStyle w:val="Subsection"/>
      </w:pPr>
      <w:r>
        <w:tab/>
        <w:t>(3)</w:t>
      </w:r>
      <w:r>
        <w:tab/>
        <w:t>If the official seal of the Commission is affixed to a document, a court or person acting judicially is to presume that it was properly affixed unless the contrary is proved.</w:t>
      </w:r>
    </w:p>
    <w:p>
      <w:pPr>
        <w:pStyle w:val="Footnotesection"/>
      </w:pPr>
      <w:r>
        <w:tab/>
        <w:t>[Section 9J inserted by No. 73 of 2006 s. 11.]</w:t>
      </w:r>
    </w:p>
    <w:p>
      <w:pPr>
        <w:pStyle w:val="Heading5"/>
      </w:pPr>
      <w:bookmarkStart w:id="59" w:name="_Toc522197208"/>
      <w:r>
        <w:rPr>
          <w:rStyle w:val="CharSectno"/>
        </w:rPr>
        <w:t>9K</w:t>
      </w:r>
      <w:r>
        <w:t>.</w:t>
      </w:r>
      <w:r>
        <w:tab/>
        <w:t>Annual reports by Commission</w:t>
      </w:r>
      <w:bookmarkEnd w:id="59"/>
    </w:p>
    <w:p>
      <w:pPr>
        <w:pStyle w:val="Subsection"/>
      </w:pPr>
      <w:r>
        <w:tab/>
        <w:t>(1)</w:t>
      </w:r>
      <w:r>
        <w:tab/>
        <w:t>The chairperson is required, on or before 30 September in each year, to submit to the Minister an annual report on the activities of the Commission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Commission;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pPr>
      <w:r>
        <w:tab/>
        <w:t>(d)</w:t>
      </w:r>
      <w:r>
        <w:tab/>
        <w:t>forecasts of the workload of the Commission in the year after the year to which the report relates; and</w:t>
      </w:r>
    </w:p>
    <w:p>
      <w:pPr>
        <w:pStyle w:val="Indenta"/>
      </w:pPr>
      <w:r>
        <w:tab/>
        <w:t>(e)</w:t>
      </w:r>
      <w:r>
        <w:tab/>
        <w:t>any proposals for improving the operation of the Commission.</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chairperson, if requested to do so by the Minister, is to report to the Minister about the jurisdiction and functions of the Commission or any matter connected with the exercise of that jurisdiction or the performance of those functions.</w:t>
      </w:r>
    </w:p>
    <w:p>
      <w:pPr>
        <w:pStyle w:val="Subsection"/>
      </w:pPr>
      <w:r>
        <w:tab/>
        <w:t>(5)</w:t>
      </w:r>
      <w:r>
        <w:tab/>
        <w:t>The chairperson may, from time to time, report to the Minister about anything referred to in subsection (4) whether or not the chairperson has been requested to do so.</w:t>
      </w:r>
    </w:p>
    <w:p>
      <w:pPr>
        <w:pStyle w:val="Footnotesection"/>
      </w:pPr>
      <w:r>
        <w:tab/>
        <w:t>[Section 9K inserted by No. 73 of 2006 s. 11.]</w:t>
      </w:r>
    </w:p>
    <w:p>
      <w:pPr>
        <w:pStyle w:val="Heading5"/>
        <w:spacing w:before="180"/>
      </w:pPr>
      <w:bookmarkStart w:id="60" w:name="_Toc522197209"/>
      <w:r>
        <w:rPr>
          <w:rStyle w:val="CharSectno"/>
        </w:rPr>
        <w:t>9L</w:t>
      </w:r>
      <w:r>
        <w:t>.</w:t>
      </w:r>
      <w:r>
        <w:tab/>
        <w:t>Laying annual report before House of Parliament not sitting</w:t>
      </w:r>
      <w:bookmarkEnd w:id="60"/>
    </w:p>
    <w:p>
      <w:pPr>
        <w:pStyle w:val="Subsection"/>
        <w:spacing w:before="180"/>
      </w:pPr>
      <w:r>
        <w:tab/>
        <w:t>(1)</w:t>
      </w:r>
      <w:r>
        <w:tab/>
        <w:t xml:space="preserve">If — </w:t>
      </w:r>
    </w:p>
    <w:p>
      <w:pPr>
        <w:pStyle w:val="Indenta"/>
      </w:pPr>
      <w:r>
        <w:tab/>
        <w:t>(a)</w:t>
      </w:r>
      <w:r>
        <w:tab/>
        <w:t>at the commencement of the period within which section 9K(3)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spacing w:before="180"/>
      </w:pPr>
      <w:r>
        <w:tab/>
      </w:r>
      <w:r>
        <w:tab/>
        <w:t>the Minister is to transmit a copy of the report to the Clerk of the House.</w:t>
      </w:r>
    </w:p>
    <w:p>
      <w:pPr>
        <w:pStyle w:val="Subsection"/>
        <w:spacing w:before="180"/>
      </w:pPr>
      <w:r>
        <w:tab/>
        <w:t>(2)</w:t>
      </w:r>
      <w:r>
        <w:tab/>
        <w:t>A copy of a report transmitted to the Clerk of a House is to be regarded as having been laid before that House.</w:t>
      </w:r>
    </w:p>
    <w:p>
      <w:pPr>
        <w:pStyle w:val="Subsection"/>
        <w:spacing w:before="180"/>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Footnotesection"/>
      </w:pPr>
      <w:r>
        <w:tab/>
        <w:t>[Section 9L inserted by No. 73 of 2006 s. 11.]</w:t>
      </w:r>
    </w:p>
    <w:p>
      <w:pPr>
        <w:pStyle w:val="Heading5"/>
      </w:pPr>
      <w:bookmarkStart w:id="61" w:name="_Toc522197210"/>
      <w:r>
        <w:rPr>
          <w:rStyle w:val="CharSectno"/>
        </w:rPr>
        <w:t>9M</w:t>
      </w:r>
      <w:r>
        <w:t>.</w:t>
      </w:r>
      <w:r>
        <w:tab/>
        <w:t>Protection and immunity of members, parties etc.</w:t>
      </w:r>
      <w:bookmarkEnd w:id="61"/>
    </w:p>
    <w:p>
      <w:pPr>
        <w:pStyle w:val="Subsection"/>
        <w:spacing w:before="180"/>
      </w:pPr>
      <w:r>
        <w:tab/>
        <w:t>(1)</w:t>
      </w:r>
      <w:r>
        <w:tab/>
        <w:t>A member has, in the performance of his or her functions as member, the same protection and immunity as a judge of the Supreme Court has in the performance of his or her duties as a judge.</w:t>
      </w:r>
    </w:p>
    <w:p>
      <w:pPr>
        <w:pStyle w:val="Subsection"/>
        <w:spacing w:before="180"/>
      </w:pPr>
      <w:r>
        <w:tab/>
        <w:t>(2)</w:t>
      </w:r>
      <w:r>
        <w:tab/>
        <w:t>A person representing a party in proceedings in the Commission has the same protection and immunity as a lawyer has in representing a party in proceedings in the Supreme Court.</w:t>
      </w:r>
    </w:p>
    <w:p>
      <w:pPr>
        <w:pStyle w:val="Subsection"/>
        <w:spacing w:before="180"/>
      </w:pPr>
      <w:r>
        <w:tab/>
        <w:t>(3)</w:t>
      </w:r>
      <w:r>
        <w:tab/>
        <w:t>A party to proceedings in the Commission has the same protection and immunity as a party to proceedings in the Supreme Court.</w:t>
      </w:r>
    </w:p>
    <w:p>
      <w:pPr>
        <w:pStyle w:val="Subsection"/>
      </w:pPr>
      <w:r>
        <w:tab/>
        <w:t>(4)</w:t>
      </w:r>
      <w:r>
        <w:tab/>
        <w:t>A person appearing as a witness before the Commission has the same protection and immunity as a witness has in proceedings in the Supreme Court.</w:t>
      </w:r>
    </w:p>
    <w:p>
      <w:pPr>
        <w:pStyle w:val="Footnotesection"/>
      </w:pPr>
      <w:r>
        <w:tab/>
        <w:t>[Section 9M inserted by No. 73 of 2006 s. 11; amended by No. 21 of 2008 s. 675(3).]</w:t>
      </w:r>
    </w:p>
    <w:p>
      <w:pPr>
        <w:pStyle w:val="Ednotesection"/>
        <w:spacing w:before="180"/>
        <w:ind w:left="890" w:hanging="890"/>
      </w:pPr>
      <w:r>
        <w:t>[</w:t>
      </w:r>
      <w:r>
        <w:rPr>
          <w:b/>
        </w:rPr>
        <w:t>10</w:t>
      </w:r>
      <w:r>
        <w:rPr>
          <w:b/>
        </w:rPr>
        <w:noBreakHyphen/>
        <w:t>11.</w:t>
      </w:r>
      <w:r>
        <w:tab/>
        <w:t>Deleted by No. 27 of 2000 s. 12.]</w:t>
      </w:r>
    </w:p>
    <w:p>
      <w:pPr>
        <w:pStyle w:val="Ednotesection"/>
        <w:spacing w:before="180"/>
        <w:ind w:left="890" w:hanging="890"/>
      </w:pPr>
      <w:r>
        <w:t>[</w:t>
      </w:r>
      <w:r>
        <w:rPr>
          <w:b/>
        </w:rPr>
        <w:t>12.</w:t>
      </w:r>
      <w:r>
        <w:rPr>
          <w:b/>
        </w:rPr>
        <w:tab/>
      </w:r>
      <w:r>
        <w:t>Deleted by No. 12 of 1998 s. 10(1).]</w:t>
      </w:r>
    </w:p>
    <w:p>
      <w:pPr>
        <w:pStyle w:val="Heading3"/>
        <w:rPr>
          <w:snapToGrid w:val="0"/>
        </w:rPr>
      </w:pPr>
      <w:bookmarkStart w:id="62" w:name="_Toc471906692"/>
      <w:bookmarkStart w:id="63" w:name="_Toc472001609"/>
      <w:bookmarkStart w:id="64" w:name="_Toc472676637"/>
      <w:bookmarkStart w:id="65" w:name="_Toc472682022"/>
      <w:bookmarkStart w:id="66" w:name="_Toc473119163"/>
      <w:bookmarkStart w:id="67" w:name="_Toc522197211"/>
      <w:r>
        <w:rPr>
          <w:rStyle w:val="CharDivNo"/>
        </w:rPr>
        <w:t>Division 3</w:t>
      </w:r>
      <w:r>
        <w:rPr>
          <w:snapToGrid w:val="0"/>
        </w:rPr>
        <w:t> — </w:t>
      </w:r>
      <w:r>
        <w:rPr>
          <w:rStyle w:val="CharDivText"/>
        </w:rPr>
        <w:t>The Director of Liquor Licensing</w:t>
      </w:r>
      <w:bookmarkEnd w:id="62"/>
      <w:bookmarkEnd w:id="63"/>
      <w:bookmarkEnd w:id="64"/>
      <w:bookmarkEnd w:id="65"/>
      <w:bookmarkEnd w:id="66"/>
      <w:bookmarkEnd w:id="67"/>
      <w:r>
        <w:rPr>
          <w:rStyle w:val="CharDivText"/>
        </w:rPr>
        <w:t xml:space="preserve"> </w:t>
      </w:r>
    </w:p>
    <w:p>
      <w:pPr>
        <w:pStyle w:val="Heading5"/>
        <w:spacing w:before="240"/>
        <w:rPr>
          <w:snapToGrid w:val="0"/>
        </w:rPr>
      </w:pPr>
      <w:bookmarkStart w:id="68" w:name="_Toc522197212"/>
      <w:r>
        <w:rPr>
          <w:rStyle w:val="CharSectno"/>
        </w:rPr>
        <w:t>13</w:t>
      </w:r>
      <w:r>
        <w:rPr>
          <w:snapToGrid w:val="0"/>
        </w:rPr>
        <w:t>.</w:t>
      </w:r>
      <w:r>
        <w:rPr>
          <w:snapToGrid w:val="0"/>
        </w:rPr>
        <w:tab/>
        <w:t>Functions of and hearings by Director</w:t>
      </w:r>
      <w:bookmarkEnd w:id="68"/>
    </w:p>
    <w:p>
      <w:pPr>
        <w:pStyle w:val="Ednotesubsection"/>
        <w:spacing w:before="120"/>
      </w:pPr>
      <w:r>
        <w:tab/>
        <w:t>[(1)</w:t>
      </w:r>
      <w:r>
        <w:tab/>
        <w:t>deleted]</w:t>
      </w:r>
    </w:p>
    <w:p>
      <w:pPr>
        <w:pStyle w:val="Subsection"/>
        <w:rPr>
          <w:snapToGrid w:val="0"/>
        </w:rPr>
      </w:pPr>
      <w:r>
        <w:rPr>
          <w:snapToGrid w:val="0"/>
        </w:rPr>
        <w:tab/>
        <w:t>(2)</w:t>
      </w:r>
      <w:r>
        <w:rPr>
          <w:snapToGrid w:val="0"/>
        </w:rPr>
        <w:tab/>
        <w:t>The Director is responsible for the administration of this Act, other than those aspects of administration that relate to the</w:t>
      </w:r>
      <w:r>
        <w:t xml:space="preserve"> Commission.</w:t>
      </w:r>
    </w:p>
    <w:p>
      <w:pPr>
        <w:pStyle w:val="Subsection"/>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spacing w:before="90"/>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spacing w:before="90"/>
        <w:rPr>
          <w:snapToGrid w:val="0"/>
        </w:rPr>
      </w:pPr>
      <w:r>
        <w:rPr>
          <w:snapToGrid w:val="0"/>
        </w:rPr>
        <w:tab/>
        <w:t>(b)</w:t>
      </w:r>
      <w:r>
        <w:rPr>
          <w:snapToGrid w:val="0"/>
        </w:rPr>
        <w:tab/>
        <w:t xml:space="preserve">has in the exercise of that jurisdiction the same protection and immunity as has </w:t>
      </w:r>
      <w:r>
        <w:t>a member of the Commission.</w:t>
      </w:r>
    </w:p>
    <w:p>
      <w:pPr>
        <w:pStyle w:val="Subsection"/>
      </w:pPr>
      <w:r>
        <w:tab/>
        <w:t>(3a)</w:t>
      </w:r>
      <w:r>
        <w:tab/>
        <w:t xml:space="preserve">Subsection (3) does not limit the functions of the Director as a chief executive officer under the </w:t>
      </w:r>
      <w:r>
        <w:rPr>
          <w:i/>
        </w:rPr>
        <w:t>Public Sector Management Act 1994</w:t>
      </w:r>
      <w:r>
        <w:t>.</w:t>
      </w:r>
    </w:p>
    <w:p>
      <w:pPr>
        <w:pStyle w:val="Subsection"/>
      </w:pPr>
      <w:r>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p>
    <w:p>
      <w:pPr>
        <w:pStyle w:val="Subsection"/>
        <w:spacing w:before="180"/>
        <w:rPr>
          <w:snapToGrid w:val="0"/>
        </w:rPr>
      </w:pPr>
      <w:r>
        <w:rPr>
          <w:snapToGrid w:val="0"/>
        </w:rPr>
        <w:tab/>
        <w:t>(5)</w:t>
      </w:r>
      <w:r>
        <w:rPr>
          <w:snapToGrid w:val="0"/>
        </w:rPr>
        <w:tab/>
        <w:t>The Director — </w:t>
      </w:r>
    </w:p>
    <w:p>
      <w:pPr>
        <w:pStyle w:val="Indenta"/>
        <w:spacing w:before="90"/>
        <w:rPr>
          <w:snapToGrid w:val="0"/>
        </w:rPr>
      </w:pPr>
      <w:r>
        <w:rPr>
          <w:snapToGrid w:val="0"/>
        </w:rPr>
        <w:tab/>
        <w:t>(a)</w:t>
      </w:r>
      <w:r>
        <w:rPr>
          <w:snapToGrid w:val="0"/>
        </w:rPr>
        <w:tab/>
        <w:t>without conducting a hearing, may determine any application or matter; but</w:t>
      </w:r>
    </w:p>
    <w:p>
      <w:pPr>
        <w:pStyle w:val="Indenta"/>
        <w:spacing w:before="90"/>
        <w:rPr>
          <w:snapToGrid w:val="0"/>
        </w:rPr>
      </w:pPr>
      <w:r>
        <w:rPr>
          <w:snapToGrid w:val="0"/>
        </w:rPr>
        <w:tab/>
        <w:t>(b)</w:t>
      </w:r>
      <w:r>
        <w:rPr>
          <w:snapToGrid w:val="0"/>
        </w:rPr>
        <w:tab/>
        <w:t>where the Director decides to conduct a hearing, may —</w:t>
      </w:r>
    </w:p>
    <w:p>
      <w:pPr>
        <w:pStyle w:val="Indenti"/>
        <w:spacing w:before="90"/>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spacing w:before="120"/>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by No. 32 of 1994 s. 3(2); No. 73 of 2006 s. 12.] </w:t>
      </w:r>
    </w:p>
    <w:p>
      <w:pPr>
        <w:pStyle w:val="Heading5"/>
        <w:spacing w:before="180"/>
        <w:rPr>
          <w:snapToGrid w:val="0"/>
        </w:rPr>
      </w:pPr>
      <w:bookmarkStart w:id="69" w:name="_Toc522197213"/>
      <w:r>
        <w:rPr>
          <w:rStyle w:val="CharSectno"/>
        </w:rPr>
        <w:t>14</w:t>
      </w:r>
      <w:r>
        <w:rPr>
          <w:snapToGrid w:val="0"/>
        </w:rPr>
        <w:t>.</w:t>
      </w:r>
      <w:r>
        <w:rPr>
          <w:snapToGrid w:val="0"/>
        </w:rPr>
        <w:tab/>
        <w:t>Inspectors etc., appointment of etc.</w:t>
      </w:r>
      <w:bookmarkEnd w:id="69"/>
    </w:p>
    <w:p>
      <w:pPr>
        <w:pStyle w:val="Subsection"/>
        <w:spacing w:before="120"/>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Commission and the Director in the administration of this Act.</w:t>
      </w:r>
    </w:p>
    <w:p>
      <w:pPr>
        <w:pStyle w:val="Subsection"/>
        <w:spacing w:before="120"/>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pPr>
      <w:r>
        <w:tab/>
        <w:t>(a)</w:t>
      </w:r>
      <w:r>
        <w:tab/>
        <w:t>an inspector;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 xml:space="preserve">a certificate of identity in the </w:t>
      </w:r>
      <w:r>
        <w:t>form approved by the Director.</w:t>
      </w:r>
    </w:p>
    <w:p>
      <w:pPr>
        <w:pStyle w:val="Footnotesection"/>
      </w:pPr>
      <w:r>
        <w:tab/>
        <w:t xml:space="preserve">[Section 14 amended by No. 32 of 1994 s. 3(2); No. 56 of 1997 s. 28; No. 73 of 2006 s. 106 and 111(1); No. 9 of 2018 s. 7.] </w:t>
      </w:r>
    </w:p>
    <w:p>
      <w:pPr>
        <w:pStyle w:val="Heading3"/>
        <w:rPr>
          <w:snapToGrid w:val="0"/>
        </w:rPr>
      </w:pPr>
      <w:bookmarkStart w:id="70" w:name="_Toc471906695"/>
      <w:bookmarkStart w:id="71" w:name="_Toc472001612"/>
      <w:bookmarkStart w:id="72" w:name="_Toc472676640"/>
      <w:bookmarkStart w:id="73" w:name="_Toc472682025"/>
      <w:bookmarkStart w:id="74" w:name="_Toc473119166"/>
      <w:bookmarkStart w:id="75" w:name="_Toc522197214"/>
      <w:r>
        <w:rPr>
          <w:rStyle w:val="CharDivNo"/>
        </w:rPr>
        <w:t>Division 4</w:t>
      </w:r>
      <w:r>
        <w:rPr>
          <w:snapToGrid w:val="0"/>
        </w:rPr>
        <w:t> — </w:t>
      </w:r>
      <w:r>
        <w:rPr>
          <w:rStyle w:val="CharDivText"/>
        </w:rPr>
        <w:t>Other staff of the licensing authority</w:t>
      </w:r>
      <w:bookmarkEnd w:id="70"/>
      <w:bookmarkEnd w:id="71"/>
      <w:bookmarkEnd w:id="72"/>
      <w:bookmarkEnd w:id="73"/>
      <w:bookmarkEnd w:id="74"/>
      <w:bookmarkEnd w:id="75"/>
      <w:r>
        <w:rPr>
          <w:rStyle w:val="CharDivText"/>
        </w:rPr>
        <w:t xml:space="preserve"> </w:t>
      </w:r>
    </w:p>
    <w:p>
      <w:pPr>
        <w:pStyle w:val="Heading5"/>
        <w:rPr>
          <w:snapToGrid w:val="0"/>
        </w:rPr>
      </w:pPr>
      <w:bookmarkStart w:id="76" w:name="_Toc522197215"/>
      <w:r>
        <w:rPr>
          <w:rStyle w:val="CharSectno"/>
        </w:rPr>
        <w:t>15</w:t>
      </w:r>
      <w:r>
        <w:rPr>
          <w:snapToGrid w:val="0"/>
        </w:rPr>
        <w:t>.</w:t>
      </w:r>
      <w:r>
        <w:rPr>
          <w:snapToGrid w:val="0"/>
        </w:rPr>
        <w:tab/>
        <w:t xml:space="preserve">Director may </w:t>
      </w:r>
      <w:smartTag w:uri="urn:schemas-microsoft-com:office:smarttags" w:element="State">
        <w:smartTag w:uri="urn:schemas-microsoft-com:office:smarttags" w:element="place">
          <w:r>
            <w:rPr>
              <w:snapToGrid w:val="0"/>
            </w:rPr>
            <w:t>del</w:t>
          </w:r>
        </w:smartTag>
      </w:smartTag>
      <w:r>
        <w:rPr>
          <w:snapToGrid w:val="0"/>
        </w:rPr>
        <w:t>egate etc.</w:t>
      </w:r>
      <w:bookmarkEnd w:id="76"/>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 and</w:t>
      </w:r>
    </w:p>
    <w:p>
      <w:pPr>
        <w:pStyle w:val="Indenta"/>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keepNext/>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spacing w:before="120"/>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77" w:name="_Toc471906697"/>
      <w:bookmarkStart w:id="78" w:name="_Toc472001614"/>
      <w:bookmarkStart w:id="79" w:name="_Toc472676642"/>
      <w:bookmarkStart w:id="80" w:name="_Toc472682027"/>
      <w:bookmarkStart w:id="81" w:name="_Toc473119168"/>
      <w:bookmarkStart w:id="82" w:name="_Toc522197216"/>
      <w:r>
        <w:rPr>
          <w:rStyle w:val="CharDivNo"/>
        </w:rPr>
        <w:t>Division 5</w:t>
      </w:r>
      <w:r>
        <w:rPr>
          <w:snapToGrid w:val="0"/>
        </w:rPr>
        <w:t> — </w:t>
      </w:r>
      <w:r>
        <w:rPr>
          <w:rStyle w:val="CharDivText"/>
        </w:rPr>
        <w:t>Proceedings before the licensing authority</w:t>
      </w:r>
      <w:bookmarkEnd w:id="77"/>
      <w:bookmarkEnd w:id="78"/>
      <w:bookmarkEnd w:id="79"/>
      <w:bookmarkEnd w:id="80"/>
      <w:bookmarkEnd w:id="81"/>
      <w:bookmarkEnd w:id="82"/>
      <w:r>
        <w:rPr>
          <w:rStyle w:val="CharDivText"/>
        </w:rPr>
        <w:t xml:space="preserve"> </w:t>
      </w:r>
    </w:p>
    <w:p>
      <w:pPr>
        <w:pStyle w:val="Heading5"/>
        <w:spacing w:before="180"/>
        <w:rPr>
          <w:snapToGrid w:val="0"/>
        </w:rPr>
      </w:pPr>
      <w:bookmarkStart w:id="83" w:name="_Toc522197217"/>
      <w:r>
        <w:rPr>
          <w:rStyle w:val="CharSectno"/>
        </w:rPr>
        <w:t>16</w:t>
      </w:r>
      <w:r>
        <w:rPr>
          <w:snapToGrid w:val="0"/>
        </w:rPr>
        <w:t>.</w:t>
      </w:r>
      <w:r>
        <w:rPr>
          <w:snapToGrid w:val="0"/>
        </w:rPr>
        <w:tab/>
        <w:t>Procedure, sittings, use of experts, evidentiary rules etc.</w:t>
      </w:r>
      <w:bookmarkEnd w:id="83"/>
    </w:p>
    <w:p>
      <w:pPr>
        <w:pStyle w:val="Subsection"/>
        <w:keepNext/>
        <w:spacing w:before="120"/>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 and</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Commission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Commission.</w:t>
      </w:r>
    </w:p>
    <w:p>
      <w:pPr>
        <w:pStyle w:val="Subsection"/>
        <w:spacing w:before="120"/>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Commission, if a requirement or order of the Commission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rPr>
          <w:snapToGrid w:val="0"/>
        </w:rPr>
      </w:pPr>
      <w:r>
        <w:rPr>
          <w:snapToGrid w:val="0"/>
        </w:rPr>
        <w:tab/>
      </w:r>
      <w:r>
        <w:rPr>
          <w:snapToGrid w:val="0"/>
        </w:rPr>
        <w:tab/>
        <w:t>by the person by whom or on whose behalf that application is made or those proceedings are taken.</w:t>
      </w:r>
    </w:p>
    <w:p>
      <w:pPr>
        <w:pStyle w:val="Subsection"/>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Commission or within the jurisdiction of the Commission, by the Commission; but</w:t>
      </w:r>
    </w:p>
    <w:p>
      <w:pPr>
        <w:pStyle w:val="Indenta"/>
        <w:rPr>
          <w:snapToGrid w:val="0"/>
        </w:rPr>
      </w:pPr>
      <w:r>
        <w:rPr>
          <w:snapToGrid w:val="0"/>
        </w:rPr>
        <w:tab/>
        <w:t>(b)</w:t>
      </w:r>
      <w:r>
        <w:rPr>
          <w:snapToGrid w:val="0"/>
        </w:rPr>
        <w:tab/>
        <w:t>otherwise, by the Director.</w:t>
      </w:r>
    </w:p>
    <w:p>
      <w:pPr>
        <w:pStyle w:val="Subsection"/>
        <w:keepNext/>
        <w:rPr>
          <w:snapToGrid w:val="0"/>
        </w:rPr>
      </w:pPr>
      <w:r>
        <w:rPr>
          <w:snapToGrid w:val="0"/>
        </w:rPr>
        <w:tab/>
        <w:t>(6)</w:t>
      </w:r>
      <w:r>
        <w:rPr>
          <w:snapToGrid w:val="0"/>
        </w:rPr>
        <w:tab/>
        <w:t>The Commission may appoint — </w:t>
      </w:r>
    </w:p>
    <w:p>
      <w:pPr>
        <w:pStyle w:val="Indenta"/>
        <w:rPr>
          <w:snapToGrid w:val="0"/>
        </w:rPr>
      </w:pPr>
      <w:r>
        <w:rPr>
          <w:snapToGrid w:val="0"/>
        </w:rPr>
        <w:tab/>
        <w:t>(a)</w:t>
      </w:r>
      <w:r>
        <w:rPr>
          <w:snapToGrid w:val="0"/>
        </w:rPr>
        <w:tab/>
        <w:t>counsel to argue or make representations as to any matter before the Commission;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pPr>
      <w:r>
        <w:tab/>
        <w:t>(7)</w:t>
      </w:r>
      <w:r>
        <w:tab/>
        <w:t xml:space="preserve">The </w:t>
      </w:r>
      <w:r>
        <w:rPr>
          <w:i/>
        </w:rPr>
        <w:t xml:space="preserve">Evidence Act 1906 </w:t>
      </w:r>
      <w:r>
        <w:t xml:space="preserve">does not apply to the proceedings of the licensing authority, however constituted, and the licensing authority — </w:t>
      </w:r>
    </w:p>
    <w:p>
      <w:pPr>
        <w:pStyle w:val="Indenta"/>
      </w:pPr>
      <w:r>
        <w:tab/>
        <w:t>(a)</w:t>
      </w:r>
      <w:r>
        <w:tab/>
        <w:t>is not bound by the rules of evidence or any practices or procedures applicable to courts of record, except to the extent that the licensing authority adopts those rules, practices or procedures or the regulations make them apply; and</w:t>
      </w:r>
    </w:p>
    <w:p>
      <w:pPr>
        <w:pStyle w:val="Indenta"/>
      </w:pPr>
      <w:r>
        <w:tab/>
        <w:t>(b)</w:t>
      </w:r>
      <w:r>
        <w:tab/>
        <w:t>is to act according to equity, good conscience and the substantial merits of the case without regard to technicalities and legal forms; and</w:t>
      </w:r>
    </w:p>
    <w:p>
      <w:pPr>
        <w:pStyle w:val="Indenta"/>
      </w:pPr>
      <w:r>
        <w:tab/>
        <w:t>(c)</w:t>
      </w:r>
      <w:r>
        <w:tab/>
        <w:t>is to act as speedily and with as little formality and technicality as is practicable.</w:t>
      </w:r>
    </w:p>
    <w:p>
      <w:pPr>
        <w:pStyle w:val="Subsection"/>
        <w:spacing w:before="180"/>
      </w:pPr>
      <w:r>
        <w:tab/>
        <w:t>(8)</w:t>
      </w:r>
      <w:r>
        <w:tab/>
        <w:t>The hearing of a proceeding before the Commission is to be in private unless the Commission considers that, in the circumstances of the case, the hearing should be in public.</w:t>
      </w:r>
    </w:p>
    <w:p>
      <w:pPr>
        <w:pStyle w:val="Subsection"/>
        <w:spacing w:before="180"/>
      </w:pPr>
      <w:r>
        <w:rPr>
          <w:snapToGrid w:val="0"/>
        </w:rPr>
        <w:tab/>
        <w:t>(9)</w:t>
      </w:r>
      <w:r>
        <w:rPr>
          <w:snapToGrid w:val="0"/>
        </w:rPr>
        <w:tab/>
      </w:r>
      <w:r>
        <w:t xml:space="preserve">When the hearing of a proceeding before the Commission is in private, the Commission, of its own motion or on the application of a party to the proceeding, may — </w:t>
      </w:r>
    </w:p>
    <w:p>
      <w:pPr>
        <w:pStyle w:val="Indenta"/>
        <w:rPr>
          <w:snapToGrid w:val="0"/>
        </w:rPr>
      </w:pPr>
      <w:r>
        <w:tab/>
        <w:t>(a)</w:t>
      </w:r>
      <w:r>
        <w:tab/>
        <w:t>subject to section 17, give directions as to the persons who may be present; and</w:t>
      </w:r>
    </w:p>
    <w:p>
      <w:pPr>
        <w:pStyle w:val="Indenta"/>
        <w:rPr>
          <w:snapToGrid w:val="0"/>
        </w:rPr>
      </w:pPr>
      <w:r>
        <w:rPr>
          <w:snapToGrid w:val="0"/>
        </w:rPr>
        <w:tab/>
        <w:t>(b)</w:t>
      </w:r>
      <w:r>
        <w:rPr>
          <w:snapToGrid w:val="0"/>
        </w:rPr>
        <w:tab/>
        <w:t>give directions prohibiting or restricting the publication of evidence given before the licensing authority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spacing w:before="180"/>
        <w:rPr>
          <w:snapToGrid w:val="0"/>
        </w:rPr>
      </w:pPr>
      <w:r>
        <w:rPr>
          <w:snapToGrid w:val="0"/>
        </w:rPr>
        <w:tab/>
        <w:t>(10)</w:t>
      </w:r>
      <w:r>
        <w:rPr>
          <w:snapToGrid w:val="0"/>
        </w:rPr>
        <w:tab/>
        <w:t>In considering — </w:t>
      </w:r>
    </w:p>
    <w:p>
      <w:pPr>
        <w:pStyle w:val="Ednotepara"/>
        <w:rPr>
          <w:snapToGrid w:val="0"/>
        </w:rPr>
      </w:pPr>
      <w:r>
        <w:rPr>
          <w:snapToGrid w:val="0"/>
        </w:rPr>
        <w:tab/>
        <w:t>[(a)</w:t>
      </w:r>
      <w:r>
        <w:rPr>
          <w:snapToGrid w:val="0"/>
        </w:rPr>
        <w:tab/>
        <w:t>deleted]</w:t>
      </w:r>
    </w:p>
    <w:p>
      <w:pPr>
        <w:pStyle w:val="Indenta"/>
        <w:spacing w:before="100"/>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the Commission shall take as the basis of its consideration the principle that it is desirable that evidence given before the Commission and the contents of documents lodged with the licensing authority or received in evidence by the licensing authority should be made available to all the parties, but shall pay due regard to any reasons given to the licensing authority why the publication or disclosure of the evidence or the matter contained in the document should be prohibited or restricted.</w:t>
      </w:r>
    </w:p>
    <w:p>
      <w:pPr>
        <w:pStyle w:val="Subsection"/>
        <w:rPr>
          <w:snapToGrid w:val="0"/>
        </w:rPr>
      </w:pPr>
      <w:r>
        <w:rPr>
          <w:snapToGrid w:val="0"/>
        </w:rPr>
        <w:tab/>
        <w:t>(11)</w:t>
      </w:r>
      <w:r>
        <w:rPr>
          <w:snapToGrid w:val="0"/>
        </w:rPr>
        <w:tab/>
        <w:t>Subject to subsections (8) and (9)</w:t>
      </w:r>
      <w:r>
        <w:t xml:space="preserve"> and section 30</w:t>
      </w:r>
      <w:r>
        <w:rPr>
          <w:snapToGrid w:val="0"/>
        </w:rPr>
        <w:t>, the licensing authority shall ensure that each party to a proceeding before it is given a reasonable opportunity to present its case and, in particular, to inspect any documents to which the licensing authority proposes to have regard in making a determination in the proceedings and to make submissions in relation to those documents.</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 xml:space="preserve">If a </w:t>
      </w:r>
      <w:r>
        <w:t xml:space="preserve">person </w:t>
      </w:r>
      <w:r>
        <w:rPr>
          <w:snapToGrid w:val="0"/>
        </w:rPr>
        <w:t>is convicted of an offence against this Act, the registrar of the court in which that conviction occurred shall, as soon as practicable after the conviction, give notice in writing of the conviction to the Director.</w:t>
      </w:r>
    </w:p>
    <w:p>
      <w:pPr>
        <w:pStyle w:val="Footnotesection"/>
      </w:pPr>
      <w:r>
        <w:tab/>
        <w:t xml:space="preserve">[Section 16 amended by No. 12 of 1998 s. 10(2), (3), (4) and (5) and 11; No. 27 of 2000 s. 13; No. 59 of 2004 s. 141; No. 73 of 2006 s. 13 and 106; No. 56 of 2010 s. 37.] </w:t>
      </w:r>
    </w:p>
    <w:p>
      <w:pPr>
        <w:pStyle w:val="Heading5"/>
        <w:rPr>
          <w:snapToGrid w:val="0"/>
        </w:rPr>
      </w:pPr>
      <w:bookmarkStart w:id="84" w:name="_Toc522197218"/>
      <w:r>
        <w:rPr>
          <w:rStyle w:val="CharSectno"/>
        </w:rPr>
        <w:t>17</w:t>
      </w:r>
      <w:r>
        <w:rPr>
          <w:snapToGrid w:val="0"/>
        </w:rPr>
        <w:t>.</w:t>
      </w:r>
      <w:r>
        <w:rPr>
          <w:snapToGrid w:val="0"/>
        </w:rPr>
        <w:tab/>
        <w:t>Representation of parties</w:t>
      </w:r>
      <w:bookmarkEnd w:id="84"/>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counsel; or</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 or</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The Commissioner of Police may be represented before the licensing authority by a member of the Police Force, and where a member of the Police Force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by No. 12 of 1998 s. 12.] </w:t>
      </w:r>
    </w:p>
    <w:p>
      <w:pPr>
        <w:pStyle w:val="Heading5"/>
        <w:rPr>
          <w:snapToGrid w:val="0"/>
        </w:rPr>
      </w:pPr>
      <w:bookmarkStart w:id="85" w:name="_Toc522197219"/>
      <w:r>
        <w:rPr>
          <w:rStyle w:val="CharSectno"/>
        </w:rPr>
        <w:t>18</w:t>
      </w:r>
      <w:r>
        <w:rPr>
          <w:snapToGrid w:val="0"/>
        </w:rPr>
        <w:t>.</w:t>
      </w:r>
      <w:r>
        <w:rPr>
          <w:snapToGrid w:val="0"/>
        </w:rPr>
        <w:tab/>
        <w:t>Witnesses and evidence, powers to summon etc.</w:t>
      </w:r>
      <w:bookmarkEnd w:id="85"/>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 and</w:t>
      </w:r>
    </w:p>
    <w:p>
      <w:pPr>
        <w:pStyle w:val="Indenta"/>
        <w:rPr>
          <w:snapToGrid w:val="0"/>
        </w:rPr>
      </w:pPr>
      <w:r>
        <w:rPr>
          <w:snapToGrid w:val="0"/>
        </w:rPr>
        <w:tab/>
        <w:t>(b)</w:t>
      </w:r>
      <w:r>
        <w:rPr>
          <w:snapToGrid w:val="0"/>
        </w:rPr>
        <w:tab/>
        <w:t>by summons require the production of records; and</w:t>
      </w:r>
    </w:p>
    <w:p>
      <w:pPr>
        <w:pStyle w:val="Indenta"/>
        <w:rPr>
          <w:snapToGrid w:val="0"/>
        </w:rPr>
      </w:pPr>
      <w:r>
        <w:rPr>
          <w:snapToGrid w:val="0"/>
        </w:rPr>
        <w:tab/>
        <w:t>(c)</w:t>
      </w:r>
      <w:r>
        <w:rPr>
          <w:snapToGrid w:val="0"/>
        </w:rPr>
        <w:tab/>
        <w:t>inspect records produced before it, and take copies of, or extracts from, them; and</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 xml:space="preserve">where the matter is to be determined by the Commission, by </w:t>
      </w:r>
      <w:r>
        <w:t xml:space="preserve">a member; </w:t>
      </w:r>
      <w:r>
        <w:rPr>
          <w:snapToGrid w:val="0"/>
        </w:rPr>
        <w:t>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 xml:space="preserve">being an officer of the licensing authority, is for the time being so authorised by the </w:t>
      </w:r>
      <w:r>
        <w:t xml:space="preserve">chairperson </w:t>
      </w:r>
      <w:r>
        <w:rPr>
          <w:snapToGrid w:val="0"/>
        </w:rPr>
        <w:t>or the Director; 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 xml:space="preserve">is a person prescribed, by </w:t>
      </w:r>
      <w:r>
        <w:t xml:space="preserve">rules of the Commission </w:t>
      </w:r>
      <w:r>
        <w:rPr>
          <w:snapToGrid w:val="0"/>
        </w:rPr>
        <w:t>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by No. 12 of 1998 s. 10(6) and (7); No. 73 of 2006 s. 14 and 106.] </w:t>
      </w:r>
    </w:p>
    <w:p>
      <w:pPr>
        <w:pStyle w:val="Heading5"/>
      </w:pPr>
      <w:bookmarkStart w:id="86" w:name="_Toc522197220"/>
      <w:r>
        <w:rPr>
          <w:rStyle w:val="CharSectno"/>
        </w:rPr>
        <w:t>18AA</w:t>
      </w:r>
      <w:r>
        <w:t>.</w:t>
      </w:r>
      <w:r>
        <w:tab/>
        <w:t>Notice of decision</w:t>
      </w:r>
      <w:bookmarkEnd w:id="86"/>
    </w:p>
    <w:p>
      <w:pPr>
        <w:pStyle w:val="Subsection"/>
      </w:pPr>
      <w:r>
        <w:tab/>
        <w:t>(1)</w:t>
      </w:r>
      <w:r>
        <w:tab/>
        <w:t>If the licensing authority, when constituted by the Director, makes a decision in relation to an application, the licensing authority must give to each party to proceedings written notice of —</w:t>
      </w:r>
    </w:p>
    <w:p>
      <w:pPr>
        <w:pStyle w:val="Indenta"/>
      </w:pPr>
      <w:r>
        <w:tab/>
        <w:t>(a)</w:t>
      </w:r>
      <w:r>
        <w:tab/>
        <w:t>the decision; and</w:t>
      </w:r>
    </w:p>
    <w:p>
      <w:pPr>
        <w:pStyle w:val="Indenta"/>
      </w:pPr>
      <w:r>
        <w:tab/>
        <w:t>(b)</w:t>
      </w:r>
      <w:r>
        <w:tab/>
        <w:t>the right of review under section 25.</w:t>
      </w:r>
    </w:p>
    <w:p>
      <w:pPr>
        <w:pStyle w:val="Subsection"/>
      </w:pPr>
      <w:r>
        <w:tab/>
        <w:t>(2)</w:t>
      </w:r>
      <w:r>
        <w:tab/>
        <w:t>The notice may, but need not, include the reasons for the decision.</w:t>
      </w:r>
    </w:p>
    <w:p>
      <w:pPr>
        <w:pStyle w:val="Subsection"/>
      </w:pPr>
      <w:r>
        <w:tab/>
        <w:t>(3)</w:t>
      </w:r>
      <w:r>
        <w:tab/>
        <w:t>If the notice does not include the reasons for the decision, a party to proceedings may, within 28 days after receiving the notice or any longer period that may be allowed by the Director, request the licensing authority to provide the party with the reasons for the decision.</w:t>
      </w:r>
    </w:p>
    <w:p>
      <w:pPr>
        <w:pStyle w:val="Subsection"/>
      </w:pPr>
      <w:r>
        <w:tab/>
        <w:t>(4)</w:t>
      </w:r>
      <w:r>
        <w:tab/>
        <w:t>If a party to proceedings makes a request under subsection (3), the licensing authority must provide the party to proceedings with written reasons for the decision.</w:t>
      </w:r>
    </w:p>
    <w:p>
      <w:pPr>
        <w:pStyle w:val="Footnotesection"/>
      </w:pPr>
      <w:r>
        <w:tab/>
        <w:t xml:space="preserve">[Section 18AA inserted by No. 9 of 2018 s. 9.] </w:t>
      </w:r>
    </w:p>
    <w:p>
      <w:pPr>
        <w:pStyle w:val="Heading5"/>
      </w:pPr>
      <w:bookmarkStart w:id="87" w:name="_Toc522197221"/>
      <w:r>
        <w:rPr>
          <w:rStyle w:val="CharSectno"/>
        </w:rPr>
        <w:t>18A</w:t>
      </w:r>
      <w:r>
        <w:t>.</w:t>
      </w:r>
      <w:r>
        <w:tab/>
        <w:t>Enforcing decisions</w:t>
      </w:r>
      <w:bookmarkEnd w:id="87"/>
    </w:p>
    <w:p>
      <w:pPr>
        <w:pStyle w:val="Subsection"/>
      </w:pPr>
      <w:r>
        <w:tab/>
        <w:t>(1)</w:t>
      </w:r>
      <w:r>
        <w:tab/>
        <w:t>Subject to sections 19 and 143, a decision of the licensing authority, however constituted,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the licensing authority has certified to be a true copy; and</w:t>
      </w:r>
    </w:p>
    <w:p>
      <w:pPr>
        <w:pStyle w:val="Indenta"/>
      </w:pPr>
      <w:r>
        <w:tab/>
        <w:t>(b)</w:t>
      </w:r>
      <w:r>
        <w:tab/>
        <w:t>the person’s affidavit stating to what extent the decision has not been complied with; and</w:t>
      </w:r>
    </w:p>
    <w:p>
      <w:pPr>
        <w:pStyle w:val="Indenta"/>
      </w:pPr>
      <w:r>
        <w:tab/>
        <w:t>(c)</w:t>
      </w:r>
      <w:r>
        <w:tab/>
        <w:t>a certificate from the licensing authority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to be taken to be a decision of the Supreme Court and may be enforced accordingly.</w:t>
      </w:r>
    </w:p>
    <w:p>
      <w:pPr>
        <w:pStyle w:val="Footnotesection"/>
      </w:pPr>
      <w:r>
        <w:tab/>
        <w:t>[Section 18A inserted by No. 73 of 2006 s. 15.]</w:t>
      </w:r>
    </w:p>
    <w:p>
      <w:pPr>
        <w:pStyle w:val="Heading5"/>
        <w:rPr>
          <w:snapToGrid w:val="0"/>
        </w:rPr>
      </w:pPr>
      <w:bookmarkStart w:id="88" w:name="_Toc522197222"/>
      <w:r>
        <w:rPr>
          <w:rStyle w:val="CharSectno"/>
        </w:rPr>
        <w:t>19</w:t>
      </w:r>
      <w:r>
        <w:rPr>
          <w:snapToGrid w:val="0"/>
        </w:rPr>
        <w:t>.</w:t>
      </w:r>
      <w:r>
        <w:rPr>
          <w:snapToGrid w:val="0"/>
        </w:rPr>
        <w:tab/>
        <w:t>Enforcing monetary penalties</w:t>
      </w:r>
      <w:bookmarkEnd w:id="88"/>
    </w:p>
    <w:p>
      <w:pPr>
        <w:pStyle w:val="Ednotesubsection"/>
        <w:keepNext/>
        <w:spacing w:before="120"/>
      </w:pPr>
      <w:r>
        <w:tab/>
        <w:t>[(1)</w:t>
      </w:r>
      <w:r>
        <w:tab/>
        <w:t>deleted]</w:t>
      </w:r>
    </w:p>
    <w:p>
      <w:pPr>
        <w:pStyle w:val="Subsection"/>
        <w:rPr>
          <w:snapToGrid w:val="0"/>
        </w:rPr>
      </w:pPr>
      <w:r>
        <w:rPr>
          <w:snapToGrid w:val="0"/>
        </w:rPr>
        <w:tab/>
        <w:t>(2)</w:t>
      </w:r>
      <w:r>
        <w:rPr>
          <w:snapToGrid w:val="0"/>
        </w:rPr>
        <w:tab/>
        <w:t>If under this Act a monetary penalty is imposed</w:t>
      </w:r>
      <w:r>
        <w:t xml:space="preserve"> by the licensing authority, however constituted,</w:t>
      </w:r>
      <w:r>
        <w:rPr>
          <w:snapToGrid w:val="0"/>
        </w:rPr>
        <w:t xml:space="preserve"> the amount of the penalty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by No. 92 of 1994 s. 22; No. 73 of 2006 s. 16.] </w:t>
      </w:r>
    </w:p>
    <w:p>
      <w:pPr>
        <w:pStyle w:val="Heading5"/>
        <w:spacing w:before="180"/>
        <w:rPr>
          <w:snapToGrid w:val="0"/>
        </w:rPr>
      </w:pPr>
      <w:bookmarkStart w:id="89" w:name="_Toc522197223"/>
      <w:r>
        <w:rPr>
          <w:rStyle w:val="CharSectno"/>
        </w:rPr>
        <w:t>20</w:t>
      </w:r>
      <w:r>
        <w:rPr>
          <w:snapToGrid w:val="0"/>
        </w:rPr>
        <w:t>.</w:t>
      </w:r>
      <w:r>
        <w:rPr>
          <w:snapToGrid w:val="0"/>
        </w:rPr>
        <w:tab/>
        <w:t>Contempt etc.</w:t>
      </w:r>
      <w:bookmarkEnd w:id="89"/>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r>
      <w:r>
        <w:t xml:space="preserve">a member, </w:t>
      </w:r>
      <w:r>
        <w:rPr>
          <w:snapToGrid w:val="0"/>
        </w:rPr>
        <w:t>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r>
      <w:r>
        <w:rPr>
          <w:snapToGrid w:val="0"/>
        </w:rPr>
        <w:tab/>
        <w:t>or</w:t>
      </w:r>
    </w:p>
    <w:p>
      <w:pPr>
        <w:pStyle w:val="Indenta"/>
        <w:tabs>
          <w:tab w:val="left" w:pos="1824"/>
        </w:tabs>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rPr>
          <w:snapToGrid w:val="0"/>
        </w:rPr>
      </w:pPr>
      <w:r>
        <w:rPr>
          <w:snapToGrid w:val="0"/>
        </w:rPr>
        <w:tab/>
      </w:r>
      <w:r>
        <w:rPr>
          <w:snapToGrid w:val="0"/>
        </w:rPr>
        <w:tab/>
        <w:t xml:space="preserve">the </w:t>
      </w:r>
      <w:r>
        <w:t>chairperson may report the matter to the District Court, and the District Court has jurisdiction to deal with the matter as if it were a contempt of the District Court.</w:t>
      </w:r>
    </w:p>
    <w:p>
      <w:pPr>
        <w:pStyle w:val="Subsection"/>
      </w:pPr>
      <w:r>
        <w:tab/>
        <w:t>(1a)</w:t>
      </w:r>
      <w:r>
        <w:tab/>
        <w:t>If subsection (1) applies to an act or omission by a person and that act or omission is also an offence under this Act, the person is not liable to be punished twice.</w:t>
      </w:r>
    </w:p>
    <w:p>
      <w:pPr>
        <w:pStyle w:val="Subsection"/>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Commission fails, without reasonable excuse, to attend in obedience to the summons; or</w:t>
      </w:r>
    </w:p>
    <w:p>
      <w:pPr>
        <w:pStyle w:val="Indenta"/>
        <w:rPr>
          <w:snapToGrid w:val="0"/>
        </w:rPr>
      </w:pPr>
      <w:r>
        <w:rPr>
          <w:snapToGrid w:val="0"/>
        </w:rPr>
        <w:tab/>
        <w:t>(b)</w:t>
      </w:r>
      <w:r>
        <w:rPr>
          <w:snapToGrid w:val="0"/>
        </w:rPr>
        <w:tab/>
        <w:t>having been served with a summons to produce records to the Commission fails, without reasonable excuse, to comply with the summons; or</w:t>
      </w:r>
    </w:p>
    <w:p>
      <w:pPr>
        <w:pStyle w:val="Indenta"/>
        <w:rPr>
          <w:snapToGrid w:val="0"/>
        </w:rPr>
      </w:pPr>
      <w:r>
        <w:rPr>
          <w:snapToGrid w:val="0"/>
        </w:rPr>
        <w:tab/>
        <w:t>(c)</w:t>
      </w:r>
      <w:r>
        <w:rPr>
          <w:snapToGrid w:val="0"/>
        </w:rPr>
        <w:tab/>
        <w:t xml:space="preserve">refuses to be sworn or to affirm, or to answer a relevant question, when required to do so by </w:t>
      </w:r>
      <w:r>
        <w:t>a member,</w:t>
      </w:r>
    </w:p>
    <w:p>
      <w:pPr>
        <w:pStyle w:val="Subsection"/>
        <w:keepLines/>
        <w:spacing w:before="80"/>
        <w:rPr>
          <w:snapToGrid w:val="0"/>
        </w:rPr>
      </w:pPr>
      <w:r>
        <w:rPr>
          <w:snapToGrid w:val="0"/>
        </w:rPr>
        <w:tab/>
      </w:r>
      <w:r>
        <w:rPr>
          <w:snapToGrid w:val="0"/>
        </w:rPr>
        <w:tab/>
        <w:t>commits an offence.</w:t>
      </w:r>
    </w:p>
    <w:p>
      <w:pPr>
        <w:pStyle w:val="Penstart"/>
        <w:keepLines/>
        <w:spacing w:before="40"/>
        <w:rPr>
          <w:snapToGrid w:val="0"/>
        </w:rPr>
      </w:pPr>
      <w:r>
        <w:rPr>
          <w:snapToGrid w:val="0"/>
        </w:rPr>
        <w:tab/>
        <w:t xml:space="preserve">Penalty: </w:t>
      </w:r>
      <w:r>
        <w:t>a fine of</w:t>
      </w:r>
      <w:r>
        <w:rPr>
          <w:snapToGrid w:val="0"/>
        </w:rPr>
        <w:t xml:space="preserve">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Commission, to answer any relevant question or to produce any records; or</w:t>
      </w:r>
    </w:p>
    <w:p>
      <w:pPr>
        <w:pStyle w:val="Indenta"/>
        <w:keepNext/>
        <w:rPr>
          <w:snapToGrid w:val="0"/>
        </w:rPr>
      </w:pPr>
      <w:r>
        <w:rPr>
          <w:snapToGrid w:val="0"/>
        </w:rPr>
        <w:tab/>
        <w:t>(b)</w:t>
      </w:r>
      <w:r>
        <w:rPr>
          <w:snapToGrid w:val="0"/>
        </w:rPr>
        <w:tab/>
        <w:t>prejudice any proceedings taken or to be taken under section 158.</w:t>
      </w:r>
    </w:p>
    <w:p>
      <w:pPr>
        <w:pStyle w:val="Footnotesection"/>
      </w:pPr>
      <w:r>
        <w:tab/>
        <w:t xml:space="preserve">[Section 20 amended by No. 12 of 1998 s. 10(8); No. 73 of 2006 s. 17 and 106; No. 56 of 2010 s. 69.] </w:t>
      </w:r>
    </w:p>
    <w:p>
      <w:pPr>
        <w:pStyle w:val="Heading5"/>
        <w:rPr>
          <w:snapToGrid w:val="0"/>
        </w:rPr>
      </w:pPr>
      <w:bookmarkStart w:id="90" w:name="_Toc522197224"/>
      <w:r>
        <w:rPr>
          <w:rStyle w:val="CharSectno"/>
        </w:rPr>
        <w:t>21</w:t>
      </w:r>
      <w:r>
        <w:rPr>
          <w:snapToGrid w:val="0"/>
        </w:rPr>
        <w:t>.</w:t>
      </w:r>
      <w:r>
        <w:rPr>
          <w:snapToGrid w:val="0"/>
        </w:rPr>
        <w:tab/>
        <w:t>Costs</w:t>
      </w:r>
      <w:bookmarkEnd w:id="90"/>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Commission, including any adjournment, shall be in the discretion of the Commission, and the Commission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Ednotesubsection"/>
      </w:pPr>
      <w:r>
        <w:tab/>
        <w:t>[(3)</w:t>
      </w:r>
      <w:r>
        <w:tab/>
        <w:t xml:space="preserve">deleted] </w:t>
      </w:r>
    </w:p>
    <w:p>
      <w:pPr>
        <w:pStyle w:val="Subsection"/>
        <w:rPr>
          <w:snapToGrid w:val="0"/>
        </w:rPr>
      </w:pPr>
      <w:r>
        <w:rPr>
          <w:snapToGrid w:val="0"/>
        </w:rPr>
        <w:tab/>
        <w:t>(4)</w:t>
      </w:r>
      <w:r>
        <w:rPr>
          <w:snapToGrid w:val="0"/>
        </w:rPr>
        <w:tab/>
        <w:t>Costs and expenses, to be payable by or to a party to the proceedings, may be awarded by the Commission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Commission,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Commission may award costs against that person.</w:t>
      </w:r>
    </w:p>
    <w:p>
      <w:pPr>
        <w:pStyle w:val="Subsection"/>
        <w:rPr>
          <w:snapToGrid w:val="0"/>
        </w:rPr>
      </w:pPr>
      <w:r>
        <w:rPr>
          <w:snapToGrid w:val="0"/>
        </w:rPr>
        <w:tab/>
        <w:t>(6)</w:t>
      </w:r>
      <w:r>
        <w:rPr>
          <w:snapToGrid w:val="0"/>
        </w:rPr>
        <w:tab/>
        <w:t>The Director does not have power to award costs.</w:t>
      </w:r>
    </w:p>
    <w:p>
      <w:pPr>
        <w:pStyle w:val="Footnotesection"/>
      </w:pPr>
      <w:r>
        <w:tab/>
        <w:t>[Section 21 amended by No. 73 of 2006 s. 18 and 106.]</w:t>
      </w:r>
    </w:p>
    <w:p>
      <w:pPr>
        <w:pStyle w:val="Heading5"/>
        <w:rPr>
          <w:snapToGrid w:val="0"/>
        </w:rPr>
      </w:pPr>
      <w:bookmarkStart w:id="91" w:name="_Toc522197225"/>
      <w:r>
        <w:rPr>
          <w:rStyle w:val="CharSectno"/>
        </w:rPr>
        <w:t>22</w:t>
      </w:r>
      <w:r>
        <w:rPr>
          <w:snapToGrid w:val="0"/>
        </w:rPr>
        <w:t>.</w:t>
      </w:r>
      <w:r>
        <w:rPr>
          <w:snapToGrid w:val="0"/>
        </w:rPr>
        <w:tab/>
        <w:t xml:space="preserve">Rules </w:t>
      </w:r>
      <w:r>
        <w:t>of Commission</w:t>
      </w:r>
      <w:bookmarkEnd w:id="91"/>
    </w:p>
    <w:p>
      <w:pPr>
        <w:pStyle w:val="Subsection"/>
        <w:rPr>
          <w:snapToGrid w:val="0"/>
        </w:rPr>
      </w:pPr>
      <w:r>
        <w:rPr>
          <w:snapToGrid w:val="0"/>
        </w:rPr>
        <w:tab/>
      </w:r>
      <w:r>
        <w:rPr>
          <w:snapToGrid w:val="0"/>
        </w:rPr>
        <w:tab/>
        <w:t xml:space="preserve">Rules </w:t>
      </w:r>
      <w:r>
        <w:t xml:space="preserve">of the Commission </w:t>
      </w:r>
      <w:r>
        <w:rPr>
          <w:snapToGrid w:val="0"/>
        </w:rPr>
        <w:t xml:space="preserve">may be made, by the </w:t>
      </w:r>
      <w:r>
        <w:t xml:space="preserve">Commission, </w:t>
      </w:r>
      <w:r>
        <w:rPr>
          <w:snapToGrid w:val="0"/>
        </w:rPr>
        <w:t>under this Act — </w:t>
      </w:r>
    </w:p>
    <w:p>
      <w:pPr>
        <w:pStyle w:val="Indenta"/>
        <w:rPr>
          <w:snapToGrid w:val="0"/>
        </w:rPr>
      </w:pPr>
      <w:r>
        <w:rPr>
          <w:snapToGrid w:val="0"/>
        </w:rPr>
        <w:tab/>
        <w:t>(a)</w:t>
      </w:r>
      <w:r>
        <w:rPr>
          <w:snapToGrid w:val="0"/>
        </w:rPr>
        <w:tab/>
        <w:t>regulating the practice and procedure of the Commission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Footnotesection"/>
      </w:pPr>
      <w:r>
        <w:tab/>
        <w:t>[Section 22 amended by No. 73 of 2006 s. 19 and 106.]</w:t>
      </w:r>
    </w:p>
    <w:p>
      <w:pPr>
        <w:pStyle w:val="Heading5"/>
        <w:rPr>
          <w:snapToGrid w:val="0"/>
        </w:rPr>
      </w:pPr>
      <w:bookmarkStart w:id="92" w:name="_Toc522197226"/>
      <w:r>
        <w:rPr>
          <w:rStyle w:val="CharSectno"/>
        </w:rPr>
        <w:t>23</w:t>
      </w:r>
      <w:r>
        <w:rPr>
          <w:snapToGrid w:val="0"/>
        </w:rPr>
        <w:t>.</w:t>
      </w:r>
      <w:r>
        <w:rPr>
          <w:snapToGrid w:val="0"/>
        </w:rPr>
        <w:tab/>
        <w:t>Proof of process; protection from personal liability</w:t>
      </w:r>
      <w:bookmarkEnd w:id="92"/>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Commission is sufficient proof of the authority of the Commission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Footnotesection"/>
      </w:pPr>
      <w:r>
        <w:tab/>
        <w:t>[Section 23 amended by No. 73 of 2006 s. 106.]</w:t>
      </w:r>
    </w:p>
    <w:p>
      <w:pPr>
        <w:pStyle w:val="Heading3"/>
        <w:keepLines/>
      </w:pPr>
      <w:bookmarkStart w:id="93" w:name="_Toc471906707"/>
      <w:bookmarkStart w:id="94" w:name="_Toc472001624"/>
      <w:bookmarkStart w:id="95" w:name="_Toc472676652"/>
      <w:bookmarkStart w:id="96" w:name="_Toc472682037"/>
      <w:bookmarkStart w:id="97" w:name="_Toc473119178"/>
      <w:bookmarkStart w:id="98" w:name="_Toc522197227"/>
      <w:r>
        <w:rPr>
          <w:rStyle w:val="CharDivNo"/>
        </w:rPr>
        <w:t>Division 6</w:t>
      </w:r>
      <w:r>
        <w:rPr>
          <w:snapToGrid w:val="0"/>
        </w:rPr>
        <w:t> — </w:t>
      </w:r>
      <w:r>
        <w:rPr>
          <w:rStyle w:val="CharDivText"/>
        </w:rPr>
        <w:t>Reference to the Commission, review and appeals</w:t>
      </w:r>
      <w:bookmarkEnd w:id="93"/>
      <w:bookmarkEnd w:id="94"/>
      <w:bookmarkEnd w:id="95"/>
      <w:bookmarkEnd w:id="96"/>
      <w:bookmarkEnd w:id="97"/>
      <w:bookmarkEnd w:id="98"/>
      <w:r>
        <w:t xml:space="preserve"> </w:t>
      </w:r>
    </w:p>
    <w:p>
      <w:pPr>
        <w:pStyle w:val="Footnoteheading"/>
        <w:keepNext/>
        <w:keepLines/>
      </w:pPr>
      <w:r>
        <w:tab/>
        <w:t>[Heading amended by No. 73 of 2006 s. 20.]</w:t>
      </w:r>
    </w:p>
    <w:p>
      <w:pPr>
        <w:pStyle w:val="Heading5"/>
        <w:rPr>
          <w:snapToGrid w:val="0"/>
        </w:rPr>
      </w:pPr>
      <w:bookmarkStart w:id="99" w:name="_Toc522197228"/>
      <w:r>
        <w:rPr>
          <w:rStyle w:val="CharSectno"/>
        </w:rPr>
        <w:t>24</w:t>
      </w:r>
      <w:r>
        <w:rPr>
          <w:snapToGrid w:val="0"/>
        </w:rPr>
        <w:t>.</w:t>
      </w:r>
      <w:r>
        <w:rPr>
          <w:snapToGrid w:val="0"/>
        </w:rPr>
        <w:tab/>
        <w:t>Director may refer matters to Commission</w:t>
      </w:r>
      <w:bookmarkEnd w:id="99"/>
    </w:p>
    <w:p>
      <w:pPr>
        <w:pStyle w:val="Subsection"/>
        <w:rPr>
          <w:snapToGrid w:val="0"/>
        </w:rPr>
      </w:pPr>
      <w:r>
        <w:rPr>
          <w:snapToGrid w:val="0"/>
        </w:rPr>
        <w:tab/>
        <w:t>(1)</w:t>
      </w:r>
      <w:r>
        <w:rPr>
          <w:snapToGrid w:val="0"/>
        </w:rPr>
        <w:tab/>
        <w:t>The Director may, if he or she considers it appropriate, refer the whole or part of any matter that is to be determined by the Director, or any question of law arising from such a matter, for hearing and determination by the Commission.</w:t>
      </w:r>
    </w:p>
    <w:p>
      <w:pPr>
        <w:pStyle w:val="Subsection"/>
      </w:pPr>
      <w:r>
        <w:tab/>
        <w:t>(2)</w:t>
      </w:r>
      <w:r>
        <w:tab/>
        <w:t xml:space="preserve">When hearing and determining a matter or part of a matter referred under subsection (1), the Commission is to be constituted by 3 members if — </w:t>
      </w:r>
    </w:p>
    <w:p>
      <w:pPr>
        <w:pStyle w:val="Indenta"/>
      </w:pPr>
      <w:r>
        <w:tab/>
        <w:t>(a)</w:t>
      </w:r>
      <w:r>
        <w:tab/>
        <w:t>the matter or part of a matter relates to an application for the grant or removal of a licence; or</w:t>
      </w:r>
    </w:p>
    <w:p>
      <w:pPr>
        <w:pStyle w:val="Indenta"/>
      </w:pPr>
      <w:r>
        <w:tab/>
        <w:t>(b)</w:t>
      </w:r>
      <w:r>
        <w:tab/>
        <w:t>the matter or part of a matter relates to the making, variation or revocation of a prohibition order under Part 5A; or</w:t>
      </w:r>
    </w:p>
    <w:p>
      <w:pPr>
        <w:pStyle w:val="Indenta"/>
      </w:pPr>
      <w:r>
        <w:tab/>
        <w:t>(c)</w:t>
      </w:r>
      <w:r>
        <w:tab/>
        <w:t>the chairperson so determines under section 9A(2).</w:t>
      </w:r>
    </w:p>
    <w:p>
      <w:pPr>
        <w:pStyle w:val="Footnotesection"/>
      </w:pPr>
      <w:r>
        <w:tab/>
        <w:t xml:space="preserve">[Section 24 inserted by No. 12 of 1998 s. 13; amended by No. 73 of 2006 s. 21 and 106.] </w:t>
      </w:r>
    </w:p>
    <w:p>
      <w:pPr>
        <w:pStyle w:val="Heading5"/>
        <w:rPr>
          <w:snapToGrid w:val="0"/>
        </w:rPr>
      </w:pPr>
      <w:bookmarkStart w:id="100" w:name="_Toc522197229"/>
      <w:r>
        <w:rPr>
          <w:rStyle w:val="CharSectno"/>
        </w:rPr>
        <w:t>25</w:t>
      </w:r>
      <w:r>
        <w:rPr>
          <w:snapToGrid w:val="0"/>
        </w:rPr>
        <w:t>.</w:t>
      </w:r>
      <w:r>
        <w:rPr>
          <w:snapToGrid w:val="0"/>
        </w:rPr>
        <w:tab/>
        <w:t>Review of Director’s decisions</w:t>
      </w:r>
      <w:bookmarkEnd w:id="100"/>
    </w:p>
    <w:p>
      <w:pPr>
        <w:pStyle w:val="Subsection"/>
        <w:rPr>
          <w:snapToGrid w:val="0"/>
        </w:rPr>
      </w:pPr>
      <w:r>
        <w:rPr>
          <w:snapToGrid w:val="0"/>
        </w:rPr>
        <w:tab/>
        <w:t>(1)</w:t>
      </w:r>
      <w:r>
        <w:rPr>
          <w:snapToGrid w:val="0"/>
        </w:rPr>
        <w:tab/>
        <w:t>Subject to subsections (3) and (5), where a person who is a party to proceedings before the Director is dissatisfied with a decision made by the Director in respect of those proceedings the person may apply to the Commission for a review of that decision.</w:t>
      </w:r>
    </w:p>
    <w:p>
      <w:pPr>
        <w:pStyle w:val="Subsection"/>
        <w:rPr>
          <w:snapToGrid w:val="0"/>
        </w:rPr>
      </w:pPr>
      <w:r>
        <w:rPr>
          <w:snapToGrid w:val="0"/>
        </w:rPr>
        <w:tab/>
        <w:t>(2)</w:t>
      </w:r>
      <w:r>
        <w:rPr>
          <w:snapToGrid w:val="0"/>
        </w:rPr>
        <w:tab/>
        <w:t xml:space="preserve">An application under subsection (1) must be made within a month after the applicant receives </w:t>
      </w:r>
      <w:r>
        <w:t>written reasons for</w:t>
      </w:r>
      <w:r>
        <w:rPr>
          <w:snapToGrid w:val="0"/>
        </w:rPr>
        <w:t xml:space="preserve"> the decision or such longer period as the Commission may allow.</w:t>
      </w:r>
    </w:p>
    <w:p>
      <w:pPr>
        <w:pStyle w:val="Subsection"/>
      </w:pPr>
      <w:r>
        <w:tab/>
        <w:t>(2a)</w:t>
      </w:r>
      <w:r>
        <w:tab/>
        <w:t>An application for a review of a decision made by the Director under section 93 to cancel a licence can be made only on a question of law.</w:t>
      </w:r>
    </w:p>
    <w:p>
      <w:pPr>
        <w:pStyle w:val="Subsection"/>
      </w:pPr>
      <w:r>
        <w:tab/>
        <w:t>(2b)</w:t>
      </w:r>
      <w:r>
        <w:tab/>
        <w:t xml:space="preserve">When carrying out a review of a decision made by the Director, the Commission is to be constituted by 3 members if — </w:t>
      </w:r>
    </w:p>
    <w:p>
      <w:pPr>
        <w:pStyle w:val="Indenta"/>
      </w:pPr>
      <w:r>
        <w:tab/>
        <w:t>(a)</w:t>
      </w:r>
      <w:r>
        <w:tab/>
        <w:t>the decision relates to an application for the grant or removal of a licence; or</w:t>
      </w:r>
    </w:p>
    <w:p>
      <w:pPr>
        <w:pStyle w:val="Indenta"/>
      </w:pPr>
      <w:r>
        <w:tab/>
        <w:t>(b)</w:t>
      </w:r>
      <w:r>
        <w:tab/>
        <w:t>the decision is to make, vary or revoke a prohibition order under Part 5A; or</w:t>
      </w:r>
    </w:p>
    <w:p>
      <w:pPr>
        <w:pStyle w:val="Indenta"/>
      </w:pPr>
      <w:r>
        <w:tab/>
        <w:t>(c)</w:t>
      </w:r>
      <w:r>
        <w:tab/>
        <w:t>the chairperson so determines under section 9A(2).</w:t>
      </w:r>
    </w:p>
    <w:p>
      <w:pPr>
        <w:pStyle w:val="Subsection"/>
      </w:pPr>
      <w:r>
        <w:tab/>
        <w:t>(2c)</w:t>
      </w:r>
      <w:r>
        <w:tab/>
        <w:t>When conducting a review of a decision made by the Director, the Commission may have regard only to the material that was before the Director when making the decision.</w:t>
      </w:r>
    </w:p>
    <w:p>
      <w:pPr>
        <w:pStyle w:val="Subsection"/>
      </w:pPr>
      <w:r>
        <w:tab/>
        <w:t>(2d)</w:t>
      </w:r>
      <w:r>
        <w:tab/>
        <w:t>When conducting a review of a decision involving a question of law or giving directions under subsection (4)(c)(i), the Commission is to be constituted by, or is to include, a member who is a lawyer.</w:t>
      </w:r>
    </w:p>
    <w:p>
      <w:pPr>
        <w:pStyle w:val="Subsection"/>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 or</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Commission may — </w:t>
      </w:r>
    </w:p>
    <w:p>
      <w:pPr>
        <w:pStyle w:val="Indenta"/>
        <w:rPr>
          <w:snapToGrid w:val="0"/>
        </w:rPr>
      </w:pPr>
      <w:r>
        <w:rPr>
          <w:snapToGrid w:val="0"/>
        </w:rPr>
        <w:tab/>
        <w:t>(a)</w:t>
      </w:r>
      <w:r>
        <w:rPr>
          <w:snapToGrid w:val="0"/>
        </w:rPr>
        <w:tab/>
        <w:t>affirm, vary or quash the decision subject to the review; and</w:t>
      </w:r>
    </w:p>
    <w:p>
      <w:pPr>
        <w:pStyle w:val="Indenta"/>
        <w:rPr>
          <w:snapToGrid w:val="0"/>
        </w:rPr>
      </w:pPr>
      <w:r>
        <w:rPr>
          <w:snapToGrid w:val="0"/>
        </w:rPr>
        <w:tab/>
        <w:t>(b)</w:t>
      </w:r>
      <w:r>
        <w:rPr>
          <w:snapToGrid w:val="0"/>
        </w:rPr>
        <w:tab/>
        <w:t>make a decision in relation to any application or matter that should, in the opinion of the Commission, have been made in the first instance; and</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rPr>
          <w:snapToGrid w:val="0"/>
        </w:rPr>
      </w:pPr>
      <w:r>
        <w:rPr>
          <w:snapToGrid w:val="0"/>
        </w:rPr>
        <w:tab/>
        <w:t>(5)</w:t>
      </w:r>
      <w:r>
        <w:rPr>
          <w:snapToGrid w:val="0"/>
        </w:rPr>
        <w:tab/>
        <w:t>This section does not apply to any decision — </w:t>
      </w:r>
    </w:p>
    <w:p>
      <w:pPr>
        <w:pStyle w:val="Indenta"/>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 or</w:t>
      </w:r>
    </w:p>
    <w:p>
      <w:pPr>
        <w:pStyle w:val="Indenti"/>
      </w:pPr>
      <w:r>
        <w:tab/>
        <w:t>(ii)</w:t>
      </w:r>
      <w:r>
        <w:tab/>
        <w:t>the imposition, variation or cancellation of a term or condition of an extended trading permit or an occasional licence; or</w:t>
      </w:r>
    </w:p>
    <w:p>
      <w:pPr>
        <w:pStyle w:val="Indenti"/>
      </w:pPr>
      <w:r>
        <w:tab/>
        <w:t>(iia)</w:t>
      </w:r>
      <w:r>
        <w:tab/>
        <w:t>the cancellation of, or suspension of the operation of, an extended trading permit or an occasional licence;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by this Act is stated not to be subject to review; or</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pPr>
      <w:r>
        <w:tab/>
        <w:t>(5a)</w:t>
      </w:r>
      <w:r>
        <w:tab/>
        <w:t>Despite subsection (5)(a)(i), this section does apply to a decision in respect of or incidental to an application for an extended trading permit of a kind prescribed.</w:t>
      </w:r>
    </w:p>
    <w:p>
      <w:pPr>
        <w:pStyle w:val="Subsection"/>
        <w:rPr>
          <w:snapToGrid w:val="0"/>
        </w:rPr>
      </w:pPr>
      <w:r>
        <w:rPr>
          <w:snapToGrid w:val="0"/>
        </w:rPr>
        <w:tab/>
        <w:t>(6)</w:t>
      </w:r>
      <w:r>
        <w:rPr>
          <w:snapToGrid w:val="0"/>
        </w:rPr>
        <w:tab/>
        <w:t>For the purposes of this section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by No. 56 of 1997 s. 29; No. 12 of 1998 s. 14; No. 73 of 2006 s. 22 and 106; No. 21 of 2008 s. 675(3); No. 9 of 2018 s. 11.]</w:t>
      </w:r>
    </w:p>
    <w:p>
      <w:pPr>
        <w:pStyle w:val="Heading5"/>
      </w:pPr>
      <w:bookmarkStart w:id="101" w:name="_Toc522197230"/>
      <w:r>
        <w:rPr>
          <w:rStyle w:val="CharSectno"/>
        </w:rPr>
        <w:t>26</w:t>
      </w:r>
      <w:r>
        <w:t>.</w:t>
      </w:r>
      <w:r>
        <w:tab/>
        <w:t>Some Director’s decisions have effect despite application to review</w:t>
      </w:r>
      <w:bookmarkEnd w:id="101"/>
    </w:p>
    <w:p>
      <w:pPr>
        <w:pStyle w:val="Subsection"/>
      </w:pPr>
      <w:r>
        <w:tab/>
      </w:r>
      <w:r>
        <w:tab/>
        <w:t xml:space="preserve">Where — </w:t>
      </w:r>
    </w:p>
    <w:p>
      <w:pPr>
        <w:pStyle w:val="Indenta"/>
      </w:pPr>
      <w:r>
        <w:tab/>
        <w:t>(a)</w:t>
      </w:r>
      <w:r>
        <w:tab/>
        <w:t>the holder of a licence applies to the Commission for a review of a decision made by the Director in respect of that licence; or</w:t>
      </w:r>
    </w:p>
    <w:p>
      <w:pPr>
        <w:pStyle w:val="Indenta"/>
      </w:pPr>
      <w:r>
        <w:tab/>
        <w:t>(b)</w:t>
      </w:r>
      <w:r>
        <w:tab/>
        <w:t>the person subject to a prohibition order under Part 5A applies to the Commission for a review of a decision made by the Director in respect of that order,</w:t>
      </w:r>
    </w:p>
    <w:p>
      <w:pPr>
        <w:pStyle w:val="Subsection"/>
      </w:pPr>
      <w:r>
        <w:tab/>
      </w:r>
      <w:r>
        <w:tab/>
        <w:t>effect is to be given to the decision made by the Director unless the Commission, by way of interim order, otherwise directs.</w:t>
      </w:r>
    </w:p>
    <w:p>
      <w:pPr>
        <w:pStyle w:val="Footnotesection"/>
      </w:pPr>
      <w:r>
        <w:tab/>
        <w:t>[Section 26 inserted by No. 73 of 2006 s. 23.]</w:t>
      </w:r>
    </w:p>
    <w:p>
      <w:pPr>
        <w:pStyle w:val="Heading5"/>
        <w:rPr>
          <w:snapToGrid w:val="0"/>
        </w:rPr>
      </w:pPr>
      <w:bookmarkStart w:id="102" w:name="_Toc522197231"/>
      <w:r>
        <w:rPr>
          <w:rStyle w:val="CharSectno"/>
        </w:rPr>
        <w:t>27</w:t>
      </w:r>
      <w:r>
        <w:rPr>
          <w:snapToGrid w:val="0"/>
        </w:rPr>
        <w:t>.</w:t>
      </w:r>
      <w:r>
        <w:rPr>
          <w:snapToGrid w:val="0"/>
        </w:rPr>
        <w:tab/>
        <w:t>Question of law, Commission may state to Supreme Court</w:t>
      </w:r>
      <w:bookmarkEnd w:id="102"/>
    </w:p>
    <w:p>
      <w:pPr>
        <w:pStyle w:val="Subsection"/>
        <w:rPr>
          <w:snapToGrid w:val="0"/>
        </w:rPr>
      </w:pPr>
      <w:r>
        <w:rPr>
          <w:snapToGrid w:val="0"/>
        </w:rPr>
        <w:tab/>
        <w:t>(1)</w:t>
      </w:r>
      <w:r>
        <w:rPr>
          <w:snapToGrid w:val="0"/>
        </w:rPr>
        <w:tab/>
        <w:t>The Commission may state a case on a question of law to the Supreme Court.</w:t>
      </w:r>
    </w:p>
    <w:p>
      <w:pPr>
        <w:pStyle w:val="Subsection"/>
        <w:rPr>
          <w:snapToGrid w:val="0"/>
        </w:rPr>
      </w:pPr>
      <w:r>
        <w:rPr>
          <w:snapToGrid w:val="0"/>
        </w:rPr>
        <w:tab/>
        <w:t>(2)</w:t>
      </w:r>
      <w:r>
        <w:rPr>
          <w:snapToGrid w:val="0"/>
        </w:rPr>
        <w:tab/>
        <w:t xml:space="preserve">A question of law arising on a case stated under this section shall be determined by </w:t>
      </w:r>
      <w:r>
        <w:t>a single judge of the Supreme Court.</w:t>
      </w:r>
    </w:p>
    <w:p>
      <w:pPr>
        <w:pStyle w:val="Footnotesection"/>
      </w:pPr>
      <w:r>
        <w:tab/>
        <w:t>[Section 27 amended by No. 45 of 2004 s. 37; No. 73 of 2006 s. 24 and 106.]</w:t>
      </w:r>
    </w:p>
    <w:p>
      <w:pPr>
        <w:pStyle w:val="Heading5"/>
        <w:rPr>
          <w:snapToGrid w:val="0"/>
        </w:rPr>
      </w:pPr>
      <w:bookmarkStart w:id="103" w:name="_Toc522197232"/>
      <w:r>
        <w:rPr>
          <w:rStyle w:val="CharSectno"/>
        </w:rPr>
        <w:t>28</w:t>
      </w:r>
      <w:r>
        <w:rPr>
          <w:snapToGrid w:val="0"/>
        </w:rPr>
        <w:t>.</w:t>
      </w:r>
      <w:r>
        <w:rPr>
          <w:snapToGrid w:val="0"/>
        </w:rPr>
        <w:tab/>
        <w:t>Appeals against Commission’s decisions</w:t>
      </w:r>
      <w:bookmarkEnd w:id="103"/>
    </w:p>
    <w:p>
      <w:pPr>
        <w:pStyle w:val="Subsection"/>
      </w:pPr>
      <w:r>
        <w:tab/>
        <w:t>(1)</w:t>
      </w:r>
      <w:r>
        <w:tab/>
        <w:t xml:space="preserve">Subject to this section, a person who — </w:t>
      </w:r>
    </w:p>
    <w:p>
      <w:pPr>
        <w:pStyle w:val="Indenta"/>
      </w:pPr>
      <w:r>
        <w:tab/>
        <w:t>(a)</w:t>
      </w:r>
      <w:r>
        <w:tab/>
        <w:t>is a party to proceedings before the Commission; and</w:t>
      </w:r>
    </w:p>
    <w:p>
      <w:pPr>
        <w:pStyle w:val="Indenta"/>
      </w:pPr>
      <w:r>
        <w:tab/>
        <w:t>(b)</w:t>
      </w:r>
      <w:r>
        <w:tab/>
        <w:t>is dissatisfied with a decision of the Commission,</w:t>
      </w:r>
    </w:p>
    <w:p>
      <w:pPr>
        <w:pStyle w:val="Subsection"/>
      </w:pPr>
      <w:r>
        <w:tab/>
      </w:r>
      <w:r>
        <w:tab/>
        <w:t>may appeal under this section.</w:t>
      </w:r>
    </w:p>
    <w:p>
      <w:pPr>
        <w:pStyle w:val="Subsection"/>
      </w:pPr>
      <w:r>
        <w:tab/>
        <w:t>(2)</w:t>
      </w:r>
      <w:r>
        <w:tab/>
        <w:t xml:space="preserve">No appeal </w:t>
      </w:r>
      <w:r>
        <w:rPr>
          <w:snapToGrid w:val="0"/>
        </w:rPr>
        <w:t xml:space="preserve">lies against a decision of the Commission constituted by 3 members except </w:t>
      </w:r>
      <w:r>
        <w:t>to the Supreme Court on a question of law.</w:t>
      </w:r>
    </w:p>
    <w:p>
      <w:pPr>
        <w:pStyle w:val="Subsection"/>
      </w:pPr>
      <w:r>
        <w:tab/>
        <w:t>(2a)</w:t>
      </w:r>
      <w:r>
        <w:tab/>
        <w:t>No appeal lies against a decision of the Commission constituted by 3 members if the decision was made solely or partly on the basis of confidential police information.</w:t>
      </w:r>
    </w:p>
    <w:p>
      <w:pPr>
        <w:pStyle w:val="Subsection"/>
      </w:pPr>
      <w:r>
        <w:tab/>
        <w:t>(2b)</w:t>
      </w:r>
      <w:r>
        <w:tab/>
        <w:t>No appeal lies against a decision of the Commission constituted by one member except to the Commission constituted in accordance with subsection (4a)(a).</w:t>
      </w:r>
    </w:p>
    <w:p>
      <w:pPr>
        <w:pStyle w:val="Subsection"/>
      </w:pPr>
      <w:r>
        <w:tab/>
        <w:t>(2c)</w:t>
      </w:r>
      <w:r>
        <w:tab/>
        <w:t>No appeal lies against a decision of the Commission constituted by one member if the decision was made on a review under section 25 of a decision of the Director.</w:t>
      </w:r>
    </w:p>
    <w:p>
      <w:pPr>
        <w:pStyle w:val="Subsection"/>
      </w:pPr>
      <w:r>
        <w:tab/>
        <w:t>(3)</w:t>
      </w:r>
      <w:r>
        <w:tab/>
        <w:t>No further appeal lies against a decision of the Commission under this section on an appeal against a decision of the Commission constituted by one member.</w:t>
      </w:r>
    </w:p>
    <w:p>
      <w:pPr>
        <w:pStyle w:val="Subsection"/>
        <w:spacing w:before="120"/>
        <w:rPr>
          <w:snapToGrid w:val="0"/>
        </w:rPr>
      </w:pPr>
      <w:r>
        <w:rPr>
          <w:snapToGrid w:val="0"/>
        </w:rPr>
        <w:tab/>
        <w:t>(3a)</w:t>
      </w:r>
      <w:r>
        <w:rPr>
          <w:snapToGrid w:val="0"/>
        </w:rPr>
        <w:tab/>
        <w:t>No appeal lies against a decision of the Commission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w:t>
      </w:r>
      <w:r>
        <w:t xml:space="preserve"> against a decision of the Commission constituted by 3 members</w:t>
      </w:r>
      <w:r>
        <w:rPr>
          <w:snapToGrid w:val="0"/>
        </w:rPr>
        <w:t> — </w:t>
      </w:r>
    </w:p>
    <w:p>
      <w:pPr>
        <w:pStyle w:val="Indenta"/>
        <w:rPr>
          <w:snapToGrid w:val="0"/>
        </w:rPr>
      </w:pPr>
      <w:r>
        <w:rPr>
          <w:snapToGrid w:val="0"/>
        </w:rPr>
        <w:tab/>
        <w:t>(a)</w:t>
      </w:r>
      <w:r>
        <w:rPr>
          <w:snapToGrid w:val="0"/>
        </w:rPr>
        <w:tab/>
        <w:t xml:space="preserve">shall be heard and determined by </w:t>
      </w:r>
      <w:r>
        <w:t xml:space="preserve">a single judge of the Supreme Court; </w:t>
      </w:r>
      <w:r>
        <w:rPr>
          <w:snapToGrid w:val="0"/>
        </w:rPr>
        <w:t>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pPr>
      <w:r>
        <w:tab/>
        <w:t>(4a)</w:t>
      </w:r>
      <w:r>
        <w:tab/>
        <w:t xml:space="preserve">An appeal under this section against a decision of the Commission constituted by one member — </w:t>
      </w:r>
    </w:p>
    <w:p>
      <w:pPr>
        <w:pStyle w:val="Indenta"/>
      </w:pPr>
      <w:r>
        <w:tab/>
        <w:t>(a)</w:t>
      </w:r>
      <w:r>
        <w:tab/>
        <w:t>is to be heard and determined by the Commission constituted by 3 other members, including a member who is a lawyer; and</w:t>
      </w:r>
    </w:p>
    <w:p>
      <w:pPr>
        <w:pStyle w:val="Indenta"/>
      </w:pPr>
      <w:r>
        <w:tab/>
        <w:t>(b)</w:t>
      </w:r>
      <w:r>
        <w:tab/>
        <w:t>must be instituted and conducted in accordance with rules of the Commission.</w:t>
      </w:r>
    </w:p>
    <w:p>
      <w:pPr>
        <w:pStyle w:val="Subsection"/>
      </w:pPr>
      <w:r>
        <w:tab/>
        <w:t>(5)</w:t>
      </w:r>
      <w:r>
        <w:tab/>
        <w:t xml:space="preserve">On an appeal under this section to the Supreme Court, the Supreme Court may — </w:t>
      </w:r>
    </w:p>
    <w:p>
      <w:pPr>
        <w:pStyle w:val="Indenta"/>
      </w:pPr>
      <w:r>
        <w:tab/>
        <w:t>(a)</w:t>
      </w:r>
      <w:r>
        <w:tab/>
        <w:t>affirm, vary or quash the decision appealed against; or</w:t>
      </w:r>
    </w:p>
    <w:p>
      <w:pPr>
        <w:pStyle w:val="Indenta"/>
      </w:pPr>
      <w:r>
        <w:tab/>
        <w:t>(b)</w:t>
      </w:r>
      <w:r>
        <w:tab/>
        <w:t>make any decision that the Commission could have made instead of the decision appealed against; or</w:t>
      </w:r>
    </w:p>
    <w:p>
      <w:pPr>
        <w:pStyle w:val="Indenta"/>
      </w:pPr>
      <w:r>
        <w:tab/>
        <w:t>(c)</w:t>
      </w:r>
      <w:r>
        <w:tab/>
        <w:t>send the decision back to the Commission for reconsideration in accordance with any directions or recommendations that the Court considers appropriate,</w:t>
      </w:r>
    </w:p>
    <w:p>
      <w:pPr>
        <w:pStyle w:val="Subsection"/>
      </w:pPr>
      <w:r>
        <w:tab/>
      </w:r>
      <w:r>
        <w:tab/>
        <w:t>and, in any case, may make any ancillary or incidental order the Supreme Court considers appropriate.</w:t>
      </w:r>
    </w:p>
    <w:p>
      <w:pPr>
        <w:pStyle w:val="Subsection"/>
      </w:pPr>
      <w:r>
        <w:tab/>
        <w:t>(6)</w:t>
      </w:r>
      <w:r>
        <w:tab/>
        <w:t xml:space="preserve">On an appeal under this section to the Commission constituted in accordance with subsection (4a)(a), the Commission may — </w:t>
      </w:r>
    </w:p>
    <w:p>
      <w:pPr>
        <w:pStyle w:val="Indenta"/>
      </w:pPr>
      <w:r>
        <w:tab/>
        <w:t>(a)</w:t>
      </w:r>
      <w:r>
        <w:tab/>
        <w:t>affirm, vary or quash the decision appealed against; or</w:t>
      </w:r>
    </w:p>
    <w:p>
      <w:pPr>
        <w:pStyle w:val="Indenta"/>
        <w:keepNext/>
      </w:pPr>
      <w:r>
        <w:tab/>
        <w:t>(b)</w:t>
      </w:r>
      <w:r>
        <w:tab/>
        <w:t>make any decision that the Commission could have made instead of the decision appealed against,</w:t>
      </w:r>
    </w:p>
    <w:p>
      <w:pPr>
        <w:pStyle w:val="Subsection"/>
        <w:spacing w:before="180"/>
      </w:pPr>
      <w:r>
        <w:tab/>
      </w:r>
      <w:r>
        <w:tab/>
        <w:t>and, in any case, may make any ancillary or incidental order the Commission considers appropriate.</w:t>
      </w:r>
    </w:p>
    <w:p>
      <w:pPr>
        <w:pStyle w:val="Footnotesection"/>
        <w:spacing w:before="100"/>
        <w:ind w:left="890" w:hanging="890"/>
      </w:pPr>
      <w:r>
        <w:tab/>
        <w:t xml:space="preserve">[Section 28 amended by No. 12 of 1998 s. 15; No. 45 of 2004 s. 37; No. 73 of 2006 s. 25 and 106; No. 21 of 2008 s. 675(3); No. 9 of 2018 s. 13.] </w:t>
      </w:r>
    </w:p>
    <w:p>
      <w:pPr>
        <w:pStyle w:val="Heading5"/>
        <w:spacing w:before="180"/>
        <w:rPr>
          <w:snapToGrid w:val="0"/>
        </w:rPr>
      </w:pPr>
      <w:bookmarkStart w:id="104" w:name="_Toc522197233"/>
      <w:r>
        <w:rPr>
          <w:rStyle w:val="CharSectno"/>
        </w:rPr>
        <w:t>29</w:t>
      </w:r>
      <w:r>
        <w:rPr>
          <w:snapToGrid w:val="0"/>
        </w:rPr>
        <w:t>.</w:t>
      </w:r>
      <w:r>
        <w:rPr>
          <w:snapToGrid w:val="0"/>
        </w:rPr>
        <w:tab/>
        <w:t>Licence or permit continues to have effect pending appeal</w:t>
      </w:r>
      <w:bookmarkEnd w:id="104"/>
      <w:r>
        <w:rPr>
          <w:snapToGrid w:val="0"/>
        </w:rPr>
        <w:t xml:space="preserve"> </w:t>
      </w:r>
    </w:p>
    <w:p>
      <w:pPr>
        <w:pStyle w:val="Subsection"/>
        <w:spacing w:before="180"/>
        <w:rPr>
          <w:snapToGrid w:val="0"/>
        </w:rPr>
      </w:pPr>
      <w:r>
        <w:rPr>
          <w:snapToGrid w:val="0"/>
        </w:rPr>
        <w:tab/>
      </w:r>
      <w:r>
        <w:rPr>
          <w:snapToGrid w:val="0"/>
        </w:rPr>
        <w:tab/>
        <w:t>Where the holder of a licence appeals against a decision of the Commission in respect of that licence or a permit relating to that licence — </w:t>
      </w:r>
    </w:p>
    <w:p>
      <w:pPr>
        <w:pStyle w:val="Indenta"/>
        <w:rPr>
          <w:snapToGrid w:val="0"/>
        </w:rPr>
      </w:pPr>
      <w:r>
        <w:rPr>
          <w:snapToGrid w:val="0"/>
        </w:rPr>
        <w:tab/>
        <w:t>(a)</w:t>
      </w:r>
      <w:r>
        <w:rPr>
          <w:snapToGrid w:val="0"/>
        </w:rPr>
        <w:tab/>
        <w:t>effect shall not be given to that decision of the Commission;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80"/>
        <w:rPr>
          <w:snapToGrid w:val="0"/>
        </w:rPr>
      </w:pPr>
      <w:r>
        <w:rPr>
          <w:snapToGrid w:val="0"/>
        </w:rPr>
        <w:tab/>
      </w:r>
      <w:r>
        <w:rPr>
          <w:snapToGrid w:val="0"/>
        </w:rPr>
        <w:tab/>
        <w:t>unless the Supreme Court</w:t>
      </w:r>
      <w:r>
        <w:t xml:space="preserve"> or the Commission as constituted under section 28(4a)(a), as the case requires</w:t>
      </w:r>
      <w:r>
        <w:rPr>
          <w:snapToGrid w:val="0"/>
        </w:rPr>
        <w:t>, by way of interim order, otherwise directs.</w:t>
      </w:r>
    </w:p>
    <w:p>
      <w:pPr>
        <w:pStyle w:val="Footnotesection"/>
      </w:pPr>
      <w:r>
        <w:tab/>
        <w:t>[Section 29 amended by No. 73 of 2006 s. 26 and 106.]</w:t>
      </w:r>
    </w:p>
    <w:p>
      <w:pPr>
        <w:pStyle w:val="Heading3"/>
      </w:pPr>
      <w:bookmarkStart w:id="105" w:name="_Toc471906714"/>
      <w:bookmarkStart w:id="106" w:name="_Toc472001631"/>
      <w:bookmarkStart w:id="107" w:name="_Toc472676659"/>
      <w:bookmarkStart w:id="108" w:name="_Toc472682044"/>
      <w:bookmarkStart w:id="109" w:name="_Toc473119185"/>
      <w:bookmarkStart w:id="110" w:name="_Toc522197234"/>
      <w:r>
        <w:rPr>
          <w:rStyle w:val="CharDivNo"/>
        </w:rPr>
        <w:t>Division 7</w:t>
      </w:r>
      <w:r>
        <w:t> — </w:t>
      </w:r>
      <w:r>
        <w:rPr>
          <w:rStyle w:val="CharDivText"/>
        </w:rPr>
        <w:t>Confidential police information</w:t>
      </w:r>
      <w:bookmarkEnd w:id="105"/>
      <w:bookmarkEnd w:id="106"/>
      <w:bookmarkEnd w:id="107"/>
      <w:bookmarkEnd w:id="108"/>
      <w:bookmarkEnd w:id="109"/>
      <w:bookmarkEnd w:id="110"/>
    </w:p>
    <w:p>
      <w:pPr>
        <w:pStyle w:val="Footnoteheading"/>
      </w:pPr>
      <w:r>
        <w:tab/>
        <w:t>[Heading inserted by No. 73 of 2006 s. 27.]</w:t>
      </w:r>
    </w:p>
    <w:p>
      <w:pPr>
        <w:pStyle w:val="Heading5"/>
        <w:spacing w:before="180"/>
      </w:pPr>
      <w:bookmarkStart w:id="111" w:name="_Toc522197235"/>
      <w:r>
        <w:rPr>
          <w:rStyle w:val="CharSectno"/>
        </w:rPr>
        <w:t>30</w:t>
      </w:r>
      <w:r>
        <w:t>.</w:t>
      </w:r>
      <w:r>
        <w:tab/>
        <w:t>Confidential police information, use and protection of</w:t>
      </w:r>
      <w:bookmarkEnd w:id="111"/>
    </w:p>
    <w:p>
      <w:pPr>
        <w:pStyle w:val="Subsection"/>
        <w:spacing w:before="180"/>
      </w:pPr>
      <w:r>
        <w:tab/>
        <w:t>(1)</w:t>
      </w:r>
      <w:r>
        <w:tab/>
        <w:t>For the purposes of this section, the Commissioner of Police may classify as confidential any information or document held by the Commissioner of Police.</w:t>
      </w:r>
    </w:p>
    <w:p>
      <w:pPr>
        <w:pStyle w:val="Subsection"/>
        <w:spacing w:before="180"/>
      </w:pPr>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szCs w:val="22"/>
        </w:rPr>
        <w:t xml:space="preserve">the Parliamentary Commissioner for Administrative Investigations appointed under section 5 of the </w:t>
      </w:r>
      <w:r>
        <w:rPr>
          <w:i/>
          <w:iCs/>
          <w:color w:val="000000"/>
          <w:szCs w:val="22"/>
        </w:rPr>
        <w:t>Parliamentary Commissioner Act 1971</w:t>
      </w:r>
      <w:r>
        <w:rPr>
          <w:color w:val="000000"/>
          <w:szCs w:val="22"/>
        </w:rPr>
        <w:t xml:space="preserve">, the Corruption and Crime Commission established under the </w:t>
      </w:r>
      <w:r>
        <w:rPr>
          <w:i/>
        </w:rPr>
        <w:t>Corruption, Crime and Misconduct Act 2003</w:t>
      </w:r>
      <w:r>
        <w:rPr>
          <w:color w:val="000000"/>
          <w:szCs w:val="22"/>
        </w:rPr>
        <w:t xml:space="preserve">, the Parliamentary Inspector of the Corruption and Crime Commission appointed under the </w:t>
      </w:r>
      <w:r>
        <w:rPr>
          <w:i/>
        </w:rPr>
        <w:t>Corruption, Crime and Misconduct Act 2003</w:t>
      </w:r>
      <w:r>
        <w:rPr>
          <w:color w:val="000000"/>
          <w:szCs w:val="22"/>
        </w:rPr>
        <w:t xml:space="preserve">, </w:t>
      </w:r>
      <w:r>
        <w:t>a court or a person to whom the Commissioner of Police authorises its disclosure) if the information or document is classified as confidential police information.</w:t>
      </w:r>
    </w:p>
    <w:p>
      <w:pPr>
        <w:pStyle w:val="Subsection"/>
      </w:pPr>
      <w:r>
        <w:tab/>
        <w:t>(3)</w:t>
      </w:r>
      <w:r>
        <w:tab/>
        <w:t xml:space="preserve">If — </w:t>
      </w:r>
    </w:p>
    <w:p>
      <w:pPr>
        <w:pStyle w:val="Indenta"/>
      </w:pPr>
      <w:r>
        <w:tab/>
        <w:t>(a)</w:t>
      </w:r>
      <w:r>
        <w:tab/>
        <w:t xml:space="preserve">the licensing authority — </w:t>
      </w:r>
    </w:p>
    <w:p>
      <w:pPr>
        <w:pStyle w:val="Indenti"/>
      </w:pPr>
      <w:r>
        <w:tab/>
        <w:t>(i)</w:t>
      </w:r>
      <w:r>
        <w:tab/>
        <w:t>refuses an application for a licence, for approval of the transfer of a licence, or for approval of a person’s occupation of a position of authority in a body corporate under section 33(5); or</w:t>
      </w:r>
    </w:p>
    <w:p>
      <w:pPr>
        <w:pStyle w:val="Indenti"/>
      </w:pPr>
      <w:r>
        <w:tab/>
        <w:t>(ii)</w:t>
      </w:r>
      <w:r>
        <w:tab/>
        <w:t>refuses approval of the appointment of a person as a trustee under section 35A; or</w:t>
      </w:r>
    </w:p>
    <w:p>
      <w:pPr>
        <w:pStyle w:val="Indenti"/>
      </w:pPr>
      <w:r>
        <w:tab/>
        <w:t>(iii)</w:t>
      </w:r>
      <w:r>
        <w:tab/>
        <w:t>refuses to approve a person as an approved unrestricted manager or approved restricted manager under section 102B(1), or revokes or suspends such an approval; or</w:t>
      </w:r>
    </w:p>
    <w:p>
      <w:pPr>
        <w:pStyle w:val="Indenti"/>
      </w:pPr>
      <w:r>
        <w:tab/>
        <w:t>(iv)</w:t>
      </w:r>
      <w:r>
        <w:tab/>
        <w:t>takes disciplinary action against a person under Part 3 Division 13; or</w:t>
      </w:r>
    </w:p>
    <w:p>
      <w:pPr>
        <w:pStyle w:val="Indenti"/>
      </w:pPr>
      <w:r>
        <w:tab/>
        <w:t>(v)</w:t>
      </w:r>
      <w:r>
        <w:tab/>
        <w:t>makes or varies a prohibition order in respect of a person under Part 5A;</w:t>
      </w:r>
    </w:p>
    <w:p>
      <w:pPr>
        <w:pStyle w:val="Indenta"/>
      </w:pPr>
      <w:r>
        <w:tab/>
      </w:r>
      <w:r>
        <w:tab/>
        <w:t>and</w:t>
      </w:r>
    </w:p>
    <w:p>
      <w:pPr>
        <w:pStyle w:val="Indenta"/>
      </w:pPr>
      <w:r>
        <w:tab/>
        <w:t>(b)</w:t>
      </w:r>
      <w:r>
        <w:tab/>
        <w:t>the decision to do so is made solely or partly on the basis of confidential police information provided to the licensing authority,</w:t>
      </w:r>
    </w:p>
    <w:p>
      <w:pPr>
        <w:pStyle w:val="Subsection"/>
        <w:spacing w:before="120"/>
      </w:pPr>
      <w:r>
        <w:tab/>
      </w:r>
      <w:r>
        <w:tab/>
        <w:t>the licensing authority is not required to give any reasons for the decision other than that the decision is made in the public interest.</w:t>
      </w:r>
    </w:p>
    <w:p>
      <w:pPr>
        <w:pStyle w:val="Subsection"/>
        <w:keepLines/>
        <w:spacing w:before="120"/>
      </w:pPr>
      <w:r>
        <w:tab/>
        <w:t>(4)</w:t>
      </w:r>
      <w:r>
        <w:tab/>
        <w:t xml:space="preserve">If the Commissioner of Police lodges an objection to an application under section 73 solely or partly on the basis of confidential police information — </w:t>
      </w:r>
    </w:p>
    <w:p>
      <w:pPr>
        <w:pStyle w:val="Indenta"/>
      </w:pPr>
      <w:r>
        <w:tab/>
        <w:t>(a)</w:t>
      </w:r>
      <w:r>
        <w:tab/>
        <w:t>the Director is not required to serve a copy of the notice under section 73(4A); and</w:t>
      </w:r>
    </w:p>
    <w:p>
      <w:pPr>
        <w:pStyle w:val="Indenta"/>
      </w:pPr>
      <w:r>
        <w:tab/>
        <w:t>(b)</w:t>
      </w:r>
      <w:r>
        <w:tab/>
        <w:t>the licensing authority must, at least 7 days before the hearing of the application, give the applicant written notice that the Commissioner of Police has objected to the application on the ground that the grant of the application would not be in the public interest.</w:t>
      </w:r>
    </w:p>
    <w:p>
      <w:pPr>
        <w:pStyle w:val="Subsection"/>
      </w:pPr>
      <w:r>
        <w:tab/>
        <w:t>(5)</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pPr>
        <w:pStyle w:val="Subsection"/>
      </w:pPr>
      <w:r>
        <w:tab/>
        <w:t>(6)</w:t>
      </w:r>
      <w:r>
        <w:tab/>
        <w:t xml:space="preserve">In any proceedings under this Act (other than proceedings for an offence), the Director, the Commission or a court — </w:t>
      </w:r>
    </w:p>
    <w:p>
      <w:pPr>
        <w:pStyle w:val="Indenta"/>
      </w:pPr>
      <w:r>
        <w:tab/>
        <w:t>(a)</w:t>
      </w:r>
      <w:r>
        <w:tab/>
        <w:t xml:space="preserve">must, on the application of the Commissioner of Police, take all reasonable steps to maintain the confidentiality of confidential police information, including steps — </w:t>
      </w:r>
    </w:p>
    <w:p>
      <w:pPr>
        <w:pStyle w:val="Indenti"/>
      </w:pPr>
      <w:r>
        <w:tab/>
        <w:t>(i)</w:t>
      </w:r>
      <w:r>
        <w:tab/>
        <w:t>to receive evidence and hear argument about confidential police information in private and in the absence of any party to the proceedings other than the Director or the Commissioner of Police or their representatives; and</w:t>
      </w:r>
    </w:p>
    <w:p>
      <w:pPr>
        <w:pStyle w:val="Indenti"/>
      </w:pPr>
      <w:r>
        <w:tab/>
        <w:t>(ii)</w:t>
      </w:r>
      <w:r>
        <w:tab/>
        <w:t>to prohibit the publication of evidence about confidential police information;</w:t>
      </w:r>
    </w:p>
    <w:p>
      <w:pPr>
        <w:pStyle w:val="Indenta"/>
      </w:pPr>
      <w:r>
        <w:tab/>
      </w:r>
      <w:r>
        <w:tab/>
        <w:t>and</w:t>
      </w:r>
    </w:p>
    <w:p>
      <w:pPr>
        <w:pStyle w:val="Indenta"/>
      </w:pPr>
      <w:r>
        <w:tab/>
        <w:t>(b)</w:t>
      </w:r>
      <w:r>
        <w:tab/>
        <w:t>may take evidence consisting of or relating to confidential police information by way of an affidavit of a member of the Police Force of or above the rank of Superintendent.</w:t>
      </w:r>
    </w:p>
    <w:p>
      <w:pPr>
        <w:pStyle w:val="Subsection"/>
      </w:pPr>
      <w:r>
        <w:tab/>
        <w:t>(7)</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30 inserted by No. 73 of 2006 s. 27; amended by No. 56 of 2010 s. 5; No. 35 of 2014 s. 39; No. 9 of 2018 s. 14.]</w:t>
      </w:r>
    </w:p>
    <w:p>
      <w:pPr>
        <w:pStyle w:val="Heading2"/>
      </w:pPr>
      <w:bookmarkStart w:id="112" w:name="_Toc471906716"/>
      <w:bookmarkStart w:id="113" w:name="_Toc472001633"/>
      <w:bookmarkStart w:id="114" w:name="_Toc472676661"/>
      <w:bookmarkStart w:id="115" w:name="_Toc472682046"/>
      <w:bookmarkStart w:id="116" w:name="_Toc473119187"/>
      <w:bookmarkStart w:id="117" w:name="_Toc522197236"/>
      <w:r>
        <w:rPr>
          <w:rStyle w:val="CharPartNo"/>
        </w:rPr>
        <w:t>Part 3</w:t>
      </w:r>
      <w:r>
        <w:t> — </w:t>
      </w:r>
      <w:r>
        <w:rPr>
          <w:rStyle w:val="CharPartText"/>
        </w:rPr>
        <w:t>Licences and permits</w:t>
      </w:r>
      <w:bookmarkEnd w:id="112"/>
      <w:bookmarkEnd w:id="113"/>
      <w:bookmarkEnd w:id="114"/>
      <w:bookmarkEnd w:id="115"/>
      <w:bookmarkEnd w:id="116"/>
      <w:bookmarkEnd w:id="117"/>
      <w:r>
        <w:rPr>
          <w:rStyle w:val="CharPartText"/>
        </w:rPr>
        <w:t xml:space="preserve"> </w:t>
      </w:r>
    </w:p>
    <w:p>
      <w:pPr>
        <w:pStyle w:val="Heading3"/>
        <w:rPr>
          <w:snapToGrid w:val="0"/>
        </w:rPr>
      </w:pPr>
      <w:bookmarkStart w:id="118" w:name="_Toc471906717"/>
      <w:bookmarkStart w:id="119" w:name="_Toc472001634"/>
      <w:bookmarkStart w:id="120" w:name="_Toc472676662"/>
      <w:bookmarkStart w:id="121" w:name="_Toc472682047"/>
      <w:bookmarkStart w:id="122" w:name="_Toc473119188"/>
      <w:bookmarkStart w:id="123" w:name="_Toc522197237"/>
      <w:r>
        <w:rPr>
          <w:rStyle w:val="CharDivNo"/>
        </w:rPr>
        <w:t>Division 1</w:t>
      </w:r>
      <w:r>
        <w:rPr>
          <w:snapToGrid w:val="0"/>
        </w:rPr>
        <w:t> — </w:t>
      </w:r>
      <w:r>
        <w:rPr>
          <w:rStyle w:val="CharDivText"/>
        </w:rPr>
        <w:t>General matters</w:t>
      </w:r>
      <w:bookmarkEnd w:id="118"/>
      <w:bookmarkEnd w:id="119"/>
      <w:bookmarkEnd w:id="120"/>
      <w:bookmarkEnd w:id="121"/>
      <w:bookmarkEnd w:id="122"/>
      <w:bookmarkEnd w:id="123"/>
      <w:r>
        <w:rPr>
          <w:rStyle w:val="CharDivText"/>
        </w:rPr>
        <w:t xml:space="preserve"> </w:t>
      </w:r>
    </w:p>
    <w:p>
      <w:pPr>
        <w:pStyle w:val="Heading5"/>
        <w:rPr>
          <w:snapToGrid w:val="0"/>
        </w:rPr>
      </w:pPr>
      <w:bookmarkStart w:id="124" w:name="_Toc522197238"/>
      <w:r>
        <w:rPr>
          <w:rStyle w:val="CharSectno"/>
        </w:rPr>
        <w:t>30A</w:t>
      </w:r>
      <w:r>
        <w:rPr>
          <w:snapToGrid w:val="0"/>
        </w:rPr>
        <w:t>.</w:t>
      </w:r>
      <w:r>
        <w:rPr>
          <w:snapToGrid w:val="0"/>
        </w:rPr>
        <w:tab/>
        <w:t>Licences to sell liquor, grant and nature of</w:t>
      </w:r>
      <w:bookmarkEnd w:id="124"/>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Subsection"/>
      </w:pPr>
      <w:r>
        <w:tab/>
        <w:t>(3)</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licence granted under subsection (1) that is transferable by the licensee is declared not to be personal property for the purposes of that Act.</w:t>
      </w:r>
    </w:p>
    <w:p>
      <w:pPr>
        <w:pStyle w:val="Footnotesection"/>
      </w:pPr>
      <w:r>
        <w:tab/>
        <w:t xml:space="preserve">[Section 30A inserted by No. 12 of 1998 s. 17; amended by No. 42 of 2011 s. 95 .] </w:t>
      </w:r>
    </w:p>
    <w:p>
      <w:pPr>
        <w:pStyle w:val="Heading5"/>
        <w:spacing w:before="180"/>
        <w:rPr>
          <w:snapToGrid w:val="0"/>
        </w:rPr>
      </w:pPr>
      <w:bookmarkStart w:id="125" w:name="_Toc522197239"/>
      <w:r>
        <w:rPr>
          <w:rStyle w:val="CharSectno"/>
        </w:rPr>
        <w:t>30B</w:t>
      </w:r>
      <w:r>
        <w:rPr>
          <w:snapToGrid w:val="0"/>
        </w:rPr>
        <w:t>.</w:t>
      </w:r>
      <w:r>
        <w:rPr>
          <w:snapToGrid w:val="0"/>
        </w:rPr>
        <w:tab/>
        <w:t>Power of attorney does not empower donee to act for licensee under this Act</w:t>
      </w:r>
      <w:bookmarkEnd w:id="125"/>
      <w:r>
        <w:rPr>
          <w:snapToGrid w:val="0"/>
        </w:rPr>
        <w:t xml:space="preserve"> </w:t>
      </w:r>
    </w:p>
    <w:p>
      <w:pPr>
        <w:pStyle w:val="Subsection"/>
        <w:spacing w:before="120"/>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xml:space="preserve"> </w:t>
      </w:r>
      <w:r>
        <w:rPr>
          <w:snapToGrid w:val="0"/>
          <w:vertAlign w:val="superscript"/>
        </w:rPr>
        <w:t>1</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by No. 12 of 1998 s. 17.] </w:t>
      </w:r>
    </w:p>
    <w:p>
      <w:pPr>
        <w:pStyle w:val="Heading5"/>
        <w:spacing w:before="180"/>
        <w:rPr>
          <w:snapToGrid w:val="0"/>
        </w:rPr>
      </w:pPr>
      <w:bookmarkStart w:id="126" w:name="_Toc522197240"/>
      <w:r>
        <w:rPr>
          <w:rStyle w:val="CharSectno"/>
        </w:rPr>
        <w:t>31</w:t>
      </w:r>
      <w:r>
        <w:rPr>
          <w:snapToGrid w:val="0"/>
        </w:rPr>
        <w:t>.</w:t>
      </w:r>
      <w:r>
        <w:rPr>
          <w:snapToGrid w:val="0"/>
        </w:rPr>
        <w:tab/>
        <w:t>Licences, generally</w:t>
      </w:r>
      <w:bookmarkEnd w:id="126"/>
      <w:r>
        <w:rPr>
          <w:snapToGrid w:val="0"/>
        </w:rPr>
        <w:t xml:space="preserve"> </w:t>
      </w:r>
    </w:p>
    <w:p>
      <w:pPr>
        <w:pStyle w:val="Subsection"/>
        <w:spacing w:before="120"/>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rPr>
          <w:snapToGrid w:val="0"/>
        </w:rPr>
      </w:pPr>
      <w:r>
        <w:rPr>
          <w:snapToGrid w:val="0"/>
        </w:rPr>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spacing w:before="180"/>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spacing w:before="120"/>
        <w:rPr>
          <w:snapToGrid w:val="0"/>
        </w:rPr>
      </w:pPr>
      <w:r>
        <w:rPr>
          <w:snapToGrid w:val="0"/>
        </w:rPr>
        <w:tab/>
        <w:t>(8)</w:t>
      </w:r>
      <w:r>
        <w:rPr>
          <w:snapToGrid w:val="0"/>
        </w:rPr>
        <w:tab/>
        <w:t xml:space="preserve">In subsection (7), </w:t>
      </w:r>
      <w:r>
        <w:rPr>
          <w:rStyle w:val="CharDefText"/>
        </w:rPr>
        <w:t>specified</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by No. 12 of 1998 s. 18.] </w:t>
      </w:r>
    </w:p>
    <w:p>
      <w:pPr>
        <w:pStyle w:val="Heading5"/>
        <w:spacing w:before="180"/>
        <w:rPr>
          <w:snapToGrid w:val="0"/>
        </w:rPr>
      </w:pPr>
      <w:bookmarkStart w:id="127" w:name="_Toc522197241"/>
      <w:r>
        <w:rPr>
          <w:rStyle w:val="CharSectno"/>
        </w:rPr>
        <w:t>32</w:t>
      </w:r>
      <w:r>
        <w:rPr>
          <w:snapToGrid w:val="0"/>
        </w:rPr>
        <w:t>.</w:t>
      </w:r>
      <w:r>
        <w:rPr>
          <w:snapToGrid w:val="0"/>
        </w:rPr>
        <w:tab/>
        <w:t>Duration of licences</w:t>
      </w:r>
      <w:bookmarkEnd w:id="127"/>
      <w:r>
        <w:rPr>
          <w:snapToGrid w:val="0"/>
        </w:rPr>
        <w:t xml:space="preserve"> </w:t>
      </w:r>
    </w:p>
    <w:p>
      <w:pPr>
        <w:pStyle w:val="Subsection"/>
        <w:spacing w:before="120"/>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spacing w:before="120"/>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spacing w:before="120"/>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 or</w:t>
      </w:r>
    </w:p>
    <w:p>
      <w:pPr>
        <w:pStyle w:val="Indenta"/>
        <w:rPr>
          <w:snapToGrid w:val="0"/>
        </w:rPr>
      </w:pPr>
      <w:r>
        <w:rPr>
          <w:snapToGrid w:val="0"/>
        </w:rPr>
        <w:tab/>
        <w:t>(b)</w:t>
      </w:r>
      <w:r>
        <w:rPr>
          <w:snapToGrid w:val="0"/>
        </w:rPr>
        <w:tab/>
        <w:t>a protection order has effect; or</w:t>
      </w:r>
    </w:p>
    <w:p>
      <w:pPr>
        <w:pStyle w:val="Indenta"/>
        <w:rPr>
          <w:snapToGrid w:val="0"/>
        </w:rPr>
      </w:pPr>
      <w:r>
        <w:rPr>
          <w:snapToGrid w:val="0"/>
        </w:rPr>
        <w:tab/>
        <w:t>(c)</w:t>
      </w:r>
      <w:r>
        <w:rPr>
          <w:snapToGrid w:val="0"/>
        </w:rPr>
        <w:tab/>
        <w:t>an interim authorisation has effect under section 86,</w:t>
      </w:r>
    </w:p>
    <w:p>
      <w:pPr>
        <w:pStyle w:val="Subsection"/>
        <w:spacing w:before="100"/>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licensee, unless the </w:t>
      </w:r>
      <w:r>
        <w:t xml:space="preserve">Commission </w:t>
      </w:r>
      <w:r>
        <w:rPr>
          <w:snapToGrid w:val="0"/>
        </w:rPr>
        <w:t>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by No. 12 of 1998 s. 19 and 39(2); No. 73 of 2006 s. 106.] </w:t>
      </w:r>
    </w:p>
    <w:p>
      <w:pPr>
        <w:pStyle w:val="Heading5"/>
        <w:rPr>
          <w:snapToGrid w:val="0"/>
        </w:rPr>
      </w:pPr>
      <w:bookmarkStart w:id="128" w:name="_Toc522197242"/>
      <w:r>
        <w:rPr>
          <w:rStyle w:val="CharSectno"/>
        </w:rPr>
        <w:t>33</w:t>
      </w:r>
      <w:r>
        <w:rPr>
          <w:snapToGrid w:val="0"/>
        </w:rPr>
        <w:t>.</w:t>
      </w:r>
      <w:r>
        <w:rPr>
          <w:snapToGrid w:val="0"/>
        </w:rPr>
        <w:tab/>
        <w:t>Powers of licensing authority when deciding applications</w:t>
      </w:r>
      <w:bookmarkEnd w:id="128"/>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rPr>
          <w:snapToGrid w:val="0"/>
        </w:rPr>
      </w:pPr>
      <w:r>
        <w:rPr>
          <w:snapToGrid w:val="0"/>
        </w:rPr>
        <w:tab/>
      </w:r>
      <w:r>
        <w:rPr>
          <w:snapToGrid w:val="0"/>
        </w:rPr>
        <w:tab/>
        <w:t>but is required to be dealt with on its merits, after such inquiry as the licensing authority thinks fit.</w:t>
      </w:r>
    </w:p>
    <w:p>
      <w:pPr>
        <w:pStyle w:val="Subsection"/>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pPr>
      <w:r>
        <w:tab/>
        <w:t>[(4)</w:t>
      </w:r>
      <w:r>
        <w:tab/>
        <w:t>deleted]</w:t>
      </w:r>
    </w:p>
    <w:p>
      <w:pPr>
        <w:pStyle w:val="Subsection"/>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rPr>
          <w:snapToGrid w:val="0"/>
        </w:rPr>
      </w:pPr>
      <w:r>
        <w:rPr>
          <w:snapToGrid w:val="0"/>
        </w:rPr>
        <w:tab/>
        <w:t>(6)</w:t>
      </w:r>
      <w:r>
        <w:rPr>
          <w:snapToGrid w:val="0"/>
        </w:rPr>
        <w:tab/>
        <w:t xml:space="preserve">Where the licensing authority is to determine whether an applicant is a fit and proper person to hold a licence or whether approval should be given to a person seeking to occupy a position of authority in a body corporate that holds a licence, or to approve a natural person as </w:t>
      </w:r>
      <w:r>
        <w:t>an approved unrestricted manager, an approved restricted manager or a trustee —</w:t>
      </w:r>
    </w:p>
    <w:p>
      <w:pPr>
        <w:pStyle w:val="Indenta"/>
        <w:rPr>
          <w:snapToGrid w:val="0"/>
        </w:rPr>
      </w:pPr>
      <w:r>
        <w:rPr>
          <w:snapToGrid w:val="0"/>
        </w:rPr>
        <w:tab/>
        <w:t>(a)</w:t>
      </w:r>
      <w:r>
        <w:rPr>
          <w:snapToGrid w:val="0"/>
        </w:rPr>
        <w:tab/>
        <w:t>the creditworthiness of that person; and</w:t>
      </w:r>
    </w:p>
    <w:p>
      <w:pPr>
        <w:pStyle w:val="Indenta"/>
        <w:rPr>
          <w:snapToGrid w:val="0"/>
        </w:rPr>
      </w:pPr>
      <w:r>
        <w:rPr>
          <w:snapToGrid w:val="0"/>
        </w:rPr>
        <w:tab/>
        <w:t>(aa)</w:t>
      </w:r>
      <w:r>
        <w:rPr>
          <w:snapToGrid w:val="0"/>
        </w:rPr>
        <w:tab/>
        <w:t>the character and reputation of that person; and</w:t>
      </w:r>
    </w:p>
    <w:p>
      <w:pPr>
        <w:pStyle w:val="Indenta"/>
        <w:rPr>
          <w:snapToGrid w:val="0"/>
        </w:rPr>
      </w:pPr>
      <w:r>
        <w:rPr>
          <w:snapToGrid w:val="0"/>
        </w:rPr>
        <w:tab/>
        <w:t>(b)</w:t>
      </w:r>
      <w:r>
        <w:rPr>
          <w:snapToGrid w:val="0"/>
        </w:rPr>
        <w:tab/>
        <w:t>the number and nature of any convictions of that person for offences in any jurisdiction; and</w:t>
      </w:r>
    </w:p>
    <w:p>
      <w:pPr>
        <w:pStyle w:val="Indenta"/>
        <w:rPr>
          <w:snapToGrid w:val="0"/>
        </w:rPr>
      </w:pPr>
      <w:r>
        <w:rPr>
          <w:snapToGrid w:val="0"/>
        </w:rPr>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are relevant and amongst the matters to which consideration may be given.</w:t>
      </w:r>
    </w:p>
    <w:p>
      <w:pPr>
        <w:pStyle w:val="Subsection"/>
      </w:pPr>
      <w:r>
        <w:tab/>
        <w:t>(6a)</w:t>
      </w:r>
      <w:r>
        <w:tab/>
        <w: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t>
      </w:r>
    </w:p>
    <w:p>
      <w:pPr>
        <w:pStyle w:val="Subsection"/>
        <w:keepNext/>
        <w:spacing w:before="120"/>
      </w:pPr>
      <w:r>
        <w:tab/>
        <w:t>(6b)</w:t>
      </w:r>
      <w:r>
        <w:tab/>
        <w:t xml:space="preserve">Unless the Director otherwise approves, a determination cannot be made under subsection (6) that a person — </w:t>
      </w:r>
    </w:p>
    <w:p>
      <w:pPr>
        <w:pStyle w:val="Indenta"/>
      </w:pPr>
      <w:r>
        <w:tab/>
        <w:t>(a)</w:t>
      </w:r>
      <w:r>
        <w:tab/>
        <w:t>is a fit and proper person to hold a licence; or</w:t>
      </w:r>
    </w:p>
    <w:p>
      <w:pPr>
        <w:pStyle w:val="Indenta"/>
      </w:pPr>
      <w:r>
        <w:tab/>
        <w:t>(b)</w:t>
      </w:r>
      <w:r>
        <w:tab/>
        <w:t>is approved to occupy a position of authority in a body corporate; or</w:t>
      </w:r>
    </w:p>
    <w:p>
      <w:pPr>
        <w:pStyle w:val="Indenta"/>
      </w:pPr>
      <w:r>
        <w:tab/>
        <w:t>(ca)</w:t>
      </w:r>
      <w:r>
        <w:tab/>
        <w:t>is approved as an approved unrestricted manager, an approved restricted manager or a trustee,</w:t>
      </w:r>
    </w:p>
    <w:p>
      <w:pPr>
        <w:pStyle w:val="Subsection"/>
        <w:spacing w:before="120"/>
      </w:pPr>
      <w:r>
        <w:tab/>
      </w:r>
      <w:r>
        <w:tab/>
        <w:t xml:space="preserve">unless the person has successfully completed — </w:t>
      </w:r>
    </w:p>
    <w:p>
      <w:pPr>
        <w:pStyle w:val="Indenta"/>
      </w:pPr>
      <w:r>
        <w:tab/>
        <w:t>(c)</w:t>
      </w:r>
      <w:r>
        <w:tab/>
        <w:t>a course of training or an assessment, approved by the Director, in the management of licensed premises; and</w:t>
      </w:r>
    </w:p>
    <w:p>
      <w:pPr>
        <w:pStyle w:val="Indenta"/>
      </w:pPr>
      <w:r>
        <w:tab/>
        <w:t>(d)</w:t>
      </w:r>
      <w:r>
        <w:tab/>
        <w:t>a course of training or an assessment, approved by the Director, in responsible practices in the sale, supply and service of liquor.</w:t>
      </w:r>
    </w:p>
    <w:p>
      <w:pPr>
        <w:pStyle w:val="Subsection"/>
        <w:spacing w:before="120"/>
      </w:pPr>
      <w:r>
        <w:tab/>
        <w:t>(6c)</w:t>
      </w:r>
      <w:r>
        <w:tab/>
        <w:t>The regulations may modify the operation of subsection (6b) for the purposes of applications for or in respect of an occasional licence.</w:t>
      </w:r>
    </w:p>
    <w:p>
      <w:pPr>
        <w:pStyle w:val="Subsection"/>
        <w:spacing w:before="120"/>
      </w:pPr>
      <w:r>
        <w:tab/>
        <w:t>(6D)</w:t>
      </w:r>
      <w:r>
        <w:tab/>
        <w:t>For the purposes of subsection (6)(b), the licensing authority may rely on any document issued by the Police Force of Western Australia, the Australian Federal Police or the police force of another State or a Territory that —</w:t>
      </w:r>
    </w:p>
    <w:p>
      <w:pPr>
        <w:pStyle w:val="Indenta"/>
      </w:pPr>
      <w:r>
        <w:tab/>
        <w:t>(a)</w:t>
      </w:r>
      <w:r>
        <w:tab/>
        <w:t>sets out the criminal convictions (if any) of the person for offences under the law of the State, the Commonwealth or the other State or a Territory; and</w:t>
      </w:r>
    </w:p>
    <w:p>
      <w:pPr>
        <w:pStyle w:val="Indenta"/>
      </w:pPr>
      <w:r>
        <w:tab/>
        <w:t>(b)</w:t>
      </w:r>
      <w:r>
        <w:tab/>
        <w:t>was issued not more than 30 days, or such other prescribed period, before the material time.</w:t>
      </w:r>
    </w:p>
    <w:p>
      <w:pPr>
        <w:pStyle w:val="Subsection"/>
        <w:spacing w:before="120"/>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rPr>
          <w:snapToGrid w:val="0"/>
        </w:rPr>
      </w:pPr>
      <w:r>
        <w:rPr>
          <w:snapToGrid w:val="0"/>
        </w:rPr>
        <w:tab/>
        <w:t>(a)</w:t>
      </w:r>
      <w:r>
        <w:rPr>
          <w:snapToGrid w:val="0"/>
        </w:rPr>
        <w:tab/>
        <w:t>the class of licence or kind of permit sought, and the obligations thereby imposed and the accommodation and facilities required; and</w:t>
      </w:r>
    </w:p>
    <w:p>
      <w:pPr>
        <w:pStyle w:val="Indenta"/>
        <w:rPr>
          <w:snapToGrid w:val="0"/>
        </w:rPr>
      </w:pPr>
      <w:r>
        <w:rPr>
          <w:snapToGrid w:val="0"/>
        </w:rPr>
        <w:tab/>
        <w:t>(b)</w:t>
      </w:r>
      <w:r>
        <w:rPr>
          <w:snapToGrid w:val="0"/>
        </w:rPr>
        <w:tab/>
        <w:t>the customary requirements of those persons from whom the applicant would ordinarily be expected to derive trade; and</w:t>
      </w:r>
    </w:p>
    <w:p>
      <w:pPr>
        <w:pStyle w:val="Indenta"/>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Footnotesection"/>
        <w:ind w:left="890" w:hanging="890"/>
      </w:pPr>
      <w:r>
        <w:tab/>
        <w:t xml:space="preserve">[Section 33 amended by No. 12 of 1998 s. 20; No. 73 of 2006 s. 28; No. 56 of 2010 s. 6 and 38.] </w:t>
      </w:r>
    </w:p>
    <w:p>
      <w:pPr>
        <w:pStyle w:val="Heading5"/>
        <w:rPr>
          <w:snapToGrid w:val="0"/>
        </w:rPr>
      </w:pPr>
      <w:bookmarkStart w:id="129" w:name="_Toc522197243"/>
      <w:r>
        <w:rPr>
          <w:rStyle w:val="CharSectno"/>
        </w:rPr>
        <w:t>34</w:t>
      </w:r>
      <w:r>
        <w:rPr>
          <w:snapToGrid w:val="0"/>
        </w:rPr>
        <w:t>.</w:t>
      </w:r>
      <w:r>
        <w:rPr>
          <w:snapToGrid w:val="0"/>
        </w:rPr>
        <w:tab/>
        <w:t>Certain applications not to be decided</w:t>
      </w:r>
      <w:bookmarkEnd w:id="129"/>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 or</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 xml:space="preserve">approval </w:t>
      </w:r>
      <w:r>
        <w:t>of a</w:t>
      </w:r>
      <w:r>
        <w:rPr>
          <w:snapToGrid w:val="0"/>
        </w:rPr>
        <w:t xml:space="preserve"> person — </w:t>
      </w:r>
    </w:p>
    <w:p>
      <w:pPr>
        <w:pStyle w:val="Indenti"/>
      </w:pPr>
      <w:r>
        <w:tab/>
        <w:t>(i)</w:t>
      </w:r>
      <w:r>
        <w:tab/>
        <w:t>as an approved unrestricted manager or an approved restricted manager; or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by a person who — </w:t>
      </w:r>
    </w:p>
    <w:p>
      <w:pPr>
        <w:pStyle w:val="Ednotesubpara"/>
      </w:pPr>
      <w:r>
        <w:tab/>
        <w:t>[(i)</w:t>
      </w:r>
      <w:r>
        <w:tab/>
        <w:t>deleted]</w:t>
      </w:r>
    </w:p>
    <w:p>
      <w:pPr>
        <w:pStyle w:val="Indenti"/>
        <w:rPr>
          <w:snapToGrid w:val="0"/>
        </w:rPr>
      </w:pPr>
      <w:r>
        <w:rPr>
          <w:snapToGrid w:val="0"/>
        </w:rPr>
        <w:tab/>
        <w:t>(ii)</w:t>
      </w:r>
      <w:r>
        <w:rPr>
          <w:snapToGrid w:val="0"/>
        </w:rPr>
        <w:tab/>
        <w:t>by reason of mental disorder, is incapable of managing his or her affairs; or</w:t>
      </w:r>
    </w:p>
    <w:p>
      <w:pPr>
        <w:pStyle w:val="Indenti"/>
        <w:rPr>
          <w:snapToGrid w:val="0"/>
        </w:rPr>
      </w:pPr>
      <w:r>
        <w:rPr>
          <w:snapToGrid w:val="0"/>
        </w:rPr>
        <w:tab/>
        <w:t>(iii)</w:t>
      </w:r>
      <w:r>
        <w:rPr>
          <w:snapToGrid w:val="0"/>
        </w:rPr>
        <w:tab/>
        <w:t>is, or under any written law is deemed to be, under sentence of imprisonment; or</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a juvenile; or</w:t>
      </w:r>
    </w:p>
    <w:p>
      <w:pPr>
        <w:pStyle w:val="Indenta"/>
        <w:keepNext/>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pPr>
      <w:r>
        <w:tab/>
        <w:t>(3)</w:t>
      </w:r>
      <w:r>
        <w:tab/>
        <w:t>Subsection (4) applies to any application made to the licensing authority for — </w:t>
      </w:r>
    </w:p>
    <w:p>
      <w:pPr>
        <w:pStyle w:val="Indenta"/>
      </w:pPr>
      <w:r>
        <w:tab/>
        <w:t>(a)</w:t>
      </w:r>
      <w:r>
        <w:tab/>
        <w:t>the grant or removal of a licence; or</w:t>
      </w:r>
    </w:p>
    <w:p>
      <w:pPr>
        <w:pStyle w:val="Indenta"/>
      </w:pPr>
      <w:r>
        <w:tab/>
        <w:t>(b)</w:t>
      </w:r>
      <w:r>
        <w:tab/>
        <w:t>approval to the transfer of a licence; or</w:t>
      </w:r>
    </w:p>
    <w:p>
      <w:pPr>
        <w:pStyle w:val="Indenta"/>
      </w:pPr>
      <w:r>
        <w:tab/>
        <w:t>(c)</w:t>
      </w:r>
      <w:r>
        <w:tab/>
        <w:t>approval of a person — </w:t>
      </w:r>
    </w:p>
    <w:p>
      <w:pPr>
        <w:pStyle w:val="Indenti"/>
      </w:pPr>
      <w:r>
        <w:tab/>
        <w:t>(i)</w:t>
      </w:r>
      <w:r>
        <w:tab/>
        <w:t>as a trustee; or</w:t>
      </w:r>
    </w:p>
    <w:p>
      <w:pPr>
        <w:pStyle w:val="Indenti"/>
      </w:pPr>
      <w:r>
        <w:tab/>
        <w:t>(ii)</w:t>
      </w:r>
      <w:r>
        <w:tab/>
        <w:t>as the occupant of a position of authority in a body corporate that holds a licence.</w:t>
      </w:r>
    </w:p>
    <w:p>
      <w:pPr>
        <w:pStyle w:val="Subsection"/>
      </w:pPr>
      <w:r>
        <w:tab/>
        <w:t>(4)</w:t>
      </w:r>
      <w:r>
        <w:tab/>
        <w:t xml:space="preserve">The licensing authority must not hear or determine any application to which this subsection applies if that application is made by a person who is, according the </w:t>
      </w:r>
      <w:r>
        <w:rPr>
          <w:i/>
        </w:rPr>
        <w:t>Interpretation Act 1984</w:t>
      </w:r>
      <w:r>
        <w:t xml:space="preserve"> section 13D, a bankrupt or a person whose affairs are under insolvency laws.</w:t>
      </w:r>
    </w:p>
    <w:p>
      <w:pPr>
        <w:pStyle w:val="Footnotesection"/>
      </w:pPr>
      <w:r>
        <w:tab/>
        <w:t xml:space="preserve">[Section 34 amended by No. 12 of 1998 s. 21 and 97(1); No. 10 of 2001 s. 220; No. 18 of 2009 s. 51; No. 56 of 2010 s. 7 and 25; No. 9 of 2018 s. 15.] </w:t>
      </w:r>
    </w:p>
    <w:p>
      <w:pPr>
        <w:pStyle w:val="Heading5"/>
        <w:spacing w:before="180"/>
        <w:rPr>
          <w:snapToGrid w:val="0"/>
        </w:rPr>
      </w:pPr>
      <w:bookmarkStart w:id="130" w:name="_Toc522197244"/>
      <w:r>
        <w:rPr>
          <w:rStyle w:val="CharSectno"/>
        </w:rPr>
        <w:t>35</w:t>
      </w:r>
      <w:r>
        <w:rPr>
          <w:snapToGrid w:val="0"/>
        </w:rPr>
        <w:t>.</w:t>
      </w:r>
      <w:r>
        <w:rPr>
          <w:snapToGrid w:val="0"/>
        </w:rPr>
        <w:tab/>
        <w:t>Persons who may hold licences</w:t>
      </w:r>
      <w:bookmarkEnd w:id="130"/>
      <w:r>
        <w:rPr>
          <w:snapToGrid w:val="0"/>
        </w:rPr>
        <w:t xml:space="preserve"> </w:t>
      </w:r>
    </w:p>
    <w:p>
      <w:pPr>
        <w:pStyle w:val="Subsection"/>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 or</w:t>
      </w:r>
    </w:p>
    <w:p>
      <w:pPr>
        <w:pStyle w:val="Indenta"/>
        <w:rPr>
          <w:snapToGrid w:val="0"/>
        </w:rPr>
      </w:pPr>
      <w:r>
        <w:rPr>
          <w:snapToGrid w:val="0"/>
        </w:rPr>
        <w:tab/>
        <w:t>(b)</w:t>
      </w:r>
      <w:r>
        <w:rPr>
          <w:snapToGrid w:val="0"/>
        </w:rPr>
        <w:tab/>
        <w:t>to a body corporate; or</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by No. 12 of 1998 s. 22.] </w:t>
      </w:r>
    </w:p>
    <w:p>
      <w:pPr>
        <w:pStyle w:val="Heading5"/>
        <w:spacing w:before="260"/>
        <w:rPr>
          <w:snapToGrid w:val="0"/>
        </w:rPr>
      </w:pPr>
      <w:bookmarkStart w:id="131" w:name="_Toc522197245"/>
      <w:r>
        <w:rPr>
          <w:rStyle w:val="CharSectno"/>
        </w:rPr>
        <w:t>35A</w:t>
      </w:r>
      <w:r>
        <w:rPr>
          <w:snapToGrid w:val="0"/>
        </w:rPr>
        <w:t>.</w:t>
      </w:r>
      <w:r>
        <w:rPr>
          <w:snapToGrid w:val="0"/>
        </w:rPr>
        <w:tab/>
        <w:t>Trustees for unincorporated bodies</w:t>
      </w:r>
      <w:bookmarkEnd w:id="131"/>
    </w:p>
    <w:p>
      <w:pPr>
        <w:pStyle w:val="Subsection"/>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keepNext/>
        <w:rPr>
          <w:snapToGrid w:val="0"/>
        </w:rPr>
      </w:pPr>
      <w:r>
        <w:rPr>
          <w:snapToGrid w:val="0"/>
        </w:rPr>
        <w:tab/>
        <w:t>(2)</w:t>
      </w:r>
      <w:r>
        <w:rPr>
          <w:snapToGrid w:val="0"/>
        </w:rPr>
        <w:tab/>
        <w:t>The body shall use a method of appointing a trustee which is approved in writing by the Director.</w:t>
      </w:r>
    </w:p>
    <w:p>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rPr>
          <w:snapToGrid w:val="0"/>
        </w:rPr>
      </w:pPr>
      <w:r>
        <w:rPr>
          <w:snapToGrid w:val="0"/>
        </w:rPr>
        <w:tab/>
        <w:t>(4)</w:t>
      </w:r>
      <w:r>
        <w:rPr>
          <w:snapToGrid w:val="0"/>
        </w:rPr>
        <w:tab/>
        <w:t xml:space="preserve">Subject to section 100, a trustee may </w:t>
      </w:r>
      <w:r>
        <w:t>be a manager of the licensed</w:t>
      </w:r>
      <w:r>
        <w:rPr>
          <w:snapToGrid w:val="0"/>
        </w:rPr>
        <w:t xml:space="preserve"> premises.</w:t>
      </w:r>
    </w:p>
    <w:p>
      <w:pPr>
        <w:pStyle w:val="Footnotesection"/>
      </w:pPr>
      <w:r>
        <w:tab/>
        <w:t xml:space="preserve">[Section 35A inserted by No. 12 of 1998 s. 22; amended by No. 56 of 2010 s. 25.] </w:t>
      </w:r>
    </w:p>
    <w:p>
      <w:pPr>
        <w:pStyle w:val="Ednotesection"/>
      </w:pPr>
      <w:r>
        <w:t>[</w:t>
      </w:r>
      <w:r>
        <w:rPr>
          <w:b/>
        </w:rPr>
        <w:t>35B.</w:t>
      </w:r>
      <w:r>
        <w:rPr>
          <w:b/>
        </w:rPr>
        <w:tab/>
      </w:r>
      <w:r>
        <w:t xml:space="preserve">Deleted by No. 56 of 2010 s. 8.] </w:t>
      </w:r>
    </w:p>
    <w:p>
      <w:pPr>
        <w:pStyle w:val="Heading5"/>
        <w:rPr>
          <w:snapToGrid w:val="0"/>
        </w:rPr>
      </w:pPr>
      <w:bookmarkStart w:id="132" w:name="_Toc522197246"/>
      <w:r>
        <w:rPr>
          <w:rStyle w:val="CharSectno"/>
        </w:rPr>
        <w:t>36</w:t>
      </w:r>
      <w:r>
        <w:rPr>
          <w:snapToGrid w:val="0"/>
        </w:rPr>
        <w:t>.</w:t>
      </w:r>
      <w:r>
        <w:rPr>
          <w:snapToGrid w:val="0"/>
        </w:rPr>
        <w:tab/>
        <w:t>Two or more licences for same premises, restrictions on</w:t>
      </w:r>
      <w:bookmarkEnd w:id="132"/>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pPr>
      <w:r>
        <w:tab/>
        <w:t>(3)</w:t>
      </w:r>
      <w:r>
        <w:tab/>
        <w:t xml:space="preserve">In addition to a licence granted in respect of any premises, or a part of any premises, either or both of the following licences may also be granted in respect of those premises or a part of those premises — </w:t>
      </w:r>
    </w:p>
    <w:p>
      <w:pPr>
        <w:pStyle w:val="Indenta"/>
      </w:pPr>
      <w:r>
        <w:tab/>
        <w:t>(a)</w:t>
      </w:r>
      <w:r>
        <w:tab/>
        <w:t>an occasional licence;</w:t>
      </w:r>
    </w:p>
    <w:p>
      <w:pPr>
        <w:pStyle w:val="Indenta"/>
      </w:pPr>
      <w:r>
        <w:tab/>
        <w:t>(b)</w:t>
      </w:r>
      <w:r>
        <w:tab/>
        <w:t>a licence conditionally granted under section 62.</w:t>
      </w:r>
    </w:p>
    <w:p>
      <w:pPr>
        <w:pStyle w:val="Footnotesection"/>
      </w:pPr>
      <w:r>
        <w:tab/>
        <w:t xml:space="preserve">[Section 36 amended by No. 9 of 2018 s. 16.] </w:t>
      </w:r>
    </w:p>
    <w:p>
      <w:pPr>
        <w:pStyle w:val="Heading5"/>
      </w:pPr>
      <w:bookmarkStart w:id="133" w:name="_Toc522197247"/>
      <w:r>
        <w:rPr>
          <w:rStyle w:val="CharSectno"/>
        </w:rPr>
        <w:t>36A</w:t>
      </w:r>
      <w:r>
        <w:t>.</w:t>
      </w:r>
      <w:r>
        <w:tab/>
        <w:t>Petrol stations in some areas not to be granted licences</w:t>
      </w:r>
      <w:bookmarkEnd w:id="133"/>
    </w:p>
    <w:p>
      <w:pPr>
        <w:pStyle w:val="Subsection"/>
      </w:pPr>
      <w:r>
        <w:tab/>
        <w:t>(1)</w:t>
      </w:r>
      <w:r>
        <w:tab/>
        <w:t>In this section —</w:t>
      </w:r>
    </w:p>
    <w:p>
      <w:pPr>
        <w:pStyle w:val="Defstart"/>
        <w:spacing w:before="120"/>
      </w:pPr>
      <w:r>
        <w:tab/>
      </w:r>
      <w:r>
        <w:rPr>
          <w:rStyle w:val="CharDefText"/>
        </w:rPr>
        <w:t>country townsite</w:t>
      </w:r>
      <w:r>
        <w:t xml:space="preserve"> means a townsite that is outside the metropolitan area;</w:t>
      </w:r>
    </w:p>
    <w:p>
      <w:pPr>
        <w:pStyle w:val="Defstart"/>
        <w:spacing w:before="120"/>
      </w:pPr>
      <w:r>
        <w:tab/>
      </w:r>
      <w:r>
        <w:rPr>
          <w:rStyle w:val="CharDefText"/>
        </w:rPr>
        <w:t>packaged liquor outlet</w:t>
      </w:r>
      <w:r>
        <w:t xml:space="preserve"> means licensed premises from which packaged liquor is sold but does not include premises in respect of which a club licence is in force;</w:t>
      </w:r>
    </w:p>
    <w:p>
      <w:pPr>
        <w:pStyle w:val="Defstart"/>
        <w:spacing w:before="120"/>
      </w:pPr>
      <w:r>
        <w:tab/>
      </w:r>
      <w:r>
        <w:rPr>
          <w:rStyle w:val="CharDefText"/>
        </w:rPr>
        <w:t>petrol station</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shall not approve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 from the premises from which the licence is sought to be removed.</w:t>
      </w:r>
    </w:p>
    <w:p>
      <w:pPr>
        <w:pStyle w:val="Footnotesection"/>
      </w:pPr>
      <w:r>
        <w:tab/>
        <w:t>[Section 36A inserted by No. 23 of 2000 s. 5.]</w:t>
      </w:r>
    </w:p>
    <w:p>
      <w:pPr>
        <w:pStyle w:val="Heading5"/>
        <w:rPr>
          <w:snapToGrid w:val="0"/>
        </w:rPr>
      </w:pPr>
      <w:bookmarkStart w:id="134" w:name="_Toc522197248"/>
      <w:r>
        <w:rPr>
          <w:rStyle w:val="CharSectno"/>
        </w:rPr>
        <w:t>37</w:t>
      </w:r>
      <w:r>
        <w:rPr>
          <w:snapToGrid w:val="0"/>
        </w:rPr>
        <w:t>.</w:t>
      </w:r>
      <w:r>
        <w:rPr>
          <w:snapToGrid w:val="0"/>
        </w:rPr>
        <w:tab/>
        <w:t>Pre-requisites for grants of licences etc.; conditions on licences</w:t>
      </w:r>
      <w:bookmarkEnd w:id="134"/>
    </w:p>
    <w:p>
      <w:pPr>
        <w:pStyle w:val="Subsection"/>
      </w:pPr>
      <w:r>
        <w:tab/>
        <w:t>(1A)</w:t>
      </w:r>
      <w:r>
        <w:tab/>
        <w:t xml:space="preserve">In this section — </w:t>
      </w:r>
    </w:p>
    <w:p>
      <w:pPr>
        <w:pStyle w:val="Defstart"/>
      </w:pPr>
      <w:r>
        <w:tab/>
      </w:r>
      <w:r>
        <w:rPr>
          <w:rStyle w:val="CharDefText"/>
        </w:rPr>
        <w:t>public body</w:t>
      </w:r>
      <w:r>
        <w:t xml:space="preserve"> means — </w:t>
      </w:r>
    </w:p>
    <w:p>
      <w:pPr>
        <w:pStyle w:val="Defpara"/>
      </w:pPr>
      <w:r>
        <w:tab/>
        <w:t>(a)</w:t>
      </w:r>
      <w:r>
        <w:tab/>
        <w:t xml:space="preserve">an agency or an organisation as those terms are defined in the </w:t>
      </w:r>
      <w:r>
        <w:rPr>
          <w:i/>
          <w:iCs/>
        </w:rPr>
        <w:t>Public Sector Management Act 1994</w:t>
      </w:r>
      <w:r>
        <w:t xml:space="preserve"> section 3(1); or</w:t>
      </w:r>
    </w:p>
    <w:p>
      <w:pPr>
        <w:pStyle w:val="Defpara"/>
      </w:pPr>
      <w:r>
        <w:tab/>
        <w:t>(b)</w:t>
      </w:r>
      <w:r>
        <w:tab/>
        <w:t>a body, whether incorporated or not, or the holder of an office, that is established or continued for a public purpose under a written law and that, under the authority of a written law, performs a statutory function on behalf of the State; or</w:t>
      </w:r>
    </w:p>
    <w:p>
      <w:pPr>
        <w:pStyle w:val="Defpara"/>
      </w:pPr>
      <w:r>
        <w:tab/>
        <w:t>(c)</w:t>
      </w:r>
      <w:r>
        <w:tab/>
        <w:t>a local government, regional local government or regional subsidiary; or</w:t>
      </w:r>
    </w:p>
    <w:p>
      <w:pPr>
        <w:pStyle w:val="Defpara"/>
      </w:pPr>
      <w:r>
        <w:tab/>
        <w:t>(d)</w:t>
      </w:r>
      <w:r>
        <w:tab/>
        <w:t>any other body, or the holder of an office, post or position, that is prescribed as a public body for the purposes of this definition.</w:t>
      </w:r>
    </w:p>
    <w:p>
      <w:pPr>
        <w:pStyle w:val="Subsection"/>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rPr>
          <w:snapToGrid w:val="0"/>
        </w:rPr>
      </w:pPr>
      <w:r>
        <w:rPr>
          <w:snapToGrid w:val="0"/>
        </w:rPr>
        <w:tab/>
        <w:t>(a)</w:t>
      </w:r>
      <w:r>
        <w:rPr>
          <w:snapToGrid w:val="0"/>
        </w:rPr>
        <w:tab/>
        <w:t xml:space="preserve">if the applicant, or one of the applicants, is a natural </w:t>
      </w:r>
      <w:r>
        <w:t>person — that the applicant</w:t>
      </w:r>
      <w:r>
        <w:rPr>
          <w:snapToGrid w:val="0"/>
        </w:rPr>
        <w:t xml:space="preserve"> is a fit and proper person to be a licensee of the premises to which the application relates; and</w:t>
      </w:r>
    </w:p>
    <w:p>
      <w:pPr>
        <w:pStyle w:val="Indenta"/>
        <w:rPr>
          <w:snapToGrid w:val="0"/>
        </w:rPr>
      </w:pPr>
      <w:r>
        <w:rPr>
          <w:snapToGrid w:val="0"/>
        </w:rPr>
        <w:tab/>
        <w:t>(b)</w:t>
      </w:r>
      <w:r>
        <w:rPr>
          <w:snapToGrid w:val="0"/>
        </w:rPr>
        <w:tab/>
        <w:t xml:space="preserve">if the applicant, or one of the applicants, is a body </w:t>
      </w:r>
      <w:r>
        <w:t>corporate or a public body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 and</w:t>
      </w:r>
    </w:p>
    <w:p>
      <w:pPr>
        <w:pStyle w:val="Indenta"/>
        <w:rPr>
          <w:snapToGrid w:val="0"/>
        </w:rPr>
      </w:pPr>
      <w:r>
        <w:rPr>
          <w:snapToGrid w:val="0"/>
        </w:rPr>
        <w:tab/>
        <w:t>(e)</w:t>
      </w:r>
      <w:r>
        <w:rPr>
          <w:snapToGrid w:val="0"/>
        </w:rPr>
        <w:tab/>
        <w:t>in the case of an application for — </w:t>
      </w:r>
    </w:p>
    <w:p>
      <w:pPr>
        <w:pStyle w:val="Indenti"/>
        <w:rPr>
          <w:snapToGrid w:val="0"/>
        </w:rPr>
      </w:pPr>
      <w:r>
        <w:rPr>
          <w:snapToGrid w:val="0"/>
        </w:rPr>
        <w:tab/>
        <w:t>(i)</w:t>
      </w:r>
      <w:r>
        <w:rPr>
          <w:snapToGrid w:val="0"/>
        </w:rPr>
        <w:tab/>
        <w:t>an occasional licence; or</w:t>
      </w:r>
    </w:p>
    <w:p>
      <w:pPr>
        <w:pStyle w:val="Indenti"/>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 and</w:t>
      </w:r>
    </w:p>
    <w:p>
      <w:pPr>
        <w:pStyle w:val="Indenti"/>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spacing w:before="180"/>
      </w:pPr>
      <w:r>
        <w:tab/>
        <w:t>(2A)</w:t>
      </w:r>
      <w:r>
        <w:tab/>
        <w:t xml:space="preserve">Where the licensing authority is to determine whether a person is a fit and proper person to occupy a position of authority in an association incorporated, or taken to be incorporated, under the </w:t>
      </w:r>
      <w:r>
        <w:rPr>
          <w:i/>
        </w:rPr>
        <w:t xml:space="preserve">Associations Incorporation Act 2015 </w:t>
      </w:r>
      <w:r>
        <w:t>or a public body, the licensing authority may, in the absence of evidence to the contrary, assume that the person is a fit and proper person to occupy that position.</w:t>
      </w:r>
    </w:p>
    <w:p>
      <w:pPr>
        <w:pStyle w:val="Subsection"/>
        <w:spacing w:before="180"/>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spacing w:before="180"/>
        <w:rPr>
          <w:snapToGrid w:val="0"/>
        </w:rPr>
      </w:pPr>
      <w:r>
        <w:rPr>
          <w:snapToGrid w:val="0"/>
        </w:rPr>
        <w:tab/>
      </w:r>
      <w:r>
        <w:rPr>
          <w:snapToGrid w:val="0"/>
        </w:rPr>
        <w:tab/>
        <w:t>has been obtained.</w:t>
      </w:r>
    </w:p>
    <w:p>
      <w:pPr>
        <w:pStyle w:val="Subsection"/>
        <w:keepNext/>
        <w:spacing w:before="180"/>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spacing w:before="180"/>
        <w:rPr>
          <w:snapToGrid w:val="0"/>
        </w:rPr>
      </w:pPr>
      <w:r>
        <w:rPr>
          <w:snapToGrid w:val="0"/>
        </w:rPr>
        <w:tab/>
      </w:r>
      <w:r>
        <w:rPr>
          <w:snapToGrid w:val="0"/>
        </w:rPr>
        <w:tab/>
        <w:t>would be likely to occur.</w:t>
      </w:r>
    </w:p>
    <w:p>
      <w:pPr>
        <w:pStyle w:val="Ednotesubsection"/>
        <w:spacing w:before="180"/>
      </w:pPr>
      <w:r>
        <w:tab/>
        <w:t>[(4)</w:t>
      </w:r>
      <w:r>
        <w:tab/>
      </w:r>
      <w:smartTag w:uri="urn:schemas-microsoft-com:office:smarttags" w:element="State">
        <w:smartTag w:uri="urn:schemas-microsoft-com:office:smarttags" w:element="place">
          <w:r>
            <w:t>del</w:t>
          </w:r>
        </w:smartTag>
      </w:smartTag>
      <w:r>
        <w:t>eted]</w:t>
      </w:r>
    </w:p>
    <w:p>
      <w:pPr>
        <w:pStyle w:val="Subsection"/>
        <w:spacing w:before="180"/>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Subsection"/>
      </w:pPr>
      <w:r>
        <w:tab/>
        <w:t>(6)</w:t>
      </w:r>
      <w:r>
        <w:tab/>
        <w:t>The condition referred to in subsection (5) continues to apply to a licence during any period that the operation of the licence is suspended.</w:t>
      </w:r>
    </w:p>
    <w:p>
      <w:pPr>
        <w:pStyle w:val="Footnotesection"/>
        <w:ind w:left="890" w:hanging="890"/>
      </w:pPr>
      <w:r>
        <w:tab/>
        <w:t xml:space="preserve">[Section 37 amended by No. 12 of 1998 s. 23; No. 73 of 2006 s. 30; No. 56 of 2010 s. 9 and 39; No. 30 of 2015 s. 222; No. 26 of 2016 s. 66.] </w:t>
      </w:r>
    </w:p>
    <w:p>
      <w:pPr>
        <w:pStyle w:val="Heading5"/>
        <w:rPr>
          <w:snapToGrid w:val="0"/>
        </w:rPr>
      </w:pPr>
      <w:bookmarkStart w:id="135" w:name="_Toc522197249"/>
      <w:r>
        <w:rPr>
          <w:rStyle w:val="CharSectno"/>
        </w:rPr>
        <w:t>37A</w:t>
      </w:r>
      <w:r>
        <w:rPr>
          <w:snapToGrid w:val="0"/>
        </w:rPr>
        <w:t>.</w:t>
      </w:r>
      <w:r>
        <w:rPr>
          <w:snapToGrid w:val="0"/>
        </w:rPr>
        <w:tab/>
        <w:t>Conviction of licensee etc., duty to inform Director</w:t>
      </w:r>
      <w:bookmarkEnd w:id="135"/>
    </w:p>
    <w:p>
      <w:pPr>
        <w:pStyle w:val="Subsection"/>
        <w:rPr>
          <w:snapToGrid w:val="0"/>
        </w:rPr>
      </w:pPr>
      <w:r>
        <w:rPr>
          <w:snapToGrid w:val="0"/>
        </w:rPr>
        <w:tab/>
      </w:r>
      <w:r>
        <w:rPr>
          <w:snapToGrid w:val="0"/>
        </w:rPr>
        <w:tab/>
        <w:t xml:space="preserve">A licensee, a person who occupies a position of authority in a body corporate which is a </w:t>
      </w:r>
      <w:r>
        <w:t>licensee, an approved unrestricted manager or an approved restricted manager</w:t>
      </w:r>
      <w:r>
        <w:rPr>
          <w:snapToGrid w:val="0"/>
        </w:rPr>
        <w:t xml:space="preserve"> who is convicted of an offence in any jurisdiction is to inform the Director within 14 days of being convicted.</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37A inserted by No. 12 of 1998 s. 24; amended by No. 73 of 2006 s. 110; No. 56 of 2010 s. 25 and 69.]</w:t>
      </w:r>
    </w:p>
    <w:p>
      <w:pPr>
        <w:pStyle w:val="Heading5"/>
        <w:spacing w:before="180"/>
      </w:pPr>
      <w:bookmarkStart w:id="136" w:name="_Toc522197250"/>
      <w:r>
        <w:rPr>
          <w:rStyle w:val="CharSectno"/>
        </w:rPr>
        <w:t>37B</w:t>
      </w:r>
      <w:r>
        <w:t>.</w:t>
      </w:r>
      <w:r>
        <w:tab/>
        <w:t>Fingerprints etc., licensing authority’s powers to obtain</w:t>
      </w:r>
      <w:bookmarkEnd w:id="136"/>
    </w:p>
    <w:p>
      <w:pPr>
        <w:pStyle w:val="Subsection"/>
      </w:pPr>
      <w:r>
        <w:tab/>
        <w:t>(1)</w:t>
      </w:r>
      <w:r>
        <w:tab/>
        <w:t xml:space="preserve">The licensing authority may by notice in writing (an </w:t>
      </w:r>
      <w:r>
        <w:rPr>
          <w:rStyle w:val="CharDefText"/>
        </w:rPr>
        <w:t>identification notice</w:t>
      </w:r>
      <w:r>
        <w:t>) require a person to whom subsection (2) or (3) applies to attend at a specified place and there have his or her fingerprints and palm prints taken by a member of the Police Force.</w:t>
      </w:r>
    </w:p>
    <w:p>
      <w:pPr>
        <w:pStyle w:val="Subsection"/>
        <w:keepNext/>
      </w:pPr>
      <w:r>
        <w:tab/>
        <w:t>(2)</w:t>
      </w:r>
      <w:r>
        <w:tab/>
        <w:t xml:space="preserve">This subsection applies to a person who makes an application to the licensing authority — </w:t>
      </w:r>
    </w:p>
    <w:p>
      <w:pPr>
        <w:pStyle w:val="Indenta"/>
      </w:pPr>
      <w:r>
        <w:tab/>
        <w:t>(a)</w:t>
      </w:r>
      <w:r>
        <w:tab/>
        <w:t>for a licence; or</w:t>
      </w:r>
    </w:p>
    <w:p>
      <w:pPr>
        <w:pStyle w:val="Indenta"/>
      </w:pPr>
      <w:r>
        <w:tab/>
        <w:t>(b)</w:t>
      </w:r>
      <w:r>
        <w:tab/>
        <w:t>for approval to occupy a position of authority in a body corporate that is a licensee; or</w:t>
      </w:r>
    </w:p>
    <w:p>
      <w:pPr>
        <w:pStyle w:val="Indenta"/>
      </w:pPr>
      <w:r>
        <w:tab/>
        <w:t>(c)</w:t>
      </w:r>
      <w:r>
        <w:tab/>
        <w:t>for approval as an approved unrestricted manager or an approved restricted manager.</w:t>
      </w:r>
    </w:p>
    <w:p>
      <w:pPr>
        <w:pStyle w:val="Subsection"/>
        <w:keepNext/>
      </w:pPr>
      <w:r>
        <w:tab/>
        <w:t>(3)</w:t>
      </w:r>
      <w:r>
        <w:tab/>
        <w:t xml:space="preserve">This subsection applies to — </w:t>
      </w:r>
    </w:p>
    <w:p>
      <w:pPr>
        <w:pStyle w:val="Indenta"/>
        <w:spacing w:before="60"/>
      </w:pPr>
      <w:r>
        <w:tab/>
        <w:t>(a)</w:t>
      </w:r>
      <w:r>
        <w:tab/>
        <w:t>a licensee; or</w:t>
      </w:r>
    </w:p>
    <w:p>
      <w:pPr>
        <w:pStyle w:val="Indenta"/>
        <w:spacing w:before="60"/>
      </w:pPr>
      <w:r>
        <w:tab/>
        <w:t>(b)</w:t>
      </w:r>
      <w:r>
        <w:tab/>
        <w:t>a person who occupies a position of authority in a body corporate that is a licensee; or</w:t>
      </w:r>
    </w:p>
    <w:p>
      <w:pPr>
        <w:pStyle w:val="Indenta"/>
        <w:spacing w:before="60"/>
      </w:pPr>
      <w:r>
        <w:tab/>
        <w:t>(c)</w:t>
      </w:r>
      <w:r>
        <w:tab/>
        <w:t>an approved unrestricted manager or an approved restricted manager,</w:t>
      </w:r>
    </w:p>
    <w:p>
      <w:pPr>
        <w:pStyle w:val="Subsection"/>
      </w:pPr>
      <w:r>
        <w:tab/>
      </w:r>
      <w:r>
        <w:tab/>
        <w:t>whose fingerprints and palm prints have not been taken in accordance with an identification notice given for the purposes of an application referred to in subsection (2).</w:t>
      </w:r>
    </w:p>
    <w:p>
      <w:pPr>
        <w:pStyle w:val="Subsection"/>
      </w:pPr>
      <w:r>
        <w:tab/>
        <w:t>(4)</w:t>
      </w:r>
      <w:r>
        <w:tab/>
        <w:t>If a person to whom subsection (2) applies refuses to comply with an identification notice, the licensing authority may refuse the relevant application.</w:t>
      </w:r>
    </w:p>
    <w:p>
      <w:pPr>
        <w:pStyle w:val="Subsection"/>
      </w:pPr>
      <w:r>
        <w:tab/>
        <w:t>(5)</w:t>
      </w:r>
      <w:r>
        <w:tab/>
        <w:t>If a person to whom subsection (3) applies refuses to comply with an identification notice, a proper cause for disciplinary action under section 96 is to be taken to have been made out in respect of the person.</w:t>
      </w:r>
    </w:p>
    <w:p>
      <w:pPr>
        <w:pStyle w:val="Subsection"/>
      </w:pPr>
      <w:r>
        <w:tab/>
        <w:t>(6)</w:t>
      </w:r>
      <w:r>
        <w:tab/>
        <w:t xml:space="preserve">The Commissioner of Police is to cause fingerprints and palm prints taken under this section and any copy of them to be destroyed — </w:t>
      </w:r>
    </w:p>
    <w:p>
      <w:pPr>
        <w:pStyle w:val="Indenta"/>
        <w:spacing w:before="60"/>
      </w:pPr>
      <w:r>
        <w:tab/>
        <w:t>(a)</w:t>
      </w:r>
      <w:r>
        <w:tab/>
        <w:t xml:space="preserve">in the case of fingerprints or palm prints taken from a person to whom subsection (2) applies — </w:t>
      </w:r>
    </w:p>
    <w:p>
      <w:pPr>
        <w:pStyle w:val="Indenti"/>
        <w:spacing w:before="60"/>
      </w:pPr>
      <w:r>
        <w:tab/>
        <w:t>(i)</w:t>
      </w:r>
      <w:r>
        <w:tab/>
        <w:t>if the relevant application is not granted; or</w:t>
      </w:r>
    </w:p>
    <w:p>
      <w:pPr>
        <w:pStyle w:val="Indenti"/>
        <w:spacing w:before="60"/>
      </w:pPr>
      <w:r>
        <w:tab/>
        <w:t>(ii)</w:t>
      </w:r>
      <w:r>
        <w:tab/>
        <w:t>if, after the relevant application is granted, the person ceases to be a licensee, to occupy a position of authority in a body corporate that is a licensee, or to be an approved unrestricted manager or an approved restricted manager;</w:t>
      </w:r>
    </w:p>
    <w:p>
      <w:pPr>
        <w:pStyle w:val="Indenta"/>
        <w:spacing w:before="60"/>
      </w:pPr>
      <w:r>
        <w:tab/>
      </w:r>
      <w:r>
        <w:tab/>
        <w:t>or</w:t>
      </w:r>
    </w:p>
    <w:p>
      <w:pPr>
        <w:pStyle w:val="Indenta"/>
        <w:spacing w:before="60"/>
      </w:pPr>
      <w:r>
        <w:tab/>
        <w:t>(b)</w:t>
      </w:r>
      <w:r>
        <w:tab/>
        <w:t>in the case of fingerprints or palm prints taken from a person to whom subsection (3) applies — if the person ceases to be a licensee, to occupy a position of authority in a body corporate that is a licensee, or to be an approved unrestricted manager or an approved restricted manager.</w:t>
      </w:r>
    </w:p>
    <w:p>
      <w:pPr>
        <w:pStyle w:val="Subsection"/>
      </w:pPr>
      <w:r>
        <w:tab/>
        <w:t>(7)</w:t>
      </w:r>
      <w:r>
        <w:tab/>
        <w:t>The licensing authority is to provide the Commissioner of Police with any information that the Commissioner of Police requires to comply with subsection (6).</w:t>
      </w:r>
    </w:p>
    <w:p>
      <w:pPr>
        <w:pStyle w:val="Footnotesection"/>
      </w:pPr>
      <w:r>
        <w:tab/>
        <w:t>[Section 37B inserted by No. 73 of 2006 s. 31; No. 56 of 2010 s. 10.]</w:t>
      </w:r>
    </w:p>
    <w:p>
      <w:pPr>
        <w:pStyle w:val="Heading5"/>
      </w:pPr>
      <w:bookmarkStart w:id="137" w:name="_Toc522197251"/>
      <w:bookmarkStart w:id="138" w:name="_Toc471906731"/>
      <w:bookmarkStart w:id="139" w:name="_Toc472001648"/>
      <w:bookmarkStart w:id="140" w:name="_Toc472676676"/>
      <w:bookmarkStart w:id="141" w:name="_Toc472682061"/>
      <w:bookmarkStart w:id="142" w:name="_Toc473119202"/>
      <w:r>
        <w:rPr>
          <w:rStyle w:val="CharSectno"/>
        </w:rPr>
        <w:t>37C</w:t>
      </w:r>
      <w:r>
        <w:t>.</w:t>
      </w:r>
      <w:r>
        <w:tab/>
        <w:t>Register of licensed premises</w:t>
      </w:r>
      <w:bookmarkEnd w:id="137"/>
    </w:p>
    <w:p>
      <w:pPr>
        <w:pStyle w:val="Subsection"/>
      </w:pPr>
      <w:r>
        <w:tab/>
        <w:t>(1)</w:t>
      </w:r>
      <w:r>
        <w:tab/>
        <w:t xml:space="preserve">The Director may keep a register that contains the following information in respect of licensed premises — </w:t>
      </w:r>
    </w:p>
    <w:p>
      <w:pPr>
        <w:pStyle w:val="Indenta"/>
      </w:pPr>
      <w:r>
        <w:tab/>
        <w:t>(a)</w:t>
      </w:r>
      <w:r>
        <w:tab/>
        <w:t>the name and address of the premises;</w:t>
      </w:r>
    </w:p>
    <w:p>
      <w:pPr>
        <w:pStyle w:val="Indenta"/>
      </w:pPr>
      <w:r>
        <w:tab/>
        <w:t>(b)</w:t>
      </w:r>
      <w:r>
        <w:tab/>
        <w:t>the licence number of the premises;</w:t>
      </w:r>
    </w:p>
    <w:p>
      <w:pPr>
        <w:pStyle w:val="Indenta"/>
      </w:pPr>
      <w:r>
        <w:tab/>
        <w:t>(c)</w:t>
      </w:r>
      <w:r>
        <w:tab/>
        <w:t>the type of licence that applies to the premises;</w:t>
      </w:r>
    </w:p>
    <w:p>
      <w:pPr>
        <w:pStyle w:val="Defpara"/>
      </w:pPr>
      <w:r>
        <w:tab/>
        <w:t>(d)</w:t>
      </w:r>
      <w:r>
        <w:tab/>
        <w:t>the status of the licence that applies to the premises (for example, whether the licence is conditionally granted or suspended);</w:t>
      </w:r>
    </w:p>
    <w:p>
      <w:pPr>
        <w:pStyle w:val="Indenta"/>
      </w:pPr>
      <w:r>
        <w:tab/>
        <w:t>(e)</w:t>
      </w:r>
      <w:r>
        <w:tab/>
        <w:t>the name of the licensee of the premises.</w:t>
      </w:r>
    </w:p>
    <w:p>
      <w:pPr>
        <w:pStyle w:val="Subsection"/>
      </w:pPr>
      <w:r>
        <w:tab/>
        <w:t>(2)</w:t>
      </w:r>
      <w:r>
        <w:tab/>
        <w:t>The Director may make the register available to the public in any way the Director considers appropriate, including by publication on the Department’s website.</w:t>
      </w:r>
    </w:p>
    <w:p>
      <w:pPr>
        <w:pStyle w:val="Footnotesection"/>
      </w:pPr>
      <w:r>
        <w:tab/>
        <w:t>[Section 37C inserted by No. 9 of 2018 s. 19.]</w:t>
      </w:r>
    </w:p>
    <w:p>
      <w:pPr>
        <w:pStyle w:val="Heading3"/>
      </w:pPr>
      <w:bookmarkStart w:id="143" w:name="_Toc522197252"/>
      <w:r>
        <w:rPr>
          <w:rStyle w:val="CharDivNo"/>
        </w:rPr>
        <w:t>Division 2</w:t>
      </w:r>
      <w:r>
        <w:t> — </w:t>
      </w:r>
      <w:r>
        <w:rPr>
          <w:rStyle w:val="CharDivText"/>
        </w:rPr>
        <w:t>Licences</w:t>
      </w:r>
      <w:bookmarkEnd w:id="138"/>
      <w:bookmarkEnd w:id="139"/>
      <w:bookmarkEnd w:id="140"/>
      <w:bookmarkEnd w:id="141"/>
      <w:bookmarkEnd w:id="142"/>
      <w:bookmarkEnd w:id="143"/>
    </w:p>
    <w:p>
      <w:pPr>
        <w:pStyle w:val="Footnoteheading"/>
        <w:rPr>
          <w:snapToGrid w:val="0"/>
        </w:rPr>
      </w:pPr>
      <w:r>
        <w:tab/>
        <w:t>[Heading inserted by No. 73 of 2006 s. 32.]</w:t>
      </w:r>
    </w:p>
    <w:p>
      <w:pPr>
        <w:pStyle w:val="Heading5"/>
      </w:pPr>
      <w:bookmarkStart w:id="144" w:name="_Toc522197253"/>
      <w:r>
        <w:rPr>
          <w:rStyle w:val="CharSectno"/>
        </w:rPr>
        <w:t>38</w:t>
      </w:r>
      <w:r>
        <w:t>.</w:t>
      </w:r>
      <w:r>
        <w:tab/>
        <w:t>Some applications not to be granted unless in the public interest</w:t>
      </w:r>
      <w:bookmarkEnd w:id="144"/>
    </w:p>
    <w:p>
      <w:pPr>
        <w:pStyle w:val="Subsection"/>
      </w:pPr>
      <w:r>
        <w:tab/>
        <w:t>(1)</w:t>
      </w:r>
      <w:r>
        <w:tab/>
        <w:t xml:space="preserve">Subsection (2) applies to — </w:t>
      </w:r>
    </w:p>
    <w:p>
      <w:pPr>
        <w:pStyle w:val="Indenta"/>
        <w:spacing w:before="60"/>
      </w:pPr>
      <w:r>
        <w:tab/>
        <w:t>(a)</w:t>
      </w:r>
      <w:r>
        <w:tab/>
        <w:t>an application for the grant or removal of a licence; or</w:t>
      </w:r>
    </w:p>
    <w:p>
      <w:pPr>
        <w:pStyle w:val="Indenta"/>
        <w:spacing w:before="60"/>
      </w:pPr>
      <w:r>
        <w:tab/>
        <w:t>(b)</w:t>
      </w:r>
      <w:r>
        <w:tab/>
        <w:t>an application for a permit of a kind prescribed; or</w:t>
      </w:r>
    </w:p>
    <w:p>
      <w:pPr>
        <w:pStyle w:val="Indenta"/>
        <w:spacing w:before="60"/>
      </w:pPr>
      <w:r>
        <w:tab/>
        <w:t>(c)</w:t>
      </w:r>
      <w:r>
        <w:tab/>
        <w:t>any other application to which the Director decides it is appropriate for subsection (2) to apply.</w:t>
      </w:r>
    </w:p>
    <w:p>
      <w:pPr>
        <w:pStyle w:val="Subsection"/>
      </w:pPr>
      <w:r>
        <w:tab/>
        <w:t>(2)</w:t>
      </w:r>
      <w:r>
        <w:tab/>
        <w:t>An applicant who makes an application to which this subsection applies must satisfy the licensing authority that granting the application is in the public interest.</w:t>
      </w:r>
    </w:p>
    <w:p>
      <w:pPr>
        <w:pStyle w:val="Subsection"/>
      </w:pPr>
      <w:r>
        <w:tab/>
        <w:t>(3)</w:t>
      </w:r>
      <w:r>
        <w:tab/>
        <w:t xml:space="preserve">For the purposes of subsection (2), the applicant must provide to the licensing authority — </w:t>
      </w:r>
    </w:p>
    <w:p>
      <w:pPr>
        <w:pStyle w:val="Indenta"/>
        <w:spacing w:before="60"/>
      </w:pPr>
      <w:r>
        <w:tab/>
        <w:t>(a)</w:t>
      </w:r>
      <w:r>
        <w:tab/>
        <w:t>any prescribed document or information; and</w:t>
      </w:r>
    </w:p>
    <w:p>
      <w:pPr>
        <w:pStyle w:val="Indenta"/>
        <w:spacing w:before="60"/>
      </w:pPr>
      <w:r>
        <w:tab/>
        <w:t>(b)</w:t>
      </w:r>
      <w:r>
        <w:tab/>
        <w:t>any other document or information reasonably required by the licensing authority for those purposes.</w:t>
      </w:r>
    </w:p>
    <w:p>
      <w:pPr>
        <w:pStyle w:val="Subsection"/>
      </w:pPr>
      <w:r>
        <w:tab/>
        <w:t>(4)</w:t>
      </w:r>
      <w:r>
        <w:tab/>
        <w:t xml:space="preserve">Without limiting subsection (2), the matters the licensing authority may have regard to in determining whether granting an application is in the public interest include — </w:t>
      </w:r>
    </w:p>
    <w:p>
      <w:pPr>
        <w:pStyle w:val="Indenta"/>
      </w:pPr>
      <w:r>
        <w:tab/>
        <w:t>(a)</w:t>
      </w:r>
      <w:r>
        <w:tab/>
        <w:t>the harm or ill</w:t>
      </w:r>
      <w:r>
        <w:noBreakHyphen/>
        <w:t>health that might be caused to people, or any group of people, due to the use of liquor; and</w:t>
      </w:r>
    </w:p>
    <w:p>
      <w:pPr>
        <w:pStyle w:val="Indenta"/>
      </w:pPr>
      <w:r>
        <w:tab/>
        <w:t>(b)</w:t>
      </w:r>
      <w:r>
        <w:tab/>
        <w:t>the impact on the amenity of the locality in which the licensed premises, or proposed licensed premises are, or are to be, situated; and</w:t>
      </w:r>
    </w:p>
    <w:p>
      <w:pPr>
        <w:pStyle w:val="Indenta"/>
        <w:spacing w:before="60"/>
      </w:pPr>
      <w:r>
        <w:tab/>
        <w:t>(c)</w:t>
      </w:r>
      <w:r>
        <w:tab/>
        <w:t>whether offence, annoyance, disturbance or inconvenience might be caused to people who reside or work in the vicinity of the licensed premises or proposed licensed premises; and</w:t>
      </w:r>
    </w:p>
    <w:p>
      <w:pPr>
        <w:pStyle w:val="Indenta"/>
        <w:spacing w:before="60"/>
      </w:pPr>
      <w:r>
        <w:tab/>
        <w:t>(d)</w:t>
      </w:r>
      <w:r>
        <w:tab/>
        <w:t>any other prescribed matter.</w:t>
      </w:r>
    </w:p>
    <w:p>
      <w:pPr>
        <w:pStyle w:val="Subsection"/>
        <w:spacing w:before="120"/>
      </w:pPr>
      <w:r>
        <w:tab/>
        <w:t>(5)</w:t>
      </w:r>
      <w:r>
        <w:tab/>
        <w:t>If an application referred to in subsection (1)(a) is not granted because the licensing authority is not satisfied that granting the application is in the public interest, an application for the grant or removal of a licence in respect of the same premises or land cannot be made within 3 years after the licensing authority’s decision unless the Director certifies that the proposed application is of a kind sufficiently different from the application that was not granted.</w:t>
      </w:r>
    </w:p>
    <w:p>
      <w:pPr>
        <w:pStyle w:val="Subsection"/>
        <w:spacing w:before="120"/>
      </w:pPr>
      <w:r>
        <w:tab/>
        <w:t>(6)</w:t>
      </w:r>
      <w:r>
        <w:tab/>
        <w:t>A decision by the Director under subsection (1)(c) or (5) in relation to an application is not subject to review under section 25.</w:t>
      </w:r>
    </w:p>
    <w:p>
      <w:pPr>
        <w:pStyle w:val="Footnotesection"/>
      </w:pPr>
      <w:r>
        <w:tab/>
        <w:t>[Section 38 inserted by No. 73 of 2006 s. 33; amended by No. 56 of 2010 s. 40.]</w:t>
      </w:r>
    </w:p>
    <w:p>
      <w:pPr>
        <w:pStyle w:val="Heading5"/>
        <w:spacing w:before="180"/>
        <w:rPr>
          <w:snapToGrid w:val="0"/>
        </w:rPr>
      </w:pPr>
      <w:bookmarkStart w:id="145" w:name="_Toc522197254"/>
      <w:r>
        <w:rPr>
          <w:rStyle w:val="CharSectno"/>
        </w:rPr>
        <w:t>39</w:t>
      </w:r>
      <w:r>
        <w:rPr>
          <w:snapToGrid w:val="0"/>
        </w:rPr>
        <w:t>.</w:t>
      </w:r>
      <w:r>
        <w:rPr>
          <w:snapToGrid w:val="0"/>
        </w:rPr>
        <w:tab/>
        <w:t>Certificate of local government as to whether premises comply with laws</w:t>
      </w:r>
      <w:bookmarkEnd w:id="145"/>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 </w:t>
      </w:r>
    </w:p>
    <w:p>
      <w:pPr>
        <w:pStyle w:val="Indenta"/>
        <w:spacing w:before="70"/>
        <w:rPr>
          <w:snapToGrid w:val="0"/>
        </w:rPr>
      </w:pPr>
      <w:r>
        <w:rPr>
          <w:snapToGrid w:val="0"/>
        </w:rPr>
        <w:tab/>
        <w:t>(a)</w:t>
      </w:r>
      <w:r>
        <w:rPr>
          <w:snapToGrid w:val="0"/>
        </w:rPr>
        <w:tab/>
        <w:t>whether or not the premises comply with all relevant requirements of — </w:t>
      </w:r>
    </w:p>
    <w:p>
      <w:pPr>
        <w:pStyle w:val="Indenti"/>
        <w:spacing w:before="70"/>
        <w:rPr>
          <w:snapToGrid w:val="0"/>
        </w:rPr>
      </w:pPr>
      <w:r>
        <w:rPr>
          <w:snapToGrid w:val="0"/>
        </w:rPr>
        <w:tab/>
        <w:t>(i)</w:t>
      </w:r>
      <w:r>
        <w:rPr>
          <w:snapToGrid w:val="0"/>
        </w:rPr>
        <w:tab/>
        <w:t xml:space="preserve">the </w:t>
      </w:r>
      <w:r>
        <w:rPr>
          <w:i/>
          <w:snapToGrid w:val="0"/>
        </w:rPr>
        <w:t>Health (Miscellaneous Provisions) Act 1911</w:t>
      </w:r>
      <w:r>
        <w:rPr>
          <w:snapToGrid w:val="0"/>
        </w:rPr>
        <w:t>; and</w:t>
      </w:r>
    </w:p>
    <w:p>
      <w:pPr>
        <w:pStyle w:val="Indenti"/>
        <w:rPr>
          <w:iCs/>
        </w:rPr>
      </w:pPr>
      <w:r>
        <w:rPr>
          <w:i/>
          <w:snapToGrid w:val="0"/>
        </w:rPr>
        <w:tab/>
      </w:r>
      <w:r>
        <w:rPr>
          <w:iCs/>
          <w:snapToGrid w:val="0"/>
        </w:rPr>
        <w:t>(ia)</w:t>
      </w:r>
      <w:r>
        <w:rPr>
          <w:iCs/>
          <w:snapToGrid w:val="0"/>
        </w:rPr>
        <w:tab/>
        <w:t>the</w:t>
      </w:r>
      <w:r>
        <w:rPr>
          <w:i/>
          <w:snapToGrid w:val="0"/>
        </w:rPr>
        <w:t xml:space="preserve"> Food Act 2008</w:t>
      </w:r>
      <w:r>
        <w:rPr>
          <w:iCs/>
          <w:snapToGrid w:val="0"/>
        </w:rPr>
        <w:t>; and</w:t>
      </w:r>
    </w:p>
    <w:p>
      <w:pPr>
        <w:pStyle w:val="Indenti"/>
        <w:rPr>
          <w:snapToGrid w:val="0"/>
        </w:rPr>
      </w:pPr>
      <w:r>
        <w:rPr>
          <w:snapToGrid w:val="0"/>
        </w:rPr>
        <w:tab/>
        <w:t>(ii)</w:t>
      </w:r>
      <w:r>
        <w:rPr>
          <w:snapToGrid w:val="0"/>
        </w:rPr>
        <w:tab/>
        <w:t>any written law applying to the sewerage or drainage of those premises; and</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iCs/>
        </w:rPr>
        <w:t>Building Act 2011</w:t>
      </w:r>
      <w: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spacing w:before="120"/>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39 inserted by No. 12 of 1998 s. 26; amended by No. 43 of 2008 s. 148(2); No. 24 of 2011 s. 165(2); No. 19 of 2016 s. 101.] </w:t>
      </w:r>
    </w:p>
    <w:p>
      <w:pPr>
        <w:pStyle w:val="Heading5"/>
        <w:spacing w:before="180"/>
        <w:rPr>
          <w:snapToGrid w:val="0"/>
        </w:rPr>
      </w:pPr>
      <w:bookmarkStart w:id="146" w:name="_Toc522197255"/>
      <w:r>
        <w:rPr>
          <w:rStyle w:val="CharSectno"/>
        </w:rPr>
        <w:t>40</w:t>
      </w:r>
      <w:r>
        <w:rPr>
          <w:snapToGrid w:val="0"/>
        </w:rPr>
        <w:t>.</w:t>
      </w:r>
      <w:r>
        <w:rPr>
          <w:snapToGrid w:val="0"/>
        </w:rPr>
        <w:tab/>
        <w:t>Certificate of planning authority as to whether use of premises complies with planning laws</w:t>
      </w:r>
      <w:bookmarkEnd w:id="146"/>
    </w:p>
    <w:p>
      <w:pPr>
        <w:pStyle w:val="Subsection"/>
        <w:spacing w:before="120"/>
        <w:rPr>
          <w:snapToGrid w:val="0"/>
        </w:rPr>
      </w:pPr>
      <w:r>
        <w:rPr>
          <w:snapToGrid w:val="0"/>
        </w:rPr>
        <w:tab/>
        <w:t>(1)</w:t>
      </w:r>
      <w:r>
        <w:rPr>
          <w:snapToGrid w:val="0"/>
        </w:rPr>
        <w:tab/>
        <w:t xml:space="preserve">An application made to the licensing authority for the grant or removal of a licence, or for a change in the use or condition of any premises </w:t>
      </w:r>
      <w:r>
        <w:t>must be supported</w:t>
      </w:r>
      <w:r>
        <w:rPr>
          <w:snapToGrid w:val="0"/>
        </w:rPr>
        <w:t xml:space="preserve"> by a certificate from the authority responsible for planning matters in the district in which the premises to which the application relates are situated, or are to be situated, unless the licensing authority otherwise determines.</w:t>
      </w:r>
    </w:p>
    <w:p>
      <w:pPr>
        <w:pStyle w:val="Subsection"/>
        <w:spacing w:before="120"/>
      </w:pPr>
      <w:r>
        <w:tab/>
        <w:t>(2A)</w:t>
      </w:r>
      <w:r>
        <w:tab/>
        <w:t>The certificate referred to in subsection (1) is not required to be provided at the same time as the application but the application cannot be granted until the certificate has been provided to the licensing authority, unless the licensing authority otherwise determines.</w:t>
      </w:r>
    </w:p>
    <w:p>
      <w:pPr>
        <w:pStyle w:val="Subsection"/>
        <w:spacing w:before="120"/>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 or</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specified</w:t>
      </w:r>
      <w:r>
        <w:t xml:space="preserve"> means specified in the planning certificate.</w:t>
      </w:r>
    </w:p>
    <w:p>
      <w:pPr>
        <w:pStyle w:val="Subsection"/>
        <w:spacing w:before="120"/>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by No. 12 of 1998 s. 26; amended by No. 38 of 2005 s. 15; No. 35 of 2015 s. 5.] </w:t>
      </w:r>
    </w:p>
    <w:p>
      <w:pPr>
        <w:pStyle w:val="Heading5"/>
        <w:spacing w:before="180"/>
        <w:rPr>
          <w:snapToGrid w:val="0"/>
        </w:rPr>
      </w:pPr>
      <w:bookmarkStart w:id="147" w:name="_Toc522197256"/>
      <w:r>
        <w:rPr>
          <w:rStyle w:val="CharSectno"/>
        </w:rPr>
        <w:t>41</w:t>
      </w:r>
      <w:r>
        <w:rPr>
          <w:snapToGrid w:val="0"/>
        </w:rPr>
        <w:t>.</w:t>
      </w:r>
      <w:r>
        <w:rPr>
          <w:snapToGrid w:val="0"/>
        </w:rPr>
        <w:tab/>
        <w:t>Hotel licence, kinds, conditions and effect of</w:t>
      </w:r>
      <w:bookmarkEnd w:id="147"/>
    </w:p>
    <w:p>
      <w:pPr>
        <w:pStyle w:val="Subsection"/>
      </w:pPr>
      <w:r>
        <w:tab/>
        <w:t>(1aa)</w:t>
      </w:r>
      <w:r>
        <w:tab/>
        <w:t xml:space="preserve">For the purposes of this Act, where a hotel licence is not subject to any condition referred to in subsection (4) and is subject to — </w:t>
      </w:r>
    </w:p>
    <w:p>
      <w:pPr>
        <w:pStyle w:val="Indenta"/>
      </w:pPr>
      <w:r>
        <w:tab/>
        <w:t>(a)</w:t>
      </w:r>
      <w:r>
        <w:tab/>
        <w:t>a condition prohibiting the sale of packaged liquor; and</w:t>
      </w:r>
    </w:p>
    <w:p>
      <w:pPr>
        <w:pStyle w:val="Indenta"/>
      </w:pPr>
      <w:r>
        <w:tab/>
        <w:t>(b)</w:t>
      </w:r>
      <w:r>
        <w:tab/>
        <w:t>a condition limiting the number of persons who may be on the licensed premises to a maximum of 120,</w:t>
      </w:r>
    </w:p>
    <w:p>
      <w:pPr>
        <w:pStyle w:val="Subsection"/>
        <w:spacing w:before="120"/>
      </w:pPr>
      <w:r>
        <w:tab/>
      </w:r>
      <w:r>
        <w:tab/>
        <w:t>it is to be referred to as a small bar licence, and an application may be made for a small bar licence if the applicant does not seek another kind of hotel licence.</w:t>
      </w:r>
    </w:p>
    <w:p>
      <w:pPr>
        <w:pStyle w:val="Subsection"/>
        <w:spacing w:before="120"/>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 xml:space="preserve">where a hotel licence is not subject to </w:t>
      </w:r>
      <w:r>
        <w:t>any condition referred to in subsection (4) and is not a small bar licence</w:t>
      </w:r>
      <w:r>
        <w:rPr>
          <w:snapToGrid w:val="0"/>
        </w:rPr>
        <w:t xml:space="preserve"> 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 xml:space="preserve">restricting </w:t>
      </w:r>
      <w:r>
        <w:t>the sale of liquor to be consumed</w:t>
      </w:r>
      <w:r>
        <w:rPr>
          <w:snapToGrid w:val="0"/>
        </w:rPr>
        <w:t xml:space="preserve"> on the licensed premises,</w:t>
      </w:r>
    </w:p>
    <w:p>
      <w:pPr>
        <w:pStyle w:val="Indenta"/>
        <w:keepNext/>
      </w:pPr>
      <w:r>
        <w:rPr>
          <w:snapToGrid w:val="0"/>
        </w:rPr>
        <w:tab/>
      </w:r>
      <w:r>
        <w:rPr>
          <w:snapToGrid w:val="0"/>
        </w:rPr>
        <w:tab/>
        <w:t>it shall be referred to as a hotel restricted</w:t>
      </w:r>
      <w:r>
        <w:t xml:space="preserve"> licence; and</w:t>
      </w:r>
    </w:p>
    <w:p>
      <w:pPr>
        <w:pStyle w:val="Indenta"/>
      </w:pPr>
      <w:r>
        <w:tab/>
        <w:t>(c)</w:t>
      </w:r>
      <w:r>
        <w:tab/>
        <w:t xml:space="preserve">where a tavern licence is subject to a condition — </w:t>
      </w:r>
    </w:p>
    <w:p>
      <w:pPr>
        <w:pStyle w:val="Indenti"/>
      </w:pPr>
      <w:r>
        <w:tab/>
        <w:t>(i)</w:t>
      </w:r>
      <w:r>
        <w:tab/>
        <w:t>prohibiting the sale of packaged liquor; and</w:t>
      </w:r>
    </w:p>
    <w:p>
      <w:pPr>
        <w:pStyle w:val="Indenti"/>
      </w:pPr>
      <w:r>
        <w:tab/>
        <w:t>(ii)</w:t>
      </w:r>
      <w:r>
        <w:tab/>
        <w:t>restricting the sale of liquor to be consumed on the licensed premises,</w:t>
      </w:r>
    </w:p>
    <w:p>
      <w:pPr>
        <w:pStyle w:val="Indenta"/>
        <w:rPr>
          <w:snapToGrid w:val="0"/>
        </w:rPr>
      </w:pPr>
      <w:r>
        <w:tab/>
      </w:r>
      <w:r>
        <w:tab/>
        <w:t>it shall be referred to as a tavern restricted licence,</w:t>
      </w:r>
    </w:p>
    <w:p>
      <w:pPr>
        <w:pStyle w:val="Subsection"/>
        <w:rPr>
          <w:snapToGrid w:val="0"/>
        </w:rPr>
      </w:pPr>
      <w:r>
        <w:rPr>
          <w:snapToGrid w:val="0"/>
        </w:rPr>
        <w:tab/>
      </w:r>
      <w:r>
        <w:rPr>
          <w:snapToGrid w:val="0"/>
        </w:rPr>
        <w:tab/>
        <w:t>and an application may be made for a tavern licence</w:t>
      </w:r>
      <w:r>
        <w:t xml:space="preserve"> or a tavern restricted licence</w:t>
      </w:r>
      <w:r>
        <w:rPr>
          <w:snapToGrid w:val="0"/>
        </w:rPr>
        <w:t xml:space="preserve"> if the applicant does not seek a licence for a hotel offering accommodation, or for a hotel restricted licence only.</w:t>
      </w:r>
    </w:p>
    <w:p>
      <w:pPr>
        <w:pStyle w:val="Subsection"/>
      </w:pPr>
      <w:r>
        <w:tab/>
        <w:t>(2)</w:t>
      </w:r>
      <w:r>
        <w:tab/>
        <w:t xml:space="preserve">Subject to this Act, during permitted hours the licensee of a hotel licence is authorised to keep open the licensed premises, or part of those premises, and, while those premises are open — </w:t>
      </w:r>
    </w:p>
    <w:p>
      <w:pPr>
        <w:pStyle w:val="Indenta"/>
      </w:pPr>
      <w:r>
        <w:tab/>
        <w:t>(a)</w:t>
      </w:r>
      <w:r>
        <w:tab/>
        <w:t>may sell liquor on the premises to any person for consumption on the premises; and</w:t>
      </w:r>
    </w:p>
    <w:p>
      <w:pPr>
        <w:pStyle w:val="Indenta"/>
      </w:pPr>
      <w:r>
        <w:tab/>
        <w:t>(b)</w:t>
      </w:r>
      <w:r>
        <w:tab/>
        <w:t>may, unless the licence is a small bar licence or a hotel restricted licence, sell packaged liquor on and from the premises to any person.</w:t>
      </w:r>
    </w:p>
    <w:p>
      <w:pPr>
        <w:pStyle w:val="Subsection"/>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keepNext/>
      </w:pPr>
      <w:r>
        <w:tab/>
        <w:t>(4)</w:t>
      </w:r>
      <w:r>
        <w:tab/>
        <w:t xml:space="preserve">Unless it is a small bar licence or a tavern licence, a hotel licence — </w:t>
      </w:r>
    </w:p>
    <w:p>
      <w:pPr>
        <w:pStyle w:val="Indenta"/>
      </w:pPr>
      <w:r>
        <w:tab/>
        <w:t>(a)</w:t>
      </w:r>
      <w:r>
        <w:tab/>
        <w:t>subject to subsection (5) and to any variation under subsection (6), is subject to the condition that the licensee provides guest accommodation for any person; and</w:t>
      </w:r>
    </w:p>
    <w:p>
      <w:pPr>
        <w:pStyle w:val="Indenta"/>
      </w:pPr>
      <w:r>
        <w:tab/>
        <w:t>(b)</w:t>
      </w:r>
      <w:r>
        <w:tab/>
        <w:t>subject to subsection (5) and without limiting section 64, is subject to any condition imposed by the licensing authority requiring meals to be provided to lodgers.</w:t>
      </w:r>
    </w:p>
    <w:p>
      <w:pPr>
        <w:pStyle w:val="Subsection"/>
        <w:rPr>
          <w:snapToGrid w:val="0"/>
        </w:rPr>
      </w:pPr>
      <w:r>
        <w:rPr>
          <w:snapToGrid w:val="0"/>
        </w:rPr>
        <w:tab/>
        <w:t>(5)</w:t>
      </w:r>
      <w:r>
        <w:rPr>
          <w:snapToGrid w:val="0"/>
        </w:rPr>
        <w:tab/>
        <w:t>A licensee is not required to comply with a condition of the kind referred to in subsection (4) if — </w:t>
      </w:r>
    </w:p>
    <w:p>
      <w:pPr>
        <w:pStyle w:val="Indenta"/>
      </w:pPr>
      <w:r>
        <w:tab/>
        <w:t>(a)</w:t>
      </w:r>
      <w:r>
        <w:tab/>
        <w:t>the person seeking the guest accommodation or, if applicable, the meal, is a person who may be refused entry to the licensed premises by the licensee under section 115(4); or</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guest accommodation in the locality; or</w:t>
      </w:r>
    </w:p>
    <w:p>
      <w:pPr>
        <w:pStyle w:val="Indenta"/>
        <w:rPr>
          <w:snapToGrid w:val="0"/>
        </w:rPr>
      </w:pPr>
      <w:r>
        <w:rPr>
          <w:snapToGrid w:val="0"/>
        </w:rPr>
        <w:tab/>
        <w:t>(b)</w:t>
      </w:r>
      <w:r>
        <w:rPr>
          <w:snapToGrid w:val="0"/>
        </w:rPr>
        <w:tab/>
        <w:t>that, notwithstanding the existence of such a need, adequate guest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rPr>
          <w:snapToGrid w:val="0"/>
        </w:rPr>
      </w:pPr>
      <w:r>
        <w:rPr>
          <w:snapToGrid w:val="0"/>
        </w:rPr>
        <w:tab/>
      </w:r>
      <w:r>
        <w:rPr>
          <w:snapToGrid w:val="0"/>
        </w:rPr>
        <w:tab/>
        <w:t xml:space="preserve">and that in consequence no useful purpose will be served by the continuance, or the continuance during that period, of a requirement to provide guest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w:t>
      </w:r>
      <w:r>
        <w:t>licence or a tavern restricted licence.</w:t>
      </w:r>
    </w:p>
    <w:p>
      <w:pPr>
        <w:pStyle w:val="Subsection"/>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ind w:left="890" w:hanging="890"/>
      </w:pPr>
      <w:r>
        <w:tab/>
        <w:t xml:space="preserve">[Section 41 amended by No. 12 of 1998 s. 27; No. 26 of 2001 s. 4; No. 73 of 2006 s. 34 and 108; No. 56 of 2010 s. 41.] </w:t>
      </w:r>
    </w:p>
    <w:p>
      <w:pPr>
        <w:pStyle w:val="Heading5"/>
        <w:spacing w:before="240"/>
        <w:rPr>
          <w:snapToGrid w:val="0"/>
        </w:rPr>
      </w:pPr>
      <w:bookmarkStart w:id="148" w:name="_Toc522197257"/>
      <w:r>
        <w:rPr>
          <w:rStyle w:val="CharSectno"/>
        </w:rPr>
        <w:t>42</w:t>
      </w:r>
      <w:r>
        <w:rPr>
          <w:snapToGrid w:val="0"/>
        </w:rPr>
        <w:t>.</w:t>
      </w:r>
      <w:r>
        <w:rPr>
          <w:snapToGrid w:val="0"/>
        </w:rPr>
        <w:tab/>
        <w:t>Nightclub licence, effect and conditions of</w:t>
      </w:r>
      <w:bookmarkEnd w:id="148"/>
    </w:p>
    <w:p>
      <w:pPr>
        <w:pStyle w:val="Subsection"/>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rPr>
          <w:snapToGrid w:val="0"/>
        </w:rPr>
      </w:pPr>
      <w:r>
        <w:rPr>
          <w:snapToGrid w:val="0"/>
        </w:rPr>
        <w:tab/>
        <w:t>(3)</w:t>
      </w:r>
      <w:r>
        <w:rPr>
          <w:snapToGrid w:val="0"/>
        </w:rPr>
        <w:tab/>
        <w:t xml:space="preserve">Every </w:t>
      </w:r>
      <w:r>
        <w:t xml:space="preserve">nightclub </w:t>
      </w:r>
      <w:r>
        <w:rPr>
          <w:snapToGrid w:val="0"/>
        </w:rPr>
        <w:t>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Footnotesection"/>
        <w:ind w:left="890" w:hanging="890"/>
      </w:pPr>
      <w:r>
        <w:tab/>
        <w:t>[Section 42 amended by No. 73 of 2006 s. 107.]</w:t>
      </w:r>
    </w:p>
    <w:p>
      <w:pPr>
        <w:pStyle w:val="Heading5"/>
        <w:rPr>
          <w:snapToGrid w:val="0"/>
        </w:rPr>
      </w:pPr>
      <w:bookmarkStart w:id="149" w:name="_Toc522197258"/>
      <w:r>
        <w:rPr>
          <w:rStyle w:val="CharSectno"/>
        </w:rPr>
        <w:t>43</w:t>
      </w:r>
      <w:r>
        <w:rPr>
          <w:snapToGrid w:val="0"/>
        </w:rPr>
        <w:t>.</w:t>
      </w:r>
      <w:r>
        <w:rPr>
          <w:snapToGrid w:val="0"/>
        </w:rPr>
        <w:tab/>
        <w:t>N</w:t>
      </w:r>
      <w:r>
        <w:t xml:space="preserve">ightclub </w:t>
      </w:r>
      <w:r>
        <w:rPr>
          <w:snapToGrid w:val="0"/>
        </w:rPr>
        <w:t>licence, pre-requisites for grant of</w:t>
      </w:r>
      <w:bookmarkEnd w:id="149"/>
    </w:p>
    <w:p>
      <w:pPr>
        <w:pStyle w:val="Subsection"/>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rPr>
          <w:snapToGrid w:val="0"/>
        </w:rPr>
      </w:pPr>
      <w:r>
        <w:rPr>
          <w:snapToGrid w:val="0"/>
        </w:rPr>
        <w:tab/>
        <w:t>(b)</w:t>
      </w:r>
      <w:r>
        <w:rPr>
          <w:snapToGrid w:val="0"/>
        </w:rPr>
        <w:tab/>
        <w:t>are suitable, having regard to any condition imposed as to the nature or extent of the entertainment required to be provided.</w:t>
      </w:r>
    </w:p>
    <w:p>
      <w:pPr>
        <w:pStyle w:val="Footnotesection"/>
        <w:ind w:left="890" w:hanging="890"/>
      </w:pPr>
      <w:r>
        <w:tab/>
        <w:t>[Section 43 amended by No. 73 of 2006 s. 107.]</w:t>
      </w:r>
    </w:p>
    <w:p>
      <w:pPr>
        <w:pStyle w:val="Heading5"/>
        <w:keepNext w:val="0"/>
        <w:keepLines w:val="0"/>
        <w:spacing w:before="180"/>
        <w:rPr>
          <w:snapToGrid w:val="0"/>
        </w:rPr>
      </w:pPr>
      <w:bookmarkStart w:id="150" w:name="_Toc522197259"/>
      <w:r>
        <w:rPr>
          <w:rStyle w:val="CharSectno"/>
        </w:rPr>
        <w:t>44</w:t>
      </w:r>
      <w:r>
        <w:rPr>
          <w:snapToGrid w:val="0"/>
        </w:rPr>
        <w:t>.</w:t>
      </w:r>
      <w:r>
        <w:rPr>
          <w:snapToGrid w:val="0"/>
        </w:rPr>
        <w:tab/>
        <w:t>Casino liquor licence, effect and conditions of</w:t>
      </w:r>
      <w:bookmarkEnd w:id="150"/>
    </w:p>
    <w:p>
      <w:pPr>
        <w:pStyle w:val="Subsection"/>
      </w:pPr>
      <w:r>
        <w:tab/>
        <w:t>(1)</w:t>
      </w:r>
      <w:r>
        <w:tab/>
        <w:t xml:space="preserve">Subject to this Act, a casino licence authorises the licensee, during permitted hours, to do either or both of the following — </w:t>
      </w:r>
    </w:p>
    <w:p>
      <w:pPr>
        <w:pStyle w:val="Indenta"/>
      </w:pPr>
      <w:r>
        <w:tab/>
        <w:t>(a)</w:t>
      </w:r>
      <w:r>
        <w:tab/>
        <w:t xml:space="preserve">sell liquor for consumption — </w:t>
      </w:r>
    </w:p>
    <w:p>
      <w:pPr>
        <w:pStyle w:val="Indenti"/>
      </w:pPr>
      <w:r>
        <w:tab/>
        <w:t>(i)</w:t>
      </w:r>
      <w:r>
        <w:tab/>
        <w:t>on the premises at the casino; and</w:t>
      </w:r>
    </w:p>
    <w:p>
      <w:pPr>
        <w:pStyle w:val="Indenti"/>
      </w:pPr>
      <w:r>
        <w:tab/>
        <w:t>(ii)</w:t>
      </w:r>
      <w:r>
        <w:tab/>
        <w:t>on other premises within the casino complex concerned or adjacent to that complex, within one or more defined areas as may from time to time be approved by the Gaming and Wagering Commission;</w:t>
      </w:r>
    </w:p>
    <w:p>
      <w:pPr>
        <w:pStyle w:val="Indenta"/>
      </w:pPr>
      <w:r>
        <w:tab/>
        <w:t>(b)</w:t>
      </w:r>
      <w:r>
        <w:tab/>
        <w:t xml:space="preserve">supply, without charge, packaged liquor on the premises referred to in paragraph (a) as part of — </w:t>
      </w:r>
    </w:p>
    <w:p>
      <w:pPr>
        <w:pStyle w:val="Indenti"/>
      </w:pPr>
      <w:r>
        <w:tab/>
        <w:t>(i)</w:t>
      </w:r>
      <w:r>
        <w:tab/>
        <w:t>an accommodation, restaurant or dining service provided on those premises; or</w:t>
      </w:r>
    </w:p>
    <w:p>
      <w:pPr>
        <w:pStyle w:val="Indenti"/>
      </w:pPr>
      <w:r>
        <w:tab/>
        <w:t>(ii)</w:t>
      </w:r>
      <w:r>
        <w:tab/>
        <w:t>a function or promotional activity conducted on those premises.</w:t>
      </w:r>
    </w:p>
    <w:p>
      <w:pPr>
        <w:pStyle w:val="Subsection"/>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rPr>
          <w:snapToGrid w:val="0"/>
        </w:rPr>
      </w:pPr>
      <w:r>
        <w:rPr>
          <w:snapToGrid w:val="0"/>
        </w:rPr>
        <w:tab/>
      </w:r>
      <w:r>
        <w:rPr>
          <w:snapToGrid w:val="0"/>
        </w:rPr>
        <w:tab/>
        <w:t>by reference to the respective areas defined.</w:t>
      </w:r>
    </w:p>
    <w:p>
      <w:pPr>
        <w:pStyle w:val="Subsection"/>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tab/>
        <w:t>[Section 44 amended by No. 35 of 2003 s. 173(4); No. 73 of 2006 s. 107; No. 9 of 2018 s. 23.]</w:t>
      </w:r>
    </w:p>
    <w:p>
      <w:pPr>
        <w:pStyle w:val="Heading5"/>
        <w:keepNext w:val="0"/>
        <w:keepLines w:val="0"/>
        <w:spacing w:before="180"/>
        <w:rPr>
          <w:snapToGrid w:val="0"/>
        </w:rPr>
      </w:pPr>
      <w:bookmarkStart w:id="151" w:name="_Toc522197260"/>
      <w:r>
        <w:rPr>
          <w:rStyle w:val="CharSectno"/>
        </w:rPr>
        <w:t>45</w:t>
      </w:r>
      <w:r>
        <w:rPr>
          <w:snapToGrid w:val="0"/>
        </w:rPr>
        <w:t>.</w:t>
      </w:r>
      <w:r>
        <w:rPr>
          <w:snapToGrid w:val="0"/>
        </w:rPr>
        <w:tab/>
        <w:t>Casino liquor licence, pre-requisites for grant of</w:t>
      </w:r>
      <w:bookmarkEnd w:id="151"/>
    </w:p>
    <w:p>
      <w:pPr>
        <w:pStyle w:val="Subsection"/>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the premises sought to be licensed are premises approved for the purpose by the Gaming and Wagering Commission and are comprised within or are adjacent to the casino complex to which </w:t>
      </w:r>
      <w:r>
        <w:t>a</w:t>
      </w:r>
      <w:r>
        <w:rPr>
          <w:snapToGrid w:val="0"/>
        </w:rPr>
        <w:t xml:space="preserve"> casino gaming licence relates.</w:t>
      </w:r>
    </w:p>
    <w:p>
      <w:pPr>
        <w:pStyle w:val="Subsection"/>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rPr>
          <w:snapToGrid w:val="0"/>
        </w:rPr>
      </w:pPr>
      <w:r>
        <w:rPr>
          <w:snapToGrid w:val="0"/>
        </w:rPr>
        <w:tab/>
        <w:t>(3)</w:t>
      </w:r>
      <w:r>
        <w:rPr>
          <w:snapToGrid w:val="0"/>
        </w:rPr>
        <w:tab/>
        <w:t xml:space="preserve">The licensing authority shall not grant any authorisation to sell liquor in the casino complex </w:t>
      </w:r>
      <w:r>
        <w:t>to which a casino gaming licence relates</w:t>
      </w:r>
      <w:r>
        <w:rPr>
          <w:snapToGrid w:val="0"/>
        </w:rPr>
        <w:t xml:space="preserve"> that contravenes, or exceeds the authorisation contemplated by, the casino complex agreement pursuant to which the casino gaming licence was granted.</w:t>
      </w:r>
    </w:p>
    <w:p>
      <w:pPr>
        <w:pStyle w:val="Subsection"/>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by No. 12 of 1998 s. 28; No. 35 of 2003 s. 173(4); No. 9 of 2018 s. 24.] </w:t>
      </w:r>
    </w:p>
    <w:p>
      <w:pPr>
        <w:pStyle w:val="Heading5"/>
        <w:spacing w:before="240"/>
        <w:rPr>
          <w:snapToGrid w:val="0"/>
        </w:rPr>
      </w:pPr>
      <w:bookmarkStart w:id="152" w:name="_Toc522197261"/>
      <w:r>
        <w:rPr>
          <w:rStyle w:val="CharSectno"/>
        </w:rPr>
        <w:t>46</w:t>
      </w:r>
      <w:r>
        <w:rPr>
          <w:snapToGrid w:val="0"/>
        </w:rPr>
        <w:t>.</w:t>
      </w:r>
      <w:r>
        <w:rPr>
          <w:snapToGrid w:val="0"/>
        </w:rPr>
        <w:tab/>
        <w:t>Special facility licence, pre-requisites for grant of</w:t>
      </w:r>
      <w:bookmarkEnd w:id="152"/>
    </w:p>
    <w:p>
      <w:pPr>
        <w:pStyle w:val="Subsection"/>
      </w:pPr>
      <w:r>
        <w:tab/>
        <w:t>(1)</w:t>
      </w:r>
      <w:r>
        <w:tab/>
        <w:t>The licensing authority shall not grant a special facility licence except for a prescribed purpose.</w:t>
      </w:r>
    </w:p>
    <w:p>
      <w:pPr>
        <w:pStyle w:val="Subsection"/>
      </w:pPr>
      <w:r>
        <w:tab/>
        <w:t>(1a)</w:t>
      </w:r>
      <w:r>
        <w:tab/>
        <w:t xml:space="preserve">The licensing authority is not to grant a special facility licence only because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r>
      <w:r>
        <w:tab/>
        <w:t>is not possible because an approval, consent or exemption required under another written law cannot be obtained.</w:t>
      </w:r>
    </w:p>
    <w:p>
      <w:pPr>
        <w:pStyle w:val="Subsection"/>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pPr>
      <w:r>
        <w:tab/>
        <w:t>(2b)</w:t>
      </w:r>
      <w:r>
        <w:tab/>
        <w:t>The application for a special facility licence must demonstrate how the business for which the licence is sought meets any of the prescribed purposes for which a special facility licence may be granted.</w:t>
      </w:r>
    </w:p>
    <w:p>
      <w:pPr>
        <w:pStyle w:val="Subsection"/>
      </w:pPr>
      <w:r>
        <w:tab/>
        <w:t>(3)</w:t>
      </w:r>
      <w:r>
        <w:tab/>
        <w:t>If a special facility licence is granted, it must be granted on such terms and conditions as are necessary to ensure that the licence is used only for the prescribed purpose for which it is granted.</w:t>
      </w:r>
    </w:p>
    <w:p>
      <w:pPr>
        <w:pStyle w:val="Subsection"/>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ind w:left="890" w:hanging="890"/>
      </w:pPr>
      <w:r>
        <w:tab/>
        <w:t xml:space="preserve">[Section 46 inserted by No. 12 of 1998 s. 29; amended by No. 26 of 2001 s. 5(1); No. 73 of 2006 s. 35.] </w:t>
      </w:r>
    </w:p>
    <w:p>
      <w:pPr>
        <w:pStyle w:val="Heading5"/>
        <w:spacing w:before="240"/>
      </w:pPr>
      <w:bookmarkStart w:id="153" w:name="_Toc522197262"/>
      <w:r>
        <w:rPr>
          <w:rStyle w:val="CharSectno"/>
        </w:rPr>
        <w:t>46A</w:t>
      </w:r>
      <w:r>
        <w:t>.</w:t>
      </w:r>
      <w:r>
        <w:tab/>
        <w:t>Special facility licence, restrictions on varying</w:t>
      </w:r>
      <w:bookmarkEnd w:id="153"/>
    </w:p>
    <w:p>
      <w:pPr>
        <w:pStyle w:val="Subsection"/>
        <w:spacing w:before="180"/>
      </w:pPr>
      <w:r>
        <w:tab/>
        <w:t>(1)</w:t>
      </w:r>
      <w:r>
        <w:tab/>
        <w:t xml:space="preserve">The licensing authority is not to vary a special facility licence, or impose, vary or cancel a condition on a special facility licence, if — </w:t>
      </w:r>
    </w:p>
    <w:p>
      <w:pPr>
        <w:pStyle w:val="Indenta"/>
      </w:pPr>
      <w:r>
        <w:tab/>
        <w:t>(a)</w:t>
      </w:r>
      <w:r>
        <w:tab/>
        <w:t>granting or varying a licence of another class; or</w:t>
      </w:r>
    </w:p>
    <w:p>
      <w:pPr>
        <w:pStyle w:val="Indenta"/>
      </w:pPr>
      <w:r>
        <w:tab/>
        <w:t>(b)</w:t>
      </w:r>
      <w:r>
        <w:tab/>
        <w:t>imposing, varying or cancelling a condition on a licence of another class; or</w:t>
      </w:r>
    </w:p>
    <w:p>
      <w:pPr>
        <w:pStyle w:val="Indenta"/>
        <w:keepNext/>
        <w:keepLines/>
      </w:pPr>
      <w:r>
        <w:tab/>
        <w:t>(c)</w:t>
      </w:r>
      <w:r>
        <w:tab/>
        <w:t>issuing an extended trading permit in respect of a licence of another class,</w:t>
      </w:r>
    </w:p>
    <w:p>
      <w:pPr>
        <w:pStyle w:val="Subsection"/>
        <w:keepNext/>
        <w:keepLines/>
      </w:pPr>
      <w:r>
        <w:tab/>
      </w:r>
      <w:r>
        <w:tab/>
        <w:t xml:space="preserve">would achieve the purposes for which — </w:t>
      </w:r>
    </w:p>
    <w:p>
      <w:pPr>
        <w:pStyle w:val="Indenta"/>
      </w:pPr>
      <w:r>
        <w:tab/>
        <w:t>(d)</w:t>
      </w:r>
      <w:r>
        <w:tab/>
        <w:t>the variation of the special facility licence is sought; or</w:t>
      </w:r>
    </w:p>
    <w:p>
      <w:pPr>
        <w:pStyle w:val="Indenta"/>
      </w:pPr>
      <w:r>
        <w:tab/>
        <w:t>(e)</w:t>
      </w:r>
      <w:r>
        <w:tab/>
        <w:t>the imposition, variation or cancellation of a condition on the special facility licence is sought.</w:t>
      </w:r>
    </w:p>
    <w:p>
      <w:pPr>
        <w:pStyle w:val="Subsection"/>
        <w:keepNext/>
      </w:pPr>
      <w:r>
        <w:tab/>
        <w:t>(2)</w:t>
      </w:r>
      <w:r>
        <w:tab/>
        <w:t xml:space="preserve">Subsection (1) applies — </w:t>
      </w:r>
    </w:p>
    <w:p>
      <w:pPr>
        <w:pStyle w:val="Indenta"/>
      </w:pPr>
      <w:r>
        <w:tab/>
        <w:t>(a)</w:t>
      </w:r>
      <w:r>
        <w:tab/>
        <w:t>whether or not an application has been made for a grant, variation, imposition, cancellation or issue referred to in paragraph (a), (b) or (c) of that subsection; and</w:t>
      </w:r>
    </w:p>
    <w:p>
      <w:pPr>
        <w:pStyle w:val="Indenta"/>
      </w:pPr>
      <w:r>
        <w:tab/>
        <w:t>(b)</w:t>
      </w:r>
      <w:r>
        <w:tab/>
        <w:t>even if such an application has been made and has been refused.</w:t>
      </w:r>
    </w:p>
    <w:p>
      <w:pPr>
        <w:pStyle w:val="Footnotesection"/>
      </w:pPr>
      <w:r>
        <w:tab/>
        <w:t>[Section 46A inserted by No. 73 of 2006 s. 36.]</w:t>
      </w:r>
    </w:p>
    <w:p>
      <w:pPr>
        <w:pStyle w:val="Heading5"/>
      </w:pPr>
      <w:bookmarkStart w:id="154" w:name="_Toc522197263"/>
      <w:r>
        <w:rPr>
          <w:rStyle w:val="CharSectno"/>
        </w:rPr>
        <w:t>46B</w:t>
      </w:r>
      <w:r>
        <w:t>.</w:t>
      </w:r>
      <w:r>
        <w:tab/>
        <w:t>Alternatives to granting or varying special facility licences</w:t>
      </w:r>
      <w:bookmarkEnd w:id="154"/>
    </w:p>
    <w:p>
      <w:pPr>
        <w:pStyle w:val="Subsection"/>
      </w:pPr>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t>(2)</w:t>
      </w:r>
      <w:r>
        <w:tab/>
        <w:t xml:space="preserve">The licensing authority may of its own motion or on the application of the licensee — </w:t>
      </w:r>
    </w:p>
    <w:p>
      <w:pPr>
        <w:pStyle w:val="Indenta"/>
      </w:pPr>
      <w:r>
        <w:tab/>
        <w:t>(a)</w:t>
      </w:r>
      <w:r>
        <w:tab/>
        <w:t>cancel a special facility licence; and</w:t>
      </w:r>
    </w:p>
    <w:p>
      <w:pPr>
        <w:pStyle w:val="Indenta"/>
        <w:keepNext/>
      </w:pPr>
      <w:r>
        <w:tab/>
        <w:t>(b)</w:t>
      </w:r>
      <w:r>
        <w:tab/>
        <w:t xml:space="preserve">in respect of the premises to which the special facility licence related — </w:t>
      </w:r>
    </w:p>
    <w:p>
      <w:pPr>
        <w:pStyle w:val="Indenti"/>
      </w:pPr>
      <w:r>
        <w:tab/>
        <w:t>(i)</w:t>
      </w:r>
      <w:r>
        <w:tab/>
        <w:t xml:space="preserve">grant to the person who was the licensee a licence of another class; and </w:t>
      </w:r>
    </w:p>
    <w:p>
      <w:pPr>
        <w:pStyle w:val="Indenti"/>
      </w:pPr>
      <w:r>
        <w:tab/>
        <w:t>(ii)</w:t>
      </w:r>
      <w:r>
        <w:tab/>
        <w:t>if considered appropriate by the licensing authority, issue to that person an extended trading permit.</w:t>
      </w:r>
    </w:p>
    <w:p>
      <w:pPr>
        <w:pStyle w:val="Subsection"/>
        <w:keepNext/>
      </w:pPr>
      <w:r>
        <w:tab/>
        <w:t>(3)</w:t>
      </w:r>
      <w:r>
        <w:tab/>
        <w:t xml:space="preserve">If the licensing authority of its own motion proposes to cancel a special facility licence and grant a licence of another class under subsection (2), the licensing authority — </w:t>
      </w:r>
    </w:p>
    <w:p>
      <w:pPr>
        <w:pStyle w:val="Indenta"/>
      </w:pPr>
      <w:r>
        <w:tab/>
        <w:t>(a)</w:t>
      </w:r>
      <w:r>
        <w:tab/>
        <w:t>is to give the licensee a notice that sets out the proposal and the reasons for it; and</w:t>
      </w:r>
    </w:p>
    <w:p>
      <w:pPr>
        <w:pStyle w:val="Indenta"/>
      </w:pPr>
      <w:r>
        <w:tab/>
        <w:t>(b)</w:t>
      </w:r>
      <w:r>
        <w:tab/>
        <w:t>is to give the licensee a reasonable opportunity to make submissions or to be heard in relation to the proposal.</w:t>
      </w:r>
    </w:p>
    <w:p>
      <w:pPr>
        <w:pStyle w:val="Footnotesection"/>
        <w:ind w:left="890" w:hanging="890"/>
      </w:pPr>
      <w:r>
        <w:tab/>
        <w:t>[Section 46B inserted by No. 73 of 2006 s. 36.]</w:t>
      </w:r>
    </w:p>
    <w:p>
      <w:pPr>
        <w:pStyle w:val="Heading5"/>
        <w:keepNext w:val="0"/>
        <w:keepLines w:val="0"/>
        <w:spacing w:before="180"/>
        <w:rPr>
          <w:snapToGrid w:val="0"/>
        </w:rPr>
      </w:pPr>
      <w:bookmarkStart w:id="155" w:name="_Toc522197264"/>
      <w:r>
        <w:rPr>
          <w:rStyle w:val="CharSectno"/>
        </w:rPr>
        <w:t>47</w:t>
      </w:r>
      <w:r>
        <w:rPr>
          <w:snapToGrid w:val="0"/>
        </w:rPr>
        <w:t>.</w:t>
      </w:r>
      <w:r>
        <w:rPr>
          <w:snapToGrid w:val="0"/>
        </w:rPr>
        <w:tab/>
        <w:t>Liquor store licence, effect of</w:t>
      </w:r>
      <w:bookmarkEnd w:id="155"/>
    </w:p>
    <w:p>
      <w:pPr>
        <w:pStyle w:val="Subsection"/>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ind w:left="890" w:hanging="890"/>
      </w:pPr>
      <w:r>
        <w:tab/>
        <w:t xml:space="preserve">[Section 47 amended by No. 12 of 1998 s. 30.] </w:t>
      </w:r>
    </w:p>
    <w:p>
      <w:pPr>
        <w:pStyle w:val="Ednotedivision"/>
        <w:spacing w:before="240"/>
      </w:pPr>
      <w:r>
        <w:t>[Heading deleted by No. 73 of 2006 s. 37.]</w:t>
      </w:r>
    </w:p>
    <w:p>
      <w:pPr>
        <w:pStyle w:val="Heading5"/>
        <w:spacing w:before="240"/>
        <w:rPr>
          <w:snapToGrid w:val="0"/>
        </w:rPr>
      </w:pPr>
      <w:bookmarkStart w:id="156" w:name="_Toc522197265"/>
      <w:r>
        <w:rPr>
          <w:rStyle w:val="CharSectno"/>
        </w:rPr>
        <w:t>48</w:t>
      </w:r>
      <w:r>
        <w:rPr>
          <w:snapToGrid w:val="0"/>
        </w:rPr>
        <w:t>.</w:t>
      </w:r>
      <w:r>
        <w:rPr>
          <w:snapToGrid w:val="0"/>
        </w:rPr>
        <w:tab/>
        <w:t>Club licence, kinds, conditions and effect of</w:t>
      </w:r>
      <w:bookmarkEnd w:id="156"/>
    </w:p>
    <w:p>
      <w:pPr>
        <w:pStyle w:val="Subsection"/>
        <w:keepNext/>
        <w:keepLines/>
        <w:rPr>
          <w:snapToGrid w:val="0"/>
        </w:rPr>
      </w:pPr>
      <w:r>
        <w:rPr>
          <w:snapToGrid w:val="0"/>
        </w:rPr>
        <w:tab/>
        <w:t>(1)</w:t>
      </w:r>
      <w:r>
        <w:rPr>
          <w:snapToGrid w:val="0"/>
        </w:rPr>
        <w:tab/>
        <w:t>For the purposes of this Act a club licence — </w:t>
      </w:r>
    </w:p>
    <w:p>
      <w:pPr>
        <w:pStyle w:val="Indenta"/>
        <w:spacing w:before="60"/>
        <w:rPr>
          <w:snapToGrid w:val="0"/>
        </w:rPr>
      </w:pPr>
      <w:r>
        <w:rPr>
          <w:snapToGrid w:val="0"/>
        </w:rPr>
        <w:tab/>
        <w:t>(a)</w:t>
      </w:r>
      <w:r>
        <w:rPr>
          <w:snapToGrid w:val="0"/>
        </w:rPr>
        <w:tab/>
        <w:t>which is expressed to be granted as a club restricted licence; or</w:t>
      </w:r>
    </w:p>
    <w:p>
      <w:pPr>
        <w:pStyle w:val="Indenta"/>
        <w:spacing w:before="60"/>
      </w:pPr>
      <w:r>
        <w:tab/>
        <w:t>(b)</w:t>
      </w:r>
      <w:r>
        <w:tab/>
        <w:t>which is subject to conditions 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keepNext/>
        <w:keepLines/>
        <w:rPr>
          <w:snapToGrid w:val="0"/>
        </w:rPr>
      </w:pPr>
      <w:r>
        <w:rPr>
          <w:snapToGrid w:val="0"/>
        </w:rPr>
        <w:tab/>
        <w:t>(2)</w:t>
      </w:r>
      <w:r>
        <w:rPr>
          <w:snapToGrid w:val="0"/>
        </w:rPr>
        <w:tab/>
        <w:t>Subject to this Act a club licence authorises the sale, during permitted hours, of liquor — </w:t>
      </w:r>
    </w:p>
    <w:p>
      <w:pPr>
        <w:pStyle w:val="Indenta"/>
        <w:rPr>
          <w:snapToGrid w:val="0"/>
        </w:rPr>
      </w:pPr>
      <w:r>
        <w:rPr>
          <w:snapToGrid w:val="0"/>
        </w:rPr>
        <w:tab/>
        <w:t>(a)</w:t>
      </w:r>
      <w:r>
        <w:rPr>
          <w:snapToGrid w:val="0"/>
        </w:rPr>
        <w:tab/>
        <w:t>to a member and to the guests of that member in the company of that member — </w:t>
      </w:r>
    </w:p>
    <w:p>
      <w:pPr>
        <w:pStyle w:val="Indenti"/>
        <w:keepLines/>
        <w:rPr>
          <w:snapToGrid w:val="0"/>
        </w:rPr>
      </w:pPr>
      <w:r>
        <w:rPr>
          <w:snapToGrid w:val="0"/>
        </w:rPr>
        <w:tab/>
        <w:t>(i)</w:t>
      </w:r>
      <w:r>
        <w:rPr>
          <w:snapToGrid w:val="0"/>
        </w:rPr>
        <w:tab/>
        <w:t>for consumption on the licensed premises, subject to subsection (4)(b); or</w:t>
      </w:r>
    </w:p>
    <w:p>
      <w:pPr>
        <w:pStyle w:val="Indenti"/>
        <w:rPr>
          <w:snapToGrid w:val="0"/>
        </w:rPr>
      </w:pPr>
      <w:r>
        <w:rPr>
          <w:snapToGrid w:val="0"/>
        </w:rPr>
        <w:tab/>
        <w:t>(ii)</w:t>
      </w:r>
      <w:r>
        <w:rPr>
          <w:snapToGrid w:val="0"/>
        </w:rPr>
        <w:tab/>
        <w:t>ancillary to a meal supplied at the club by or on behalf of the club to a member and to each of the guests of that member (without limitation as to number), being guests of whose attendance prior notice was given to the club in accordance with rules approved by the Director;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to a member, for consumption by the guests of that member (without limitation as to number) at a function held by or on behalf of that member at the club if in accordance with rules approved by the Director; or</w:t>
      </w:r>
    </w:p>
    <w:p>
      <w:pPr>
        <w:pStyle w:val="Indenta"/>
        <w:rPr>
          <w:snapToGrid w:val="0"/>
        </w:rPr>
      </w:pPr>
      <w:r>
        <w:rPr>
          <w:snapToGrid w:val="0"/>
        </w:rPr>
        <w:tab/>
        <w:t>(c)</w:t>
      </w:r>
      <w:r>
        <w:rPr>
          <w:snapToGrid w:val="0"/>
        </w:rPr>
        <w:tab/>
        <w:t>to a member, if — </w:t>
      </w:r>
    </w:p>
    <w:p>
      <w:pPr>
        <w:pStyle w:val="Indenti"/>
        <w:rPr>
          <w:snapToGrid w:val="0"/>
        </w:rPr>
      </w:pPr>
      <w:r>
        <w:rPr>
          <w:snapToGrid w:val="0"/>
        </w:rPr>
        <w:tab/>
        <w:t>(i)</w:t>
      </w:r>
      <w:r>
        <w:rPr>
          <w:snapToGrid w:val="0"/>
        </w:rPr>
        <w:tab/>
        <w:t>the licence is not a club restricted licence; or</w:t>
      </w:r>
    </w:p>
    <w:p>
      <w:pPr>
        <w:pStyle w:val="Indenti"/>
        <w:rPr>
          <w:snapToGrid w:val="0"/>
        </w:rPr>
      </w:pPr>
      <w:r>
        <w:rPr>
          <w:snapToGrid w:val="0"/>
        </w:rPr>
        <w:tab/>
        <w:t>(ii)</w:t>
      </w:r>
      <w:r>
        <w:rPr>
          <w:snapToGrid w:val="0"/>
        </w:rPr>
        <w:tab/>
        <w:t>subsection (9) applies,</w:t>
      </w:r>
    </w:p>
    <w:p>
      <w:pPr>
        <w:pStyle w:val="Indenta"/>
        <w:rPr>
          <w:snapToGrid w:val="0"/>
        </w:rPr>
      </w:pPr>
      <w:r>
        <w:rPr>
          <w:snapToGrid w:val="0"/>
        </w:rPr>
        <w:tab/>
      </w:r>
      <w:r>
        <w:rPr>
          <w:snapToGrid w:val="0"/>
        </w:rPr>
        <w:tab/>
        <w:t xml:space="preserve">and the liquor is packaged liquor, subject to </w:t>
      </w:r>
      <w:r>
        <w:t>subsections (3) and (4)(c),</w:t>
      </w:r>
    </w:p>
    <w:p>
      <w:pPr>
        <w:pStyle w:val="Subsection"/>
        <w:rPr>
          <w:snapToGrid w:val="0"/>
        </w:rPr>
      </w:pPr>
      <w:r>
        <w:rPr>
          <w:snapToGrid w:val="0"/>
        </w:rPr>
        <w:tab/>
      </w:r>
      <w:r>
        <w:rPr>
          <w:snapToGrid w:val="0"/>
        </w:rPr>
        <w:tab/>
        <w:t>if the constitution and rules of the club, as approved by the Director, are not thereby contravened.</w:t>
      </w:r>
    </w:p>
    <w:p>
      <w:pPr>
        <w:pStyle w:val="Subsection"/>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rPr>
          <w:snapToGrid w:val="0"/>
        </w:rPr>
      </w:pPr>
      <w:r>
        <w:rPr>
          <w:snapToGrid w:val="0"/>
        </w:rPr>
        <w:tab/>
        <w:t>(4)</w:t>
      </w:r>
      <w:r>
        <w:rPr>
          <w:snapToGrid w:val="0"/>
        </w:rPr>
        <w:tab/>
        <w:t>Every club licence is subject to the conditions that — </w:t>
      </w:r>
    </w:p>
    <w:p>
      <w:pPr>
        <w:pStyle w:val="Indenta"/>
        <w:rPr>
          <w:snapToGrid w:val="0"/>
        </w:rPr>
      </w:pPr>
      <w:r>
        <w:rPr>
          <w:snapToGrid w:val="0"/>
        </w:rPr>
        <w:tab/>
        <w:t>(a)</w:t>
      </w:r>
      <w:r>
        <w:rPr>
          <w:snapToGrid w:val="0"/>
        </w:rPr>
        <w:tab/>
        <w:t>unless an extended trading permit otherwise authorises, the club has — </w:t>
      </w:r>
    </w:p>
    <w:p>
      <w:pPr>
        <w:pStyle w:val="Indenti"/>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rPr>
          <w:snapToGrid w:val="0"/>
        </w:rPr>
      </w:pPr>
      <w:r>
        <w:rPr>
          <w:snapToGrid w:val="0"/>
        </w:rPr>
        <w:tab/>
        <w:t>(ii)</w:t>
      </w:r>
      <w:r>
        <w:rPr>
          <w:snapToGrid w:val="0"/>
        </w:rPr>
        <w:tab/>
        <w:t>in any other case — exclusive right to occupy the licensed premises;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authority to sell liquor for consumption by the guests of a member, otherwise than ancillary to a meal or at a function under subsection (2)(b), extends only to such persons, not exceeding 5 or such lesser number as may be permitted by rules approved by the Director, as are introduced as the guests of that member on that day; and</w:t>
      </w:r>
    </w:p>
    <w:p>
      <w:pPr>
        <w:pStyle w:val="Indenta"/>
        <w:rPr>
          <w:snapToGrid w:val="0"/>
        </w:rPr>
      </w:pPr>
      <w:r>
        <w:rPr>
          <w:snapToGrid w:val="0"/>
        </w:rPr>
        <w:tab/>
        <w:t>(c)</w:t>
      </w:r>
      <w:r>
        <w:rPr>
          <w:snapToGrid w:val="0"/>
        </w:rPr>
        <w:tab/>
        <w:t>packaged liquor be not removed — </w:t>
      </w:r>
    </w:p>
    <w:p>
      <w:pPr>
        <w:pStyle w:val="Indenti"/>
        <w:rPr>
          <w:snapToGrid w:val="0"/>
        </w:rPr>
      </w:pPr>
      <w:r>
        <w:rPr>
          <w:snapToGrid w:val="0"/>
        </w:rPr>
        <w:tab/>
        <w:t>(i)</w:t>
      </w:r>
      <w:r>
        <w:rPr>
          <w:snapToGrid w:val="0"/>
        </w:rPr>
        <w:tab/>
        <w:t>from premises to which a club restricted licence applies, unless subsection (9) applies; or</w:t>
      </w:r>
    </w:p>
    <w:p>
      <w:pPr>
        <w:pStyle w:val="Indenti"/>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r>
      <w:r>
        <w:rPr>
          <w:snapToGrid w:val="0"/>
        </w:rPr>
        <w:tab/>
        <w:t>and</w:t>
      </w:r>
    </w:p>
    <w:p>
      <w:pPr>
        <w:pStyle w:val="Indenta"/>
        <w:keepNext/>
        <w:rPr>
          <w:snapToGrid w:val="0"/>
        </w:rPr>
      </w:pPr>
      <w:r>
        <w:rPr>
          <w:snapToGrid w:val="0"/>
        </w:rPr>
        <w:tab/>
        <w:t>(d)</w:t>
      </w:r>
      <w:r>
        <w:rPr>
          <w:snapToGrid w:val="0"/>
        </w:rPr>
        <w:tab/>
        <w:t>as soon as is practicable after the making of any proposal for a change — </w:t>
      </w:r>
    </w:p>
    <w:p>
      <w:pPr>
        <w:pStyle w:val="Indenti"/>
        <w:rPr>
          <w:snapToGrid w:val="0"/>
        </w:rPr>
      </w:pPr>
      <w:r>
        <w:rPr>
          <w:snapToGrid w:val="0"/>
        </w:rPr>
        <w:tab/>
        <w:t>(i)</w:t>
      </w:r>
      <w:r>
        <w:rPr>
          <w:snapToGrid w:val="0"/>
        </w:rPr>
        <w:tab/>
        <w:t>in the appointment of a person as trustee to hold the licence for the club; or</w:t>
      </w:r>
    </w:p>
    <w:p>
      <w:pPr>
        <w:pStyle w:val="Indenti"/>
        <w:rPr>
          <w:snapToGrid w:val="0"/>
        </w:rPr>
      </w:pPr>
      <w:r>
        <w:rPr>
          <w:snapToGrid w:val="0"/>
        </w:rPr>
        <w:tab/>
        <w:t>(ii)</w:t>
      </w:r>
      <w:r>
        <w:rPr>
          <w:snapToGrid w:val="0"/>
        </w:rPr>
        <w:tab/>
        <w:t>to the constitution or rules of the club,</w:t>
      </w:r>
    </w:p>
    <w:p>
      <w:pPr>
        <w:pStyle w:val="Indenta"/>
        <w:rPr>
          <w:snapToGrid w:val="0"/>
        </w:rPr>
      </w:pPr>
      <w:r>
        <w:rPr>
          <w:snapToGrid w:val="0"/>
        </w:rPr>
        <w:tab/>
      </w:r>
      <w:r>
        <w:rPr>
          <w:snapToGrid w:val="0"/>
        </w:rPr>
        <w:tab/>
        <w:t>the Secretary of the club shall provide to the Director certified particulars of the change proposed, and that effect is not given to the change without the prior approval of the Director; and</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rPr>
          <w:snapToGrid w:val="0"/>
        </w:rPr>
      </w:pPr>
      <w:r>
        <w:rPr>
          <w:snapToGrid w:val="0"/>
        </w:rPr>
        <w:tab/>
        <w:t>(f)</w:t>
      </w:r>
      <w:r>
        <w:rPr>
          <w:snapToGrid w:val="0"/>
        </w:rPr>
        <w:tab/>
        <w:t>the club ensures that its constitution and rules, as approved by the Director, are not contravened.</w:t>
      </w:r>
    </w:p>
    <w:p>
      <w:pPr>
        <w:pStyle w:val="Subsection"/>
      </w:pPr>
      <w:r>
        <w:tab/>
        <w:t>(5A)</w:t>
      </w:r>
      <w:r>
        <w:tab/>
        <w:t>Without limiting section 64, the Director may impose a condition on a club licence or club restricted licence requiring that any manager of the licensed premises (other than a person appointed under section 100(3)) be an approved unrestricted manager.</w:t>
      </w:r>
    </w:p>
    <w:p>
      <w:pPr>
        <w:pStyle w:val="Subsection"/>
      </w:pPr>
      <w:r>
        <w:tab/>
        <w:t>(5)</w:t>
      </w:r>
      <w:r>
        <w:tab/>
        <w:t xml:space="preserve">Subject to subsection (6), a person who is on any day visiting a club (the </w:t>
      </w:r>
      <w:r>
        <w:rPr>
          <w:rStyle w:val="CharDefText"/>
        </w:rPr>
        <w:t>host club</w:t>
      </w:r>
      <w:r>
        <w:t xml:space="preserve">) as a member or an official of another club — </w:t>
      </w:r>
    </w:p>
    <w:p>
      <w:pPr>
        <w:pStyle w:val="Indenta"/>
        <w:spacing w:before="60"/>
      </w:pPr>
      <w:r>
        <w:tab/>
        <w:t>(a)</w:t>
      </w:r>
      <w:r>
        <w:tab/>
        <w:t>that is to engage in a pre</w:t>
      </w:r>
      <w:r>
        <w:noBreakHyphen/>
        <w:t>arranged event with the host club conducted for the purposes of one of the host club’s principal objects; or</w:t>
      </w:r>
    </w:p>
    <w:p>
      <w:pPr>
        <w:pStyle w:val="Indenta"/>
        <w:spacing w:before="60"/>
      </w:pPr>
      <w:r>
        <w:tab/>
        <w:t>(b)</w:t>
      </w:r>
      <w:r>
        <w:tab/>
        <w:t>that is to hold a pre</w:t>
      </w:r>
      <w:r>
        <w:noBreakHyphen/>
        <w:t>arranged function at the host club involving the use of the host club’s sporting facilities,</w:t>
      </w:r>
    </w:p>
    <w:p>
      <w:pPr>
        <w:pStyle w:val="Subsection"/>
      </w:pPr>
      <w:r>
        <w:tab/>
      </w:r>
      <w:r>
        <w:tab/>
        <w:t>may, for the purposes of this Act, be taken to be a person who is accorded temporary membership of the host club on that day in accordance with rules approved by the Director.</w:t>
      </w:r>
    </w:p>
    <w:p>
      <w:pPr>
        <w:pStyle w:val="Subsection"/>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rPr>
          <w:snapToGrid w:val="0"/>
        </w:rPr>
      </w:pPr>
      <w:r>
        <w:rPr>
          <w:snapToGrid w:val="0"/>
        </w:rPr>
        <w:tab/>
        <w:t>(7)</w:t>
      </w:r>
      <w:r>
        <w:rPr>
          <w:snapToGrid w:val="0"/>
        </w:rPr>
        <w:tab/>
        <w:t>Where in relation to the sale of liquor a club permits any contravention of its constitution or rules as approved by the Director a complaint may be lodged under section 95 on the ground that the licensed premises are not properly managed in accordance with this Act.</w:t>
      </w:r>
    </w:p>
    <w:p>
      <w:pPr>
        <w:pStyle w:val="Ednotesubsection"/>
        <w:spacing w:before="120"/>
      </w:pPr>
      <w:r>
        <w:tab/>
        <w:t>[(8)</w:t>
      </w:r>
      <w:r>
        <w:tab/>
        <w:t>deleted]</w:t>
      </w:r>
    </w:p>
    <w:p>
      <w:pPr>
        <w:pStyle w:val="Subsection"/>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keepNext/>
        <w:rPr>
          <w:snapToGrid w:val="0"/>
        </w:rPr>
      </w:pPr>
      <w:r>
        <w:rPr>
          <w:snapToGrid w:val="0"/>
        </w:rPr>
        <w:tab/>
        <w:t>(b)</w:t>
      </w:r>
      <w:r>
        <w:rPr>
          <w:snapToGrid w:val="0"/>
        </w:rPr>
        <w:tab/>
        <w:t>effect shall be given to the endorsement as a variation of the terms of the licence fixed by this Act.</w:t>
      </w:r>
    </w:p>
    <w:p>
      <w:pPr>
        <w:pStyle w:val="Footnotesection"/>
        <w:ind w:left="890" w:hanging="890"/>
      </w:pPr>
      <w:r>
        <w:tab/>
        <w:t xml:space="preserve">[Section 48 amended by No. 12 of 1998 s. 31; No. 73 of 2006 s. 38; No. 56 of 2010 s. 11.] </w:t>
      </w:r>
    </w:p>
    <w:p>
      <w:pPr>
        <w:pStyle w:val="Heading5"/>
        <w:rPr>
          <w:snapToGrid w:val="0"/>
        </w:rPr>
      </w:pPr>
      <w:bookmarkStart w:id="157" w:name="_Toc522197266"/>
      <w:r>
        <w:rPr>
          <w:rStyle w:val="CharSectno"/>
        </w:rPr>
        <w:t>49</w:t>
      </w:r>
      <w:r>
        <w:rPr>
          <w:snapToGrid w:val="0"/>
        </w:rPr>
        <w:t>.</w:t>
      </w:r>
      <w:r>
        <w:rPr>
          <w:snapToGrid w:val="0"/>
        </w:rPr>
        <w:tab/>
        <w:t>Club licence, pre-requisites for grant of</w:t>
      </w:r>
      <w:bookmarkEnd w:id="157"/>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rPr>
          <w:snapToGrid w:val="0"/>
        </w:rPr>
      </w:pPr>
      <w:r>
        <w:rPr>
          <w:snapToGrid w:val="0"/>
        </w:rPr>
        <w:tab/>
        <w:t>(a)</w:t>
      </w:r>
      <w:r>
        <w:rPr>
          <w:snapToGrid w:val="0"/>
        </w:rPr>
        <w:tab/>
        <w:t>that the applicant is a society, club, institution or other body of persons which — </w:t>
      </w:r>
    </w:p>
    <w:p>
      <w:pPr>
        <w:pStyle w:val="Indenti"/>
        <w:rPr>
          <w:snapToGrid w:val="0"/>
        </w:rPr>
      </w:pPr>
      <w:r>
        <w:rPr>
          <w:snapToGrid w:val="0"/>
        </w:rPr>
        <w:tab/>
        <w:t>(i)</w:t>
      </w:r>
      <w:r>
        <w:rPr>
          <w:snapToGrid w:val="0"/>
        </w:rPr>
        <w:tab/>
        <w:t xml:space="preserve">is incorporated or deemed to be incorporated under the </w:t>
      </w:r>
      <w:r>
        <w:rPr>
          <w:i/>
          <w:snapToGrid w:val="0"/>
        </w:rPr>
        <w:t>Associations Incorporation Act 2015</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rStyle w:val="CharDefText"/>
        </w:rPr>
        <w:t>club</w:t>
      </w:r>
      <w:r>
        <w:rPr>
          <w:snapToGrid w:val="0"/>
        </w:rPr>
        <w:t>) associated by reason of a common interest of the kind referred to in section 37(1)(c)(i); and</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t>unless subsection (4) applies, that the constitution and rules of the club are of a kind appropriate for the purposes of a club seeking to be licensed, having regard to the terms and conditions of the licence sought,</w:t>
      </w:r>
    </w:p>
    <w:p>
      <w:pPr>
        <w:pStyle w:val="Subsection"/>
        <w:rPr>
          <w:snapToGrid w:val="0"/>
        </w:rPr>
      </w:pPr>
      <w:r>
        <w:rPr>
          <w:snapToGrid w:val="0"/>
        </w:rPr>
        <w:tab/>
      </w:r>
      <w:r>
        <w:rPr>
          <w:snapToGrid w:val="0"/>
        </w:rPr>
        <w:tab/>
        <w:t>and the content of that constitution and those rules is approved by the Director.</w:t>
      </w:r>
    </w:p>
    <w:p>
      <w:pPr>
        <w:pStyle w:val="Subsection"/>
        <w:rPr>
          <w:snapToGrid w:val="0"/>
        </w:rPr>
      </w:pPr>
      <w:r>
        <w:rPr>
          <w:snapToGrid w:val="0"/>
        </w:rPr>
        <w:tab/>
        <w:t>(2)</w:t>
      </w:r>
      <w:r>
        <w:rPr>
          <w:snapToGrid w:val="0"/>
        </w:rPr>
        <w:tab/>
        <w:t>Where the Director finds that the constitution or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constitution or rules to be varied; or</w:t>
      </w:r>
    </w:p>
    <w:p>
      <w:pPr>
        <w:pStyle w:val="Indenta"/>
        <w:rPr>
          <w:snapToGrid w:val="0"/>
        </w:rPr>
      </w:pPr>
      <w:r>
        <w:rPr>
          <w:snapToGrid w:val="0"/>
        </w:rPr>
        <w:tab/>
        <w:t>(b)</w:t>
      </w:r>
      <w:r>
        <w:rPr>
          <w:snapToGrid w:val="0"/>
        </w:rPr>
        <w:tab/>
        <w:t>grant the application subject to a condition requiring amendment of the constitution or rules.</w:t>
      </w:r>
    </w:p>
    <w:p>
      <w:pPr>
        <w:pStyle w:val="Subsection"/>
        <w:rPr>
          <w:snapToGrid w:val="0"/>
        </w:rPr>
      </w:pPr>
      <w:r>
        <w:rPr>
          <w:snapToGrid w:val="0"/>
        </w:rPr>
        <w:tab/>
        <w:t>(3)</w:t>
      </w:r>
      <w:r>
        <w:rPr>
          <w:snapToGrid w:val="0"/>
        </w:rPr>
        <w:tab/>
        <w:t>Subject to subsection (4), the Director shall not approve the constitution or rules of a club for the purposes of this Act unless satisfied — </w:t>
      </w:r>
    </w:p>
    <w:p>
      <w:pPr>
        <w:pStyle w:val="Indenta"/>
        <w:rPr>
          <w:snapToGrid w:val="0"/>
        </w:rPr>
      </w:pPr>
      <w:r>
        <w:rPr>
          <w:snapToGrid w:val="0"/>
        </w:rPr>
        <w:tab/>
        <w:t>(a)</w:t>
      </w:r>
      <w:r>
        <w:rPr>
          <w:snapToGrid w:val="0"/>
        </w:rPr>
        <w:tab/>
        <w:t>that proper provision is made for the management of the affairs of the club by a committee of management elected by the general body of members and for the appointment of a Secretary; and</w:t>
      </w:r>
    </w:p>
    <w:p>
      <w:pPr>
        <w:pStyle w:val="Indenta"/>
        <w:rPr>
          <w:snapToGrid w:val="0"/>
        </w:rPr>
      </w:pPr>
      <w:r>
        <w:rPr>
          <w:snapToGrid w:val="0"/>
        </w:rPr>
        <w:tab/>
        <w:t>(b)</w:t>
      </w:r>
      <w:r>
        <w:rPr>
          <w:snapToGrid w:val="0"/>
        </w:rPr>
        <w:tab/>
        <w:t>that provision is made for regular meetings of the general body of members and of the committee of management; and</w:t>
      </w:r>
    </w:p>
    <w:p>
      <w:pPr>
        <w:pStyle w:val="Indenta"/>
        <w:rPr>
          <w:snapToGrid w:val="0"/>
        </w:rPr>
      </w:pPr>
      <w:r>
        <w:rPr>
          <w:snapToGrid w:val="0"/>
        </w:rPr>
        <w:tab/>
        <w:t>(c)</w:t>
      </w:r>
      <w:r>
        <w:rPr>
          <w:snapToGrid w:val="0"/>
        </w:rPr>
        <w:tab/>
        <w:t>that appropriate conditions governing admission to membership of the club exist and, in particular — </w:t>
      </w:r>
    </w:p>
    <w:p>
      <w:pPr>
        <w:pStyle w:val="Indenti"/>
        <w:rPr>
          <w:snapToGrid w:val="0"/>
        </w:rPr>
      </w:pPr>
      <w:r>
        <w:rPr>
          <w:snapToGrid w:val="0"/>
        </w:rPr>
        <w:tab/>
        <w:t>(i)</w:t>
      </w:r>
      <w:r>
        <w:rPr>
          <w:snapToGrid w:val="0"/>
        </w:rPr>
        <w:tab/>
        <w:t>that a person may not become an ordinary member of the club unless duly nominated on proper notice being given to the ordinary members of the club, and subsequently elected by the general body of members or by a committee in accordance with the constitution and rules; and</w:t>
      </w:r>
    </w:p>
    <w:p>
      <w:pPr>
        <w:pStyle w:val="Indenti"/>
        <w:rPr>
          <w:snapToGrid w:val="0"/>
        </w:rPr>
      </w:pPr>
      <w:r>
        <w:rPr>
          <w:snapToGrid w:val="0"/>
        </w:rPr>
        <w:tab/>
        <w:t>(ii)</w:t>
      </w:r>
      <w:r>
        <w:rPr>
          <w:snapToGrid w:val="0"/>
        </w:rPr>
        <w:tab/>
        <w:t>that the number of persons who may be admitted to membership, or to a particular class of membership, does not exceed any limit imposed by the licensing authority having regard to the nature of the club or the accommodation in respect of which the licence is sought; and</w:t>
      </w:r>
    </w:p>
    <w:p>
      <w:pPr>
        <w:pStyle w:val="Indenti"/>
        <w:keepLines/>
      </w:pPr>
      <w:r>
        <w:rPr>
          <w:snapToGrid w:val="0"/>
        </w:rPr>
        <w:tab/>
        <w:t>(iii)</w:t>
      </w:r>
      <w:r>
        <w:rPr>
          <w:snapToGrid w:val="0"/>
        </w:rPr>
        <w:tab/>
        <w:t xml:space="preserve">where provision is made for honorary or temporary membership — that the </w:t>
      </w:r>
      <w:r>
        <w:t>number of persons who may be admitted to such membership does not exceed any limit that the licensing authority, having regard to the nature of the club, may impose; and</w:t>
      </w:r>
    </w:p>
    <w:p>
      <w:pPr>
        <w:pStyle w:val="Indenti"/>
      </w:pPr>
      <w:r>
        <w:tab/>
        <w:t>(iv)</w:t>
      </w:r>
      <w:r>
        <w:tab/>
        <w:t xml:space="preserve">without limiting subparagraph (iii), that any provision for membership of the club by reason of reciprocal arrangements with another club is made in accordance with the regulations; </w:t>
      </w:r>
    </w:p>
    <w:p>
      <w:pPr>
        <w:pStyle w:val="Indenta"/>
        <w:rPr>
          <w:snapToGrid w:val="0"/>
        </w:rPr>
      </w:pPr>
      <w:r>
        <w:tab/>
      </w:r>
      <w:r>
        <w:tab/>
      </w:r>
      <w:r>
        <w:rPr>
          <w:snapToGrid w:val="0"/>
        </w:rPr>
        <w:t>and</w:t>
      </w:r>
    </w:p>
    <w:p>
      <w:pPr>
        <w:pStyle w:val="Indenta"/>
        <w:rPr>
          <w:snapToGrid w:val="0"/>
        </w:rPr>
      </w:pPr>
      <w:r>
        <w:rPr>
          <w:snapToGrid w:val="0"/>
        </w:rPr>
        <w:tab/>
        <w:t>(d)</w:t>
      </w:r>
      <w:r>
        <w:rPr>
          <w:snapToGrid w:val="0"/>
        </w:rPr>
        <w:tab/>
        <w:t>that provision is made for payment in advance of a defined annual, half</w:t>
      </w:r>
      <w:r>
        <w:rPr>
          <w:snapToGrid w:val="0"/>
        </w:rPr>
        <w:noBreakHyphen/>
        <w:t>yearly</w:t>
      </w:r>
      <w:r>
        <w:t xml:space="preserve">, quarterly or monthly </w:t>
      </w:r>
      <w:r>
        <w:rPr>
          <w:snapToGrid w:val="0"/>
        </w:rPr>
        <w:t>subscription by the ordinary members of the club; and</w:t>
      </w:r>
    </w:p>
    <w:p>
      <w:pPr>
        <w:pStyle w:val="Indenta"/>
        <w:rPr>
          <w:snapToGrid w:val="0"/>
        </w:rPr>
      </w:pPr>
      <w:r>
        <w:rPr>
          <w:snapToGrid w:val="0"/>
        </w:rPr>
        <w:tab/>
        <w:t>(e)</w:t>
      </w:r>
      <w:r>
        <w:rPr>
          <w:snapToGrid w:val="0"/>
        </w:rPr>
        <w:tab/>
        <w:t>that provision is made — </w:t>
      </w:r>
    </w:p>
    <w:p>
      <w:pPr>
        <w:pStyle w:val="Indenti"/>
        <w:rPr>
          <w:snapToGrid w:val="0"/>
        </w:rPr>
      </w:pPr>
      <w:r>
        <w:rPr>
          <w:snapToGrid w:val="0"/>
        </w:rPr>
        <w:tab/>
        <w:t>(i)</w:t>
      </w:r>
      <w:r>
        <w:rPr>
          <w:snapToGrid w:val="0"/>
        </w:rPr>
        <w:tab/>
        <w:t>for proper records to be kept of the proceedings of the club and of the committee of management; and</w:t>
      </w:r>
    </w:p>
    <w:p>
      <w:pPr>
        <w:pStyle w:val="Indenti"/>
        <w:rPr>
          <w:snapToGrid w:val="0"/>
        </w:rPr>
      </w:pPr>
      <w:r>
        <w:rPr>
          <w:snapToGrid w:val="0"/>
        </w:rPr>
        <w:tab/>
        <w:t>(ii)</w:t>
      </w:r>
      <w:r>
        <w:rPr>
          <w:snapToGrid w:val="0"/>
        </w:rPr>
        <w:tab/>
        <w:t>for proper accounts to be kept of the financial affairs of the club; and</w:t>
      </w:r>
    </w:p>
    <w:p>
      <w:pPr>
        <w:pStyle w:val="Indenti"/>
        <w:rPr>
          <w:snapToGrid w:val="0"/>
        </w:rPr>
      </w:pPr>
      <w:r>
        <w:rPr>
          <w:snapToGrid w:val="0"/>
        </w:rPr>
        <w:tab/>
        <w:t>(iii)</w:t>
      </w:r>
      <w:r>
        <w:rPr>
          <w:snapToGrid w:val="0"/>
        </w:rPr>
        <w:tab/>
        <w:t>in the case of an unincorporated club, for the appointment of a person as trustee to hold the licence for the club.</w:t>
      </w:r>
    </w:p>
    <w:p>
      <w:pPr>
        <w:pStyle w:val="Subsection"/>
        <w:rPr>
          <w:snapToGrid w:val="0"/>
        </w:rPr>
      </w:pPr>
      <w:r>
        <w:rPr>
          <w:snapToGrid w:val="0"/>
        </w:rPr>
        <w:tab/>
        <w:t>(4)</w:t>
      </w:r>
      <w:r>
        <w:rPr>
          <w:snapToGrid w:val="0"/>
        </w:rPr>
        <w:tab/>
        <w:t>The licensing authority may approve the constitution or rules of a club for the purposes of this section notwithstanding that subsection (3) is not complied with if it is satisfied that the club is a body to which Schedule 2 applies or that otherwise, having regard to the nature of the club, a proper reason exists for doing so.</w:t>
      </w:r>
    </w:p>
    <w:p>
      <w:pPr>
        <w:pStyle w:val="Subsection"/>
        <w:keepNext/>
        <w:rPr>
          <w:snapToGrid w:val="0"/>
        </w:rPr>
      </w:pPr>
      <w:r>
        <w:rPr>
          <w:snapToGrid w:val="0"/>
        </w:rPr>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t>
      </w:r>
      <w:smartTag w:uri="urn:schemas-microsoft-com:office:smarttags" w:element="place">
        <w:smartTag w:uri="urn:schemas-microsoft-com:office:smarttags" w:element="State">
          <w:r>
            <w:rPr>
              <w:snapToGrid w:val="0"/>
            </w:rPr>
            <w:t>Western Australia</w:t>
          </w:r>
        </w:smartTag>
      </w:smartTag>
      <w:r>
        <w:rPr>
          <w:snapToGrid w:val="0"/>
        </w:rPr>
        <w:t xml:space="preserve">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2015</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by No. 12 of 1998 s. 32; No. 73 of 2006 s. 39; No. 30 of 2015 s. 232.] </w:t>
      </w:r>
    </w:p>
    <w:p>
      <w:pPr>
        <w:pStyle w:val="Heading5"/>
        <w:rPr>
          <w:snapToGrid w:val="0"/>
        </w:rPr>
      </w:pPr>
      <w:bookmarkStart w:id="158" w:name="_Toc522197267"/>
      <w:r>
        <w:rPr>
          <w:rStyle w:val="CharSectno"/>
        </w:rPr>
        <w:t>50</w:t>
      </w:r>
      <w:r>
        <w:rPr>
          <w:snapToGrid w:val="0"/>
        </w:rPr>
        <w:t>.</w:t>
      </w:r>
      <w:r>
        <w:rPr>
          <w:snapToGrid w:val="0"/>
        </w:rPr>
        <w:tab/>
        <w:t>Restaurant licence, effect and conditions of</w:t>
      </w:r>
      <w:bookmarkEnd w:id="158"/>
    </w:p>
    <w:p>
      <w:pPr>
        <w:pStyle w:val="Subsection"/>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pPr>
        <w:pStyle w:val="Indenta"/>
        <w:keepNext/>
      </w:pPr>
      <w:r>
        <w:tab/>
        <w:t>(b)</w:t>
      </w:r>
      <w:r>
        <w:tab/>
        <w:t xml:space="preserve">the sale and consumption of the liquor are in accordance with any conditions — </w:t>
      </w:r>
    </w:p>
    <w:p>
      <w:pPr>
        <w:pStyle w:val="Indenti"/>
      </w:pPr>
      <w:r>
        <w:tab/>
        <w:t>(i)</w:t>
      </w:r>
      <w:r>
        <w:tab/>
        <w:t>imposed on the permit by the licensing authority; or</w:t>
      </w:r>
    </w:p>
    <w:p>
      <w:pPr>
        <w:pStyle w:val="Indenti"/>
      </w:pPr>
      <w:r>
        <w:tab/>
        <w:t>(ii)</w:t>
      </w:r>
      <w:r>
        <w:tab/>
        <w:t>prescribed for the purposes of this paragraph.</w:t>
      </w:r>
    </w:p>
    <w:p>
      <w:pPr>
        <w:pStyle w:val="Subsection"/>
        <w:rPr>
          <w:snapToGrid w:val="0"/>
        </w:rPr>
      </w:pPr>
      <w:r>
        <w:rPr>
          <w:snapToGrid w:val="0"/>
        </w:rPr>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keepNext/>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pPr>
        <w:pStyle w:val="Indenta"/>
        <w:rPr>
          <w:snapToGrid w:val="0"/>
        </w:rPr>
      </w:pPr>
      <w:r>
        <w:tab/>
        <w:t>(c)</w:t>
      </w:r>
      <w:r>
        <w:tab/>
        <w:t>the licensed premises must contain kitchen facilities that are suitable for the preparation of the meals to be supplied by the licensee.</w:t>
      </w:r>
    </w:p>
    <w:p>
      <w:pPr>
        <w:pStyle w:val="Footnotesection"/>
        <w:ind w:left="890" w:hanging="890"/>
      </w:pPr>
      <w:r>
        <w:tab/>
        <w:t xml:space="preserve">[Section 50 amended by No. 12 of 1998 s. 33; No. 73 of 2006 s. 40 and 108.] </w:t>
      </w:r>
    </w:p>
    <w:p>
      <w:pPr>
        <w:pStyle w:val="Heading5"/>
      </w:pPr>
      <w:bookmarkStart w:id="159" w:name="_Toc522197268"/>
      <w:r>
        <w:rPr>
          <w:rStyle w:val="CharSectno"/>
        </w:rPr>
        <w:t>50A</w:t>
      </w:r>
      <w:r>
        <w:t>.</w:t>
      </w:r>
      <w:r>
        <w:tab/>
        <w:t>Issue of extended trading permit under s. 60(4)(ca) for certain restaurant licences at time of grant</w:t>
      </w:r>
      <w:bookmarkEnd w:id="159"/>
    </w:p>
    <w:p>
      <w:pPr>
        <w:pStyle w:val="Subsection"/>
      </w:pPr>
      <w:r>
        <w:tab/>
        <w:t>(1)</w:t>
      </w:r>
      <w:r>
        <w:tab/>
        <w:t xml:space="preserve">Subsection (2) applies if — </w:t>
      </w:r>
    </w:p>
    <w:p>
      <w:pPr>
        <w:pStyle w:val="Indenta"/>
      </w:pPr>
      <w:r>
        <w:tab/>
        <w:t>(a)</w:t>
      </w:r>
      <w:r>
        <w:tab/>
        <w:t>the licensing authority decides to grant a restaurant licence subject to a condition limiting the maximum number of persons (excluding responsible persons and authorised officers) who may be on the licensed premises to 120; and</w:t>
      </w:r>
    </w:p>
    <w:p>
      <w:pPr>
        <w:pStyle w:val="Indenta"/>
      </w:pPr>
      <w:r>
        <w:tab/>
        <w:t>(b)</w:t>
      </w:r>
      <w:r>
        <w:tab/>
        <w:t>the application for the restaurant licence specifies that an extended trading permit under section 60(4)(ca) is also sought in respect of the premises to which the application relates.</w:t>
      </w:r>
    </w:p>
    <w:p>
      <w:pPr>
        <w:pStyle w:val="Subsection"/>
      </w:pPr>
      <w:r>
        <w:tab/>
        <w:t>(2)</w:t>
      </w:r>
      <w:r>
        <w:tab/>
        <w:t>When the licensing authority grants the restaurant licence the licensing authority may issue an extended trading permit under section 60(4)(ca) in respect of the licensed premises.</w:t>
      </w:r>
    </w:p>
    <w:p>
      <w:pPr>
        <w:pStyle w:val="Footnotesection"/>
      </w:pPr>
      <w:r>
        <w:tab/>
        <w:t>[Section 50A inserted by No. 9 of 2018 s. 27.]</w:t>
      </w:r>
    </w:p>
    <w:p>
      <w:pPr>
        <w:pStyle w:val="Heading5"/>
        <w:rPr>
          <w:snapToGrid w:val="0"/>
        </w:rPr>
      </w:pPr>
      <w:bookmarkStart w:id="160" w:name="_Toc522197269"/>
      <w:r>
        <w:rPr>
          <w:rStyle w:val="CharSectno"/>
        </w:rPr>
        <w:t>51</w:t>
      </w:r>
      <w:r>
        <w:rPr>
          <w:snapToGrid w:val="0"/>
        </w:rPr>
        <w:t>.</w:t>
      </w:r>
      <w:r>
        <w:rPr>
          <w:snapToGrid w:val="0"/>
        </w:rPr>
        <w:tab/>
        <w:t>Unlicensed restaurants, supply of liquor in</w:t>
      </w:r>
      <w:bookmarkEnd w:id="160"/>
    </w:p>
    <w:p>
      <w:pPr>
        <w:pStyle w:val="Ednotesubsection"/>
      </w:pPr>
      <w:r>
        <w:tab/>
        <w:t>[(1)</w:t>
      </w:r>
      <w:r>
        <w:tab/>
        <w:t>deleted]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20"/>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spacing w:before="120"/>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being the occupier, or having the management or control, of an unlicensed restaurant; or</w:t>
      </w:r>
    </w:p>
    <w:p>
      <w:pPr>
        <w:pStyle w:val="Indenta"/>
        <w:keepNext/>
        <w:rPr>
          <w:snapToGrid w:val="0"/>
        </w:rPr>
      </w:pPr>
      <w:r>
        <w:rPr>
          <w:snapToGrid w:val="0"/>
        </w:rPr>
        <w:tab/>
        <w:t>(b)</w:t>
      </w:r>
      <w:r>
        <w:rPr>
          <w:snapToGrid w:val="0"/>
        </w:rPr>
        <w:tab/>
        <w:t>being employed by or the agent of such a person,</w:t>
      </w:r>
    </w:p>
    <w:p>
      <w:pPr>
        <w:pStyle w:val="Subsection"/>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 xml:space="preserve">[Section 51 amended by No. 12 of 1998 s. 34; No. 73 of 2006 s. 110; No. 56 of 2010 s. 69.] </w:t>
      </w:r>
    </w:p>
    <w:p>
      <w:pPr>
        <w:pStyle w:val="Heading5"/>
        <w:rPr>
          <w:snapToGrid w:val="0"/>
        </w:rPr>
      </w:pPr>
      <w:bookmarkStart w:id="161" w:name="_Toc522197270"/>
      <w:r>
        <w:rPr>
          <w:rStyle w:val="CharSectno"/>
        </w:rPr>
        <w:t>52</w:t>
      </w:r>
      <w:r>
        <w:rPr>
          <w:snapToGrid w:val="0"/>
        </w:rPr>
        <w:t>.</w:t>
      </w:r>
      <w:r>
        <w:rPr>
          <w:snapToGrid w:val="0"/>
        </w:rPr>
        <w:tab/>
        <w:t>Liquor sold or consumed with meals, effect of extended trading permit which authorises; evidentiary provisions</w:t>
      </w:r>
      <w:bookmarkEnd w:id="161"/>
    </w:p>
    <w:p>
      <w:pPr>
        <w:pStyle w:val="Subsection"/>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 and</w:t>
      </w:r>
    </w:p>
    <w:p>
      <w:pPr>
        <w:pStyle w:val="Indenta"/>
        <w:rPr>
          <w:snapToGrid w:val="0"/>
        </w:rPr>
      </w:pPr>
      <w:r>
        <w:rPr>
          <w:snapToGrid w:val="0"/>
        </w:rPr>
        <w:tab/>
        <w:t>(b)</w:t>
      </w:r>
      <w:r>
        <w:rPr>
          <w:snapToGrid w:val="0"/>
        </w:rPr>
        <w:tab/>
        <w:t>that the meal was served to, or was eaten by, persons seated at a dining table; and</w:t>
      </w:r>
    </w:p>
    <w:p>
      <w:pPr>
        <w:pStyle w:val="Indenta"/>
        <w:rPr>
          <w:snapToGrid w:val="0"/>
        </w:rPr>
      </w:pPr>
      <w:r>
        <w:rPr>
          <w:snapToGrid w:val="0"/>
        </w:rPr>
        <w:tab/>
        <w:t>(c)</w:t>
      </w:r>
      <w:r>
        <w:rPr>
          <w:snapToGrid w:val="0"/>
        </w:rPr>
        <w:tab/>
        <w:t>that the primary and predominant purpose of persons entering the licensed premises was to obtain a genuine meal; and</w:t>
      </w:r>
    </w:p>
    <w:p>
      <w:pPr>
        <w:pStyle w:val="Indenta"/>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by No. 84 of 2004 s. 80.] </w:t>
      </w:r>
    </w:p>
    <w:p>
      <w:pPr>
        <w:pStyle w:val="Heading5"/>
        <w:rPr>
          <w:snapToGrid w:val="0"/>
        </w:rPr>
      </w:pPr>
      <w:bookmarkStart w:id="162" w:name="_Toc522197271"/>
      <w:r>
        <w:rPr>
          <w:rStyle w:val="CharSectno"/>
        </w:rPr>
        <w:t>53</w:t>
      </w:r>
      <w:r>
        <w:rPr>
          <w:snapToGrid w:val="0"/>
        </w:rPr>
        <w:t>.</w:t>
      </w:r>
      <w:r>
        <w:rPr>
          <w:snapToGrid w:val="0"/>
        </w:rPr>
        <w:tab/>
        <w:t>Restaurant licence and extended trading permit, effect of may be restricted as to selling liquor with meals</w:t>
      </w:r>
      <w:bookmarkEnd w:id="162"/>
    </w:p>
    <w:p>
      <w:pPr>
        <w:pStyle w:val="Subsection"/>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rPr>
          <w:snapToGrid w:val="0"/>
        </w:rPr>
      </w:pPr>
      <w:r>
        <w:rPr>
          <w:snapToGrid w:val="0"/>
        </w:rPr>
        <w:tab/>
        <w:t>(a)</w:t>
      </w:r>
      <w:r>
        <w:rPr>
          <w:snapToGrid w:val="0"/>
        </w:rPr>
        <w:tab/>
        <w:t>by the imposition, on the grant of the licence or the issue of the permit, of conditions requiring — </w:t>
      </w:r>
    </w:p>
    <w:p>
      <w:pPr>
        <w:pStyle w:val="Indenti"/>
        <w:rPr>
          <w:snapToGrid w:val="0"/>
        </w:rPr>
      </w:pPr>
      <w:r>
        <w:rPr>
          <w:snapToGrid w:val="0"/>
        </w:rPr>
        <w:tab/>
        <w:t>(i)</w:t>
      </w:r>
      <w:r>
        <w:rPr>
          <w:snapToGrid w:val="0"/>
        </w:rPr>
        <w:tab/>
        <w:t>that trading be restricted to specified hours; or</w:t>
      </w:r>
    </w:p>
    <w:p>
      <w:pPr>
        <w:pStyle w:val="Indenti"/>
        <w:rPr>
          <w:snapToGrid w:val="0"/>
        </w:rPr>
      </w:pPr>
      <w:r>
        <w:rPr>
          <w:snapToGrid w:val="0"/>
        </w:rPr>
        <w:tab/>
        <w:t>(ii)</w:t>
      </w:r>
      <w:r>
        <w:rPr>
          <w:snapToGrid w:val="0"/>
        </w:rPr>
        <w:tab/>
        <w:t>that liquor be served and consumed at a dining table and not elsewhere; or</w:t>
      </w:r>
    </w:p>
    <w:p>
      <w:pPr>
        <w:pStyle w:val="Indenti"/>
        <w:rPr>
          <w:snapToGrid w:val="0"/>
        </w:rPr>
      </w:pPr>
      <w:r>
        <w:rPr>
          <w:snapToGrid w:val="0"/>
        </w:rPr>
        <w:tab/>
        <w:t>(iii)</w:t>
      </w:r>
      <w:r>
        <w:rPr>
          <w:snapToGrid w:val="0"/>
        </w:rPr>
        <w:tab/>
        <w:t>that furniture or fittings be provided or arranged in a specified manner; or</w:t>
      </w:r>
    </w:p>
    <w:p>
      <w:pPr>
        <w:pStyle w:val="Indenti"/>
        <w:rPr>
          <w:snapToGrid w:val="0"/>
        </w:rPr>
      </w:pPr>
      <w:r>
        <w:rPr>
          <w:snapToGrid w:val="0"/>
        </w:rPr>
        <w:tab/>
        <w:t>(iv)</w:t>
      </w:r>
      <w:r>
        <w:rPr>
          <w:snapToGrid w:val="0"/>
        </w:rPr>
        <w:tab/>
        <w:t>that any specified, or specified kind, of charge is not levied; or</w:t>
      </w:r>
    </w:p>
    <w:p>
      <w:pPr>
        <w:pStyle w:val="Indenti"/>
        <w:rPr>
          <w:snapToGrid w:val="0"/>
        </w:rPr>
      </w:pPr>
      <w:r>
        <w:rPr>
          <w:snapToGrid w:val="0"/>
        </w:rPr>
        <w:tab/>
        <w:t>(v)</w:t>
      </w:r>
      <w:r>
        <w:rPr>
          <w:snapToGrid w:val="0"/>
        </w:rPr>
        <w:tab/>
        <w:t>that the premises be maintained to a specified standard; or</w:t>
      </w:r>
    </w:p>
    <w:p>
      <w:pPr>
        <w:pStyle w:val="Indenti"/>
        <w:rPr>
          <w:snapToGrid w:val="0"/>
        </w:rPr>
      </w:pPr>
      <w:r>
        <w:rPr>
          <w:snapToGrid w:val="0"/>
        </w:rPr>
        <w:tab/>
        <w:t>(vi)</w:t>
      </w:r>
      <w:r>
        <w:rPr>
          <w:snapToGrid w:val="0"/>
        </w:rPr>
        <w:tab/>
        <w:t>that specified records be kept and made available for inspection on behalf of the licensing authority,</w:t>
      </w:r>
    </w:p>
    <w:p>
      <w:pPr>
        <w:pStyle w:val="Indenta"/>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spacing w:before="120"/>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condition imposed.</w:t>
      </w:r>
    </w:p>
    <w:p>
      <w:pPr>
        <w:pStyle w:val="Ednotesection"/>
        <w:spacing w:before="240"/>
      </w:pPr>
      <w:r>
        <w:t>[</w:t>
      </w:r>
      <w:r>
        <w:rPr>
          <w:b/>
        </w:rPr>
        <w:t>54.</w:t>
      </w:r>
      <w:r>
        <w:rPr>
          <w:b/>
        </w:rPr>
        <w:tab/>
      </w:r>
      <w:r>
        <w:t xml:space="preserve">Deleted by No. 12 of 1998 s. 35(1).] </w:t>
      </w:r>
    </w:p>
    <w:p>
      <w:pPr>
        <w:pStyle w:val="Heading5"/>
        <w:spacing w:before="240"/>
        <w:rPr>
          <w:snapToGrid w:val="0"/>
        </w:rPr>
      </w:pPr>
      <w:bookmarkStart w:id="163" w:name="_Toc522197272"/>
      <w:r>
        <w:rPr>
          <w:rStyle w:val="CharSectno"/>
        </w:rPr>
        <w:t>55</w:t>
      </w:r>
      <w:r>
        <w:rPr>
          <w:snapToGrid w:val="0"/>
        </w:rPr>
        <w:t>.</w:t>
      </w:r>
      <w:r>
        <w:rPr>
          <w:snapToGrid w:val="0"/>
        </w:rPr>
        <w:tab/>
        <w:t>Producer’s licence, effect of</w:t>
      </w:r>
      <w:bookmarkEnd w:id="163"/>
    </w:p>
    <w:p>
      <w:pPr>
        <w:pStyle w:val="Subsection"/>
        <w:rPr>
          <w:snapToGrid w:val="0"/>
        </w:rPr>
      </w:pPr>
      <w:r>
        <w:rPr>
          <w:snapToGrid w:val="0"/>
        </w:rPr>
        <w:tab/>
        <w:t>(1)</w:t>
      </w:r>
      <w:r>
        <w:rPr>
          <w:snapToGrid w:val="0"/>
        </w:rPr>
        <w:tab/>
        <w:t>Subject to this Act the licensee of a producer’s licence is, during permitted hours, authorised — </w:t>
      </w:r>
    </w:p>
    <w:p>
      <w:pPr>
        <w:pStyle w:val="Indenta"/>
      </w:pPr>
      <w:r>
        <w:tab/>
        <w:t>(a)</w:t>
      </w:r>
      <w:r>
        <w:tab/>
        <w:t>to sell or supply (including by way of sample) on the licensed premises liquor produced by the licensee for consumption on a part of the licensed premises approved for the purpose by the Director; and</w:t>
      </w:r>
    </w:p>
    <w:p>
      <w:pPr>
        <w:pStyle w:val="Indenta"/>
      </w:pPr>
      <w:r>
        <w:tab/>
        <w:t>(b)</w:t>
      </w:r>
      <w:r>
        <w:tab/>
        <w:t>to sell or supply on or from the licensed premises liquor produced by the licensee for consumption off the licensed premises; and</w:t>
      </w:r>
    </w:p>
    <w:p>
      <w:pPr>
        <w:pStyle w:val="Indenta"/>
      </w:pPr>
      <w:r>
        <w:tab/>
        <w:t>(c)</w:t>
      </w:r>
      <w:r>
        <w:tab/>
        <w:t xml:space="preserve">to sell or supply liquor, other than liquor produced by the licensee, on the licensed premises — </w:t>
      </w:r>
    </w:p>
    <w:p>
      <w:pPr>
        <w:pStyle w:val="Indenti"/>
      </w:pPr>
      <w:r>
        <w:tab/>
        <w:t>(i)</w:t>
      </w:r>
      <w:r>
        <w:tab/>
        <w:t>if the liquor is consumed ancillary to a meal in a dining area on the licensed premises; or</w:t>
      </w:r>
    </w:p>
    <w:p>
      <w:pPr>
        <w:pStyle w:val="Indenti"/>
      </w:pPr>
      <w:r>
        <w:tab/>
        <w:t>(ii)</w:t>
      </w:r>
      <w:r>
        <w:tab/>
        <w:t>only for the purposes of tasting.</w:t>
      </w:r>
    </w:p>
    <w:p>
      <w:pPr>
        <w:pStyle w:val="Ednotesubsection"/>
      </w:pPr>
      <w:r>
        <w:tab/>
        <w:t>[(1a)</w:t>
      </w:r>
      <w:r>
        <w:tab/>
        <w:t>deleted]</w:t>
      </w:r>
    </w:p>
    <w:p>
      <w:pPr>
        <w:pStyle w:val="Subsection"/>
        <w:spacing w:before="120"/>
      </w:pPr>
      <w:r>
        <w:tab/>
        <w:t>(2A)</w:t>
      </w:r>
      <w:r>
        <w:tab/>
        <w:t xml:space="preserve">The licensee of a producer’s licence is authorised to sell liquor produced by the licensee from any place if — </w:t>
      </w:r>
    </w:p>
    <w:p>
      <w:pPr>
        <w:pStyle w:val="Indenta"/>
      </w:pPr>
      <w:r>
        <w:tab/>
        <w:t>(a)</w:t>
      </w:r>
      <w:r>
        <w:tab/>
        <w:t xml:space="preserve">the sale of liquor is made — </w:t>
      </w:r>
    </w:p>
    <w:p>
      <w:pPr>
        <w:pStyle w:val="Indenti"/>
        <w:spacing w:before="60"/>
      </w:pPr>
      <w:r>
        <w:tab/>
        <w:t>(i)</w:t>
      </w:r>
      <w:r>
        <w:tab/>
        <w:t>by way of a telephone; or</w:t>
      </w:r>
    </w:p>
    <w:p>
      <w:pPr>
        <w:pStyle w:val="Indenti"/>
        <w:spacing w:before="60"/>
      </w:pPr>
      <w:r>
        <w:tab/>
        <w:t>(ii)</w:t>
      </w:r>
      <w:r>
        <w:tab/>
        <w:t>by way of the internet;</w:t>
      </w:r>
    </w:p>
    <w:p>
      <w:pPr>
        <w:pStyle w:val="Indenta"/>
        <w:spacing w:before="60"/>
      </w:pPr>
      <w:r>
        <w:tab/>
      </w:r>
      <w:r>
        <w:tab/>
        <w:t>and</w:t>
      </w:r>
    </w:p>
    <w:p>
      <w:pPr>
        <w:pStyle w:val="Indenta"/>
      </w:pPr>
      <w:r>
        <w:tab/>
        <w:t>(b)</w:t>
      </w:r>
      <w:r>
        <w:tab/>
        <w:t>after the sale is made under paragraph (a), the liquor is delivered to the purchaser, or to premises specified by the purchaser, from the licensed premises.</w:t>
      </w:r>
    </w:p>
    <w:p>
      <w:pPr>
        <w:pStyle w:val="Subsection"/>
        <w:spacing w:before="120"/>
        <w:rPr>
          <w:snapToGrid w:val="0"/>
        </w:rPr>
      </w:pPr>
      <w:r>
        <w:rPr>
          <w:snapToGrid w:val="0"/>
        </w:rPr>
        <w:tab/>
        <w:t>(2)</w:t>
      </w:r>
      <w:r>
        <w:rPr>
          <w:snapToGrid w:val="0"/>
        </w:rPr>
        <w:tab/>
        <w:t>A producer’s licence shall not be granted other than in accordance with this Act and any conditions prescribed.</w:t>
      </w:r>
    </w:p>
    <w:p>
      <w:pPr>
        <w:pStyle w:val="Subsection"/>
        <w:spacing w:before="120"/>
        <w:rPr>
          <w:snapToGrid w:val="0"/>
        </w:rPr>
      </w:pPr>
      <w:r>
        <w:rPr>
          <w:snapToGrid w:val="0"/>
        </w:rPr>
        <w:tab/>
        <w:t>(3)</w:t>
      </w:r>
      <w:r>
        <w:rPr>
          <w:snapToGrid w:val="0"/>
        </w:rPr>
        <w:tab/>
        <w:t xml:space="preserve">Where the licensee is a body </w:t>
      </w:r>
      <w:r>
        <w:t>corporate, liquor</w:t>
      </w:r>
      <w:r>
        <w:rPr>
          <w:snapToGrid w:val="0"/>
        </w:rPr>
        <w:t xml:space="preserve"> produced by a related body corporate shall be deemed to have been produced by the licensee.</w:t>
      </w:r>
    </w:p>
    <w:p>
      <w:pPr>
        <w:pStyle w:val="Footnotesection"/>
        <w:spacing w:before="80"/>
        <w:ind w:left="890" w:hanging="890"/>
      </w:pPr>
      <w:r>
        <w:tab/>
        <w:t xml:space="preserve">[Section 55 amended by No. 12 of 1998 s. 36; No. 73 of 2006 s. 41; No. 56 of 2010 s. 42; No. 35 of 2015 s. 6; No. 9 of 2018 s. 28.] </w:t>
      </w:r>
    </w:p>
    <w:p>
      <w:pPr>
        <w:pStyle w:val="Heading5"/>
        <w:spacing w:before="180"/>
        <w:rPr>
          <w:snapToGrid w:val="0"/>
        </w:rPr>
      </w:pPr>
      <w:bookmarkStart w:id="164" w:name="_Toc522197273"/>
      <w:r>
        <w:rPr>
          <w:rStyle w:val="CharSectno"/>
        </w:rPr>
        <w:t>56</w:t>
      </w:r>
      <w:r>
        <w:rPr>
          <w:snapToGrid w:val="0"/>
        </w:rPr>
        <w:t>.</w:t>
      </w:r>
      <w:r>
        <w:rPr>
          <w:snapToGrid w:val="0"/>
        </w:rPr>
        <w:tab/>
        <w:t>Production of liquor by person, presumption of</w:t>
      </w:r>
      <w:bookmarkEnd w:id="164"/>
    </w:p>
    <w:p>
      <w:pPr>
        <w:pStyle w:val="Subsection"/>
        <w:keepNext/>
        <w:spacing w:before="120"/>
        <w:rPr>
          <w:snapToGrid w:val="0"/>
        </w:rPr>
      </w:pPr>
      <w:r>
        <w:rPr>
          <w:snapToGrid w:val="0"/>
        </w:rPr>
        <w:tab/>
        <w:t>(1)</w:t>
      </w:r>
      <w:r>
        <w:rPr>
          <w:snapToGrid w:val="0"/>
        </w:rPr>
        <w:tab/>
        <w:t>For the purposes of this Act, a person shall be taken to have produced liquor — </w:t>
      </w:r>
    </w:p>
    <w:p>
      <w:pPr>
        <w:pStyle w:val="Indenta"/>
        <w:spacing w:before="60"/>
        <w:rPr>
          <w:snapToGrid w:val="0"/>
        </w:rPr>
      </w:pPr>
      <w:r>
        <w:rPr>
          <w:snapToGrid w:val="0"/>
        </w:rPr>
        <w:tab/>
        <w:t>(a)</w:t>
      </w:r>
      <w:r>
        <w:rPr>
          <w:snapToGrid w:val="0"/>
        </w:rPr>
        <w:tab/>
        <w:t>being wine made from grapes — </w:t>
      </w:r>
    </w:p>
    <w:p>
      <w:pPr>
        <w:pStyle w:val="Indenti"/>
        <w:spacing w:before="60"/>
        <w:rPr>
          <w:snapToGrid w:val="0"/>
        </w:rPr>
      </w:pPr>
      <w:r>
        <w:rPr>
          <w:snapToGrid w:val="0"/>
        </w:rPr>
        <w:tab/>
        <w:t>(i)</w:t>
      </w:r>
      <w:r>
        <w:rPr>
          <w:snapToGrid w:val="0"/>
        </w:rPr>
        <w:tab/>
        <w:t>if it was fermented by, or under the control or direction of, that person; or</w:t>
      </w:r>
    </w:p>
    <w:p>
      <w:pPr>
        <w:pStyle w:val="Indenti"/>
        <w:spacing w:before="60"/>
        <w:rPr>
          <w:snapToGrid w:val="0"/>
        </w:rPr>
      </w:pPr>
      <w:r>
        <w:rPr>
          <w:snapToGrid w:val="0"/>
        </w:rPr>
        <w:tab/>
        <w:t>(ii)</w:t>
      </w:r>
      <w:r>
        <w:rPr>
          <w:snapToGrid w:val="0"/>
        </w:rPr>
        <w:tab/>
        <w:t xml:space="preserve">if, in the case of wine produced by blending, all the wine used was fermented from produce grown or produced in </w:t>
      </w:r>
      <w:smartTag w:uri="urn:schemas-microsoft-com:office:smarttags" w:element="place">
        <w:smartTag w:uri="urn:schemas-microsoft-com:office:smarttags" w:element="country-region">
          <w:r>
            <w:rPr>
              <w:snapToGrid w:val="0"/>
            </w:rPr>
            <w:t>Australia</w:t>
          </w:r>
        </w:smartTag>
      </w:smartTag>
      <w:r>
        <w:rPr>
          <w:snapToGrid w:val="0"/>
        </w:rPr>
        <w:t xml:space="preserve">; </w:t>
      </w:r>
    </w:p>
    <w:p>
      <w:pPr>
        <w:pStyle w:val="Indenta"/>
        <w:spacing w:before="40"/>
        <w:rPr>
          <w:snapToGrid w:val="0"/>
        </w:rPr>
      </w:pPr>
      <w:r>
        <w:rPr>
          <w:snapToGrid w:val="0"/>
        </w:rPr>
        <w:tab/>
      </w:r>
      <w:r>
        <w:rPr>
          <w:snapToGrid w:val="0"/>
        </w:rPr>
        <w:tab/>
        <w:t>or</w:t>
      </w:r>
    </w:p>
    <w:p>
      <w:pPr>
        <w:pStyle w:val="Indenta"/>
        <w:rPr>
          <w:snapToGrid w:val="0"/>
        </w:rPr>
      </w:pPr>
      <w:r>
        <w:rPr>
          <w:snapToGrid w:val="0"/>
        </w:rPr>
        <w:tab/>
        <w:t>(b)</w:t>
      </w:r>
      <w:r>
        <w:rPr>
          <w:snapToGrid w:val="0"/>
        </w:rPr>
        <w:tab/>
        <w:t>being wine not made from grapes, if it was fermented or otherwise made from produce grown, produced or obtained by that person; or</w:t>
      </w:r>
    </w:p>
    <w:p>
      <w:pPr>
        <w:pStyle w:val="Indenta"/>
      </w:pPr>
      <w:r>
        <w:tab/>
        <w:t>(ba)</w:t>
      </w:r>
      <w:r>
        <w:tab/>
        <w:t xml:space="preserve">being spirits made from wine — </w:t>
      </w:r>
    </w:p>
    <w:p>
      <w:pPr>
        <w:pStyle w:val="Indenti"/>
      </w:pPr>
      <w:r>
        <w:tab/>
        <w:t>(i)</w:t>
      </w:r>
      <w:r>
        <w:tab/>
        <w:t>if it was distilled by that person; or</w:t>
      </w:r>
    </w:p>
    <w:p>
      <w:pPr>
        <w:pStyle w:val="Indenti"/>
      </w:pPr>
      <w:r>
        <w:tab/>
        <w:t>(ii)</w:t>
      </w:r>
      <w:r>
        <w:tab/>
        <w:t>if it was distilled under the control or direction of that person from wine produced by that person;</w:t>
      </w:r>
    </w:p>
    <w:p>
      <w:pPr>
        <w:pStyle w:val="Indenta"/>
      </w:pPr>
      <w:r>
        <w:tab/>
      </w:r>
      <w:r>
        <w:tab/>
        <w:t>or</w:t>
      </w:r>
    </w:p>
    <w:p>
      <w:pPr>
        <w:pStyle w:val="Indenta"/>
        <w:rPr>
          <w:snapToGrid w:val="0"/>
        </w:rPr>
      </w:pPr>
      <w:r>
        <w:rPr>
          <w:snapToGrid w:val="0"/>
        </w:rPr>
        <w:tab/>
        <w:t>(c)</w:t>
      </w:r>
      <w:r>
        <w:rPr>
          <w:snapToGrid w:val="0"/>
        </w:rPr>
        <w:tab/>
        <w:t xml:space="preserve">being </w:t>
      </w:r>
      <w:r>
        <w:t xml:space="preserve">spirits not made from wine, </w:t>
      </w:r>
      <w:r>
        <w:rPr>
          <w:snapToGrid w:val="0"/>
        </w:rPr>
        <w:t>if it was distilled by that person; or</w:t>
      </w:r>
    </w:p>
    <w:p>
      <w:pPr>
        <w:pStyle w:val="Indenta"/>
        <w:rPr>
          <w:snapToGrid w:val="0"/>
        </w:rPr>
      </w:pPr>
      <w:r>
        <w:rPr>
          <w:snapToGrid w:val="0"/>
        </w:rPr>
        <w:tab/>
        <w:t>(d)</w:t>
      </w:r>
      <w:r>
        <w:rPr>
          <w:snapToGrid w:val="0"/>
        </w:rPr>
        <w:tab/>
        <w:t>being beer, if it was brewed by that person.</w:t>
      </w:r>
    </w:p>
    <w:p>
      <w:pPr>
        <w:pStyle w:val="Subsection"/>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by No. 74 of 2003 s. 78; No. 9 of 2018 s. 29.]</w:t>
      </w:r>
    </w:p>
    <w:p>
      <w:pPr>
        <w:pStyle w:val="Heading5"/>
        <w:spacing w:before="180"/>
        <w:rPr>
          <w:snapToGrid w:val="0"/>
        </w:rPr>
      </w:pPr>
      <w:bookmarkStart w:id="165" w:name="_Toc522197274"/>
      <w:r>
        <w:rPr>
          <w:rStyle w:val="CharSectno"/>
        </w:rPr>
        <w:t>57</w:t>
      </w:r>
      <w:r>
        <w:rPr>
          <w:snapToGrid w:val="0"/>
        </w:rPr>
        <w:t>.</w:t>
      </w:r>
      <w:r>
        <w:rPr>
          <w:snapToGrid w:val="0"/>
        </w:rPr>
        <w:tab/>
        <w:t>Producer’s licence, pre-requisites for grant of</w:t>
      </w:r>
      <w:bookmarkEnd w:id="165"/>
    </w:p>
    <w:p>
      <w:pPr>
        <w:pStyle w:val="Subsection"/>
        <w:spacing w:before="120"/>
      </w:pPr>
      <w:r>
        <w:tab/>
        <w:t>(1)</w:t>
      </w:r>
      <w:r>
        <w:tab/>
        <w:t>In this section —</w:t>
      </w:r>
    </w:p>
    <w:p>
      <w:pPr>
        <w:pStyle w:val="Defstart"/>
      </w:pPr>
      <w:r>
        <w:tab/>
      </w:r>
      <w:r>
        <w:rPr>
          <w:rStyle w:val="CharDefText"/>
        </w:rPr>
        <w:t>relevant liquor</w:t>
      </w:r>
      <w:r>
        <w:t xml:space="preserve"> means liquor of the kind sought to be authorised for sale under the licence;</w:t>
      </w:r>
    </w:p>
    <w:p>
      <w:pPr>
        <w:pStyle w:val="Defstart"/>
      </w:pPr>
      <w:r>
        <w:tab/>
      </w:r>
      <w:r>
        <w:rPr>
          <w:rStyle w:val="CharDefText"/>
        </w:rPr>
        <w:t>relevant period</w:t>
      </w:r>
      <w:r>
        <w:t xml:space="preserve"> means the period of 12 months from the date on which the licence, if granted, will come into force.</w:t>
      </w:r>
    </w:p>
    <w:p>
      <w:pPr>
        <w:pStyle w:val="Subsection"/>
        <w:rPr>
          <w:snapToGrid w:val="0"/>
        </w:rPr>
      </w:pPr>
      <w:r>
        <w:rPr>
          <w:snapToGrid w:val="0"/>
        </w:rPr>
        <w:tab/>
        <w:t>(2)</w:t>
      </w:r>
      <w:r>
        <w:rPr>
          <w:snapToGrid w:val="0"/>
        </w:rPr>
        <w:tab/>
      </w:r>
      <w:r>
        <w:t xml:space="preserve">An applicant </w:t>
      </w:r>
      <w:r>
        <w:rPr>
          <w:snapToGrid w:val="0"/>
        </w:rPr>
        <w:t>for the grant of a producer’s licence must satisfy the licensing authority — </w:t>
      </w:r>
    </w:p>
    <w:p>
      <w:pPr>
        <w:pStyle w:val="Indenta"/>
      </w:pPr>
      <w:r>
        <w:tab/>
        <w:t>(a)</w:t>
      </w:r>
      <w:r>
        <w:tab/>
        <w:t>that the applicant is, or within the relevant period will become, a genuine producer of the relevant liquor; and</w:t>
      </w:r>
    </w:p>
    <w:p>
      <w:pPr>
        <w:pStyle w:val="Indenta"/>
      </w:pPr>
      <w:r>
        <w:tab/>
        <w:t>(b)</w:t>
      </w:r>
      <w:r>
        <w:tab/>
        <w:t>that the applicant carries on, or within the relevant period will commence to carry on, a genuine business of the sale of the relevant liquor; and</w:t>
      </w:r>
    </w:p>
    <w:p>
      <w:pPr>
        <w:pStyle w:val="Indenta"/>
      </w:pPr>
      <w:r>
        <w:tab/>
        <w:t>(ca)</w:t>
      </w:r>
      <w:r>
        <w:tab/>
        <w:t>that the applicant produces, or within the relevant period will commence production of, a sufficient quantity of the relevant liquor to be able to carry on the business referred to in paragraph (b); and</w:t>
      </w:r>
    </w:p>
    <w:p>
      <w:pPr>
        <w:pStyle w:val="Indenta"/>
        <w:rPr>
          <w:snapToGrid w:val="0"/>
        </w:rPr>
      </w:pPr>
      <w:r>
        <w:rPr>
          <w:snapToGrid w:val="0"/>
        </w:rPr>
        <w:tab/>
        <w:t>(c)</w:t>
      </w:r>
      <w:r>
        <w:rPr>
          <w:snapToGrid w:val="0"/>
        </w:rPr>
        <w:tab/>
        <w:t>that the premises in relation to which the licence is sought are suitable for the purpose proposed; and</w:t>
      </w:r>
    </w:p>
    <w:p>
      <w:pPr>
        <w:pStyle w:val="Indenta"/>
        <w:keepNext/>
        <w:rPr>
          <w:snapToGrid w:val="0"/>
        </w:rPr>
      </w:pPr>
      <w:r>
        <w:rPr>
          <w:snapToGrid w:val="0"/>
        </w:rPr>
        <w:tab/>
        <w:t>(d)</w:t>
      </w:r>
      <w:r>
        <w:rPr>
          <w:snapToGrid w:val="0"/>
        </w:rPr>
        <w:tab/>
        <w:t>that the applicant meets such requirements as are prescribed for the purposes of this paragraph.</w:t>
      </w:r>
    </w:p>
    <w:p>
      <w:pPr>
        <w:pStyle w:val="Subsection"/>
      </w:pPr>
      <w:r>
        <w:tab/>
        <w:t>(3)</w:t>
      </w:r>
      <w:r>
        <w:tab/>
        <w:t>Every producer’s licence is subject to the condition that, unless the Director approves otherwise, the licensee must produce a sufficient quantity of the relevant liquor to be able to carry on the business referred to in subsection (2)(b).</w:t>
      </w:r>
    </w:p>
    <w:p>
      <w:pPr>
        <w:pStyle w:val="Footnotesection"/>
        <w:ind w:left="890" w:hanging="890"/>
      </w:pPr>
      <w:r>
        <w:tab/>
        <w:t xml:space="preserve">[Section 57 amended by No. 12 of 1998 s. 37; No. 56 of 2010 s. 43.] </w:t>
      </w:r>
    </w:p>
    <w:p>
      <w:pPr>
        <w:pStyle w:val="Heading5"/>
        <w:rPr>
          <w:snapToGrid w:val="0"/>
        </w:rPr>
      </w:pPr>
      <w:bookmarkStart w:id="166" w:name="_Toc522197275"/>
      <w:r>
        <w:rPr>
          <w:rStyle w:val="CharSectno"/>
        </w:rPr>
        <w:t>58</w:t>
      </w:r>
      <w:r>
        <w:rPr>
          <w:snapToGrid w:val="0"/>
        </w:rPr>
        <w:t>.</w:t>
      </w:r>
      <w:r>
        <w:rPr>
          <w:snapToGrid w:val="0"/>
        </w:rPr>
        <w:tab/>
        <w:t>Wholesaler’s licence, effect and conditions of</w:t>
      </w:r>
      <w:bookmarkEnd w:id="166"/>
    </w:p>
    <w:p>
      <w:pPr>
        <w:pStyle w:val="Subsection"/>
        <w:rPr>
          <w:snapToGrid w:val="0"/>
        </w:rPr>
      </w:pPr>
      <w:r>
        <w:rPr>
          <w:snapToGrid w:val="0"/>
        </w:rPr>
        <w:tab/>
        <w:t>(1)</w:t>
      </w:r>
      <w:r>
        <w:rPr>
          <w:snapToGrid w:val="0"/>
        </w:rPr>
        <w:tab/>
        <w:t xml:space="preserve">Subject to this Act, the licensee of a wholesaler’s licence is, during permitted hours, authorised to sell packaged liquor on or from the licensed premises, in an aggregate quantity per person of not less than </w:t>
      </w:r>
      <w:r>
        <w:t xml:space="preserve">4 L, </w:t>
      </w:r>
      <w:r>
        <w:rPr>
          <w:snapToGrid w:val="0"/>
        </w:rPr>
        <w:t>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Ednotesubsection"/>
      </w:pPr>
      <w:r>
        <w:tab/>
        <w:t>[(2a)</w:t>
      </w:r>
      <w:r>
        <w:tab/>
        <w:t>deleted]</w:t>
      </w:r>
    </w:p>
    <w:p>
      <w:pPr>
        <w:pStyle w:val="Subsection"/>
        <w:rPr>
          <w:snapToGrid w:val="0"/>
        </w:rPr>
      </w:pPr>
      <w:r>
        <w:rPr>
          <w:snapToGrid w:val="0"/>
        </w:rPr>
        <w:tab/>
        <w:t>(3)</w:t>
      </w:r>
      <w:r>
        <w:rPr>
          <w:snapToGrid w:val="0"/>
        </w:rPr>
        <w:tab/>
        <w:t>Every wholesaler’s licence is subject to the condition that — </w:t>
      </w:r>
    </w:p>
    <w:p>
      <w:pPr>
        <w:pStyle w:val="Indenta"/>
        <w:rPr>
          <w:snapToGrid w:val="0"/>
        </w:rPr>
      </w:pPr>
      <w:r>
        <w:rPr>
          <w:snapToGrid w:val="0"/>
        </w:rPr>
        <w:tab/>
        <w:t>(a)</w:t>
      </w:r>
      <w:r>
        <w:rPr>
          <w:snapToGrid w:val="0"/>
        </w:rPr>
        <w:tab/>
        <w:t>liquor may only be sold to a person during the permitted hours applicable to a liquor store licence, other than — </w:t>
      </w:r>
    </w:p>
    <w:p>
      <w:pPr>
        <w:pStyle w:val="Indenti"/>
        <w:rPr>
          <w:snapToGrid w:val="0"/>
        </w:rPr>
      </w:pPr>
      <w:r>
        <w:rPr>
          <w:snapToGrid w:val="0"/>
        </w:rPr>
        <w:tab/>
        <w:t>(i)</w:t>
      </w:r>
      <w:r>
        <w:rPr>
          <w:snapToGrid w:val="0"/>
        </w:rPr>
        <w:tab/>
        <w:t>as ship’s stores; or</w:t>
      </w:r>
    </w:p>
    <w:p>
      <w:pPr>
        <w:pStyle w:val="Indenti"/>
        <w:rPr>
          <w:snapToGrid w:val="0"/>
        </w:rPr>
      </w:pPr>
      <w:r>
        <w:rPr>
          <w:snapToGrid w:val="0"/>
        </w:rPr>
        <w:tab/>
        <w:t>(ii)</w:t>
      </w:r>
      <w:r>
        <w:rPr>
          <w:snapToGrid w:val="0"/>
        </w:rPr>
        <w:tab/>
        <w:t>to a person who is a liquor merchant or is otherwise authorised by law to sell liquor; or</w:t>
      </w:r>
    </w:p>
    <w:p>
      <w:pPr>
        <w:pStyle w:val="Indenti"/>
        <w:keepNext/>
        <w:rPr>
          <w:snapToGrid w:val="0"/>
        </w:rPr>
      </w:pPr>
      <w:r>
        <w:rPr>
          <w:snapToGrid w:val="0"/>
        </w:rPr>
        <w:tab/>
        <w:t>(iii)</w:t>
      </w:r>
      <w:r>
        <w:rPr>
          <w:snapToGrid w:val="0"/>
        </w:rPr>
        <w:tab/>
        <w:t xml:space="preserve">to a person who is not resident in </w:t>
      </w:r>
      <w:smartTag w:uri="urn:schemas-microsoft-com:office:smarttags" w:element="country-region">
        <w:r>
          <w:rPr>
            <w:snapToGrid w:val="0"/>
          </w:rPr>
          <w:t>Australia</w:t>
        </w:r>
      </w:smartTag>
      <w:r>
        <w:rPr>
          <w:snapToGrid w:val="0"/>
        </w:rPr>
        <w:t xml:space="preserve"> where delivery of the liquor is to be effected outside </w:t>
      </w:r>
      <w:smartTag w:uri="urn:schemas-microsoft-com:office:smarttags" w:element="place">
        <w:smartTag w:uri="urn:schemas-microsoft-com:office:smarttags" w:element="country-region">
          <w:r>
            <w:rPr>
              <w:snapToGrid w:val="0"/>
            </w:rPr>
            <w:t>Australia</w:t>
          </w:r>
        </w:smartTag>
      </w:smartTag>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 or</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tab/>
        <w:t>(c)</w:t>
      </w:r>
      <w:r>
        <w:rPr>
          <w:snapToGrid w:val="0"/>
        </w:rPr>
        <w:tab/>
        <w:t xml:space="preserve">to a person who is not resident in </w:t>
      </w:r>
      <w:smartTag w:uri="urn:schemas-microsoft-com:office:smarttags" w:element="country-region">
        <w:r>
          <w:rPr>
            <w:snapToGrid w:val="0"/>
          </w:rPr>
          <w:t>Australia</w:t>
        </w:r>
      </w:smartTag>
      <w:r>
        <w:rPr>
          <w:snapToGrid w:val="0"/>
        </w:rPr>
        <w:t xml:space="preserve"> where delivery of the liquor is to be effected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by No. 56 of 1997 s. 26(4); No. 12 of 1998 s. 38; No. 73 of 2006 s. 42; No. 35 of 2015 s. 7; No. 9 of 2018 s. 30.] </w:t>
      </w:r>
    </w:p>
    <w:p>
      <w:pPr>
        <w:pStyle w:val="Heading5"/>
        <w:rPr>
          <w:snapToGrid w:val="0"/>
        </w:rPr>
      </w:pPr>
      <w:bookmarkStart w:id="167" w:name="_Toc522197276"/>
      <w:r>
        <w:rPr>
          <w:rStyle w:val="CharSectno"/>
        </w:rPr>
        <w:t>59</w:t>
      </w:r>
      <w:r>
        <w:rPr>
          <w:snapToGrid w:val="0"/>
        </w:rPr>
        <w:t>.</w:t>
      </w:r>
      <w:r>
        <w:rPr>
          <w:snapToGrid w:val="0"/>
        </w:rPr>
        <w:tab/>
        <w:t>Occasional licence, effect, conditions and pre-requisites for grant of</w:t>
      </w:r>
      <w:bookmarkEnd w:id="167"/>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 and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keepNext/>
        <w:keepLines/>
        <w:rPr>
          <w:snapToGrid w:val="0"/>
        </w:rPr>
      </w:pPr>
      <w:r>
        <w:rPr>
          <w:snapToGrid w:val="0"/>
        </w:rPr>
        <w:tab/>
        <w:t>(2)</w:t>
      </w:r>
      <w:r>
        <w:rPr>
          <w:snapToGrid w:val="0"/>
        </w:rPr>
        <w:tab/>
        <w:t>An occasional licence shall not be granted — </w:t>
      </w:r>
    </w:p>
    <w:p>
      <w:pPr>
        <w:pStyle w:val="Indenta"/>
        <w:keepNext/>
        <w:keepLines/>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 or</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 or</w:t>
      </w:r>
    </w:p>
    <w:p>
      <w:pPr>
        <w:pStyle w:val="Indenti"/>
        <w:rPr>
          <w:snapToGrid w:val="0"/>
        </w:rPr>
      </w:pPr>
      <w:r>
        <w:rPr>
          <w:snapToGrid w:val="0"/>
        </w:rPr>
        <w:tab/>
        <w:t>(iii)</w:t>
      </w:r>
      <w:r>
        <w:rPr>
          <w:snapToGrid w:val="0"/>
        </w:rPr>
        <w:tab/>
        <w:t>sufficient facilities and expertise to enable the licence to be operated in a proper manner may not be provided; or</w:t>
      </w:r>
    </w:p>
    <w:p>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organised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organised by a person other than the applicant, that the consent of the organiser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pPr>
      <w:r>
        <w:tab/>
        <w:t>(5)</w:t>
      </w:r>
      <w:r>
        <w:tab/>
        <w:t>An occasional licence may be granted in relation to a festival or other event authorising the organiser and specified persons participating in or associated with that festival or event to sell liquor, or liquor of a specified description, during such period or on such occasions as may be specified.</w:t>
      </w:r>
    </w:p>
    <w:p>
      <w:pPr>
        <w:pStyle w:val="Subsection"/>
      </w:pPr>
      <w:r>
        <w:tab/>
        <w:t>(6A)</w:t>
      </w:r>
      <w:r>
        <w:tab/>
        <w:t>Without limiting section 64, the Director may impose a condition on an occasional licence requiring that any manager of premises that are the subject of the licence (other than a person appointed under section 100(3)) be an approved unrestricted manager.</w:t>
      </w:r>
    </w:p>
    <w:p>
      <w:pPr>
        <w:pStyle w:val="Subsection"/>
        <w:rPr>
          <w:snapToGrid w:val="0"/>
        </w:rPr>
      </w:pPr>
      <w:r>
        <w:rPr>
          <w:snapToGrid w:val="0"/>
        </w:rPr>
        <w:tab/>
        <w:t>(6)</w:t>
      </w:r>
      <w:r>
        <w:rPr>
          <w:snapToGrid w:val="0"/>
        </w:rPr>
        <w:tab/>
        <w:t xml:space="preserve">In this section, </w:t>
      </w:r>
      <w:r>
        <w:rPr>
          <w:rStyle w:val="CharDefText"/>
        </w:rPr>
        <w:t>specified</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spacing w:before="80"/>
        <w:ind w:left="890" w:hanging="890"/>
      </w:pPr>
      <w:r>
        <w:tab/>
        <w:t xml:space="preserve">[Section 59 amended by No. 12 of 1998 s. 39(1); No. 56 of 2010 s. 12.] </w:t>
      </w:r>
    </w:p>
    <w:p>
      <w:pPr>
        <w:pStyle w:val="Heading5"/>
      </w:pPr>
      <w:bookmarkStart w:id="168" w:name="_Toc522197277"/>
      <w:bookmarkStart w:id="169" w:name="_Toc471906755"/>
      <w:bookmarkStart w:id="170" w:name="_Toc472001672"/>
      <w:bookmarkStart w:id="171" w:name="_Toc472676700"/>
      <w:bookmarkStart w:id="172" w:name="_Toc472682085"/>
      <w:bookmarkStart w:id="173" w:name="_Toc473119226"/>
      <w:r>
        <w:rPr>
          <w:rStyle w:val="CharSectno"/>
        </w:rPr>
        <w:t>59A</w:t>
      </w:r>
      <w:r>
        <w:t>.</w:t>
      </w:r>
      <w:r>
        <w:tab/>
        <w:t>Additional authorisations relating to supply and sale of liquor on licensed premises</w:t>
      </w:r>
      <w:bookmarkEnd w:id="168"/>
    </w:p>
    <w:p>
      <w:pPr>
        <w:pStyle w:val="Subsection"/>
      </w:pPr>
      <w:r>
        <w:tab/>
        <w:t>(1)</w:t>
      </w:r>
      <w:r>
        <w:tab/>
        <w:t xml:space="preserve">In this section — </w:t>
      </w:r>
    </w:p>
    <w:p>
      <w:pPr>
        <w:pStyle w:val="Defstart"/>
      </w:pPr>
      <w:r>
        <w:tab/>
      </w:r>
      <w:r>
        <w:rPr>
          <w:rStyle w:val="CharDefText"/>
        </w:rPr>
        <w:t>interstate supplier</w:t>
      </w:r>
      <w:r>
        <w:t xml:space="preserve"> means a person who is authorised under the law of another State, or of a Territory, to sell packaged liquor;</w:t>
      </w:r>
    </w:p>
    <w:p>
      <w:pPr>
        <w:pStyle w:val="Defstart"/>
      </w:pPr>
      <w:r>
        <w:tab/>
      </w:r>
      <w:r>
        <w:rPr>
          <w:rStyle w:val="CharDefText"/>
        </w:rPr>
        <w:t>packaged liquor</w:t>
      </w:r>
      <w:r>
        <w:t xml:space="preserve"> — </w:t>
      </w:r>
    </w:p>
    <w:p>
      <w:pPr>
        <w:pStyle w:val="Defpara"/>
      </w:pPr>
      <w:r>
        <w:tab/>
        <w:t>(a)</w:t>
      </w:r>
      <w:r>
        <w:tab/>
        <w:t>in relation to an interstate supplier, means liquor in sealed containers for consumption off the premises of the interstate supplier; and</w:t>
      </w:r>
    </w:p>
    <w:p>
      <w:pPr>
        <w:pStyle w:val="Defpara"/>
      </w:pPr>
      <w:r>
        <w:tab/>
        <w:t>(b)</w:t>
      </w:r>
      <w:r>
        <w:tab/>
        <w:t>otherwise, has the meaning given in section 3(1);</w:t>
      </w:r>
    </w:p>
    <w:p>
      <w:pPr>
        <w:pStyle w:val="Defstart"/>
      </w:pPr>
      <w:r>
        <w:tab/>
      </w:r>
      <w:r>
        <w:rPr>
          <w:rStyle w:val="CharDefText"/>
        </w:rPr>
        <w:t>packaged liquor licence</w:t>
      </w:r>
      <w:r>
        <w:t xml:space="preserve"> means a licence that authorises the sale of packaged liquor, but does not include a hotel restricted licence, a casino liquor licence, a club licence or an occasional licence.</w:t>
      </w:r>
    </w:p>
    <w:p>
      <w:pPr>
        <w:pStyle w:val="Subsection"/>
      </w:pPr>
      <w:r>
        <w:tab/>
        <w:t>(2)</w:t>
      </w:r>
      <w:r>
        <w:tab/>
        <w:t xml:space="preserve">A packaged liquor licence authorises the licensee (the </w:t>
      </w:r>
      <w:r>
        <w:rPr>
          <w:rStyle w:val="CharDefText"/>
        </w:rPr>
        <w:t>supplier</w:t>
      </w:r>
      <w:r>
        <w:t xml:space="preserve">), with the agreement of another licensee — </w:t>
      </w:r>
    </w:p>
    <w:p>
      <w:pPr>
        <w:pStyle w:val="Indenta"/>
      </w:pPr>
      <w:r>
        <w:tab/>
        <w:t>(a)</w:t>
      </w:r>
      <w:r>
        <w:tab/>
        <w:t>to supply liquor, by way of free sample, on the licensed premises of the other licensee for consumption on those premises; and</w:t>
      </w:r>
    </w:p>
    <w:p>
      <w:pPr>
        <w:pStyle w:val="Indenta"/>
      </w:pPr>
      <w:r>
        <w:tab/>
        <w:t>(b)</w:t>
      </w:r>
      <w:r>
        <w:tab/>
        <w:t>to sell packaged liquor on the licensed premises of the other licensee for delivery to the purchaser, or to premises specified by the purchaser, from the licensed premises of the supplier.</w:t>
      </w:r>
    </w:p>
    <w:p>
      <w:pPr>
        <w:pStyle w:val="Subsection"/>
      </w:pPr>
      <w:r>
        <w:tab/>
        <w:t>(3)</w:t>
      </w:r>
      <w:r>
        <w:tab/>
        <w:t xml:space="preserve">An interstate supplier is authorised, with the agreement of a licensee — </w:t>
      </w:r>
    </w:p>
    <w:p>
      <w:pPr>
        <w:pStyle w:val="Indenta"/>
      </w:pPr>
      <w:r>
        <w:tab/>
        <w:t>(a)</w:t>
      </w:r>
      <w:r>
        <w:tab/>
        <w:t>to supply liquor, by way of free sample, on the licensed premises of the licensee for consumption on those premises; and</w:t>
      </w:r>
    </w:p>
    <w:p>
      <w:pPr>
        <w:pStyle w:val="Indenta"/>
      </w:pPr>
      <w:r>
        <w:tab/>
        <w:t>(b)</w:t>
      </w:r>
      <w:r>
        <w:tab/>
        <w:t>to sell packaged liquor on the licensed premises of the licensee for delivery to the purchaser, or to premises specified by the purchaser, from the premises of the interstate supplier.</w:t>
      </w:r>
    </w:p>
    <w:p>
      <w:pPr>
        <w:pStyle w:val="Subsection"/>
      </w:pPr>
      <w:r>
        <w:tab/>
        <w:t>(4)</w:t>
      </w:r>
      <w:r>
        <w:tab/>
        <w:t>A sale of packaged liquor made by an interstate supplier as authorised under subsection (3) is taken to be made under a licence described in section 109(1)(a).</w:t>
      </w:r>
    </w:p>
    <w:p>
      <w:pPr>
        <w:pStyle w:val="Footnotesection"/>
        <w:spacing w:before="80"/>
        <w:ind w:left="890" w:hanging="890"/>
      </w:pPr>
      <w:r>
        <w:tab/>
        <w:t xml:space="preserve">[Section 59A inserted by No. 9 of 2018 s. 31.] </w:t>
      </w:r>
    </w:p>
    <w:p>
      <w:pPr>
        <w:pStyle w:val="Heading3"/>
        <w:rPr>
          <w:snapToGrid w:val="0"/>
        </w:rPr>
      </w:pPr>
      <w:bookmarkStart w:id="174" w:name="_Toc522197278"/>
      <w:r>
        <w:rPr>
          <w:rStyle w:val="CharDivNo"/>
        </w:rPr>
        <w:t>Division 4</w:t>
      </w:r>
      <w:r>
        <w:rPr>
          <w:snapToGrid w:val="0"/>
        </w:rPr>
        <w:t> — </w:t>
      </w:r>
      <w:r>
        <w:rPr>
          <w:rStyle w:val="CharDivText"/>
        </w:rPr>
        <w:t>Permits</w:t>
      </w:r>
      <w:bookmarkEnd w:id="169"/>
      <w:bookmarkEnd w:id="170"/>
      <w:bookmarkEnd w:id="171"/>
      <w:bookmarkEnd w:id="172"/>
      <w:bookmarkEnd w:id="173"/>
      <w:bookmarkEnd w:id="174"/>
      <w:r>
        <w:rPr>
          <w:rStyle w:val="CharDivText"/>
        </w:rPr>
        <w:t xml:space="preserve"> </w:t>
      </w:r>
    </w:p>
    <w:p>
      <w:pPr>
        <w:pStyle w:val="Heading5"/>
        <w:rPr>
          <w:snapToGrid w:val="0"/>
        </w:rPr>
      </w:pPr>
      <w:bookmarkStart w:id="175" w:name="_Toc522197279"/>
      <w:r>
        <w:rPr>
          <w:rStyle w:val="CharSectno"/>
        </w:rPr>
        <w:t>60</w:t>
      </w:r>
      <w:r>
        <w:rPr>
          <w:snapToGrid w:val="0"/>
        </w:rPr>
        <w:t>.</w:t>
      </w:r>
      <w:r>
        <w:rPr>
          <w:snapToGrid w:val="0"/>
        </w:rPr>
        <w:tab/>
        <w:t>Extended trading permit, purposes, effect and conditions of</w:t>
      </w:r>
      <w:bookmarkEnd w:id="175"/>
    </w:p>
    <w:p>
      <w:pPr>
        <w:pStyle w:val="Subsection"/>
        <w:rPr>
          <w:snapToGrid w:val="0"/>
        </w:rPr>
      </w:pPr>
      <w:r>
        <w:rPr>
          <w:snapToGrid w:val="0"/>
        </w:rPr>
        <w:tab/>
        <w:t>(1)</w:t>
      </w:r>
      <w:r>
        <w:rPr>
          <w:snapToGrid w:val="0"/>
        </w:rPr>
        <w:tab/>
        <w:t>An extended trading permit authorises the licensee of the licence to which it relates, subject to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pPr>
        <w:pStyle w:val="Subsection"/>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keepNext/>
        <w:rPr>
          <w:snapToGrid w:val="0"/>
        </w:rPr>
      </w:pPr>
      <w:r>
        <w:rPr>
          <w:snapToGrid w:val="0"/>
        </w:rPr>
        <w:tab/>
        <w:t>(3)</w:t>
      </w:r>
      <w:r>
        <w:rPr>
          <w:snapToGrid w:val="0"/>
        </w:rPr>
        <w:tab/>
      </w:r>
      <w:r>
        <w:t>Unless otherwise provided in this Division, an</w:t>
      </w:r>
      <w:r>
        <w:rPr>
          <w:snapToGrid w:val="0"/>
        </w:rPr>
        <w:t xml:space="preserve"> extended trading permit is subject to the conditions that — </w:t>
      </w:r>
    </w:p>
    <w:p>
      <w:pPr>
        <w:pStyle w:val="Indenta"/>
        <w:rPr>
          <w:snapToGrid w:val="0"/>
        </w:rPr>
      </w:pPr>
      <w:r>
        <w:rPr>
          <w:snapToGrid w:val="0"/>
        </w:rPr>
        <w:tab/>
        <w:t>(a)</w:t>
      </w:r>
      <w:r>
        <w:rPr>
          <w:snapToGrid w:val="0"/>
        </w:rPr>
        <w:tab/>
        <w:t xml:space="preserve">the licensee to whom it is issued </w:t>
      </w:r>
      <w:r>
        <w:t>must</w:t>
      </w:r>
      <w:r>
        <w:rPr>
          <w:snapToGrid w:val="0"/>
        </w:rPr>
        <w:t xml:space="preserve"> not participate in any arrangement whereby the benefit arising from the holding of the permit accrues to any other person, unless subsection (8) applies; and</w:t>
      </w:r>
    </w:p>
    <w:p>
      <w:pPr>
        <w:pStyle w:val="Indenta"/>
        <w:rPr>
          <w:snapToGrid w:val="0"/>
        </w:rPr>
      </w:pPr>
      <w:r>
        <w:rPr>
          <w:snapToGrid w:val="0"/>
        </w:rPr>
        <w:tab/>
        <w:t>(b)</w:t>
      </w:r>
      <w:r>
        <w:rPr>
          <w:snapToGrid w:val="0"/>
        </w:rPr>
        <w:tab/>
      </w:r>
      <w:r>
        <w:t>an approved unrestricted manager or an approved restricted manager</w:t>
      </w:r>
      <w:r>
        <w:rPr>
          <w:snapToGrid w:val="0"/>
        </w:rPr>
        <w:t xml:space="preserve"> </w:t>
      </w:r>
      <w:r>
        <w:t>must attend</w:t>
      </w:r>
      <w:r>
        <w:rPr>
          <w:snapToGrid w:val="0"/>
        </w:rPr>
        <w:t xml:space="preserve"> at the premises specified when liquor is sold under the permit, unless the permit is issued in relation to a casino liquor licence.</w:t>
      </w:r>
    </w:p>
    <w:p>
      <w:pPr>
        <w:pStyle w:val="Subsection"/>
      </w:pPr>
      <w:r>
        <w:tab/>
        <w:t>(3a)</w:t>
      </w:r>
      <w:r>
        <w:tab/>
        <w:t>In addition to the conditions imposed by subsection (3), an extended trading permit issued for the purposes of subsection (4)(ca) or (g) is, unless the Director otherwise determines, subject to any condition prescribed for the purposes of this subsection.</w:t>
      </w:r>
    </w:p>
    <w:p>
      <w:pPr>
        <w:pStyle w:val="Subsection"/>
        <w:rPr>
          <w:snapToGrid w:val="0"/>
        </w:rPr>
      </w:pPr>
      <w:r>
        <w:rPr>
          <w:snapToGrid w:val="0"/>
        </w:rPr>
        <w:tab/>
        <w:t>(4)</w:t>
      </w:r>
      <w:r>
        <w:rPr>
          <w:snapToGrid w:val="0"/>
        </w:rPr>
        <w:tab/>
        <w:t xml:space="preserve">The purposes for which an extended trading permit may be issued are — </w:t>
      </w:r>
    </w:p>
    <w:p>
      <w:pPr>
        <w:pStyle w:val="Indenta"/>
        <w:rPr>
          <w:snapToGrid w:val="0"/>
        </w:rPr>
      </w:pPr>
      <w:r>
        <w:rPr>
          <w:snapToGrid w:val="0"/>
        </w:rPr>
        <w:tab/>
        <w:t>(a)</w:t>
      </w:r>
      <w:r>
        <w:rPr>
          <w:snapToGrid w:val="0"/>
        </w:rPr>
        <w:tab/>
        <w:t>catering, authorising the licensee to sell liquor on such days other than a Good Friday and between such hours on those days as may be specified, as a caterer on specified premises, which remains in force for the period specified; or</w:t>
      </w:r>
    </w:p>
    <w:p>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keepNext/>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 or</w:t>
      </w:r>
    </w:p>
    <w:p>
      <w:pPr>
        <w:pStyle w:val="Indenta"/>
        <w:rPr>
          <w:snapToGrid w:val="0"/>
        </w:rPr>
      </w:pPr>
      <w:r>
        <w:rPr>
          <w:snapToGrid w:val="0"/>
        </w:rPr>
        <w:tab/>
        <w:t>(c)</w:t>
      </w:r>
      <w:r>
        <w:rPr>
          <w:snapToGrid w:val="0"/>
        </w:rPr>
        <w:tab/>
        <w:t>a restaurant comprised within guest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guest accommodation for the travelling public; or</w:t>
      </w:r>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 or</w:t>
      </w:r>
    </w:p>
    <w:p>
      <w:pPr>
        <w:pStyle w:val="Indenta"/>
      </w:pPr>
      <w:r>
        <w:tab/>
        <w:t>(cb)</w:t>
      </w:r>
      <w:r>
        <w:tab/>
        <w:t xml:space="preserve">authorising the licensee of a club licence to sell liquor, despite section 48(2), to persons other than members, or guests of members, of the club — </w:t>
      </w:r>
    </w:p>
    <w:p>
      <w:pPr>
        <w:pStyle w:val="Indenti"/>
      </w:pPr>
      <w:r>
        <w:tab/>
        <w:t>(i)</w:t>
      </w:r>
      <w:r>
        <w:tab/>
        <w:t>on a specified special occasion or specified special occasions; or</w:t>
      </w:r>
    </w:p>
    <w:p>
      <w:pPr>
        <w:pStyle w:val="Indenti"/>
      </w:pPr>
      <w:r>
        <w:tab/>
        <w:t>(ii)</w:t>
      </w:r>
      <w:r>
        <w:tab/>
        <w:t>on a day on which a specified function is, or on days on which specified functions are, held on, or on a specified part of, the licensed premises;</w:t>
      </w:r>
    </w:p>
    <w:p>
      <w:pPr>
        <w:pStyle w:val="Indenta"/>
      </w:pPr>
      <w:r>
        <w:tab/>
      </w:r>
      <w:r>
        <w:tab/>
        <w:t>or</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pPr>
        <w:pStyle w:val="Indenta"/>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a Sunday, Christmas Day or Good Friday and between such hours</w:t>
      </w:r>
      <w:r>
        <w:t xml:space="preserve"> or in such circumstances</w:t>
      </w:r>
      <w:r>
        <w:rPr>
          <w:snapToGrid w:val="0"/>
        </w:rPr>
        <w:t xml:space="preserve">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5 persons introduced as guests by that member on that day; and</w:t>
      </w:r>
    </w:p>
    <w:p>
      <w:pPr>
        <w:pStyle w:val="Indenti"/>
        <w:rPr>
          <w:snapToGrid w:val="0"/>
        </w:rPr>
      </w:pPr>
      <w:r>
        <w:rPr>
          <w:snapToGrid w:val="0"/>
        </w:rPr>
        <w:tab/>
        <w:t>(ii)</w:t>
      </w:r>
      <w:r>
        <w:rPr>
          <w:snapToGrid w:val="0"/>
        </w:rPr>
        <w:tab/>
        <w:t>the licensee takes such measures as will ensure that the constitution and rules of the association, if that constitution or those rules were required to be approved by the Director, are observed;</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w:t>
      </w:r>
      <w:r>
        <w:t xml:space="preserve"> nightclub</w:t>
      </w:r>
      <w:r>
        <w:rPr>
          <w:snapToGrid w:val="0"/>
        </w:rPr>
        <w:t>, which is the subject of the licence to which the permit relates); or</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w:t>
      </w:r>
      <w:r>
        <w:t xml:space="preserve"> or in relation to such occasion as may be specified,</w:t>
      </w:r>
      <w:r>
        <w:rPr>
          <w:snapToGrid w:val="0"/>
        </w:rPr>
        <w:t xml:space="preserve"> which remains in force for the period</w:t>
      </w:r>
      <w:r>
        <w:t>, not exceeding 5 years,</w:t>
      </w:r>
      <w:r>
        <w:rPr>
          <w:snapToGrid w:val="0"/>
        </w:rPr>
        <w:t xml:space="preserve"> specified; or</w:t>
      </w:r>
    </w:p>
    <w:p>
      <w:pPr>
        <w:pStyle w:val="Indenta"/>
      </w:pPr>
      <w:r>
        <w:rPr>
          <w:snapToGrid w:val="0"/>
        </w:rPr>
        <w:tab/>
        <w:t>(h)</w:t>
      </w:r>
      <w:r>
        <w:rPr>
          <w:snapToGrid w:val="0"/>
        </w:rPr>
        <w:tab/>
        <w:t>an extended area, authorising the licensee to sell liquor on such days other than a Good Friday and between such hours on those days as may be specified, under the licence but on specified premises or in a specified area that would not otherwise be authorised, which remains in force for the period specified</w:t>
      </w:r>
      <w:r>
        <w:t>; or</w:t>
      </w:r>
    </w:p>
    <w:p>
      <w:pPr>
        <w:pStyle w:val="Indenta"/>
      </w:pPr>
      <w:r>
        <w:tab/>
        <w:t>(ia)</w:t>
      </w:r>
      <w:r>
        <w:tab/>
        <w:t>authorising the licensee of a producer’s licence to sell wine or beer under the licence on specified premises on which the licensee would not otherwise be authorised to sell the wine or beer, for the period during which the licence is current unless otherwise specified; or</w:t>
      </w:r>
    </w:p>
    <w:p>
      <w:pPr>
        <w:pStyle w:val="Indenta"/>
        <w:rPr>
          <w:snapToGrid w:val="0"/>
        </w:rPr>
      </w:pPr>
      <w:r>
        <w:tab/>
        <w:t>(i)</w:t>
      </w:r>
      <w:r>
        <w:tab/>
        <w:t>any other prescribed purpose.</w:t>
      </w:r>
    </w:p>
    <w:p>
      <w:pPr>
        <w:pStyle w:val="Ednotesubsection"/>
        <w:spacing w:before="120"/>
      </w:pPr>
      <w:r>
        <w:tab/>
        <w:t>[(5)</w:t>
      </w:r>
      <w:r>
        <w:tab/>
        <w:t>deleted]</w:t>
      </w:r>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r>
      <w:r>
        <w:t xml:space="preserve">Without limiting subsection (8a), where </w:t>
      </w:r>
      <w:r>
        <w:rPr>
          <w:snapToGrid w:val="0"/>
        </w:rPr>
        <w:t>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pPr>
      <w:r>
        <w:tab/>
        <w:t>(8a)</w:t>
      </w:r>
      <w:r>
        <w:tab/>
        <w:t>The licensing authority may cancel an extended trading permit at any time if satisfied that the permit is no longer appropriate.</w:t>
      </w:r>
    </w:p>
    <w:p>
      <w:pPr>
        <w:pStyle w:val="Subsection"/>
        <w:rPr>
          <w:snapToGrid w:val="0"/>
        </w:rPr>
      </w:pPr>
      <w:r>
        <w:rPr>
          <w:snapToGrid w:val="0"/>
        </w:rPr>
        <w:tab/>
        <w:t>(9)</w:t>
      </w:r>
      <w:r>
        <w:rPr>
          <w:snapToGrid w:val="0"/>
        </w:rPr>
        <w:tab/>
        <w:t xml:space="preserve">In this section, </w:t>
      </w:r>
      <w:r>
        <w:rPr>
          <w:rStyle w:val="CharDefText"/>
        </w:rPr>
        <w:t>specified</w:t>
      </w:r>
      <w:r>
        <w:rPr>
          <w:snapToGrid w:val="0"/>
        </w:rPr>
        <w:t xml:space="preserve"> means specified in the extended trading permit.</w:t>
      </w:r>
    </w:p>
    <w:p>
      <w:pPr>
        <w:pStyle w:val="Footnotesection"/>
        <w:ind w:left="890" w:hanging="890"/>
      </w:pPr>
      <w:r>
        <w:tab/>
        <w:t xml:space="preserve">[Section 60 amended by No. 12 of 1998 s. 40 and 97(2); No. 73 of 2006 s. 43, 107 and 108; No. 56 of 2010 s. 13; No. 35 of 2015 s. 8.] </w:t>
      </w:r>
    </w:p>
    <w:p>
      <w:pPr>
        <w:pStyle w:val="Heading5"/>
        <w:rPr>
          <w:snapToGrid w:val="0"/>
        </w:rPr>
      </w:pPr>
      <w:bookmarkStart w:id="176" w:name="_Toc522197280"/>
      <w:r>
        <w:rPr>
          <w:rStyle w:val="CharSectno"/>
        </w:rPr>
        <w:t>61</w:t>
      </w:r>
      <w:r>
        <w:rPr>
          <w:snapToGrid w:val="0"/>
        </w:rPr>
        <w:t>.</w:t>
      </w:r>
      <w:r>
        <w:rPr>
          <w:snapToGrid w:val="0"/>
        </w:rPr>
        <w:tab/>
        <w:t>Extended trading permit for extended area (s. 60(4)(h)), pre</w:t>
      </w:r>
      <w:r>
        <w:rPr>
          <w:snapToGrid w:val="0"/>
        </w:rPr>
        <w:noBreakHyphen/>
        <w:t>requisites for grant of</w:t>
      </w:r>
      <w:bookmarkEnd w:id="176"/>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 and</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 and</w:t>
      </w:r>
    </w:p>
    <w:p>
      <w:pPr>
        <w:pStyle w:val="Indenta"/>
        <w:rPr>
          <w:snapToGrid w:val="0"/>
        </w:rPr>
      </w:pPr>
      <w:r>
        <w:rPr>
          <w:snapToGrid w:val="0"/>
        </w:rPr>
        <w:tab/>
        <w:t>(c)</w:t>
      </w:r>
      <w:r>
        <w:rPr>
          <w:snapToGrid w:val="0"/>
        </w:rPr>
        <w:tab/>
        <w:t xml:space="preserve">the licensee will, at times when the sale of liquor under the permit is authorised, be entitled to use for that purpose the premises or area to which the permit sought </w:t>
      </w:r>
      <w:r>
        <w:t>relates.</w:t>
      </w:r>
    </w:p>
    <w:p>
      <w:pPr>
        <w:pStyle w:val="Ednotepara"/>
        <w:rPr>
          <w:snapToGrid w:val="0"/>
        </w:rPr>
      </w:pPr>
      <w:r>
        <w:rPr>
          <w:snapToGrid w:val="0"/>
        </w:rPr>
        <w:tab/>
        <w:t>[(d)</w:t>
      </w:r>
      <w:r>
        <w:rPr>
          <w:snapToGrid w:val="0"/>
        </w:rPr>
        <w:tab/>
        <w:t>deleted]</w:t>
      </w:r>
    </w:p>
    <w:p>
      <w:pPr>
        <w:pStyle w:val="Ednotesubsection"/>
      </w:pPr>
      <w:r>
        <w:tab/>
        <w:t>[(2)</w:t>
      </w:r>
      <w:r>
        <w:tab/>
        <w:t>deleted]</w:t>
      </w:r>
    </w:p>
    <w:p>
      <w:pPr>
        <w:pStyle w:val="Footnotesection"/>
        <w:ind w:left="890" w:hanging="890"/>
      </w:pPr>
      <w:r>
        <w:tab/>
        <w:t xml:space="preserve">[Section 61 amended by No. 14 of 1996 s. 4; No. 9 of 2018 s. 33.] </w:t>
      </w:r>
    </w:p>
    <w:p>
      <w:pPr>
        <w:pStyle w:val="Heading5"/>
      </w:pPr>
      <w:bookmarkStart w:id="177" w:name="_Toc522197281"/>
      <w:r>
        <w:rPr>
          <w:rStyle w:val="CharSectno"/>
        </w:rPr>
        <w:t>61A</w:t>
      </w:r>
      <w:r>
        <w:t>.</w:t>
      </w:r>
      <w:r>
        <w:tab/>
        <w:t>Extended trading permit for sale of liquor (s. 60(4)(ia))</w:t>
      </w:r>
      <w:bookmarkEnd w:id="177"/>
    </w:p>
    <w:p>
      <w:pPr>
        <w:pStyle w:val="Subsection"/>
      </w:pPr>
      <w:r>
        <w:tab/>
        <w:t>(1)</w:t>
      </w:r>
      <w:r>
        <w:tab/>
        <w:t xml:space="preserve">In this section — </w:t>
      </w:r>
    </w:p>
    <w:p>
      <w:pPr>
        <w:pStyle w:val="Defstart"/>
      </w:pPr>
      <w:r>
        <w:tab/>
      </w:r>
      <w:r>
        <w:rPr>
          <w:rStyle w:val="CharDefText"/>
        </w:rPr>
        <w:t>cellar door permit</w:t>
      </w:r>
      <w:r>
        <w:t xml:space="preserve"> means an extended trading permit issued for the purpose referred to in section 60(4)(ia);</w:t>
      </w:r>
    </w:p>
    <w:p>
      <w:pPr>
        <w:pStyle w:val="Defstart"/>
      </w:pPr>
      <w:r>
        <w:tab/>
      </w:r>
      <w:r>
        <w:rPr>
          <w:rStyle w:val="CharDefText"/>
        </w:rPr>
        <w:t>geographical indication</w:t>
      </w:r>
      <w:r>
        <w:t xml:space="preserve"> has the same meaning as in the </w:t>
      </w:r>
      <w:r>
        <w:rPr>
          <w:i/>
        </w:rPr>
        <w:t>Australian Grape and Wine Authority Act 2013</w:t>
      </w:r>
      <w:r>
        <w:t xml:space="preserve"> (Commonwealth) section 4(1);</w:t>
      </w:r>
    </w:p>
    <w:p>
      <w:pPr>
        <w:pStyle w:val="Defstart"/>
      </w:pPr>
      <w:r>
        <w:tab/>
      </w:r>
      <w:r>
        <w:rPr>
          <w:rStyle w:val="CharDefText"/>
        </w:rPr>
        <w:t>wine producing region</w:t>
      </w:r>
      <w:r>
        <w:t xml:space="preserve"> means a region or locality of the State that is subject to a geographical indication.</w:t>
      </w:r>
    </w:p>
    <w:p>
      <w:pPr>
        <w:pStyle w:val="Subsection"/>
      </w:pPr>
      <w:r>
        <w:tab/>
        <w:t>(2)</w:t>
      </w:r>
      <w:r>
        <w:tab/>
        <w:t>A cellar door permit must not be issued in relation to a producer’s licence unless — </w:t>
      </w:r>
    </w:p>
    <w:p>
      <w:pPr>
        <w:pStyle w:val="Indenta"/>
      </w:pPr>
      <w:r>
        <w:tab/>
        <w:t>(a)</w:t>
      </w:r>
      <w:r>
        <w:tab/>
        <w:t>the licencing authority has approved the premises in respect of which the permit is sought as being fit for the purpose of the sale of liquor; and</w:t>
      </w:r>
    </w:p>
    <w:p>
      <w:pPr>
        <w:pStyle w:val="Indenta"/>
      </w:pPr>
      <w:r>
        <w:tab/>
        <w:t>(b)</w:t>
      </w:r>
      <w:r>
        <w:tab/>
        <w:t>if the permit is sought for the purposes of the sale of wine, the premises are located in the wine producing region to which the licence relates; and</w:t>
      </w:r>
    </w:p>
    <w:p>
      <w:pPr>
        <w:pStyle w:val="Indenta"/>
      </w:pPr>
      <w:r>
        <w:tab/>
        <w:t>(c)</w:t>
      </w:r>
      <w:r>
        <w:tab/>
        <w:t>if the permit is sought for the purposes of the sale of liquor other than wine, the premises are located in the district where the liquor is produced; and</w:t>
      </w:r>
    </w:p>
    <w:p>
      <w:pPr>
        <w:pStyle w:val="Indenta"/>
      </w:pPr>
      <w:r>
        <w:tab/>
        <w:t>(d)</w:t>
      </w:r>
      <w:r>
        <w:tab/>
        <w:t>the licensing authority is satisfied that the purpose for which the permit is sought could not be more appropriately achieved by the grant of a different kind of licence; and</w:t>
      </w:r>
    </w:p>
    <w:p>
      <w:pPr>
        <w:pStyle w:val="Indenta"/>
      </w:pPr>
      <w:r>
        <w:tab/>
        <w:t>(e)</w:t>
      </w:r>
      <w:r>
        <w:tab/>
        <w:t>the applicant will, at times when the sale of liquor under the permit is authorised, be entitled to use the premises for that purpose; and</w:t>
      </w:r>
    </w:p>
    <w:p>
      <w:pPr>
        <w:pStyle w:val="Indenta"/>
      </w:pPr>
      <w:r>
        <w:tab/>
        <w:t>(f)</w:t>
      </w:r>
      <w:r>
        <w:tab/>
        <w:t>the applicant satisfies the licensing authority that the local government of the district within which the premises are situated has been consulted and has approved the application.</w:t>
      </w:r>
    </w:p>
    <w:p>
      <w:pPr>
        <w:pStyle w:val="Subsection"/>
      </w:pPr>
      <w:r>
        <w:tab/>
        <w:t>(3)</w:t>
      </w:r>
      <w:r>
        <w:tab/>
        <w:t>A cellar door permit may only be issued to a licensee for the purposes of the sale of wine if the licensee does not already hold a cellar door permit for the purposes of the sale of wine in the wine producing region for which the permit is sought.</w:t>
      </w:r>
    </w:p>
    <w:p>
      <w:pPr>
        <w:pStyle w:val="Subsection"/>
      </w:pPr>
      <w:r>
        <w:tab/>
        <w:t>(4)</w:t>
      </w:r>
      <w:r>
        <w:tab/>
        <w:t>A cellar door permit may only be issued to a licensee for the purposes of the sale of liquor other than wine if the licensee does not already hold a cellar door permit for the purposes of the sale of liquor in the district for which the permit is sought.</w:t>
      </w:r>
    </w:p>
    <w:p>
      <w:pPr>
        <w:pStyle w:val="Subsection"/>
      </w:pPr>
      <w:r>
        <w:tab/>
        <w:t>(5)</w:t>
      </w:r>
      <w:r>
        <w:tab/>
        <w:t>A cellar door permit may be issued in respect of the same premises to 2 or more licensees of a producer’s licence only if there is in force an agreement between the licensees about the management of the premises.</w:t>
      </w:r>
    </w:p>
    <w:p>
      <w:pPr>
        <w:pStyle w:val="Subsection"/>
      </w:pPr>
      <w:r>
        <w:tab/>
        <w:t>(5A)</w:t>
      </w:r>
      <w:r>
        <w:tab/>
        <w:t xml:space="preserve">If a cellar door permit is issued in respect of the same premises to 2 or more licensees, those licensees are jointly and severally liable — </w:t>
      </w:r>
    </w:p>
    <w:p>
      <w:pPr>
        <w:pStyle w:val="Indenta"/>
      </w:pPr>
      <w:r>
        <w:tab/>
        <w:t>(a)</w:t>
      </w:r>
      <w:r>
        <w:tab/>
        <w:t>as licensee; and</w:t>
      </w:r>
    </w:p>
    <w:p>
      <w:pPr>
        <w:pStyle w:val="Indenta"/>
      </w:pPr>
      <w:r>
        <w:tab/>
        <w:t>(b)</w:t>
      </w:r>
      <w:r>
        <w:tab/>
        <w:t>in respect of any civil or criminal liability that attaches to the licensee under this Act.</w:t>
      </w:r>
    </w:p>
    <w:p>
      <w:pPr>
        <w:pStyle w:val="Subsection"/>
      </w:pPr>
      <w:r>
        <w:tab/>
        <w:t>(6)</w:t>
      </w:r>
      <w:r>
        <w:tab/>
        <w:t>The regulations may prescribe conditions that are to be taken to be attached to a cellar door permit unless otherwise specified in the permit.</w:t>
      </w:r>
    </w:p>
    <w:p>
      <w:pPr>
        <w:pStyle w:val="Footnotesection"/>
      </w:pPr>
      <w:r>
        <w:tab/>
        <w:t>[Section 61A inserted by No. 35 of 2015 s. 9; amended by No. 9 of 2018 s. 34.]</w:t>
      </w:r>
    </w:p>
    <w:p>
      <w:pPr>
        <w:pStyle w:val="Heading3"/>
        <w:keepLines/>
        <w:rPr>
          <w:snapToGrid w:val="0"/>
        </w:rPr>
      </w:pPr>
      <w:bookmarkStart w:id="178" w:name="_Toc471906759"/>
      <w:bookmarkStart w:id="179" w:name="_Toc472001676"/>
      <w:bookmarkStart w:id="180" w:name="_Toc472676704"/>
      <w:bookmarkStart w:id="181" w:name="_Toc472682089"/>
      <w:bookmarkStart w:id="182" w:name="_Toc473119230"/>
      <w:bookmarkStart w:id="183" w:name="_Toc522197282"/>
      <w:r>
        <w:rPr>
          <w:rStyle w:val="CharDivNo"/>
        </w:rPr>
        <w:t>Division 5</w:t>
      </w:r>
      <w:r>
        <w:rPr>
          <w:snapToGrid w:val="0"/>
        </w:rPr>
        <w:t> — </w:t>
      </w:r>
      <w:r>
        <w:rPr>
          <w:rStyle w:val="CharDivText"/>
        </w:rPr>
        <w:t>Conditional grants or approvals</w:t>
      </w:r>
      <w:bookmarkEnd w:id="178"/>
      <w:bookmarkEnd w:id="179"/>
      <w:bookmarkEnd w:id="180"/>
      <w:bookmarkEnd w:id="181"/>
      <w:bookmarkEnd w:id="182"/>
      <w:bookmarkEnd w:id="183"/>
      <w:r>
        <w:rPr>
          <w:rStyle w:val="CharDivText"/>
        </w:rPr>
        <w:t xml:space="preserve"> </w:t>
      </w:r>
    </w:p>
    <w:p>
      <w:pPr>
        <w:pStyle w:val="Footnoteheading"/>
        <w:keepNext/>
        <w:keepLines/>
        <w:rPr>
          <w:snapToGrid w:val="0"/>
        </w:rPr>
      </w:pPr>
      <w:r>
        <w:rPr>
          <w:snapToGrid w:val="0"/>
        </w:rPr>
        <w:tab/>
        <w:t>[Heading amended by No. 12 of 1998 s. 41.]</w:t>
      </w:r>
    </w:p>
    <w:p>
      <w:pPr>
        <w:pStyle w:val="Heading5"/>
        <w:rPr>
          <w:snapToGrid w:val="0"/>
        </w:rPr>
      </w:pPr>
      <w:bookmarkStart w:id="184" w:name="_Toc522197283"/>
      <w:r>
        <w:rPr>
          <w:rStyle w:val="CharSectno"/>
        </w:rPr>
        <w:t>62</w:t>
      </w:r>
      <w:r>
        <w:rPr>
          <w:snapToGrid w:val="0"/>
        </w:rPr>
        <w:t>.</w:t>
      </w:r>
      <w:r>
        <w:rPr>
          <w:snapToGrid w:val="0"/>
        </w:rPr>
        <w:tab/>
        <w:t>Uncompleted premises, conditional grant or removal in case of</w:t>
      </w:r>
      <w:bookmarkEnd w:id="184"/>
    </w:p>
    <w:p>
      <w:pPr>
        <w:pStyle w:val="Subsection"/>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rPr>
          <w:snapToGrid w:val="0"/>
        </w:rPr>
      </w:pPr>
      <w:r>
        <w:rPr>
          <w:snapToGrid w:val="0"/>
        </w:rPr>
        <w:tab/>
      </w:r>
      <w:r>
        <w:rPr>
          <w:snapToGrid w:val="0"/>
        </w:rPr>
        <w:tab/>
        <w:t>if, at the date of the final hearing of that application, those premises are uncompleted.</w:t>
      </w:r>
    </w:p>
    <w:p>
      <w:pPr>
        <w:pStyle w:val="Subsection"/>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 and</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rPr>
          <w:snapToGrid w:val="0"/>
        </w:rPr>
      </w:pPr>
      <w:r>
        <w:rPr>
          <w:snapToGrid w:val="0"/>
        </w:rPr>
        <w:tab/>
        <w:t>(c)</w:t>
      </w:r>
      <w:r>
        <w:rPr>
          <w:snapToGrid w:val="0"/>
        </w:rPr>
        <w:tab/>
        <w:t>a condition that the holder of the licence conditionally granted or removed apply on or before a specified day (</w:t>
      </w:r>
      <w:r>
        <w:rPr>
          <w:rStyle w:val="CharDefText"/>
          <w:b w:val="0"/>
          <w:i w:val="0"/>
        </w:rPr>
        <w:t>the</w:t>
      </w:r>
      <w:r>
        <w:rPr>
          <w:rStyle w:val="CharDefText"/>
        </w:rPr>
        <w:t xml:space="preserve"> required day</w:t>
      </w:r>
      <w:r>
        <w:rPr>
          <w:snapToGrid w:val="0"/>
        </w:rPr>
        <w:t>) for confirmation of the grant.</w:t>
      </w:r>
    </w:p>
    <w:p>
      <w:pPr>
        <w:pStyle w:val="Subsection"/>
        <w:rPr>
          <w:snapToGrid w:val="0"/>
        </w:rPr>
      </w:pPr>
      <w:r>
        <w:rPr>
          <w:snapToGrid w:val="0"/>
        </w:rPr>
        <w:tab/>
        <w:t>(5)</w:t>
      </w:r>
      <w:r>
        <w:rPr>
          <w:snapToGrid w:val="0"/>
        </w:rPr>
        <w:tab/>
        <w:t>A conditional grant of a licence or removal under this section may be made subject to such further conditions as the licensing authority thinks fit including conditions — </w:t>
      </w:r>
    </w:p>
    <w:p>
      <w:pPr>
        <w:pStyle w:val="Indenta"/>
        <w:rPr>
          <w:snapToGrid w:val="0"/>
        </w:rPr>
      </w:pPr>
      <w:r>
        <w:rPr>
          <w:snapToGrid w:val="0"/>
        </w:rPr>
        <w:tab/>
        <w:t>(a)</w:t>
      </w:r>
      <w:r>
        <w:rPr>
          <w:snapToGrid w:val="0"/>
        </w:rPr>
        <w:tab/>
        <w:t>that the premises shall be completed in accordance with specified plans or specifications, or subject to specified modifications; or</w:t>
      </w:r>
    </w:p>
    <w:p>
      <w:pPr>
        <w:pStyle w:val="Indenta"/>
        <w:rPr>
          <w:snapToGrid w:val="0"/>
        </w:rPr>
      </w:pPr>
      <w:r>
        <w:rPr>
          <w:snapToGrid w:val="0"/>
        </w:rPr>
        <w:tab/>
        <w:t>(b)</w:t>
      </w:r>
      <w:r>
        <w:rPr>
          <w:snapToGrid w:val="0"/>
        </w:rPr>
        <w:tab/>
        <w:t>as to a specified manner, or sequence, of the completion of the premises; or</w:t>
      </w:r>
    </w:p>
    <w:p>
      <w:pPr>
        <w:pStyle w:val="Indenta"/>
        <w:rPr>
          <w:snapToGrid w:val="0"/>
        </w:rPr>
      </w:pPr>
      <w:r>
        <w:rPr>
          <w:snapToGrid w:val="0"/>
        </w:rPr>
        <w:tab/>
        <w:t>(c)</w:t>
      </w:r>
      <w:r>
        <w:rPr>
          <w:snapToGrid w:val="0"/>
        </w:rPr>
        <w:tab/>
        <w:t>requiring the applicant to enter into a bond, with or without sureties, conditional on the completion to the satisfaction of the licensing authority of specified work within a specified time; or</w:t>
      </w:r>
    </w:p>
    <w:p>
      <w:pPr>
        <w:pStyle w:val="Indenta"/>
        <w:rPr>
          <w:snapToGrid w:val="0"/>
        </w:rPr>
      </w:pPr>
      <w:r>
        <w:rPr>
          <w:snapToGrid w:val="0"/>
        </w:rPr>
        <w:tab/>
        <w:t>(d)</w:t>
      </w:r>
      <w:r>
        <w:rPr>
          <w:snapToGrid w:val="0"/>
        </w:rPr>
        <w:tab/>
        <w:t>that the grant will be cancelled if the licensing authority is not satisfied as to any specified matter to which section 39 or 40 refers or as to public safety or fire precautions; or</w:t>
      </w:r>
    </w:p>
    <w:p>
      <w:pPr>
        <w:pStyle w:val="Indenta"/>
        <w:rPr>
          <w:snapToGrid w:val="0"/>
        </w:rPr>
      </w:pPr>
      <w:r>
        <w:rPr>
          <w:snapToGrid w:val="0"/>
        </w:rPr>
        <w:tab/>
        <w:t>(e)</w:t>
      </w:r>
      <w:r>
        <w:rPr>
          <w:snapToGrid w:val="0"/>
        </w:rPr>
        <w:tab/>
        <w:t>that a transfer of the licence to a designated person be effected in a manner approved by the licensing authority.</w:t>
      </w:r>
    </w:p>
    <w:p>
      <w:pPr>
        <w:pStyle w:val="Subsection"/>
        <w:rPr>
          <w:snapToGrid w:val="0"/>
        </w:rPr>
      </w:pPr>
      <w:r>
        <w:rPr>
          <w:snapToGrid w:val="0"/>
        </w:rPr>
        <w:tab/>
        <w:t>(6)</w:t>
      </w:r>
      <w:r>
        <w:rPr>
          <w:snapToGrid w:val="0"/>
        </w:rPr>
        <w:tab/>
        <w:t>On an application by the holder of a licence conditionally granted or removed under this section, the licensing authority may — </w:t>
      </w:r>
    </w:p>
    <w:p>
      <w:pPr>
        <w:pStyle w:val="Indenta"/>
        <w:rPr>
          <w:snapToGrid w:val="0"/>
        </w:rPr>
      </w:pPr>
      <w:r>
        <w:rPr>
          <w:snapToGrid w:val="0"/>
        </w:rPr>
        <w:tab/>
        <w:t>(a)</w:t>
      </w:r>
      <w:r>
        <w:rPr>
          <w:snapToGrid w:val="0"/>
        </w:rPr>
        <w:tab/>
        <w:t>vary any plans or specifications the subject of a condition; or</w:t>
      </w:r>
    </w:p>
    <w:p>
      <w:pPr>
        <w:pStyle w:val="Indenta"/>
        <w:rPr>
          <w:snapToGrid w:val="0"/>
        </w:rPr>
      </w:pPr>
      <w:r>
        <w:rPr>
          <w:snapToGrid w:val="0"/>
        </w:rPr>
        <w:tab/>
        <w:t>(b)</w:t>
      </w:r>
      <w:r>
        <w:rPr>
          <w:snapToGrid w:val="0"/>
        </w:rPr>
        <w:tab/>
        <w:t>otherwise vary any conditions to which the licence is subject, including a condition imposed under subsection (4).</w:t>
      </w:r>
    </w:p>
    <w:p>
      <w:pPr>
        <w:pStyle w:val="Subsection"/>
        <w:keepNext/>
        <w:rPr>
          <w:snapToGrid w:val="0"/>
        </w:rPr>
      </w:pPr>
      <w:r>
        <w:rPr>
          <w:rFonts w:ascii="Times" w:hAnsi="Times"/>
          <w:snapToGrid w:val="0"/>
        </w:rPr>
        <w:tab/>
        <w:t>(7)</w:t>
      </w:r>
      <w:r>
        <w:rPr>
          <w:rFonts w:ascii="Times" w:hAnsi="Times"/>
          <w:snapToGrid w:val="0"/>
        </w:rPr>
        <w:tab/>
      </w:r>
      <w:r>
        <w:rPr>
          <w:snapToGrid w:val="0"/>
        </w:rPr>
        <w:t>Where full plans and specifications are submitted in accordance with the condition imposed under subsection (4)(a), the licensing authority may — </w:t>
      </w:r>
    </w:p>
    <w:p>
      <w:pPr>
        <w:pStyle w:val="Indenta"/>
        <w:rPr>
          <w:snapToGrid w:val="0"/>
        </w:rPr>
      </w:pPr>
      <w:r>
        <w:rPr>
          <w:snapToGrid w:val="0"/>
        </w:rPr>
        <w:tab/>
        <w:t>(a)</w:t>
      </w:r>
      <w:r>
        <w:rPr>
          <w:snapToGrid w:val="0"/>
        </w:rPr>
        <w:tab/>
        <w:t>vary or add to the conditions of the grant of the licence or removal under this section as it thinks fit; or</w:t>
      </w:r>
    </w:p>
    <w:p>
      <w:pPr>
        <w:pStyle w:val="Indenta"/>
        <w:keepNext/>
        <w:rPr>
          <w:snapToGrid w:val="0"/>
        </w:rPr>
      </w:pPr>
      <w:r>
        <w:rPr>
          <w:snapToGrid w:val="0"/>
        </w:rPr>
        <w:tab/>
        <w:t>(b)</w:t>
      </w:r>
      <w:r>
        <w:rPr>
          <w:snapToGrid w:val="0"/>
        </w:rPr>
        <w:tab/>
        <w:t>cancel or suspend the operation of the conditional grant,</w:t>
      </w:r>
    </w:p>
    <w:p>
      <w:pPr>
        <w:pStyle w:val="Subsection"/>
        <w:rPr>
          <w:snapToGrid w:val="0"/>
        </w:rPr>
      </w:pPr>
      <w:r>
        <w:rPr>
          <w:snapToGrid w:val="0"/>
        </w:rPr>
        <w:tab/>
      </w:r>
      <w:r>
        <w:rPr>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by No. 12 of 1998 s. 42.] </w:t>
      </w:r>
    </w:p>
    <w:p>
      <w:pPr>
        <w:pStyle w:val="Heading5"/>
        <w:spacing w:before="180"/>
        <w:rPr>
          <w:snapToGrid w:val="0"/>
        </w:rPr>
      </w:pPr>
      <w:bookmarkStart w:id="185" w:name="_Toc522197284"/>
      <w:r>
        <w:rPr>
          <w:rStyle w:val="CharSectno"/>
        </w:rPr>
        <w:t>62A</w:t>
      </w:r>
      <w:r>
        <w:rPr>
          <w:snapToGrid w:val="0"/>
        </w:rPr>
        <w:t>.</w:t>
      </w:r>
      <w:r>
        <w:rPr>
          <w:snapToGrid w:val="0"/>
        </w:rPr>
        <w:tab/>
        <w:t>Pending certificate (s. 39 or 40) etc., conditional grant in case of</w:t>
      </w:r>
      <w:bookmarkEnd w:id="185"/>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snapToGrid w:val="0"/>
        </w:rPr>
      </w:pPr>
      <w:r>
        <w:rPr>
          <w:snapToGrid w:val="0"/>
        </w:rPr>
        <w:tab/>
        <w:t>(b)</w:t>
      </w:r>
      <w:r>
        <w:rPr>
          <w:snapToGrid w:val="0"/>
        </w:rPr>
        <w:tab/>
        <w:t>the licensing authority is satisfied that it would grant the licence or removal if a certificate referred to in section 39 or 40, or other evidence as to an approval, consent or exemption referred to in section 37(2), were produced,</w:t>
      </w:r>
    </w:p>
    <w:p>
      <w:pPr>
        <w:pStyle w:val="Subsection"/>
        <w:spacing w:before="120"/>
        <w:rPr>
          <w:snapToGrid w:val="0"/>
        </w:rPr>
      </w:pPr>
      <w:r>
        <w:rPr>
          <w:snapToGrid w:val="0"/>
        </w:rPr>
        <w:tab/>
      </w:r>
      <w:r>
        <w:rPr>
          <w:snapToGrid w:val="0"/>
        </w:rPr>
        <w:tab/>
        <w:t>the licensing authority may grant the licence subject to the condition that the certificate or other evidence be produced on or before a specified day.</w:t>
      </w:r>
    </w:p>
    <w:p>
      <w:pPr>
        <w:pStyle w:val="Subsection"/>
        <w:spacing w:before="120"/>
        <w:rPr>
          <w:snapToGrid w:val="0"/>
        </w:rPr>
      </w:pPr>
      <w:r>
        <w:rPr>
          <w:snapToGrid w:val="0"/>
        </w:rPr>
        <w:tab/>
        <w:t>(2)</w:t>
      </w:r>
      <w:r>
        <w:rPr>
          <w:snapToGrid w:val="0"/>
        </w:rPr>
        <w:tab/>
        <w:t>The licensing authority may, on an application by the holder of a licence conditionally granted or removed under this section, substitute a later day as the specified day.</w:t>
      </w:r>
    </w:p>
    <w:p>
      <w:pPr>
        <w:pStyle w:val="Subsection"/>
        <w:spacing w:before="120"/>
        <w:rPr>
          <w:snapToGrid w:val="0"/>
        </w:rPr>
      </w:pPr>
      <w:r>
        <w:rPr>
          <w:snapToGrid w:val="0"/>
        </w:rPr>
        <w:tab/>
        <w:t>(3)</w:t>
      </w:r>
      <w:r>
        <w:rPr>
          <w:snapToGrid w:val="0"/>
        </w:rPr>
        <w:tab/>
        <w:t>If the certificate or other evidence is not produced on or before the specified day, the Director may, by notice in writing, cancel the licence conditionally granted or removed.</w:t>
      </w:r>
    </w:p>
    <w:p>
      <w:pPr>
        <w:pStyle w:val="Footnotesection"/>
        <w:spacing w:before="80"/>
        <w:ind w:left="890" w:hanging="890"/>
      </w:pPr>
      <w:r>
        <w:tab/>
        <w:t xml:space="preserve">[Section 62A inserted by No. 12 of 1998 s. 42.] </w:t>
      </w:r>
    </w:p>
    <w:p>
      <w:pPr>
        <w:pStyle w:val="Heading5"/>
        <w:spacing w:before="160"/>
        <w:rPr>
          <w:snapToGrid w:val="0"/>
        </w:rPr>
      </w:pPr>
      <w:bookmarkStart w:id="186" w:name="_Toc522197285"/>
      <w:r>
        <w:rPr>
          <w:rStyle w:val="CharSectno"/>
        </w:rPr>
        <w:t>62B</w:t>
      </w:r>
      <w:r>
        <w:rPr>
          <w:snapToGrid w:val="0"/>
        </w:rPr>
        <w:t>.</w:t>
      </w:r>
      <w:r>
        <w:rPr>
          <w:snapToGrid w:val="0"/>
        </w:rPr>
        <w:tab/>
        <w:t>Pending approval etc. (s. 77(5)), conditional approval of alteration etc. in case of</w:t>
      </w:r>
      <w:bookmarkEnd w:id="186"/>
    </w:p>
    <w:p>
      <w:pPr>
        <w:pStyle w:val="Subsection"/>
        <w:spacing w:before="120"/>
        <w:rPr>
          <w:snapToGrid w:val="0"/>
        </w:rPr>
      </w:pPr>
      <w:r>
        <w:rPr>
          <w:snapToGrid w:val="0"/>
        </w:rPr>
        <w:tab/>
        <w:t>(1)</w:t>
      </w:r>
      <w:r>
        <w:rPr>
          <w:snapToGrid w:val="0"/>
        </w:rPr>
        <w:tab/>
        <w:t xml:space="preserve">Notwithstanding section 77, where — </w:t>
      </w:r>
    </w:p>
    <w:p>
      <w:pPr>
        <w:pStyle w:val="Indenta"/>
        <w:spacing w:before="60"/>
        <w:rPr>
          <w:snapToGrid w:val="0"/>
        </w:rPr>
      </w:pPr>
      <w:r>
        <w:rPr>
          <w:snapToGrid w:val="0"/>
        </w:rPr>
        <w:tab/>
        <w:t>(a)</w:t>
      </w:r>
      <w:r>
        <w:rPr>
          <w:snapToGrid w:val="0"/>
        </w:rPr>
        <w:tab/>
        <w:t>an application is made for an alteration or redefinition of a licensed premises; and</w:t>
      </w:r>
    </w:p>
    <w:p>
      <w:pPr>
        <w:pStyle w:val="Indenta"/>
        <w:spacing w:before="60"/>
        <w:rPr>
          <w:snapToGrid w:val="0"/>
        </w:rPr>
      </w:pPr>
      <w:r>
        <w:rPr>
          <w:snapToGrid w:val="0"/>
        </w:rPr>
        <w:tab/>
        <w:t>(b)</w:t>
      </w:r>
      <w:r>
        <w:rPr>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spacing w:before="120"/>
        <w:rPr>
          <w:snapToGrid w:val="0"/>
        </w:rPr>
      </w:pPr>
      <w:r>
        <w:rPr>
          <w:snapToGrid w:val="0"/>
        </w:rPr>
        <w:tab/>
      </w:r>
      <w:r>
        <w:rPr>
          <w:snapToGrid w:val="0"/>
        </w:rPr>
        <w:tab/>
        <w:t>the licensing authority may approve the alteration or redefinition subject to the condition that the evidence be produced on or before a specified day.</w:t>
      </w:r>
    </w:p>
    <w:p>
      <w:pPr>
        <w:pStyle w:val="Subsection"/>
        <w:spacing w:before="120"/>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spacing w:before="120"/>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keepLines w:val="0"/>
        <w:spacing w:before="60"/>
        <w:ind w:left="890" w:hanging="890"/>
      </w:pPr>
      <w:r>
        <w:rPr>
          <w:rFonts w:ascii="Times" w:hAnsi="Times"/>
        </w:rPr>
        <w:tab/>
        <w:t xml:space="preserve">[Section 62B inserted by No. 12 of 1998 </w:t>
      </w:r>
      <w:r>
        <w:t xml:space="preserve">s. 42.] </w:t>
      </w:r>
    </w:p>
    <w:p>
      <w:pPr>
        <w:pStyle w:val="Heading3"/>
        <w:keepLines/>
        <w:rPr>
          <w:snapToGrid w:val="0"/>
        </w:rPr>
      </w:pPr>
      <w:bookmarkStart w:id="187" w:name="_Toc471906763"/>
      <w:bookmarkStart w:id="188" w:name="_Toc472001680"/>
      <w:bookmarkStart w:id="189" w:name="_Toc472676708"/>
      <w:bookmarkStart w:id="190" w:name="_Toc472682093"/>
      <w:bookmarkStart w:id="191" w:name="_Toc473119234"/>
      <w:bookmarkStart w:id="192" w:name="_Toc522197286"/>
      <w:r>
        <w:rPr>
          <w:rStyle w:val="CharDivNo"/>
        </w:rPr>
        <w:t>Division 6</w:t>
      </w:r>
      <w:r>
        <w:rPr>
          <w:snapToGrid w:val="0"/>
        </w:rPr>
        <w:t> — </w:t>
      </w:r>
      <w:r>
        <w:rPr>
          <w:rStyle w:val="CharDivText"/>
        </w:rPr>
        <w:t>Conditions, generally</w:t>
      </w:r>
      <w:bookmarkEnd w:id="187"/>
      <w:bookmarkEnd w:id="188"/>
      <w:bookmarkEnd w:id="189"/>
      <w:bookmarkEnd w:id="190"/>
      <w:bookmarkEnd w:id="191"/>
      <w:bookmarkEnd w:id="192"/>
      <w:r>
        <w:rPr>
          <w:rStyle w:val="CharDivText"/>
        </w:rPr>
        <w:t xml:space="preserve"> </w:t>
      </w:r>
    </w:p>
    <w:p>
      <w:pPr>
        <w:pStyle w:val="Heading5"/>
        <w:rPr>
          <w:snapToGrid w:val="0"/>
        </w:rPr>
      </w:pPr>
      <w:bookmarkStart w:id="193" w:name="_Toc522197287"/>
      <w:r>
        <w:rPr>
          <w:rStyle w:val="CharSectno"/>
        </w:rPr>
        <w:t>63</w:t>
      </w:r>
      <w:r>
        <w:rPr>
          <w:snapToGrid w:val="0"/>
        </w:rPr>
        <w:t>.</w:t>
      </w:r>
      <w:r>
        <w:rPr>
          <w:snapToGrid w:val="0"/>
        </w:rPr>
        <w:tab/>
        <w:t>Terms fixed and conditions imposed by Act, only some can be varied etc.</w:t>
      </w:r>
      <w:bookmarkEnd w:id="193"/>
    </w:p>
    <w:p>
      <w:pPr>
        <w:pStyle w:val="Subsection"/>
        <w:rPr>
          <w:snapToGrid w:val="0"/>
        </w:rPr>
      </w:pPr>
      <w:r>
        <w:rPr>
          <w:snapToGrid w:val="0"/>
        </w:rPr>
        <w:tab/>
      </w:r>
      <w:r>
        <w:rPr>
          <w:snapToGrid w:val="0"/>
        </w:rPr>
        <w:tab/>
        <w:t>The licensing authority may, of its own motion or on the application of the licensee — </w:t>
      </w:r>
    </w:p>
    <w:p>
      <w:pPr>
        <w:pStyle w:val="Indenta"/>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 or</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 or</w:t>
      </w:r>
    </w:p>
    <w:p>
      <w:pPr>
        <w:pStyle w:val="Indenta"/>
        <w:rPr>
          <w:snapToGrid w:val="0"/>
        </w:rPr>
      </w:pPr>
      <w:r>
        <w:rPr>
          <w:snapToGrid w:val="0"/>
        </w:rPr>
        <w:tab/>
        <w:t>(c)</w:t>
      </w:r>
      <w:r>
        <w:rPr>
          <w:snapToGrid w:val="0"/>
        </w:rPr>
        <w:tab/>
        <w:t>vary a hotel licence in accordance with section 41(6) or (7); or</w:t>
      </w:r>
    </w:p>
    <w:p>
      <w:pPr>
        <w:pStyle w:val="Indenta"/>
        <w:rPr>
          <w:snapToGrid w:val="0"/>
        </w:rPr>
      </w:pPr>
      <w:r>
        <w:rPr>
          <w:snapToGrid w:val="0"/>
        </w:rPr>
        <w:tab/>
        <w:t>(ca)</w:t>
      </w:r>
      <w:r>
        <w:rPr>
          <w:snapToGrid w:val="0"/>
        </w:rPr>
        <w:tab/>
        <w:t>remove the restrictions on a club restricted licence so that it is converted to a club licence; or</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spacing w:before="120"/>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 xml:space="preserve">[Section 63 amended by No. 12 of 1998 s. 43; No. 73 of 2006 s. 45.] </w:t>
      </w:r>
    </w:p>
    <w:p>
      <w:pPr>
        <w:pStyle w:val="Heading5"/>
        <w:rPr>
          <w:snapToGrid w:val="0"/>
        </w:rPr>
      </w:pPr>
      <w:bookmarkStart w:id="194" w:name="_Toc522197288"/>
      <w:r>
        <w:rPr>
          <w:rStyle w:val="CharSectno"/>
        </w:rPr>
        <w:t>64</w:t>
      </w:r>
      <w:r>
        <w:rPr>
          <w:snapToGrid w:val="0"/>
        </w:rPr>
        <w:t>.</w:t>
      </w:r>
      <w:r>
        <w:rPr>
          <w:snapToGrid w:val="0"/>
        </w:rPr>
        <w:tab/>
        <w:t>Imposing, varying and cancelling conditions</w:t>
      </w:r>
      <w:bookmarkEnd w:id="194"/>
      <w:r>
        <w:rPr>
          <w:snapToGrid w:val="0"/>
        </w:rPr>
        <w:t xml:space="preserve"> </w:t>
      </w:r>
    </w:p>
    <w:p>
      <w:pPr>
        <w:pStyle w:val="Subsection"/>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pPr>
      <w:r>
        <w:tab/>
        <w:t>(1a)</w:t>
      </w:r>
      <w:r>
        <w:tab/>
        <w:t xml:space="preserve">The licensing authority may impose, vary or cancel a condition under subsection (1) — </w:t>
      </w:r>
    </w:p>
    <w:p>
      <w:pPr>
        <w:pStyle w:val="Indenta"/>
      </w:pPr>
      <w:r>
        <w:tab/>
        <w:t>(a)</w:t>
      </w:r>
      <w:r>
        <w:tab/>
        <w:t>of its own motion; or</w:t>
      </w:r>
    </w:p>
    <w:p>
      <w:pPr>
        <w:pStyle w:val="Indenta"/>
      </w:pPr>
      <w:r>
        <w:tab/>
        <w:t>(b)</w:t>
      </w:r>
      <w:r>
        <w:tab/>
        <w:t>on the application of the licensee; or</w:t>
      </w:r>
    </w:p>
    <w:p>
      <w:pPr>
        <w:pStyle w:val="Indenta"/>
      </w:pPr>
      <w:r>
        <w:tab/>
        <w:t>(c)</w:t>
      </w:r>
      <w:r>
        <w:tab/>
        <w:t>at the written request of the parties to a liquor accord.</w:t>
      </w:r>
    </w:p>
    <w:p>
      <w:pPr>
        <w:pStyle w:val="Subsection"/>
        <w:keepNext/>
      </w:pPr>
      <w:r>
        <w:tab/>
        <w:t>(1b)</w:t>
      </w:r>
      <w:r>
        <w:tab/>
        <w:t xml:space="preserve">In subsection (1a) — </w:t>
      </w:r>
    </w:p>
    <w:p>
      <w:pPr>
        <w:pStyle w:val="Defstart"/>
      </w:pPr>
      <w:r>
        <w:rPr>
          <w:b/>
        </w:rPr>
        <w:tab/>
      </w:r>
      <w:r>
        <w:rPr>
          <w:rStyle w:val="CharDefText"/>
        </w:rPr>
        <w:t>liquor accord</w:t>
      </w:r>
      <w:r>
        <w:t xml:space="preserve"> means a written agreement or other arrangement — </w:t>
      </w:r>
    </w:p>
    <w:p>
      <w:pPr>
        <w:pStyle w:val="Defpara"/>
      </w:pPr>
      <w:r>
        <w:tab/>
        <w:t>(a)</w:t>
      </w:r>
      <w:r>
        <w:tab/>
        <w:t>that is entered into by 2 or more licensees in a local community, and persons who represent the licensing authority, departments of the Public Service, State agencies or local government, and other persons; and</w:t>
      </w:r>
    </w:p>
    <w:p>
      <w:pPr>
        <w:pStyle w:val="Defpara"/>
        <w:keepLines/>
      </w:pPr>
      <w:r>
        <w:tab/>
        <w:t>(b)</w:t>
      </w:r>
      <w:r>
        <w:tab/>
        <w:t>that has the purposes of minimising the harm caused in the local community by the excessive consumption of liquor and promoting responsible practices in the sale, supply and service of liquor in the local community; and</w:t>
      </w:r>
    </w:p>
    <w:p>
      <w:pPr>
        <w:pStyle w:val="Defpara"/>
      </w:pPr>
      <w:r>
        <w:tab/>
        <w:t>(c)</w:t>
      </w:r>
      <w:r>
        <w:tab/>
        <w:t>that is approved by the Director.</w:t>
      </w:r>
    </w:p>
    <w:p>
      <w:pPr>
        <w:pStyle w:val="Subsection"/>
        <w:keepNext/>
      </w:pPr>
      <w:r>
        <w:tab/>
        <w:t>(1C)</w:t>
      </w:r>
      <w:r>
        <w:tab/>
        <w:t xml:space="preserve">For the purposes of deciding whether to impose, vary or cancel a condition under this section, the licensing authority may consult with all or any of the following persons — </w:t>
      </w:r>
    </w:p>
    <w:p>
      <w:pPr>
        <w:pStyle w:val="Indenta"/>
      </w:pPr>
      <w:r>
        <w:tab/>
        <w:t>(a)</w:t>
      </w:r>
      <w:r>
        <w:tab/>
        <w:t>the Commissioner of Police;</w:t>
      </w:r>
    </w:p>
    <w:p>
      <w:pPr>
        <w:pStyle w:val="Indenta"/>
      </w:pPr>
      <w:r>
        <w:tab/>
        <w:t>(b)</w:t>
      </w:r>
      <w:r>
        <w:tab/>
        <w:t>the relevant local government;</w:t>
      </w:r>
    </w:p>
    <w:p>
      <w:pPr>
        <w:pStyle w:val="Indenta"/>
      </w:pPr>
      <w:r>
        <w:tab/>
        <w:t>(c)</w:t>
      </w:r>
      <w:r>
        <w:tab/>
        <w:t>the Chief Health Officer;</w:t>
      </w:r>
    </w:p>
    <w:p>
      <w:pPr>
        <w:pStyle w:val="Indenta"/>
      </w:pPr>
      <w:r>
        <w:tab/>
        <w:t>(d)</w:t>
      </w:r>
      <w:r>
        <w:tab/>
        <w:t>any other person, body or authority the licencing authority considers may be able to provide information relevant to the decision.</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p>
    <w:p>
      <w:pPr>
        <w:pStyle w:val="Subsection"/>
      </w:pPr>
      <w:r>
        <w:tab/>
        <w:t>(2b)</w:t>
      </w:r>
      <w:r>
        <w:tab/>
        <w:t>Subsection (2a) does not apply in relation to a condition proposed to be imposed, varied or cancelled in accordance with an application under subsection (1a)(b).</w:t>
      </w:r>
    </w:p>
    <w:p>
      <w:pPr>
        <w:pStyle w:val="Subsection"/>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pPr>
        <w:pStyle w:val="Indenta"/>
        <w:rPr>
          <w:snapToGrid w:val="0"/>
        </w:rPr>
      </w:pPr>
      <w:r>
        <w:rPr>
          <w:snapToGrid w:val="0"/>
        </w:rPr>
        <w:tab/>
        <w:t>(a)</w:t>
      </w:r>
      <w:r>
        <w:rPr>
          <w:snapToGrid w:val="0"/>
        </w:rPr>
        <w:tab/>
        <w:t>ensure that the noise emanating from the licensed premises is not excessive; or</w:t>
      </w:r>
    </w:p>
    <w:p>
      <w:pPr>
        <w:pStyle w:val="Indenta"/>
        <w:rPr>
          <w:snapToGrid w:val="0"/>
        </w:rPr>
      </w:pPr>
      <w:r>
        <w:rPr>
          <w:snapToGrid w:val="0"/>
        </w:rPr>
        <w:tab/>
        <w:t>(b)</w:t>
      </w:r>
      <w:r>
        <w:rPr>
          <w:snapToGrid w:val="0"/>
        </w:rPr>
        <w:tab/>
        <w:t>minimise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pPr>
        <w:pStyle w:val="Indenta"/>
        <w:rPr>
          <w:snapToGrid w:val="0"/>
        </w:rPr>
      </w:pPr>
      <w:r>
        <w:rPr>
          <w:snapToGrid w:val="0"/>
        </w:rPr>
        <w:tab/>
        <w:t>(ba)</w:t>
      </w:r>
      <w:r>
        <w:rPr>
          <w:snapToGrid w:val="0"/>
        </w:rPr>
        <w:tab/>
        <w:t xml:space="preserve">ensure that local laws of a local </w:t>
      </w:r>
      <w:r>
        <w:t>government</w:t>
      </w:r>
      <w:r>
        <w:rPr>
          <w:snapToGrid w:val="0"/>
        </w:rPr>
        <w:t xml:space="preserve">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pPr>
        <w:pStyle w:val="Indenta"/>
        <w:rPr>
          <w:snapToGrid w:val="0"/>
        </w:rPr>
      </w:pPr>
      <w:r>
        <w:rPr>
          <w:snapToGrid w:val="0"/>
        </w:rPr>
        <w:tab/>
        <w:t>(c)</w:t>
      </w:r>
      <w:r>
        <w:rPr>
          <w:snapToGrid w:val="0"/>
        </w:rPr>
        <w:tab/>
        <w:t>ensure that the safety, health or welfare of persons who may resort to the licensed premises is not at risk; or</w:t>
      </w:r>
    </w:p>
    <w:p>
      <w:pPr>
        <w:pStyle w:val="Indenta"/>
        <w:rPr>
          <w:snapToGrid w:val="0"/>
        </w:rPr>
      </w:pPr>
      <w:r>
        <w:rPr>
          <w:snapToGrid w:val="0"/>
        </w:rPr>
        <w:tab/>
        <w:t>(ca)</w:t>
      </w:r>
      <w:r>
        <w:rPr>
          <w:snapToGrid w:val="0"/>
        </w:rPr>
        <w:tab/>
        <w:t>ensure that liquor is sold and consumed in a responsible manner; or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 or</w:t>
      </w:r>
    </w:p>
    <w:p>
      <w:pPr>
        <w:pStyle w:val="Indenta"/>
        <w:rPr>
          <w:snapToGrid w:val="0"/>
        </w:rPr>
      </w:pPr>
      <w:r>
        <w:rPr>
          <w:snapToGrid w:val="0"/>
        </w:rPr>
        <w:tab/>
        <w:t>(cc)</w:t>
      </w:r>
      <w:r>
        <w:rPr>
          <w:snapToGrid w:val="0"/>
        </w:rPr>
        <w:tab/>
        <w:t>minimise harm or ill</w:t>
      </w:r>
      <w:r>
        <w:rPr>
          <w:snapToGrid w:val="0"/>
        </w:rPr>
        <w:noBreakHyphen/>
        <w:t>health caused to people, or any group of people, due to the use of liquor; or</w:t>
      </w:r>
    </w:p>
    <w:p>
      <w:pPr>
        <w:pStyle w:val="Indenta"/>
        <w:rPr>
          <w:snapToGrid w:val="0"/>
        </w:rPr>
      </w:pPr>
      <w:r>
        <w:rPr>
          <w:snapToGrid w:val="0"/>
        </w:rPr>
        <w:tab/>
        <w:t>(cd)</w:t>
      </w:r>
      <w:r>
        <w:rPr>
          <w:snapToGrid w:val="0"/>
        </w:rPr>
        <w:tab/>
        <w:t>limit or prohibit the sale of liquor on credit; or</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 or</w:t>
      </w:r>
    </w:p>
    <w:p>
      <w:pPr>
        <w:pStyle w:val="Indenta"/>
        <w:rPr>
          <w:snapToGrid w:val="0"/>
        </w:rPr>
      </w:pPr>
      <w:r>
        <w:rPr>
          <w:snapToGrid w:val="0"/>
        </w:rPr>
        <w:tab/>
        <w:t>(e)</w:t>
      </w:r>
      <w:r>
        <w:rPr>
          <w:snapToGrid w:val="0"/>
        </w:rPr>
        <w:tab/>
        <w:t>limit — </w:t>
      </w:r>
    </w:p>
    <w:p>
      <w:pPr>
        <w:pStyle w:val="Indenti"/>
        <w:rPr>
          <w:snapToGrid w:val="0"/>
        </w:rPr>
      </w:pPr>
      <w:r>
        <w:rPr>
          <w:snapToGrid w:val="0"/>
        </w:rPr>
        <w:tab/>
        <w:t>(i)</w:t>
      </w:r>
      <w:r>
        <w:rPr>
          <w:snapToGrid w:val="0"/>
        </w:rPr>
        <w:tab/>
        <w:t>the kinds of liquor that may be sold;</w:t>
      </w:r>
    </w:p>
    <w:p>
      <w:pPr>
        <w:pStyle w:val="Indenti"/>
        <w:rPr>
          <w:snapToGrid w:val="0"/>
        </w:rPr>
      </w:pPr>
      <w:r>
        <w:rPr>
          <w:snapToGrid w:val="0"/>
        </w:rPr>
        <w:tab/>
        <w:t>(ii)</w:t>
      </w:r>
      <w:r>
        <w:rPr>
          <w:snapToGrid w:val="0"/>
        </w:rPr>
        <w:tab/>
        <w:t>the manner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r>
      <w:r>
        <w:rPr>
          <w:snapToGrid w:val="0"/>
        </w:rPr>
        <w:tab/>
        <w:t>or</w:t>
      </w:r>
    </w:p>
    <w:p>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pPr>
        <w:pStyle w:val="Indenta"/>
      </w:pPr>
      <w:r>
        <w:tab/>
        <w:t>(fa)</w:t>
      </w:r>
      <w:r>
        <w:tab/>
        <w:t>prohibit entry to the licensed premises after a specified time; or</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 or</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 or</w:t>
      </w:r>
    </w:p>
    <w:p>
      <w:pPr>
        <w:pStyle w:val="Indenta"/>
        <w:rPr>
          <w:snapToGrid w:val="0"/>
        </w:rPr>
      </w:pPr>
      <w:r>
        <w:rPr>
          <w:snapToGrid w:val="0"/>
        </w:rPr>
        <w:tab/>
        <w:t>(gb)</w:t>
      </w:r>
      <w:r>
        <w:rPr>
          <w:snapToGrid w:val="0"/>
        </w:rPr>
        <w:tab/>
        <w:t>prohibit any practices which encourage irresponsible drinking; or</w:t>
      </w:r>
    </w:p>
    <w:p>
      <w:pPr>
        <w:pStyle w:val="Indenta"/>
        <w:keepNext/>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keepNext/>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pPr>
        <w:pStyle w:val="Indenta"/>
      </w:pPr>
      <w:r>
        <w:tab/>
        <w:t>(ka)</w:t>
      </w:r>
      <w:r>
        <w:tab/>
        <w:t>require the keeping of records and provision of information to the Director; or</w:t>
      </w:r>
    </w:p>
    <w:p>
      <w:pPr>
        <w:pStyle w:val="Indenta"/>
        <w:keepNext/>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keepLines/>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Ednotesubsection"/>
      </w:pPr>
      <w:r>
        <w:tab/>
        <w:t>[(5)</w:t>
      </w:r>
      <w:r>
        <w:tab/>
        <w:t>deleted]</w:t>
      </w:r>
    </w:p>
    <w:p>
      <w:pPr>
        <w:pStyle w:val="Subsection"/>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keepNext/>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 xml:space="preserve">impose on the licence holder a monetary penalty not exceeding </w:t>
      </w:r>
      <w:r>
        <w:t xml:space="preserve">$1 000 </w:t>
      </w:r>
      <w:r>
        <w:rPr>
          <w:snapToGrid w:val="0"/>
        </w:rPr>
        <w:t>for each day on which the contravention continues, which shall be payable to the Crown by that person,</w:t>
      </w:r>
    </w:p>
    <w:p>
      <w:pPr>
        <w:pStyle w:val="Subsection"/>
        <w:rPr>
          <w:snapToGrid w:val="0"/>
        </w:rPr>
      </w:pPr>
      <w:r>
        <w:rPr>
          <w:snapToGrid w:val="0"/>
        </w:rPr>
        <w:tab/>
      </w:r>
      <w:r>
        <w:rPr>
          <w:snapToGrid w:val="0"/>
        </w:rPr>
        <w:tab/>
        <w:t>or both.</w:t>
      </w:r>
    </w:p>
    <w:p>
      <w:pPr>
        <w:pStyle w:val="Subsection"/>
      </w:pPr>
      <w:r>
        <w:tab/>
        <w:t>(8)</w:t>
      </w:r>
      <w:r>
        <w:tab/>
        <w:t>The imposition, variation or cancellation of a condition, or the imposition of a monetary penalty, under this section is not to be regarded as the taking of disciplinary action for the purposes of section 96.</w:t>
      </w:r>
    </w:p>
    <w:p>
      <w:pPr>
        <w:pStyle w:val="Footnotesection"/>
        <w:spacing w:before="80"/>
        <w:ind w:left="890" w:hanging="890"/>
      </w:pPr>
      <w:r>
        <w:tab/>
        <w:t>[Section 64 amended by No. 56 of 1997 s. 31; No. 12 of 1998 s. 44; No. 73 of 2006 s. 46; No. 56 of 2010 s. 44; No. 35 of 2015 s. 10</w:t>
      </w:r>
      <w:r>
        <w:rPr>
          <w:spacing w:val="-4"/>
        </w:rPr>
        <w:t>; No. 19 of 2016 s. 163</w:t>
      </w:r>
      <w:r>
        <w:t xml:space="preserve">.] </w:t>
      </w:r>
    </w:p>
    <w:p>
      <w:pPr>
        <w:pStyle w:val="Heading5"/>
        <w:spacing w:before="240"/>
        <w:rPr>
          <w:snapToGrid w:val="0"/>
        </w:rPr>
      </w:pPr>
      <w:bookmarkStart w:id="195" w:name="_Toc522197289"/>
      <w:r>
        <w:rPr>
          <w:rStyle w:val="CharSectno"/>
        </w:rPr>
        <w:t>65</w:t>
      </w:r>
      <w:r>
        <w:rPr>
          <w:snapToGrid w:val="0"/>
        </w:rPr>
        <w:t>.</w:t>
      </w:r>
      <w:r>
        <w:rPr>
          <w:snapToGrid w:val="0"/>
        </w:rPr>
        <w:tab/>
        <w:t>Packaged liquor, conditions relating to sale of for consumption off licensed premises</w:t>
      </w:r>
      <w:bookmarkEnd w:id="195"/>
      <w:r>
        <w:rPr>
          <w:snapToGrid w:val="0"/>
        </w:rPr>
        <w:t xml:space="preserve"> </w:t>
      </w:r>
    </w:p>
    <w:p>
      <w:pPr>
        <w:pStyle w:val="Subsection"/>
        <w:spacing w:before="120"/>
        <w:rPr>
          <w:snapToGrid w:val="0"/>
        </w:rPr>
      </w:pPr>
      <w:r>
        <w:rPr>
          <w:snapToGrid w:val="0"/>
        </w:rPr>
        <w:tab/>
        <w:t>(1)</w:t>
      </w:r>
      <w:r>
        <w:rPr>
          <w:snapToGrid w:val="0"/>
        </w:rPr>
        <w:tab/>
        <w:t>Subject to subsection (3), a licence or permit that authorises the sale of packaged liquor or of liquor for consumption off the licensed premises is subject to the conditions that the liquor so sold — </w:t>
      </w:r>
    </w:p>
    <w:p>
      <w:pPr>
        <w:pStyle w:val="Indenta"/>
        <w:rPr>
          <w:snapToGrid w:val="0"/>
        </w:rPr>
      </w:pPr>
      <w:r>
        <w:rPr>
          <w:snapToGrid w:val="0"/>
        </w:rPr>
        <w:tab/>
        <w:t>(a)</w:t>
      </w:r>
      <w:r>
        <w:rPr>
          <w:snapToGrid w:val="0"/>
        </w:rPr>
        <w:tab/>
        <w:t>must be consigned to the purchaser at, and delivered on or from, the licensed premises, unless the Director otherwise approves; and</w:t>
      </w:r>
    </w:p>
    <w:p>
      <w:pPr>
        <w:pStyle w:val="Indenta"/>
        <w:rPr>
          <w:snapToGrid w:val="0"/>
        </w:rPr>
      </w:pPr>
      <w:r>
        <w:rPr>
          <w:snapToGrid w:val="0"/>
        </w:rPr>
        <w:tab/>
        <w:t>(b)</w:t>
      </w:r>
      <w:r>
        <w:rPr>
          <w:snapToGrid w:val="0"/>
        </w:rPr>
        <w:tab/>
        <w:t>must be delivered in sealed containers; and</w:t>
      </w:r>
    </w:p>
    <w:p>
      <w:pPr>
        <w:pStyle w:val="Indenta"/>
        <w:rPr>
          <w:snapToGrid w:val="0"/>
        </w:rPr>
      </w:pPr>
      <w:r>
        <w:rPr>
          <w:snapToGrid w:val="0"/>
        </w:rPr>
        <w:tab/>
        <w:t>(c)</w:t>
      </w:r>
      <w:r>
        <w:rPr>
          <w:snapToGrid w:val="0"/>
        </w:rPr>
        <w:tab/>
        <w:t>shall not, unless an extended trading permit or a special facility licence so authorised, be or be permitted to be consumed on or, except in the case of wine sold under section 55, in the immediate proximity of the licensed premises,</w:t>
      </w:r>
    </w:p>
    <w:p>
      <w:pPr>
        <w:pStyle w:val="Subsection"/>
        <w:spacing w:before="120"/>
        <w:rPr>
          <w:snapToGrid w:val="0"/>
        </w:rPr>
      </w:pPr>
      <w:r>
        <w:rPr>
          <w:snapToGrid w:val="0"/>
        </w:rPr>
        <w:tab/>
      </w:r>
      <w:r>
        <w:rPr>
          <w:snapToGrid w:val="0"/>
        </w:rPr>
        <w:tab/>
        <w:t>and a person who contravenes such a condition 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Subsection"/>
        <w:keepNext/>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pPr>
        <w:pStyle w:val="Subsection"/>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keepNext/>
        <w:rPr>
          <w:snapToGrid w:val="0"/>
        </w:rPr>
      </w:pPr>
      <w:r>
        <w:rPr>
          <w:snapToGrid w:val="0"/>
        </w:rPr>
        <w:tab/>
        <w:t>(b)</w:t>
      </w:r>
      <w:r>
        <w:rPr>
          <w:snapToGrid w:val="0"/>
        </w:rPr>
        <w:tab/>
        <w:t>persons habitually gather for the purpose of consuming liquor sold on or from the licensed premises,</w:t>
      </w:r>
    </w:p>
    <w:p>
      <w:pPr>
        <w:pStyle w:val="Subsection"/>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ind w:left="890" w:hanging="890"/>
      </w:pPr>
      <w:r>
        <w:tab/>
        <w:t xml:space="preserve">[Section 65 amended by No. 12 of 1998 s. 45; No. 56 of 2010 s. 69.] </w:t>
      </w:r>
    </w:p>
    <w:p>
      <w:pPr>
        <w:pStyle w:val="Heading5"/>
        <w:spacing w:before="180"/>
      </w:pPr>
      <w:bookmarkStart w:id="196" w:name="_Toc522197290"/>
      <w:r>
        <w:rPr>
          <w:rStyle w:val="CharSectno"/>
        </w:rPr>
        <w:t>65A</w:t>
      </w:r>
      <w:r>
        <w:t>.</w:t>
      </w:r>
      <w:r>
        <w:tab/>
        <w:t>Petrol station not to be established on premises from which packaged liquor is sold</w:t>
      </w:r>
      <w:bookmarkEnd w:id="196"/>
    </w:p>
    <w:p>
      <w:pPr>
        <w:pStyle w:val="Subsection"/>
      </w:pPr>
      <w:r>
        <w:tab/>
        <w:t>(1)</w:t>
      </w:r>
      <w:r>
        <w:tab/>
        <w:t>In this section —</w:t>
      </w:r>
    </w:p>
    <w:p>
      <w:pPr>
        <w:pStyle w:val="Defstart"/>
      </w:pPr>
      <w:r>
        <w:tab/>
      </w:r>
      <w:r>
        <w:rPr>
          <w:rStyle w:val="CharDefText"/>
        </w:rPr>
        <w:t>applicable day</w:t>
      </w:r>
      <w:r>
        <w:t xml:space="preserve"> means the day on which the </w:t>
      </w:r>
      <w:r>
        <w:rPr>
          <w:i/>
        </w:rPr>
        <w:t>Liquor Licensing Amendment (Petrol Stations and Lodgers’ Registers) Act 2000</w:t>
      </w:r>
      <w:r>
        <w:t xml:space="preserve"> </w:t>
      </w:r>
      <w:r>
        <w:rPr>
          <w:vertAlign w:val="superscript"/>
        </w:rPr>
        <w:t>1</w:t>
      </w:r>
      <w:r>
        <w:t xml:space="preserve"> comes into operation;</w:t>
      </w:r>
    </w:p>
    <w:p>
      <w:pPr>
        <w:pStyle w:val="Defstart"/>
      </w:pPr>
      <w:r>
        <w:tab/>
      </w:r>
      <w:r>
        <w:rPr>
          <w:rStyle w:val="CharDefText"/>
        </w:rPr>
        <w:t>country townsite</w:t>
      </w:r>
      <w:r>
        <w:t xml:space="preserve"> has the same meaning as it has in section 36A;</w:t>
      </w:r>
    </w:p>
    <w:p>
      <w:pPr>
        <w:pStyle w:val="Defstart"/>
      </w:pPr>
      <w:r>
        <w:tab/>
      </w:r>
      <w:r>
        <w:rPr>
          <w:rStyle w:val="CharDefText"/>
        </w:rPr>
        <w:t>petrol station</w:t>
      </w:r>
      <w:r>
        <w:t xml:space="preserve"> has the same meaning as it has in section 36A.</w:t>
      </w:r>
    </w:p>
    <w:p>
      <w:pPr>
        <w:pStyle w:val="Subsection"/>
        <w:spacing w:before="120"/>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spacing w:before="120"/>
      </w:pPr>
      <w:r>
        <w:tab/>
        <w:t>(3)</w:t>
      </w:r>
      <w:r>
        <w:tab/>
        <w:t>Subsection (2) does not apply to premises that are in a country townsite if the Director, on an application by the licensee of the premises, so orders.</w:t>
      </w:r>
    </w:p>
    <w:p>
      <w:pPr>
        <w:pStyle w:val="Subsection"/>
        <w:spacing w:before="120"/>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spacing w:before="80"/>
        <w:ind w:left="890" w:hanging="890"/>
      </w:pPr>
      <w:r>
        <w:tab/>
        <w:t>[Section 65A inserted by No. 23 of 2000 s. 6.]</w:t>
      </w:r>
    </w:p>
    <w:p>
      <w:pPr>
        <w:pStyle w:val="Heading5"/>
      </w:pPr>
      <w:bookmarkStart w:id="197" w:name="_Toc522197291"/>
      <w:r>
        <w:rPr>
          <w:rStyle w:val="CharSectno"/>
        </w:rPr>
        <w:t>65B</w:t>
      </w:r>
      <w:r>
        <w:t>.</w:t>
      </w:r>
      <w:r>
        <w:tab/>
        <w:t>Promoting liquor, regulations may prescribe conditions about</w:t>
      </w:r>
      <w:bookmarkEnd w:id="197"/>
    </w:p>
    <w:p>
      <w:pPr>
        <w:pStyle w:val="Subsection"/>
      </w:pPr>
      <w:r>
        <w:tab/>
        <w:t>(1)</w:t>
      </w:r>
      <w:r>
        <w:tab/>
        <w:t xml:space="preserve">The regulations may prescribe conditions that — </w:t>
      </w:r>
    </w:p>
    <w:p>
      <w:pPr>
        <w:pStyle w:val="Indenta"/>
      </w:pPr>
      <w:r>
        <w:tab/>
        <w:t>(a)</w:t>
      </w:r>
      <w:r>
        <w:tab/>
        <w:t>prohibit promotional activity in which liquor is offered free or at reduced prices; or</w:t>
      </w:r>
    </w:p>
    <w:p>
      <w:pPr>
        <w:pStyle w:val="Indenta"/>
      </w:pPr>
      <w:r>
        <w:tab/>
        <w:t>(b)</w:t>
      </w:r>
      <w:r>
        <w:tab/>
        <w:t>limit the circumstances in which promotional activity referred to in paragraph (a) may take place,</w:t>
      </w:r>
    </w:p>
    <w:p>
      <w:pPr>
        <w:pStyle w:val="Subsection"/>
      </w:pPr>
      <w:r>
        <w:tab/>
      </w:r>
      <w:r>
        <w:tab/>
        <w:t>and may provide that any licence, or any licence of a prescribed class, is subject to those conditions.</w:t>
      </w:r>
    </w:p>
    <w:p>
      <w:pPr>
        <w:pStyle w:val="Subsection"/>
      </w:pPr>
      <w:r>
        <w:tab/>
        <w:t>(2)</w:t>
      </w:r>
      <w:r>
        <w:tab/>
        <w:t>Regulations made for the purposes of subsection (1) do not limit the conditions that the licensing authority may impose under section 64(3)(ga) in relation to a particular licensee or particular licensed premises.</w:t>
      </w:r>
    </w:p>
    <w:p>
      <w:pPr>
        <w:pStyle w:val="Footnotesection"/>
      </w:pPr>
      <w:r>
        <w:tab/>
        <w:t>[Section 65B inserted by No. 73 of 2006 s. 47.]</w:t>
      </w:r>
    </w:p>
    <w:p>
      <w:pPr>
        <w:pStyle w:val="Heading3"/>
        <w:rPr>
          <w:snapToGrid w:val="0"/>
        </w:rPr>
      </w:pPr>
      <w:bookmarkStart w:id="198" w:name="_Toc471906769"/>
      <w:bookmarkStart w:id="199" w:name="_Toc472001686"/>
      <w:bookmarkStart w:id="200" w:name="_Toc472676714"/>
      <w:bookmarkStart w:id="201" w:name="_Toc472682099"/>
      <w:bookmarkStart w:id="202" w:name="_Toc473119240"/>
      <w:bookmarkStart w:id="203" w:name="_Toc522197292"/>
      <w:r>
        <w:rPr>
          <w:rStyle w:val="CharDivNo"/>
        </w:rPr>
        <w:t>Division 7</w:t>
      </w:r>
      <w:r>
        <w:rPr>
          <w:snapToGrid w:val="0"/>
        </w:rPr>
        <w:t> — </w:t>
      </w:r>
      <w:r>
        <w:rPr>
          <w:rStyle w:val="CharDivText"/>
        </w:rPr>
        <w:t>Applications</w:t>
      </w:r>
      <w:bookmarkEnd w:id="198"/>
      <w:bookmarkEnd w:id="199"/>
      <w:bookmarkEnd w:id="200"/>
      <w:bookmarkEnd w:id="201"/>
      <w:bookmarkEnd w:id="202"/>
      <w:bookmarkEnd w:id="203"/>
      <w:r>
        <w:rPr>
          <w:rStyle w:val="CharDivText"/>
        </w:rPr>
        <w:t xml:space="preserve"> </w:t>
      </w:r>
    </w:p>
    <w:p>
      <w:pPr>
        <w:pStyle w:val="Heading5"/>
        <w:rPr>
          <w:snapToGrid w:val="0"/>
        </w:rPr>
      </w:pPr>
      <w:bookmarkStart w:id="204" w:name="_Toc522197293"/>
      <w:r>
        <w:rPr>
          <w:rStyle w:val="CharSectno"/>
        </w:rPr>
        <w:t>66</w:t>
      </w:r>
      <w:r>
        <w:rPr>
          <w:snapToGrid w:val="0"/>
        </w:rPr>
        <w:t>.</w:t>
      </w:r>
      <w:r>
        <w:rPr>
          <w:snapToGrid w:val="0"/>
        </w:rPr>
        <w:tab/>
        <w:t>Plans and specifications of premises, requirements as to</w:t>
      </w:r>
      <w:bookmarkEnd w:id="204"/>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 or</w:t>
      </w:r>
    </w:p>
    <w:p>
      <w:pPr>
        <w:pStyle w:val="Indenta"/>
        <w:keepNext/>
        <w:rPr>
          <w:snapToGrid w:val="0"/>
        </w:rPr>
      </w:pPr>
      <w:r>
        <w:rPr>
          <w:snapToGrid w:val="0"/>
        </w:rPr>
        <w:tab/>
        <w:t>(b)</w:t>
      </w:r>
      <w:r>
        <w:rPr>
          <w:snapToGrid w:val="0"/>
        </w:rPr>
        <w:tab/>
        <w:t>the removal of a licence; or</w:t>
      </w:r>
    </w:p>
    <w:p>
      <w:pPr>
        <w:pStyle w:val="Indenta"/>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by No. 12 of 1998 s. 46.] </w:t>
      </w:r>
    </w:p>
    <w:p>
      <w:pPr>
        <w:pStyle w:val="Heading5"/>
        <w:rPr>
          <w:snapToGrid w:val="0"/>
        </w:rPr>
      </w:pPr>
      <w:bookmarkStart w:id="205" w:name="_Toc522197294"/>
      <w:r>
        <w:rPr>
          <w:rStyle w:val="CharSectno"/>
        </w:rPr>
        <w:t>67</w:t>
      </w:r>
      <w:r>
        <w:rPr>
          <w:snapToGrid w:val="0"/>
        </w:rPr>
        <w:t>.</w:t>
      </w:r>
      <w:r>
        <w:rPr>
          <w:snapToGrid w:val="0"/>
        </w:rPr>
        <w:tab/>
        <w:t>Advertisement of applications</w:t>
      </w:r>
      <w:bookmarkEnd w:id="205"/>
      <w:r>
        <w:rPr>
          <w:snapToGrid w:val="0"/>
        </w:rPr>
        <w:t xml:space="preserve"> </w:t>
      </w:r>
    </w:p>
    <w:p>
      <w:pPr>
        <w:pStyle w:val="Subsection"/>
        <w:rPr>
          <w:snapToGrid w:val="0"/>
        </w:rPr>
      </w:pPr>
      <w:r>
        <w:tab/>
        <w:t>(1)</w:t>
      </w:r>
      <w:r>
        <w:tab/>
        <w:t>An application in respect of any matter must, if the Director so requires, be advertised in the manner specified by the Director.</w:t>
      </w:r>
    </w:p>
    <w:p>
      <w:pPr>
        <w:pStyle w:val="Ednotesubsection"/>
      </w:pPr>
      <w:r>
        <w:tab/>
        <w:t>[(2)</w:t>
      </w:r>
      <w:r>
        <w:noBreakHyphen/>
        <w:t>(4)</w:t>
      </w:r>
      <w:r>
        <w:tab/>
        <w:t>deleted]</w:t>
      </w:r>
    </w:p>
    <w:p>
      <w:pPr>
        <w:pStyle w:val="Subsection"/>
      </w:pPr>
      <w:r>
        <w:tab/>
        <w:t>(5)</w:t>
      </w:r>
      <w:r>
        <w:tab/>
        <w:t>If an application is required to be advertised, the Director must cause a copy of the notice of application to be published on the Department’s website.</w:t>
      </w:r>
    </w:p>
    <w:p>
      <w:pPr>
        <w:pStyle w:val="Footnotesection"/>
      </w:pPr>
      <w:r>
        <w:tab/>
        <w:t xml:space="preserve">[Section 67 amended by No. 12 of 1998 s. 47; No. 73 of 2006 s. 48; No. 56 of 2010 s. 45; No. 9 of 2018 s. 37.] </w:t>
      </w:r>
    </w:p>
    <w:p>
      <w:pPr>
        <w:pStyle w:val="Heading5"/>
        <w:rPr>
          <w:snapToGrid w:val="0"/>
        </w:rPr>
      </w:pPr>
      <w:bookmarkStart w:id="206" w:name="_Toc522197295"/>
      <w:r>
        <w:rPr>
          <w:rStyle w:val="CharSectno"/>
        </w:rPr>
        <w:t>68</w:t>
      </w:r>
      <w:r>
        <w:rPr>
          <w:snapToGrid w:val="0"/>
        </w:rPr>
        <w:t>.</w:t>
      </w:r>
      <w:r>
        <w:rPr>
          <w:snapToGrid w:val="0"/>
        </w:rPr>
        <w:tab/>
        <w:t>Form, manner, notice and public inspection of applications</w:t>
      </w:r>
      <w:bookmarkEnd w:id="206"/>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w:t>
      </w:r>
      <w:r>
        <w:t xml:space="preserve"> be made in the form and manner approved by the licensing authority; and</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 and</w:t>
      </w:r>
    </w:p>
    <w:p>
      <w:pPr>
        <w:pStyle w:val="Indenti"/>
        <w:rPr>
          <w:snapToGrid w:val="0"/>
        </w:rPr>
      </w:pPr>
      <w:r>
        <w:rPr>
          <w:snapToGrid w:val="0"/>
        </w:rPr>
        <w:tab/>
        <w:t>(ii)</w:t>
      </w:r>
      <w:r>
        <w:rPr>
          <w:snapToGrid w:val="0"/>
        </w:rPr>
        <w:tab/>
        <w:t>the plans and specifications, if any, required by section 66 or otherwise prescribed or required; and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 and</w:t>
      </w:r>
    </w:p>
    <w:p>
      <w:pPr>
        <w:pStyle w:val="Indenti"/>
        <w:rPr>
          <w:snapToGrid w:val="0"/>
        </w:rPr>
      </w:pPr>
      <w:r>
        <w:rPr>
          <w:snapToGrid w:val="0"/>
        </w:rPr>
        <w:tab/>
        <w:t>(iv)</w:t>
      </w:r>
      <w:r>
        <w:rPr>
          <w:snapToGrid w:val="0"/>
        </w:rPr>
        <w:tab/>
        <w:t>any consent required under section 72; and</w:t>
      </w:r>
    </w:p>
    <w:p>
      <w:pPr>
        <w:pStyle w:val="Indenti"/>
        <w:keepLines/>
        <w:rPr>
          <w:snapToGrid w:val="0"/>
        </w:rPr>
      </w:pPr>
      <w:r>
        <w:rPr>
          <w:snapToGrid w:val="0"/>
        </w:rPr>
        <w:tab/>
        <w:t>(v)</w:t>
      </w:r>
      <w:r>
        <w:rPr>
          <w:snapToGrid w:val="0"/>
        </w:rPr>
        <w:tab/>
        <w:t xml:space="preserve">in the case of an application for the grant of a club licence, a copy of the constitution and rules of the club certified as correct by the committee of management, the Secretary or a responsible officer of the club in a manner, and in the form of a text, acceptable to the Director;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(1)(b)(iii), (iv) and (v) do not, unless the Director otherwise requires, apply to or in relation to an application for the grant of an occasional licence.</w:t>
      </w:r>
    </w:p>
    <w:p>
      <w:pPr>
        <w:pStyle w:val="Subsection"/>
      </w:pPr>
      <w:r>
        <w:tab/>
        <w:t>(2a)</w:t>
      </w:r>
      <w:r>
        <w:tab/>
        <w:t>An application for the grant of a licence may be made only by, or on behalf of, the person or persons wishing to carry on business under the licence after it is granted.</w:t>
      </w:r>
    </w:p>
    <w:p>
      <w:pPr>
        <w:pStyle w:val="Subsection"/>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Footnotesection"/>
      </w:pPr>
      <w:r>
        <w:tab/>
        <w:t>[Section 68 amended by No. 73 of 2006 s. 49 and 111(2).]</w:t>
      </w:r>
    </w:p>
    <w:p>
      <w:pPr>
        <w:pStyle w:val="Heading5"/>
        <w:spacing w:before="180"/>
        <w:rPr>
          <w:snapToGrid w:val="0"/>
        </w:rPr>
      </w:pPr>
      <w:bookmarkStart w:id="207" w:name="_Toc522197296"/>
      <w:r>
        <w:rPr>
          <w:rStyle w:val="CharSectno"/>
        </w:rPr>
        <w:t>69</w:t>
      </w:r>
      <w:r>
        <w:rPr>
          <w:snapToGrid w:val="0"/>
        </w:rPr>
        <w:t>.</w:t>
      </w:r>
      <w:r>
        <w:rPr>
          <w:snapToGrid w:val="0"/>
        </w:rPr>
        <w:tab/>
        <w:t>Advertising, referring, investigating and intervening in applications</w:t>
      </w:r>
      <w:bookmarkEnd w:id="207"/>
    </w:p>
    <w:p>
      <w:pPr>
        <w:pStyle w:val="Subsection"/>
        <w:rPr>
          <w:snapToGrid w:val="0"/>
        </w:rPr>
      </w:pPr>
      <w:r>
        <w:rPr>
          <w:snapToGrid w:val="0"/>
        </w:rPr>
        <w:tab/>
        <w:t>(1)</w:t>
      </w:r>
      <w:r>
        <w:rPr>
          <w:snapToGrid w:val="0"/>
        </w:rPr>
        <w:tab/>
        <w:t>Every notice of application must be lodged with the Director.</w:t>
      </w:r>
    </w:p>
    <w:p>
      <w:pPr>
        <w:pStyle w:val="Subsection"/>
      </w:pPr>
      <w:r>
        <w:tab/>
        <w:t>(2)</w:t>
      </w:r>
      <w:r>
        <w:tab/>
        <w:t>The Director must give to the applicant sufficient directions to enable the application to be advertised in accordance with any requirement under section 67(1).</w:t>
      </w:r>
    </w:p>
    <w:p>
      <w:pPr>
        <w:pStyle w:val="Subsection"/>
        <w:rPr>
          <w:snapToGrid w:val="0"/>
        </w:rPr>
      </w:pPr>
      <w:r>
        <w:rPr>
          <w:snapToGrid w:val="0"/>
        </w:rPr>
        <w:tab/>
        <w:t>(3)</w:t>
      </w:r>
      <w:r>
        <w:rPr>
          <w:snapToGrid w:val="0"/>
        </w:rPr>
        <w:tab/>
        <w:t xml:space="preserve">Every advertisement required under </w:t>
      </w:r>
      <w:r>
        <w:t xml:space="preserve">section 67(1) </w:t>
      </w:r>
      <w:r>
        <w:rPr>
          <w:snapToGrid w:val="0"/>
        </w:rPr>
        <w:t>and every notice of application displayed under section 67(5)(a) shall be in a form approved by the Director and contain a statement that notices of intention to object to the application should be lodged with the Director by a date specified by the Director and set out in that advertisement or notice.</w:t>
      </w:r>
    </w:p>
    <w:p>
      <w:pPr>
        <w:pStyle w:val="Subsection"/>
        <w:rPr>
          <w:snapToGrid w:val="0"/>
        </w:rPr>
      </w:pPr>
      <w:r>
        <w:rPr>
          <w:snapToGrid w:val="0"/>
        </w:rPr>
        <w:tab/>
        <w:t>(4)</w:t>
      </w:r>
      <w:r>
        <w:rPr>
          <w:snapToGrid w:val="0"/>
        </w:rPr>
        <w:tab/>
        <w:t xml:space="preserve">Except where an application relates to land or premises the subject of a licence which is held by the applicant and is to be surrendered if that application is granted, or where in other particular circumstances the Director determines that it is not appropriate, the Director may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 xml:space="preserve">if the application is for the grant or removal of a </w:t>
      </w:r>
      <w:r>
        <w:t>hotel licence, nightclub licence, casino liquor licence, special facility licence or liquor store</w:t>
      </w:r>
      <w:r>
        <w:rPr>
          <w:snapToGrid w:val="0"/>
        </w:rPr>
        <w:t xml:space="preserve">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Subsection"/>
        <w:spacing w:before="180"/>
        <w:rPr>
          <w:snapToGrid w:val="0"/>
        </w:rPr>
      </w:pPr>
      <w:r>
        <w:rPr>
          <w:snapToGrid w:val="0"/>
        </w:rPr>
        <w:tab/>
        <w:t>(5)</w:t>
      </w:r>
      <w:r>
        <w:rPr>
          <w:snapToGrid w:val="0"/>
        </w:rPr>
        <w:tab/>
        <w:t>In the case of an application for a club licence the Director shall cause any constitution or rules submitted to be examined.</w:t>
      </w:r>
    </w:p>
    <w:p>
      <w:pPr>
        <w:pStyle w:val="Subsection"/>
        <w:spacing w:before="180"/>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 and</w:t>
      </w:r>
    </w:p>
    <w:p>
      <w:pPr>
        <w:pStyle w:val="Indenta"/>
        <w:keepNext/>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 xml:space="preserve">as to whether or not any person is a fit and proper </w:t>
      </w:r>
      <w:r>
        <w:t>person; or</w:t>
      </w:r>
    </w:p>
    <w:p>
      <w:pPr>
        <w:pStyle w:val="Indenti"/>
        <w:rPr>
          <w:snapToGrid w:val="0"/>
        </w:rPr>
      </w:pPr>
      <w:r>
        <w:rPr>
          <w:snapToGrid w:val="0"/>
        </w:rPr>
        <w:tab/>
        <w:t>(ii)</w:t>
      </w:r>
      <w:r>
        <w:rPr>
          <w:snapToGrid w:val="0"/>
        </w:rPr>
        <w:tab/>
        <w:t xml:space="preserve">on the question of whether, if a particular application were granted, public disorder or disturbance would be likely to </w:t>
      </w:r>
      <w:r>
        <w:t>result; or</w:t>
      </w:r>
    </w:p>
    <w:p>
      <w:pPr>
        <w:pStyle w:val="Indenti"/>
      </w:pPr>
      <w:r>
        <w:rPr>
          <w:snapToGrid w:val="0"/>
        </w:rPr>
        <w:tab/>
        <w:t>(iii)</w:t>
      </w:r>
      <w:r>
        <w:rPr>
          <w:snapToGrid w:val="0"/>
        </w:rPr>
        <w:tab/>
        <w:t xml:space="preserve">as to the interest that any person may have in a </w:t>
      </w:r>
      <w:r>
        <w:t>licence; or</w:t>
      </w:r>
    </w:p>
    <w:p>
      <w:pPr>
        <w:pStyle w:val="Indenti"/>
        <w:rPr>
          <w:snapToGrid w:val="0"/>
        </w:rPr>
      </w:pPr>
      <w:r>
        <w:tab/>
        <w:t>(iv)</w:t>
      </w:r>
      <w:r>
        <w:tab/>
        <w:t>any other matter relevant to the public interest.</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 and</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keepNext/>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(Miscellaneous Provisions) Act 1911</w:t>
      </w:r>
      <w:r>
        <w:rPr>
          <w:snapToGrid w:val="0"/>
        </w:rPr>
        <w:t>; or</w:t>
      </w:r>
    </w:p>
    <w:p>
      <w:pPr>
        <w:pStyle w:val="Indenta"/>
        <w:rPr>
          <w:snapToGrid w:val="0"/>
        </w:rPr>
      </w:pPr>
      <w:r>
        <w:rPr>
          <w:snapToGrid w:val="0"/>
        </w:rPr>
        <w:tab/>
        <w:t>(aa)</w:t>
      </w:r>
      <w:r>
        <w:rPr>
          <w:snapToGrid w:val="0"/>
        </w:rPr>
        <w:tab/>
        <w:t xml:space="preserve">the </w:t>
      </w:r>
      <w:r>
        <w:rPr>
          <w:i/>
          <w:iCs/>
          <w:snapToGrid w:val="0"/>
        </w:rPr>
        <w:t>Food Act 2008</w:t>
      </w:r>
      <w:r>
        <w:rPr>
          <w:snapToGrid w:val="0"/>
        </w:rPr>
        <w:t>; or</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w:t>
      </w:r>
      <w:r>
        <w:rPr>
          <w:i/>
          <w:iCs/>
        </w:rPr>
        <w:t xml:space="preserve"> Building Act 2011</w:t>
      </w:r>
      <w:r>
        <w:t>,</w:t>
      </w:r>
      <w:r>
        <w:rPr>
          <w:snapToGrid w:val="0"/>
        </w:rPr>
        <w:t xml:space="preserve">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keepNext/>
      </w:pPr>
      <w:r>
        <w:tab/>
        <w:t>(8a)</w:t>
      </w:r>
      <w:r>
        <w:tab/>
        <w:t xml:space="preserve">The Chief Health Officer — </w:t>
      </w:r>
    </w:p>
    <w:p>
      <w:pPr>
        <w:pStyle w:val="Indenta"/>
      </w:pPr>
      <w:r>
        <w:tab/>
        <w:t>(a)</w:t>
      </w:r>
      <w:r>
        <w:tab/>
        <w:t>is required, on the licensing authority requesting a report of that kind in relation to an application, to cause a report to be provided to the licensing authority as to any matter arising from the application that relates to the relevant matters; and</w:t>
      </w:r>
    </w:p>
    <w:p>
      <w:pPr>
        <w:pStyle w:val="Indenta"/>
      </w:pPr>
      <w:r>
        <w:tab/>
        <w:t>(b)</w:t>
      </w:r>
      <w:r>
        <w:tab/>
        <w:t>may intervene in proceedings before the licensing authority for the purpose of introducing evidence or making representations in relation to the relevant matters.</w:t>
      </w:r>
    </w:p>
    <w:p>
      <w:pPr>
        <w:pStyle w:val="Subsection"/>
      </w:pPr>
      <w:r>
        <w:tab/>
        <w:t>(8b)</w:t>
      </w:r>
      <w:r>
        <w:tab/>
        <w:t xml:space="preserve">In subsection (8a) — </w:t>
      </w:r>
    </w:p>
    <w:p>
      <w:pPr>
        <w:pStyle w:val="Defstart"/>
      </w:pPr>
      <w:r>
        <w:rPr>
          <w:b/>
        </w:rPr>
        <w:tab/>
      </w:r>
      <w:r>
        <w:rPr>
          <w:rStyle w:val="CharDefText"/>
        </w:rPr>
        <w:t>relevant matters</w:t>
      </w:r>
      <w:r>
        <w:t xml:space="preserve"> means the harm or ill</w:t>
      </w:r>
      <w:r>
        <w:noBreakHyphen/>
        <w:t>health caused to people, or any group of people, due to the use of liquor, and the minimisation of that harm or ill</w:t>
      </w:r>
      <w:r>
        <w:noBreakHyphen/>
        <w:t>health.</w:t>
      </w:r>
    </w:p>
    <w:p>
      <w:pPr>
        <w:pStyle w:val="Subsection"/>
      </w:pPr>
      <w:r>
        <w:tab/>
        <w:t>(9A)</w:t>
      </w:r>
      <w:r>
        <w:tab/>
        <w:t xml:space="preserve">The Chief Health Officer may authorise a person in writing to act on his or her behalf for the purposes of subsection (8a)(b) only if the person is — </w:t>
      </w:r>
    </w:p>
    <w:p>
      <w:pPr>
        <w:pStyle w:val="Indenta"/>
      </w:pPr>
      <w:r>
        <w:tab/>
        <w:t>(a)</w:t>
      </w:r>
      <w:r>
        <w:tab/>
        <w:t xml:space="preserve">a medical practitioner who is registered under the </w:t>
      </w:r>
      <w:r>
        <w:rPr>
          <w:i/>
        </w:rPr>
        <w:t>Health Practitioner Regulation National Law (WA) Act 2010</w:t>
      </w:r>
      <w:r>
        <w:t> in the medical profession; and</w:t>
      </w:r>
    </w:p>
    <w:p>
      <w:pPr>
        <w:pStyle w:val="Indenta"/>
      </w:pPr>
      <w:r>
        <w:tab/>
        <w:t>(b)</w:t>
      </w:r>
      <w:r>
        <w:tab/>
        <w:t xml:space="preserve">employed or engaged in the department principally assisting the Minister in the administration of the </w:t>
      </w:r>
      <w:r>
        <w:rPr>
          <w:i/>
          <w:snapToGrid w:val="0"/>
        </w:rPr>
        <w:t>Health (Miscellaneous Provisions) Act 1911</w:t>
      </w:r>
      <w:r>
        <w:t xml:space="preserve">. </w:t>
      </w:r>
    </w:p>
    <w:p>
      <w:pPr>
        <w:pStyle w:val="Subsection"/>
        <w:spacing w:before="180"/>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keepNext/>
        <w:spacing w:before="180"/>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r>
      <w:r>
        <w:t xml:space="preserve">The Director may intervene in any proceedings before the Commission, including proceedings relating to a decision or determination made by the Director, </w:t>
      </w:r>
      <w:r>
        <w:rPr>
          <w:snapToGrid w:val="0"/>
        </w:rPr>
        <w:t>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 xml:space="preserve">A person, other than the Director, who proposes to intervene in proceedings under this section, </w:t>
      </w:r>
      <w:r>
        <w:t>must</w:t>
      </w:r>
      <w:r>
        <w:rPr>
          <w:snapToGrid w:val="0"/>
        </w:rPr>
        <w:t xml:space="preserve">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keepNext/>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keepNext/>
        <w:rPr>
          <w:snapToGrid w:val="0"/>
        </w:rPr>
      </w:pPr>
      <w:r>
        <w:rPr>
          <w:snapToGrid w:val="0"/>
        </w:rPr>
        <w:tab/>
        <w:t>(b)</w:t>
      </w:r>
      <w:r>
        <w:rPr>
          <w:snapToGrid w:val="0"/>
        </w:rPr>
        <w:tab/>
        <w:t>except where that approval is given, may be struck out by the Director.</w:t>
      </w:r>
    </w:p>
    <w:p>
      <w:pPr>
        <w:pStyle w:val="Footnotesection"/>
      </w:pPr>
      <w:r>
        <w:tab/>
        <w:t xml:space="preserve">[Section 69 amended by No. 14 of 1996 s. 4; No. 12 of 1998 s. 10(9) and 48; No. 73 of 2006 s. 50; No. 43 of 2008 s. 148(3); No. 56 of 2010 s. 29 and 46; No. 24 of 2011 s. 165(3); No. 35 of 2015 s. 11; No. 19 of 2016 s. 101 and 164.] </w:t>
      </w:r>
    </w:p>
    <w:p>
      <w:pPr>
        <w:pStyle w:val="Heading5"/>
        <w:keepNext w:val="0"/>
        <w:keepLines w:val="0"/>
        <w:spacing w:before="180"/>
        <w:rPr>
          <w:snapToGrid w:val="0"/>
        </w:rPr>
      </w:pPr>
      <w:bookmarkStart w:id="208" w:name="_Toc522197297"/>
      <w:r>
        <w:rPr>
          <w:rStyle w:val="CharSectno"/>
        </w:rPr>
        <w:t>70</w:t>
      </w:r>
      <w:r>
        <w:rPr>
          <w:snapToGrid w:val="0"/>
        </w:rPr>
        <w:t>.</w:t>
      </w:r>
      <w:r>
        <w:rPr>
          <w:snapToGrid w:val="0"/>
        </w:rPr>
        <w:tab/>
        <w:t>Club licence applications, intervening in</w:t>
      </w:r>
      <w:bookmarkEnd w:id="208"/>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 xml:space="preserve">The matters in relation to which a person to whom </w:t>
      </w:r>
      <w:r>
        <w:t>this section</w:t>
      </w:r>
      <w:r>
        <w:rPr>
          <w:snapToGrid w:val="0"/>
        </w:rPr>
        <w:t xml:space="preserve">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 and</w:t>
      </w:r>
    </w:p>
    <w:p>
      <w:pPr>
        <w:pStyle w:val="Indenta"/>
        <w:rPr>
          <w:snapToGrid w:val="0"/>
        </w:rPr>
      </w:pPr>
      <w:r>
        <w:rPr>
          <w:snapToGrid w:val="0"/>
        </w:rPr>
        <w:tab/>
        <w:t>(b)</w:t>
      </w:r>
      <w:r>
        <w:rPr>
          <w:snapToGrid w:val="0"/>
        </w:rPr>
        <w:tab/>
        <w:t>the conditions to which the licence, if granted, should be subject; and</w:t>
      </w:r>
    </w:p>
    <w:p>
      <w:pPr>
        <w:pStyle w:val="Indenta"/>
        <w:rPr>
          <w:snapToGrid w:val="0"/>
        </w:rPr>
      </w:pPr>
      <w:r>
        <w:rPr>
          <w:snapToGrid w:val="0"/>
        </w:rPr>
        <w:tab/>
        <w:t>(c)</w:t>
      </w:r>
      <w:r>
        <w:rPr>
          <w:snapToGrid w:val="0"/>
        </w:rPr>
        <w:tab/>
        <w:t>any question as to the variation or cancellation of a condition imposed; and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Footnotesection"/>
      </w:pPr>
      <w:r>
        <w:tab/>
        <w:t>[Section 70 amended by No. 9 of 2018 s. 40.]</w:t>
      </w:r>
    </w:p>
    <w:p>
      <w:pPr>
        <w:pStyle w:val="Ednotesection"/>
        <w:spacing w:before="240"/>
      </w:pPr>
      <w:r>
        <w:t>[</w:t>
      </w:r>
      <w:r>
        <w:rPr>
          <w:b/>
        </w:rPr>
        <w:t>71.</w:t>
      </w:r>
      <w:r>
        <w:tab/>
        <w:t>Deleted by No. 73 of 2006 s. 51.]</w:t>
      </w:r>
    </w:p>
    <w:p>
      <w:pPr>
        <w:pStyle w:val="Heading5"/>
        <w:spacing w:before="240"/>
        <w:rPr>
          <w:snapToGrid w:val="0"/>
        </w:rPr>
      </w:pPr>
      <w:bookmarkStart w:id="209" w:name="_Toc522197298"/>
      <w:r>
        <w:rPr>
          <w:rStyle w:val="CharSectno"/>
        </w:rPr>
        <w:t>72</w:t>
      </w:r>
      <w:r>
        <w:rPr>
          <w:snapToGrid w:val="0"/>
        </w:rPr>
        <w:t>.</w:t>
      </w:r>
      <w:r>
        <w:rPr>
          <w:snapToGrid w:val="0"/>
        </w:rPr>
        <w:tab/>
        <w:t>Owner etc. of premises, when consent of required; right of owner, lessee etc. to object</w:t>
      </w:r>
      <w:bookmarkEnd w:id="209"/>
    </w:p>
    <w:p>
      <w:pPr>
        <w:pStyle w:val="Subsection"/>
      </w:pPr>
      <w:r>
        <w:tab/>
        <w:t>(1)</w:t>
      </w:r>
      <w:r>
        <w:tab/>
        <w:t xml:space="preserve">Subject to subsection (2), the licensing authority must not grant an application for approval of a proposed alteration to, or redefinition of, licensed premises unless the applicant satisfies the licensing authority that — </w:t>
      </w:r>
    </w:p>
    <w:p>
      <w:pPr>
        <w:pStyle w:val="Indenta"/>
      </w:pPr>
      <w:r>
        <w:tab/>
        <w:t>(a)</w:t>
      </w:r>
      <w:r>
        <w:tab/>
        <w:t>the owner; and</w:t>
      </w:r>
    </w:p>
    <w:p>
      <w:pPr>
        <w:pStyle w:val="Indenta"/>
      </w:pPr>
      <w:r>
        <w:tab/>
        <w:t>(b)</w:t>
      </w:r>
      <w:r>
        <w:tab/>
        <w:t>where the licensed premises are occupied under a lease, the lessor,</w:t>
      </w:r>
    </w:p>
    <w:p>
      <w:pPr>
        <w:pStyle w:val="Subsection"/>
      </w:pPr>
      <w:r>
        <w:tab/>
      </w:r>
      <w:r>
        <w:tab/>
        <w:t>have consented to the application.</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spacing w:before="60"/>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keepNext/>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Footnotesection"/>
      </w:pPr>
      <w:r>
        <w:tab/>
        <w:t xml:space="preserve">[Section 72 amended by No. 12 of 1998 s. 50; No. 73 of 2006 s. 52.] </w:t>
      </w:r>
    </w:p>
    <w:p>
      <w:pPr>
        <w:pStyle w:val="Heading5"/>
      </w:pPr>
      <w:bookmarkStart w:id="210" w:name="_Toc522197299"/>
      <w:r>
        <w:rPr>
          <w:rStyle w:val="CharSectno"/>
        </w:rPr>
        <w:t>72A</w:t>
      </w:r>
      <w:r>
        <w:t>.</w:t>
      </w:r>
      <w:r>
        <w:tab/>
        <w:t>Submissions generally</w:t>
      </w:r>
      <w:bookmarkEnd w:id="210"/>
    </w:p>
    <w:p>
      <w:pPr>
        <w:pStyle w:val="Subsection"/>
      </w:pPr>
      <w:r>
        <w:tab/>
        <w:t>(1)</w:t>
      </w:r>
      <w:r>
        <w:tab/>
        <w:t xml:space="preserve">In this section — </w:t>
      </w:r>
    </w:p>
    <w:p>
      <w:pPr>
        <w:pStyle w:val="Defstart"/>
      </w:pPr>
      <w:r>
        <w:rPr>
          <w:rStyle w:val="CharDefText"/>
          <w:b w:val="0"/>
          <w:i w:val="0"/>
        </w:rPr>
        <w:tab/>
      </w:r>
      <w:r>
        <w:rPr>
          <w:rStyle w:val="CharDefText"/>
        </w:rPr>
        <w:t>submission</w:t>
      </w:r>
      <w:r>
        <w:t xml:space="preserve"> means — </w:t>
      </w:r>
    </w:p>
    <w:p>
      <w:pPr>
        <w:pStyle w:val="Defpara"/>
      </w:pPr>
      <w:r>
        <w:tab/>
        <w:t>(a)</w:t>
      </w:r>
      <w:r>
        <w:tab/>
        <w:t>a submission made by a person in support of an application; or</w:t>
      </w:r>
    </w:p>
    <w:p>
      <w:pPr>
        <w:pStyle w:val="Defpara"/>
      </w:pPr>
      <w:r>
        <w:tab/>
        <w:t>(b)</w:t>
      </w:r>
      <w:r>
        <w:tab/>
        <w:t>a submission made by a person in opposition to an application, but does not include an objection to an application lodged with the Director under section 73.</w:t>
      </w:r>
    </w:p>
    <w:p>
      <w:pPr>
        <w:pStyle w:val="Subsection"/>
      </w:pPr>
      <w:r>
        <w:tab/>
        <w:t>(2)</w:t>
      </w:r>
      <w:r>
        <w:tab/>
        <w:t>A person who makes a submission to the Director is not a party to proceedings.</w:t>
      </w:r>
    </w:p>
    <w:p>
      <w:pPr>
        <w:pStyle w:val="Subsection"/>
      </w:pPr>
      <w:r>
        <w:tab/>
        <w:t>(3)</w:t>
      </w:r>
      <w:r>
        <w:tab/>
        <w:t>Subsection (2) does not apply to a person who intervenes in proceedings relating to an application.</w:t>
      </w:r>
    </w:p>
    <w:p>
      <w:pPr>
        <w:pStyle w:val="Subsection"/>
      </w:pPr>
      <w:r>
        <w:tab/>
        <w:t>(4)</w:t>
      </w:r>
      <w:r>
        <w:tab/>
        <w:t>The Director may, but need not, acknowledge receipt of a submission.</w:t>
      </w:r>
    </w:p>
    <w:p>
      <w:pPr>
        <w:pStyle w:val="Subsection"/>
      </w:pPr>
      <w:r>
        <w:tab/>
        <w:t>(5)</w:t>
      </w:r>
      <w:r>
        <w:tab/>
        <w:t>Sections 73 and 74 do not apply to a submission made in opposition to an application.</w:t>
      </w:r>
    </w:p>
    <w:p>
      <w:pPr>
        <w:pStyle w:val="Footnotesection"/>
      </w:pPr>
      <w:r>
        <w:tab/>
        <w:t>[Section 72A inserted by No. 9 of 2018 s. 41.]</w:t>
      </w:r>
    </w:p>
    <w:p>
      <w:pPr>
        <w:pStyle w:val="Heading5"/>
        <w:rPr>
          <w:snapToGrid w:val="0"/>
        </w:rPr>
      </w:pPr>
      <w:bookmarkStart w:id="211" w:name="_Toc522197300"/>
      <w:r>
        <w:rPr>
          <w:rStyle w:val="CharSectno"/>
        </w:rPr>
        <w:t>73</w:t>
      </w:r>
      <w:r>
        <w:rPr>
          <w:snapToGrid w:val="0"/>
        </w:rPr>
        <w:t>.</w:t>
      </w:r>
      <w:r>
        <w:rPr>
          <w:snapToGrid w:val="0"/>
        </w:rPr>
        <w:tab/>
      </w:r>
      <w:smartTag w:uri="urn:schemas-microsoft-com:office:smarttags" w:element="place">
        <w:r>
          <w:rPr>
            <w:snapToGrid w:val="0"/>
          </w:rPr>
          <w:t>Ob</w:t>
        </w:r>
      </w:smartTag>
      <w:r>
        <w:rPr>
          <w:snapToGrid w:val="0"/>
        </w:rPr>
        <w:t>jecting to applications, general right and rules as to</w:t>
      </w:r>
      <w:bookmarkEnd w:id="211"/>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pPr>
      <w:r>
        <w:tab/>
        <w:t>(2)</w:t>
      </w:r>
      <w:r>
        <w:tab/>
        <w:t>Where an application is required to be advertised, a right to object to the application is conferred on any person on any ground permitted by section 74.</w:t>
      </w:r>
    </w:p>
    <w:p>
      <w:pPr>
        <w:pStyle w:val="Ednotesubsection"/>
      </w:pPr>
      <w:r>
        <w:tab/>
        <w:t>[(3)</w:t>
      </w:r>
      <w:r>
        <w:tab/>
        <w:t>deleted]</w:t>
      </w:r>
    </w:p>
    <w:p>
      <w:pPr>
        <w:pStyle w:val="Subsection"/>
        <w:rPr>
          <w:snapToGrid w:val="0"/>
        </w:rPr>
      </w:pPr>
      <w:r>
        <w:rPr>
          <w:snapToGrid w:val="0"/>
        </w:rPr>
        <w:tab/>
        <w:t>(4)</w:t>
      </w:r>
      <w:r>
        <w:rPr>
          <w:snapToGrid w:val="0"/>
        </w:rPr>
        <w:tab/>
        <w:t xml:space="preserve">Subject to subsections (5) and (6), an objection shall be made by lodging a notice </w:t>
      </w:r>
      <w:r>
        <w:t xml:space="preserve">with the Director in the form approved by the Director, </w:t>
      </w:r>
      <w:r>
        <w:rPr>
          <w:snapToGrid w:val="0"/>
        </w:rPr>
        <w:t>not later than the day specified in the advertisements or notices relating to the application as the last day on which objections should be lodged.</w:t>
      </w:r>
    </w:p>
    <w:p>
      <w:pPr>
        <w:pStyle w:val="Subsection"/>
      </w:pPr>
      <w:r>
        <w:tab/>
        <w:t>(4A)</w:t>
      </w:r>
      <w:r>
        <w:tab/>
        <w:t>The Director must serve a copy of a notice lodged under subsection (4) on the applicant, unless section 30(4)(a) applies.</w:t>
      </w:r>
    </w:p>
    <w:p>
      <w:pPr>
        <w:pStyle w:val="Subsection"/>
        <w:keepNext/>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 or</w:t>
      </w:r>
    </w:p>
    <w:p>
      <w:pPr>
        <w:pStyle w:val="Indenti"/>
        <w:rPr>
          <w:snapToGrid w:val="0"/>
        </w:rPr>
      </w:pPr>
      <w:r>
        <w:rPr>
          <w:snapToGrid w:val="0"/>
        </w:rPr>
        <w:tab/>
        <w:t>(ii)</w:t>
      </w:r>
      <w:r>
        <w:rPr>
          <w:snapToGrid w:val="0"/>
        </w:rPr>
        <w:tab/>
        <w:t xml:space="preserve">which is not in </w:t>
      </w:r>
      <w:r>
        <w:t xml:space="preserve">the approved </w:t>
      </w:r>
      <w:r>
        <w:rPr>
          <w:snapToGrid w:val="0"/>
        </w:rPr>
        <w:t>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keepNext/>
      </w:pPr>
      <w:r>
        <w:tab/>
        <w:t>[(7)</w:t>
      </w:r>
      <w:r>
        <w:tab/>
        <w:t>deleted]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keepNext/>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by No. 12 of 1998 s. 16(2) and 51; No. 73 of 2006 s. 53, 111(3) and (4); No. 9 of 2018 s. 42.] </w:t>
      </w:r>
    </w:p>
    <w:p>
      <w:pPr>
        <w:pStyle w:val="Heading5"/>
        <w:rPr>
          <w:snapToGrid w:val="0"/>
        </w:rPr>
      </w:pPr>
      <w:bookmarkStart w:id="212" w:name="_Toc522197301"/>
      <w:r>
        <w:rPr>
          <w:rStyle w:val="CharSectno"/>
        </w:rPr>
        <w:t>74</w:t>
      </w:r>
      <w:r>
        <w:rPr>
          <w:snapToGrid w:val="0"/>
        </w:rPr>
        <w:t>.</w:t>
      </w:r>
      <w:r>
        <w:rPr>
          <w:snapToGrid w:val="0"/>
        </w:rPr>
        <w:tab/>
        <w:t>Objecting to applications, grounds for etc.</w:t>
      </w:r>
      <w:bookmarkEnd w:id="212"/>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 xml:space="preserve">that the grant of the application would </w:t>
      </w:r>
      <w:r>
        <w:t xml:space="preserve">not be in </w:t>
      </w:r>
      <w:r>
        <w:rPr>
          <w:snapToGrid w:val="0"/>
        </w:rPr>
        <w:t>the public interest; or</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 or</w:t>
      </w:r>
    </w:p>
    <w:p>
      <w:pPr>
        <w:pStyle w:val="Ednotepara"/>
        <w:spacing w:before="80"/>
        <w:rPr>
          <w:snapToGrid w:val="0"/>
        </w:rPr>
      </w:pPr>
      <w:r>
        <w:rPr>
          <w:snapToGrid w:val="0"/>
        </w:rPr>
        <w:tab/>
        <w:t>[(c)</w:t>
      </w:r>
      <w:r>
        <w:rPr>
          <w:snapToGrid w:val="0"/>
        </w:rPr>
        <w:noBreakHyphen/>
        <w:t>(f)</w:t>
      </w:r>
      <w:r>
        <w:rPr>
          <w:snapToGrid w:val="0"/>
        </w:rPr>
        <w:tab/>
        <w:t xml:space="preserve">deleted] </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keepLines/>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r>
      <w:r>
        <w:rPr>
          <w:snapToGrid w:val="0"/>
        </w:rPr>
        <w:tab/>
        <w:t>or</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(j)</w:t>
      </w:r>
      <w:r>
        <w:rPr>
          <w:snapToGrid w:val="0"/>
        </w:rPr>
        <w:tab/>
        <w:t>that the grant of the application would otherwise be contrary to this Act.</w:t>
      </w:r>
    </w:p>
    <w:p>
      <w:pPr>
        <w:pStyle w:val="Subsection"/>
        <w:keepNext/>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 or</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rPr>
          <w:snapToGrid w:val="0"/>
        </w:rPr>
      </w:pPr>
      <w:r>
        <w:rPr>
          <w:snapToGrid w:val="0"/>
        </w:rPr>
        <w:tab/>
      </w:r>
      <w:r>
        <w:rPr>
          <w:snapToGrid w:val="0"/>
        </w:rPr>
        <w:tab/>
        <w:t>on oath or affirmation or by statutory declaration.</w:t>
      </w:r>
    </w:p>
    <w:p>
      <w:pPr>
        <w:pStyle w:val="Subsection"/>
        <w:rPr>
          <w:snapToGrid w:val="0"/>
        </w:rPr>
      </w:pPr>
      <w:r>
        <w:rPr>
          <w:snapToGrid w:val="0"/>
        </w:rPr>
        <w:tab/>
        <w:t>(3)</w:t>
      </w:r>
      <w:r>
        <w:rPr>
          <w:snapToGrid w:val="0"/>
        </w:rPr>
        <w:tab/>
        <w:t xml:space="preserve">Where an objection is lodged on the ground that the grant of the application would </w:t>
      </w:r>
      <w:r>
        <w:t xml:space="preserve">not be in </w:t>
      </w:r>
      <w:r>
        <w:rPr>
          <w:snapToGrid w:val="0"/>
        </w:rPr>
        <w:t>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 and</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keepNext/>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 or</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any fact or ground alleged is not relevant or cannot be verified; or</w:t>
      </w:r>
    </w:p>
    <w:p>
      <w:pPr>
        <w:pStyle w:val="Indenta"/>
        <w:keepNext/>
        <w:rPr>
          <w:snapToGrid w:val="0"/>
        </w:rPr>
      </w:pPr>
      <w:r>
        <w:rPr>
          <w:snapToGrid w:val="0"/>
        </w:rPr>
        <w:tab/>
        <w:t>(c)</w:t>
      </w:r>
      <w:r>
        <w:rPr>
          <w:snapToGrid w:val="0"/>
        </w:rPr>
        <w:tab/>
        <w:t>that for any reason the objection should not be heard,</w:t>
      </w:r>
    </w:p>
    <w:p>
      <w:pPr>
        <w:pStyle w:val="Subsection"/>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Subsection"/>
      </w:pPr>
      <w:r>
        <w:tab/>
        <w:t>(5)</w:t>
      </w:r>
      <w:r>
        <w:tab/>
        <w:t>A determination made by the Director under subsection (4) is not subject to review under section 25.</w:t>
      </w:r>
    </w:p>
    <w:p>
      <w:pPr>
        <w:pStyle w:val="Footnotesection"/>
      </w:pPr>
      <w:r>
        <w:tab/>
        <w:t xml:space="preserve">[Section 74 amended by No. 12 of 1998 s. 10(10) and 52; No. 73 of 2006 s. 54; No. 9 of 2018 s. 43.] </w:t>
      </w:r>
    </w:p>
    <w:p>
      <w:pPr>
        <w:pStyle w:val="Heading5"/>
        <w:spacing w:before="240"/>
        <w:rPr>
          <w:snapToGrid w:val="0"/>
        </w:rPr>
      </w:pPr>
      <w:bookmarkStart w:id="213" w:name="_Toc522197302"/>
      <w:r>
        <w:rPr>
          <w:rStyle w:val="CharSectno"/>
        </w:rPr>
        <w:t>75</w:t>
      </w:r>
      <w:r>
        <w:rPr>
          <w:snapToGrid w:val="0"/>
        </w:rPr>
        <w:t>.</w:t>
      </w:r>
      <w:r>
        <w:rPr>
          <w:snapToGrid w:val="0"/>
        </w:rPr>
        <w:tab/>
        <w:t>Occasional licence, applications for</w:t>
      </w:r>
      <w:bookmarkEnd w:id="213"/>
    </w:p>
    <w:p>
      <w:pPr>
        <w:pStyle w:val="Subsection"/>
      </w:pPr>
      <w:r>
        <w:rPr>
          <w:snapToGrid w:val="0"/>
        </w:rPr>
        <w:tab/>
        <w:t>(1)</w:t>
      </w:r>
      <w:r>
        <w:rPr>
          <w:snapToGrid w:val="0"/>
        </w:rPr>
        <w:tab/>
        <w:t xml:space="preserve">An application for the grant of an occasional licence may be made by lodging with the Director an application in the </w:t>
      </w:r>
      <w:r>
        <w:t xml:space="preserve">manner and form approved by the Director </w:t>
      </w:r>
      <w:r>
        <w:rPr>
          <w:snapToGrid w:val="0"/>
        </w:rPr>
        <w:t xml:space="preserve">not later than 14 days before the licence is to take </w:t>
      </w:r>
      <w:r>
        <w:t xml:space="preserve">effect unless — </w:t>
      </w:r>
    </w:p>
    <w:p>
      <w:pPr>
        <w:pStyle w:val="Indenta"/>
      </w:pPr>
      <w:r>
        <w:tab/>
        <w:t>(a)</w:t>
      </w:r>
      <w:r>
        <w:tab/>
        <w:t>the Director otherwise approves; or</w:t>
      </w:r>
    </w:p>
    <w:p>
      <w:pPr>
        <w:pStyle w:val="Indenta"/>
        <w:rPr>
          <w:snapToGrid w:val="0"/>
        </w:rPr>
      </w:pPr>
      <w:r>
        <w:tab/>
        <w:t>(b)</w:t>
      </w:r>
      <w:r>
        <w:tab/>
        <w:t>in relation to an application for the grant of an occasional licence of a kind prescribed, some other requirement for lodgement of the application is prescribed.</w:t>
      </w:r>
    </w:p>
    <w:p>
      <w:pPr>
        <w:pStyle w:val="Subsection"/>
        <w:keepNext/>
        <w:rPr>
          <w:snapToGrid w:val="0"/>
        </w:rPr>
      </w:pPr>
      <w:r>
        <w:rPr>
          <w:snapToGrid w:val="0"/>
        </w:rPr>
        <w:tab/>
        <w:t>(2)</w:t>
      </w:r>
      <w:r>
        <w:rPr>
          <w:snapToGrid w:val="0"/>
        </w:rPr>
        <w:tab/>
        <w:t>An application for the grant of an occasional licence — </w:t>
      </w:r>
    </w:p>
    <w:p>
      <w:pPr>
        <w:pStyle w:val="Ednotepara"/>
        <w:rPr>
          <w:snapToGrid w:val="0"/>
        </w:rPr>
      </w:pPr>
      <w:r>
        <w:rPr>
          <w:snapToGrid w:val="0"/>
        </w:rPr>
        <w:tab/>
        <w:t>[(a)</w:t>
      </w:r>
      <w:r>
        <w:rPr>
          <w:snapToGrid w:val="0"/>
        </w:rPr>
        <w:tab/>
        <w:t>deleted]</w:t>
      </w:r>
    </w:p>
    <w:p>
      <w:pPr>
        <w:pStyle w:val="Indenta"/>
      </w:pPr>
      <w:r>
        <w:tab/>
        <w:t>(b)</w:t>
      </w:r>
      <w:r>
        <w:tab/>
        <w:t>if not required to be advertised is not subject to objection, but may be made the subject of a submission or an intervention under section 69; and</w:t>
      </w:r>
    </w:p>
    <w:p>
      <w:pPr>
        <w:pStyle w:val="Indenta"/>
        <w:keepNext/>
        <w:rPr>
          <w:snapToGrid w:val="0"/>
        </w:rPr>
      </w:pPr>
      <w:r>
        <w:rPr>
          <w:snapToGrid w:val="0"/>
        </w:rPr>
        <w:tab/>
        <w:t>(c)</w:t>
      </w:r>
      <w:r>
        <w:rPr>
          <w:snapToGrid w:val="0"/>
        </w:rPr>
        <w:tab/>
        <w:t>is not required to be heard, but may be determined by the Director at discretion; and</w:t>
      </w:r>
    </w:p>
    <w:p>
      <w:pPr>
        <w:pStyle w:val="Indenta"/>
        <w:rPr>
          <w:snapToGrid w:val="0"/>
        </w:rPr>
      </w:pPr>
      <w:r>
        <w:rPr>
          <w:snapToGrid w:val="0"/>
        </w:rPr>
        <w:tab/>
        <w:t>(d)</w:t>
      </w:r>
      <w:r>
        <w:rPr>
          <w:snapToGrid w:val="0"/>
        </w:rPr>
        <w:tab/>
        <w:t>is not subject to review by the</w:t>
      </w:r>
      <w:r>
        <w:t xml:space="preserve"> Commission</w:t>
      </w:r>
      <w:r>
        <w:rPr>
          <w:snapToGrid w:val="0"/>
        </w:rPr>
        <w:t>, or to appeal.</w:t>
      </w:r>
    </w:p>
    <w:p>
      <w:pPr>
        <w:pStyle w:val="Footnotesection"/>
        <w:ind w:left="890" w:hanging="890"/>
      </w:pPr>
      <w:r>
        <w:tab/>
        <w:t xml:space="preserve">[Section 75 amended by No. 12 of 1998 s. 53; No. 73 of 2006 s. 55, 106 and 111(5); No. 9 of 2018 s. 44.] </w:t>
      </w:r>
    </w:p>
    <w:p>
      <w:pPr>
        <w:pStyle w:val="Heading5"/>
        <w:keepLines w:val="0"/>
        <w:spacing w:before="240"/>
        <w:rPr>
          <w:snapToGrid w:val="0"/>
        </w:rPr>
      </w:pPr>
      <w:bookmarkStart w:id="214" w:name="_Toc522197303"/>
      <w:r>
        <w:rPr>
          <w:rStyle w:val="CharSectno"/>
        </w:rPr>
        <w:t>76</w:t>
      </w:r>
      <w:r>
        <w:rPr>
          <w:snapToGrid w:val="0"/>
        </w:rPr>
        <w:t>.</w:t>
      </w:r>
      <w:r>
        <w:rPr>
          <w:snapToGrid w:val="0"/>
        </w:rPr>
        <w:tab/>
        <w:t>Extended trading permit, applications for</w:t>
      </w:r>
      <w:bookmarkEnd w:id="214"/>
    </w:p>
    <w:p>
      <w:pPr>
        <w:pStyle w:val="Subsection"/>
        <w:rPr>
          <w:snapToGrid w:val="0"/>
        </w:rPr>
      </w:pPr>
      <w:r>
        <w:rPr>
          <w:snapToGrid w:val="0"/>
        </w:rPr>
        <w:tab/>
        <w:t>(1)</w:t>
      </w:r>
      <w:r>
        <w:rPr>
          <w:snapToGrid w:val="0"/>
        </w:rPr>
        <w:tab/>
        <w:t xml:space="preserve">An application for the issue of an extended trading permit may be made by lodging </w:t>
      </w:r>
      <w:r>
        <w:t>with the Director an application in the manner and form approved by</w:t>
      </w:r>
      <w:r>
        <w:rPr>
          <w:snapToGrid w:val="0"/>
        </w:rPr>
        <w:t xml:space="preserve">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 xml:space="preserve">in relation to an application for </w:t>
      </w:r>
      <w:r>
        <w:t xml:space="preserve">the issue of a permit of a kind prescribed, </w:t>
      </w:r>
      <w:r>
        <w:rPr>
          <w:snapToGrid w:val="0"/>
        </w:rPr>
        <w:t>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pPr>
      <w:r>
        <w:tab/>
        <w:t>(d)</w:t>
      </w:r>
      <w:r>
        <w:tab/>
        <w:t>unless the permit is of a kind prescribed for the purposes of section 25(5a), is not subject to appeal.</w:t>
      </w:r>
    </w:p>
    <w:p>
      <w:pPr>
        <w:pStyle w:val="Footnotesection"/>
      </w:pPr>
      <w:r>
        <w:tab/>
        <w:t xml:space="preserve">[Section 76 amended by No. 12 of 1998 s. 54; No. 73 of 2006 s. 56 and 111(6).] </w:t>
      </w:r>
    </w:p>
    <w:p>
      <w:pPr>
        <w:pStyle w:val="Heading5"/>
        <w:keepLines w:val="0"/>
        <w:rPr>
          <w:snapToGrid w:val="0"/>
        </w:rPr>
      </w:pPr>
      <w:bookmarkStart w:id="215" w:name="_Toc522197304"/>
      <w:r>
        <w:rPr>
          <w:rStyle w:val="CharSectno"/>
        </w:rPr>
        <w:t>77</w:t>
      </w:r>
      <w:r>
        <w:rPr>
          <w:snapToGrid w:val="0"/>
        </w:rPr>
        <w:t>.</w:t>
      </w:r>
      <w:r>
        <w:rPr>
          <w:snapToGrid w:val="0"/>
        </w:rPr>
        <w:tab/>
        <w:t>No alteration of licensed premises without approval; application for approvals of alterations or redefinition of premises</w:t>
      </w:r>
      <w:bookmarkEnd w:id="215"/>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spacing w:before="60"/>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a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Register of Heritage Places compiled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are of a prescribed type or class.</w:t>
      </w:r>
    </w:p>
    <w:p>
      <w:pPr>
        <w:pStyle w:val="Ednotesubsection"/>
      </w:pPr>
      <w:r>
        <w:tab/>
        <w:t>[(6)</w:t>
      </w:r>
      <w:r>
        <w:tab/>
        <w:t>deleted]</w:t>
      </w:r>
    </w:p>
    <w:p>
      <w:pPr>
        <w:pStyle w:val="Subsection"/>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ind w:left="890" w:hanging="890"/>
      </w:pPr>
      <w:r>
        <w:tab/>
        <w:t>[Section 77 amended by No. 26 of 2001 s. 6(1); No. 73 of 2006 s. 57 and 110; No. 56 of 2010 s. 69.]</w:t>
      </w:r>
    </w:p>
    <w:p>
      <w:pPr>
        <w:pStyle w:val="Heading3"/>
        <w:rPr>
          <w:snapToGrid w:val="0"/>
        </w:rPr>
      </w:pPr>
      <w:bookmarkStart w:id="216" w:name="_Toc471906781"/>
      <w:bookmarkStart w:id="217" w:name="_Toc472001698"/>
      <w:bookmarkStart w:id="218" w:name="_Toc472676726"/>
      <w:bookmarkStart w:id="219" w:name="_Toc472682111"/>
      <w:bookmarkStart w:id="220" w:name="_Toc473119252"/>
      <w:bookmarkStart w:id="221" w:name="_Toc522197305"/>
      <w:r>
        <w:rPr>
          <w:rStyle w:val="CharDivNo"/>
        </w:rPr>
        <w:t>Division 8</w:t>
      </w:r>
      <w:r>
        <w:rPr>
          <w:snapToGrid w:val="0"/>
        </w:rPr>
        <w:t> — </w:t>
      </w:r>
      <w:r>
        <w:rPr>
          <w:rStyle w:val="CharDivText"/>
        </w:rPr>
        <w:t>Removals</w:t>
      </w:r>
      <w:bookmarkEnd w:id="216"/>
      <w:bookmarkEnd w:id="217"/>
      <w:bookmarkEnd w:id="218"/>
      <w:bookmarkEnd w:id="219"/>
      <w:bookmarkEnd w:id="220"/>
      <w:bookmarkEnd w:id="221"/>
      <w:r>
        <w:rPr>
          <w:rStyle w:val="CharDivText"/>
        </w:rPr>
        <w:t xml:space="preserve"> </w:t>
      </w:r>
    </w:p>
    <w:p>
      <w:pPr>
        <w:pStyle w:val="Heading5"/>
        <w:rPr>
          <w:snapToGrid w:val="0"/>
        </w:rPr>
      </w:pPr>
      <w:bookmarkStart w:id="222" w:name="_Toc522197306"/>
      <w:r>
        <w:rPr>
          <w:rStyle w:val="CharSectno"/>
        </w:rPr>
        <w:t>78</w:t>
      </w:r>
      <w:r>
        <w:rPr>
          <w:snapToGrid w:val="0"/>
        </w:rPr>
        <w:t>.</w:t>
      </w:r>
      <w:r>
        <w:rPr>
          <w:snapToGrid w:val="0"/>
        </w:rPr>
        <w:tab/>
        <w:t>Casino liquor licence not removable without authority</w:t>
      </w:r>
      <w:bookmarkEnd w:id="222"/>
    </w:p>
    <w:p>
      <w:pPr>
        <w:pStyle w:val="Subsection"/>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ind w:left="890" w:hanging="890"/>
      </w:pPr>
      <w:r>
        <w:tab/>
        <w:t>[Section 78 amended by No. 35 of 2003 s. 173(4).]</w:t>
      </w:r>
    </w:p>
    <w:p>
      <w:pPr>
        <w:pStyle w:val="Heading5"/>
        <w:keepNext w:val="0"/>
        <w:keepLines w:val="0"/>
        <w:rPr>
          <w:snapToGrid w:val="0"/>
        </w:rPr>
      </w:pPr>
      <w:bookmarkStart w:id="223" w:name="_Toc522197307"/>
      <w:r>
        <w:rPr>
          <w:rStyle w:val="CharSectno"/>
        </w:rPr>
        <w:t>79</w:t>
      </w:r>
      <w:r>
        <w:rPr>
          <w:snapToGrid w:val="0"/>
        </w:rPr>
        <w:t>.</w:t>
      </w:r>
      <w:r>
        <w:rPr>
          <w:snapToGrid w:val="0"/>
        </w:rPr>
        <w:tab/>
        <w:t>Licence relating to transport, when removable</w:t>
      </w:r>
      <w:bookmarkEnd w:id="223"/>
    </w:p>
    <w:p>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rPr>
          <w:snapToGrid w:val="0"/>
        </w:rPr>
      </w:pPr>
      <w:bookmarkStart w:id="224" w:name="_Toc522197308"/>
      <w:r>
        <w:rPr>
          <w:rStyle w:val="CharSectno"/>
        </w:rPr>
        <w:t>80</w:t>
      </w:r>
      <w:r>
        <w:rPr>
          <w:snapToGrid w:val="0"/>
        </w:rPr>
        <w:t>.</w:t>
      </w:r>
      <w:r>
        <w:rPr>
          <w:snapToGrid w:val="0"/>
        </w:rPr>
        <w:tab/>
        <w:t>Temporary removal or redefinition of licence</w:t>
      </w:r>
      <w:bookmarkEnd w:id="224"/>
    </w:p>
    <w:p>
      <w:pPr>
        <w:pStyle w:val="Subsection"/>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 or</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Footnotesection"/>
        <w:spacing w:before="100"/>
        <w:ind w:left="890" w:hanging="890"/>
      </w:pPr>
      <w:r>
        <w:tab/>
        <w:t>[Section 80 amended by No. 73 of 2006 s. 58.]</w:t>
      </w:r>
    </w:p>
    <w:p>
      <w:pPr>
        <w:pStyle w:val="Heading5"/>
        <w:rPr>
          <w:snapToGrid w:val="0"/>
        </w:rPr>
      </w:pPr>
      <w:bookmarkStart w:id="225" w:name="_Toc522197309"/>
      <w:r>
        <w:rPr>
          <w:rStyle w:val="CharSectno"/>
        </w:rPr>
        <w:t>81</w:t>
      </w:r>
      <w:r>
        <w:rPr>
          <w:snapToGrid w:val="0"/>
        </w:rPr>
        <w:t>.</w:t>
      </w:r>
      <w:r>
        <w:rPr>
          <w:snapToGrid w:val="0"/>
        </w:rPr>
        <w:tab/>
        <w:t>Applications for removal of licence</w:t>
      </w:r>
      <w:bookmarkEnd w:id="225"/>
    </w:p>
    <w:p>
      <w:pPr>
        <w:pStyle w:val="Subsection"/>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rPr>
          <w:snapToGrid w:val="0"/>
        </w:rPr>
      </w:pPr>
      <w:r>
        <w:rPr>
          <w:snapToGrid w:val="0"/>
        </w:rPr>
        <w:tab/>
        <w:t>(3)</w:t>
      </w:r>
      <w:r>
        <w:rPr>
          <w:snapToGrid w:val="0"/>
        </w:rPr>
        <w:tab/>
        <w:t>An applicant for the removal of a licence must satisfy the licensing authority — </w:t>
      </w:r>
    </w:p>
    <w:p>
      <w:pPr>
        <w:pStyle w:val="Ednotepara"/>
        <w:spacing w:before="80"/>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that the requirements of this Act in relation to the grant of a new licence of that class are met in relation to — </w:t>
      </w:r>
    </w:p>
    <w:p>
      <w:pPr>
        <w:pStyle w:val="Indenti"/>
        <w:rPr>
          <w:snapToGrid w:val="0"/>
        </w:rPr>
      </w:pPr>
      <w:r>
        <w:rPr>
          <w:snapToGrid w:val="0"/>
        </w:rPr>
        <w:tab/>
        <w:t>(i)</w:t>
      </w:r>
      <w:r>
        <w:rPr>
          <w:snapToGrid w:val="0"/>
        </w:rPr>
        <w:tab/>
        <w:t>the licence sought to be removed; and</w:t>
      </w:r>
    </w:p>
    <w:p>
      <w:pPr>
        <w:pStyle w:val="Indenti"/>
        <w:rPr>
          <w:snapToGrid w:val="0"/>
        </w:rPr>
      </w:pPr>
      <w:r>
        <w:rPr>
          <w:snapToGrid w:val="0"/>
        </w:rPr>
        <w:tab/>
        <w:t>(ii)</w:t>
      </w:r>
      <w:r>
        <w:rPr>
          <w:snapToGrid w:val="0"/>
        </w:rPr>
        <w:tab/>
        <w:t>the premises to which it is sought to be removed;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that adequate notice of the proposed application had been given — </w:t>
      </w:r>
    </w:p>
    <w:p>
      <w:pPr>
        <w:pStyle w:val="Indenti"/>
        <w:rPr>
          <w:snapToGrid w:val="0"/>
        </w:rPr>
      </w:pPr>
      <w:r>
        <w:rPr>
          <w:snapToGrid w:val="0"/>
        </w:rPr>
        <w:tab/>
        <w:t>(i)</w:t>
      </w:r>
      <w:r>
        <w:rPr>
          <w:snapToGrid w:val="0"/>
        </w:rPr>
        <w:tab/>
        <w:t>to the owner and any lessor or lessee of the premises to which the licence is sought to be removed; and</w:t>
      </w:r>
    </w:p>
    <w:p>
      <w:pPr>
        <w:pStyle w:val="Indenti"/>
        <w:rPr>
          <w:snapToGrid w:val="0"/>
        </w:rPr>
      </w:pPr>
      <w:r>
        <w:rPr>
          <w:snapToGrid w:val="0"/>
        </w:rPr>
        <w:tab/>
        <w:t>(ii)</w:t>
      </w:r>
      <w:r>
        <w:rPr>
          <w:snapToGrid w:val="0"/>
        </w:rPr>
        <w:tab/>
        <w:t>to the owner, and any lessor, lessee or mortgagee of the premises from which it is proposed to remove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where the applicant is not the holder of the licence sought to be removed, that the licence should be transferred to the applicant.</w:t>
      </w:r>
    </w:p>
    <w:p>
      <w:pPr>
        <w:pStyle w:val="Ednotesubsection"/>
      </w:pPr>
      <w:r>
        <w:tab/>
        <w:t>[(4)</w:t>
      </w:r>
      <w:r>
        <w:tab/>
        <w:t>deleted]</w:t>
      </w:r>
    </w:p>
    <w:p>
      <w:pPr>
        <w:pStyle w:val="Subsection"/>
        <w:keepNext/>
        <w:rPr>
          <w:snapToGrid w:val="0"/>
        </w:rPr>
      </w:pPr>
      <w:r>
        <w:rPr>
          <w:snapToGrid w:val="0"/>
        </w:rPr>
        <w:tab/>
        <w:t>(5)</w:t>
      </w:r>
      <w:r>
        <w:rPr>
          <w:snapToGrid w:val="0"/>
        </w:rPr>
        <w:tab/>
        <w:t>The removal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keepNext/>
        <w:rPr>
          <w:snapToGrid w:val="0"/>
        </w:rPr>
      </w:pPr>
      <w:r>
        <w:rPr>
          <w:snapToGrid w:val="0"/>
        </w:rPr>
        <w:tab/>
        <w:t>(b)</w:t>
      </w:r>
      <w:r>
        <w:rPr>
          <w:snapToGrid w:val="0"/>
        </w:rPr>
        <w:tab/>
        <w:t>takes effect on the date specified in that endorsement,</w:t>
      </w:r>
    </w:p>
    <w:p>
      <w:pPr>
        <w:pStyle w:val="Subsection"/>
        <w:spacing w:before="140"/>
        <w:rPr>
          <w:snapToGrid w:val="0"/>
        </w:rPr>
      </w:pPr>
      <w:r>
        <w:rPr>
          <w:snapToGrid w:val="0"/>
        </w:rPr>
        <w:tab/>
      </w:r>
      <w:r>
        <w:rPr>
          <w:snapToGrid w:val="0"/>
        </w:rPr>
        <w:tab/>
        <w:t>on an application for the proposed removal being granted.</w:t>
      </w:r>
    </w:p>
    <w:p>
      <w:pPr>
        <w:pStyle w:val="Subsection"/>
        <w:spacing w:before="140"/>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Subsection"/>
        <w:spacing w:before="140"/>
      </w:pPr>
      <w:r>
        <w:tab/>
        <w:t>(7)</w:t>
      </w:r>
      <w:r>
        <w:tab/>
        <w:t xml:space="preserve">An application for the removal of a licence cannot be made if — </w:t>
      </w:r>
    </w:p>
    <w:p>
      <w:pPr>
        <w:pStyle w:val="Indenta"/>
      </w:pPr>
      <w:r>
        <w:tab/>
        <w:t>(a)</w:t>
      </w:r>
      <w:r>
        <w:tab/>
        <w:t>the licence has been conditionally granted under section 62; and</w:t>
      </w:r>
    </w:p>
    <w:p>
      <w:pPr>
        <w:pStyle w:val="Indenta"/>
      </w:pPr>
      <w:r>
        <w:tab/>
        <w:t>(b)</w:t>
      </w:r>
      <w:r>
        <w:tab/>
        <w:t>the grant of the licence has not been confirmed under section 62(9).</w:t>
      </w:r>
    </w:p>
    <w:p>
      <w:pPr>
        <w:pStyle w:val="Footnotesection"/>
        <w:ind w:left="890" w:hanging="890"/>
      </w:pPr>
      <w:r>
        <w:tab/>
        <w:t xml:space="preserve">[Section 81 amended by No. 12 of 1998 s. 55; No. 73 of 2006 s. 59.] </w:t>
      </w:r>
    </w:p>
    <w:p>
      <w:pPr>
        <w:pStyle w:val="Heading3"/>
        <w:rPr>
          <w:snapToGrid w:val="0"/>
        </w:rPr>
      </w:pPr>
      <w:bookmarkStart w:id="226" w:name="_Toc471906786"/>
      <w:bookmarkStart w:id="227" w:name="_Toc472001703"/>
      <w:bookmarkStart w:id="228" w:name="_Toc472676731"/>
      <w:bookmarkStart w:id="229" w:name="_Toc472682116"/>
      <w:bookmarkStart w:id="230" w:name="_Toc473119257"/>
      <w:bookmarkStart w:id="231" w:name="_Toc522197310"/>
      <w:r>
        <w:rPr>
          <w:rStyle w:val="CharDivNo"/>
        </w:rPr>
        <w:t>Division 9</w:t>
      </w:r>
      <w:r>
        <w:rPr>
          <w:snapToGrid w:val="0"/>
        </w:rPr>
        <w:t> — </w:t>
      </w:r>
      <w:r>
        <w:rPr>
          <w:rStyle w:val="CharDivText"/>
        </w:rPr>
        <w:t>Transfers</w:t>
      </w:r>
      <w:bookmarkEnd w:id="226"/>
      <w:bookmarkEnd w:id="227"/>
      <w:bookmarkEnd w:id="228"/>
      <w:bookmarkEnd w:id="229"/>
      <w:bookmarkEnd w:id="230"/>
      <w:bookmarkEnd w:id="231"/>
      <w:r>
        <w:rPr>
          <w:rStyle w:val="CharDivText"/>
        </w:rPr>
        <w:t xml:space="preserve"> </w:t>
      </w:r>
    </w:p>
    <w:p>
      <w:pPr>
        <w:pStyle w:val="Heading5"/>
        <w:rPr>
          <w:snapToGrid w:val="0"/>
        </w:rPr>
      </w:pPr>
      <w:bookmarkStart w:id="232" w:name="_Toc522197311"/>
      <w:r>
        <w:rPr>
          <w:rStyle w:val="CharSectno"/>
        </w:rPr>
        <w:t>82</w:t>
      </w:r>
      <w:r>
        <w:rPr>
          <w:snapToGrid w:val="0"/>
        </w:rPr>
        <w:t>.</w:t>
      </w:r>
      <w:r>
        <w:rPr>
          <w:snapToGrid w:val="0"/>
        </w:rPr>
        <w:tab/>
        <w:t>Applications for transfer of licences</w:t>
      </w:r>
      <w:bookmarkEnd w:id="232"/>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rPr>
          <w:snapToGrid w:val="0"/>
        </w:rPr>
      </w:pPr>
      <w:r>
        <w:rPr>
          <w:snapToGrid w:val="0"/>
        </w:rPr>
        <w:tab/>
        <w:t>(3)</w:t>
      </w:r>
      <w:r>
        <w:rPr>
          <w:snapToGrid w:val="0"/>
        </w:rPr>
        <w:tab/>
        <w:t>The transfer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keepLines/>
        <w:rPr>
          <w:snapToGrid w:val="0"/>
        </w:rPr>
      </w:pPr>
      <w:r>
        <w:rPr>
          <w:snapToGrid w:val="0"/>
        </w:rPr>
        <w:tab/>
        <w:t>(b)</w:t>
      </w:r>
      <w:r>
        <w:rPr>
          <w:snapToGrid w:val="0"/>
        </w:rPr>
        <w:tab/>
        <w:t>takes effect on the date specified in that endorsement,</w:t>
      </w:r>
    </w:p>
    <w:p>
      <w:pPr>
        <w:pStyle w:val="Subsection"/>
        <w:keepNext/>
        <w:keepLines/>
        <w:rPr>
          <w:snapToGrid w:val="0"/>
        </w:rPr>
      </w:pPr>
      <w:r>
        <w:rPr>
          <w:snapToGrid w:val="0"/>
        </w:rPr>
        <w:tab/>
      </w:r>
      <w:r>
        <w:rPr>
          <w:snapToGrid w:val="0"/>
        </w:rPr>
        <w:tab/>
        <w:t>on an application for the approval of the proposed transfer being granted.</w:t>
      </w:r>
    </w:p>
    <w:p>
      <w:pPr>
        <w:pStyle w:val="Footnotesection"/>
        <w:ind w:left="890" w:hanging="890"/>
      </w:pPr>
      <w:r>
        <w:tab/>
        <w:t xml:space="preserve">[Section 82 amended by No. 12 of 1998 s. 56.] </w:t>
      </w:r>
    </w:p>
    <w:p>
      <w:pPr>
        <w:pStyle w:val="Heading5"/>
        <w:spacing w:before="240"/>
        <w:rPr>
          <w:snapToGrid w:val="0"/>
        </w:rPr>
      </w:pPr>
      <w:bookmarkStart w:id="233" w:name="_Toc522197312"/>
      <w:r>
        <w:rPr>
          <w:rStyle w:val="CharSectno"/>
        </w:rPr>
        <w:t>82A</w:t>
      </w:r>
      <w:r>
        <w:rPr>
          <w:snapToGrid w:val="0"/>
        </w:rPr>
        <w:t>.</w:t>
      </w:r>
      <w:r>
        <w:rPr>
          <w:snapToGrid w:val="0"/>
        </w:rPr>
        <w:tab/>
        <w:t>Transfer of licence between licence holders</w:t>
      </w:r>
      <w:bookmarkEnd w:id="233"/>
      <w:r>
        <w:rPr>
          <w:snapToGrid w:val="0"/>
        </w:rPr>
        <w:t xml:space="preserve"> </w:t>
      </w:r>
    </w:p>
    <w:p>
      <w:pPr>
        <w:pStyle w:val="Subsection"/>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ind w:left="890" w:hanging="890"/>
      </w:pPr>
      <w:r>
        <w:tab/>
        <w:t xml:space="preserve">[Section 82A inserted by No. 12 of 1998 s. 57.] </w:t>
      </w:r>
    </w:p>
    <w:p>
      <w:pPr>
        <w:pStyle w:val="Heading5"/>
        <w:rPr>
          <w:snapToGrid w:val="0"/>
        </w:rPr>
      </w:pPr>
      <w:bookmarkStart w:id="234" w:name="_Toc522197313"/>
      <w:r>
        <w:rPr>
          <w:rStyle w:val="CharSectno"/>
        </w:rPr>
        <w:t>83</w:t>
      </w:r>
      <w:r>
        <w:rPr>
          <w:snapToGrid w:val="0"/>
        </w:rPr>
        <w:t>.</w:t>
      </w:r>
      <w:r>
        <w:rPr>
          <w:snapToGrid w:val="0"/>
        </w:rPr>
        <w:tab/>
        <w:t>Certain licences not transferable</w:t>
      </w:r>
      <w:bookmarkEnd w:id="234"/>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keepNext/>
        <w:rPr>
          <w:snapToGrid w:val="0"/>
        </w:rPr>
      </w:pPr>
      <w:r>
        <w:rPr>
          <w:snapToGrid w:val="0"/>
        </w:rPr>
        <w:tab/>
        <w:t>(3)</w:t>
      </w:r>
      <w:r>
        <w:rPr>
          <w:snapToGrid w:val="0"/>
        </w:rPr>
        <w:tab/>
        <w:t>An occasional licence is not capable of being transferred.</w:t>
      </w:r>
    </w:p>
    <w:p>
      <w:pPr>
        <w:pStyle w:val="Footnotesection"/>
      </w:pPr>
      <w:r>
        <w:tab/>
        <w:t>[Section 83 amended by No. 35 of 2003 s. 173(4).]</w:t>
      </w:r>
    </w:p>
    <w:p>
      <w:pPr>
        <w:pStyle w:val="Heading5"/>
        <w:rPr>
          <w:snapToGrid w:val="0"/>
        </w:rPr>
      </w:pPr>
      <w:bookmarkStart w:id="235" w:name="_Toc522197314"/>
      <w:r>
        <w:rPr>
          <w:rStyle w:val="CharSectno"/>
        </w:rPr>
        <w:t>84</w:t>
      </w:r>
      <w:r>
        <w:rPr>
          <w:snapToGrid w:val="0"/>
        </w:rPr>
        <w:t>.</w:t>
      </w:r>
      <w:r>
        <w:rPr>
          <w:snapToGrid w:val="0"/>
        </w:rPr>
        <w:tab/>
        <w:t>Pre-requisites for transfer of licence</w:t>
      </w:r>
      <w:bookmarkEnd w:id="235"/>
    </w:p>
    <w:p>
      <w:pPr>
        <w:pStyle w:val="Subsection"/>
        <w:keepNext/>
        <w:keepLines/>
        <w:spacing w:before="200"/>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rPr>
          <w:snapToGrid w:val="0"/>
        </w:rPr>
      </w:pPr>
      <w:r>
        <w:rPr>
          <w:snapToGrid w:val="0"/>
        </w:rPr>
        <w:tab/>
        <w:t>(a)</w:t>
      </w:r>
      <w:r>
        <w:rPr>
          <w:snapToGrid w:val="0"/>
        </w:rPr>
        <w:tab/>
        <w:t>pursuant to a contract for the sale or assignment of the right of the licensee to carry on business under the licence, the licensee consenting to the application; or</w:t>
      </w:r>
    </w:p>
    <w:p>
      <w:pPr>
        <w:pStyle w:val="Indenta"/>
        <w:keepNext/>
        <w:rPr>
          <w:snapToGrid w:val="0"/>
        </w:rPr>
      </w:pPr>
      <w:r>
        <w:rPr>
          <w:snapToGrid w:val="0"/>
        </w:rPr>
        <w:tab/>
        <w:t>(b)</w:t>
      </w:r>
      <w:r>
        <w:rPr>
          <w:snapToGrid w:val="0"/>
        </w:rPr>
        <w:tab/>
        <w:t>by a person who — </w:t>
      </w:r>
    </w:p>
    <w:p>
      <w:pPr>
        <w:pStyle w:val="Indenti"/>
        <w:rPr>
          <w:snapToGrid w:val="0"/>
        </w:rPr>
      </w:pPr>
      <w:r>
        <w:rPr>
          <w:snapToGrid w:val="0"/>
        </w:rPr>
        <w:tab/>
        <w:t>(i)</w:t>
      </w:r>
      <w:r>
        <w:rPr>
          <w:snapToGrid w:val="0"/>
        </w:rPr>
        <w:tab/>
        <w:t>has under section 86 a right to carry on the business of the licensee; or</w:t>
      </w:r>
    </w:p>
    <w:p>
      <w:pPr>
        <w:pStyle w:val="Indenti"/>
        <w:rPr>
          <w:snapToGrid w:val="0"/>
        </w:rPr>
      </w:pPr>
      <w:r>
        <w:rPr>
          <w:snapToGrid w:val="0"/>
        </w:rPr>
        <w:tab/>
        <w:t>(ii)</w:t>
      </w:r>
      <w:r>
        <w:rPr>
          <w:snapToGrid w:val="0"/>
        </w:rPr>
        <w:tab/>
        <w:t xml:space="preserve">may, under section 87, be granted a protection order;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with leave of the Director,</w:t>
      </w:r>
    </w:p>
    <w:p>
      <w:pPr>
        <w:pStyle w:val="Subsection"/>
        <w:spacing w:before="180"/>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spacing w:before="180"/>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rPr>
          <w:snapToGrid w:val="0"/>
        </w:rPr>
      </w:pPr>
      <w:r>
        <w:rPr>
          <w:snapToGrid w:val="0"/>
        </w:rPr>
        <w:tab/>
        <w:t>(b)</w:t>
      </w:r>
      <w:r>
        <w:rPr>
          <w:snapToGrid w:val="0"/>
        </w:rPr>
        <w:tab/>
        <w:t>the Director has approved the proposed transfer.</w:t>
      </w:r>
    </w:p>
    <w:p>
      <w:pPr>
        <w:pStyle w:val="Subsection"/>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cause to be provided to the Director, in such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by No. 12 of 1998 s. 58; No. 73 of 2006 s. 60 and 111(7).] </w:t>
      </w:r>
    </w:p>
    <w:p>
      <w:pPr>
        <w:pStyle w:val="Heading5"/>
        <w:rPr>
          <w:snapToGrid w:val="0"/>
        </w:rPr>
      </w:pPr>
      <w:bookmarkStart w:id="236" w:name="_Toc522197315"/>
      <w:r>
        <w:rPr>
          <w:rStyle w:val="CharSectno"/>
        </w:rPr>
        <w:t>85</w:t>
      </w:r>
      <w:r>
        <w:rPr>
          <w:snapToGrid w:val="0"/>
        </w:rPr>
        <w:t>.</w:t>
      </w:r>
      <w:r>
        <w:rPr>
          <w:snapToGrid w:val="0"/>
        </w:rPr>
        <w:tab/>
        <w:t>Transferee to succeed to certain of transferor’s liabilities and rights</w:t>
      </w:r>
      <w:bookmarkEnd w:id="236"/>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deleted]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by No. 56 of 1997 s. 32.] </w:t>
      </w:r>
    </w:p>
    <w:p>
      <w:pPr>
        <w:pStyle w:val="Heading3"/>
        <w:rPr>
          <w:snapToGrid w:val="0"/>
        </w:rPr>
      </w:pPr>
      <w:bookmarkStart w:id="237" w:name="_Toc471906792"/>
      <w:bookmarkStart w:id="238" w:name="_Toc472001709"/>
      <w:bookmarkStart w:id="239" w:name="_Toc472676737"/>
      <w:bookmarkStart w:id="240" w:name="_Toc472682122"/>
      <w:bookmarkStart w:id="241" w:name="_Toc473119263"/>
      <w:bookmarkStart w:id="242" w:name="_Toc522197316"/>
      <w:r>
        <w:rPr>
          <w:rStyle w:val="CharDivNo"/>
        </w:rPr>
        <w:t>Division 10</w:t>
      </w:r>
      <w:r>
        <w:rPr>
          <w:snapToGrid w:val="0"/>
        </w:rPr>
        <w:t> — </w:t>
      </w:r>
      <w:r>
        <w:rPr>
          <w:rStyle w:val="CharDivText"/>
        </w:rPr>
        <w:t>Interim authorisations and protection orders</w:t>
      </w:r>
      <w:bookmarkEnd w:id="237"/>
      <w:bookmarkEnd w:id="238"/>
      <w:bookmarkEnd w:id="239"/>
      <w:bookmarkEnd w:id="240"/>
      <w:bookmarkEnd w:id="241"/>
      <w:bookmarkEnd w:id="242"/>
      <w:r>
        <w:rPr>
          <w:rStyle w:val="CharDivText"/>
        </w:rPr>
        <w:t xml:space="preserve"> </w:t>
      </w:r>
    </w:p>
    <w:p>
      <w:pPr>
        <w:pStyle w:val="Heading5"/>
        <w:rPr>
          <w:snapToGrid w:val="0"/>
        </w:rPr>
      </w:pPr>
      <w:bookmarkStart w:id="243" w:name="_Toc522197317"/>
      <w:r>
        <w:rPr>
          <w:rStyle w:val="CharSectno"/>
        </w:rPr>
        <w:t>86</w:t>
      </w:r>
      <w:r>
        <w:rPr>
          <w:snapToGrid w:val="0"/>
        </w:rPr>
        <w:t>.</w:t>
      </w:r>
      <w:r>
        <w:rPr>
          <w:snapToGrid w:val="0"/>
        </w:rPr>
        <w:tab/>
        <w:t>Interim authorisations to carry on business under licence</w:t>
      </w:r>
      <w:bookmarkEnd w:id="243"/>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rPr>
          <w:snapToGrid w:val="0"/>
        </w:rPr>
      </w:pPr>
      <w:r>
        <w:rPr>
          <w:snapToGrid w:val="0"/>
        </w:rPr>
        <w:tab/>
        <w:t>(2)</w:t>
      </w:r>
      <w:r>
        <w:rPr>
          <w:snapToGrid w:val="0"/>
        </w:rPr>
        <w:tab/>
        <w:t>Subject to subsection (4), where a licensee dies — </w:t>
      </w:r>
    </w:p>
    <w:p>
      <w:pPr>
        <w:pStyle w:val="Indenta"/>
        <w:rPr>
          <w:snapToGrid w:val="0"/>
        </w:rPr>
      </w:pPr>
      <w:r>
        <w:rPr>
          <w:snapToGrid w:val="0"/>
        </w:rPr>
        <w:tab/>
        <w:t>(a)</w:t>
      </w:r>
      <w:r>
        <w:rPr>
          <w:snapToGrid w:val="0"/>
        </w:rPr>
        <w:tab/>
        <w:t>the executor or other person entitled to, or who has obtained, a grant of administration of the estate of the licensee; or</w:t>
      </w:r>
    </w:p>
    <w:p>
      <w:pPr>
        <w:pStyle w:val="Indenta"/>
        <w:rPr>
          <w:snapToGrid w:val="0"/>
        </w:rPr>
      </w:pPr>
      <w:r>
        <w:rPr>
          <w:snapToGrid w:val="0"/>
        </w:rPr>
        <w:tab/>
        <w:t>(b)</w:t>
      </w:r>
      <w:r>
        <w:rPr>
          <w:snapToGrid w:val="0"/>
        </w:rPr>
        <w:tab/>
        <w:t>a relative or legatee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rPr>
          <w:snapToGrid w:val="0"/>
        </w:rPr>
      </w:pPr>
      <w:r>
        <w:rPr>
          <w:snapToGrid w:val="0"/>
        </w:rPr>
        <w:tab/>
        <w:t>(a)</w:t>
      </w:r>
      <w:r>
        <w:rPr>
          <w:snapToGrid w:val="0"/>
        </w:rPr>
        <w:tab/>
        <w:t>a person authorised or appointed by law to administer the affairs of the licensee; or</w:t>
      </w:r>
    </w:p>
    <w:p>
      <w:pPr>
        <w:pStyle w:val="Indenta"/>
        <w:rPr>
          <w:snapToGrid w:val="0"/>
        </w:rPr>
      </w:pPr>
      <w:r>
        <w:rPr>
          <w:snapToGrid w:val="0"/>
        </w:rPr>
        <w:tab/>
        <w:t>(b)</w:t>
      </w:r>
      <w:r>
        <w:rPr>
          <w:snapToGrid w:val="0"/>
        </w:rPr>
        <w:tab/>
        <w:t>a relative of the licensee, being a person approved by the Director; or</w:t>
      </w:r>
    </w:p>
    <w:p>
      <w:pPr>
        <w:pStyle w:val="Indenta"/>
        <w:keepLines/>
        <w:spacing w:before="60"/>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keepLines/>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rPr>
          <w:snapToGrid w:val="0"/>
        </w:rPr>
      </w:pPr>
      <w:r>
        <w:rPr>
          <w:snapToGrid w:val="0"/>
        </w:rPr>
        <w:tab/>
        <w:t>(8)</w:t>
      </w:r>
      <w:r>
        <w:rPr>
          <w:snapToGrid w:val="0"/>
        </w:rPr>
        <w:tab/>
        <w:t>Where a person applies to the Director — </w:t>
      </w:r>
    </w:p>
    <w:p>
      <w:pPr>
        <w:pStyle w:val="Indenta"/>
        <w:keepNext/>
        <w:keepLines/>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rPr>
          <w:snapToGrid w:val="0"/>
        </w:rPr>
      </w:pPr>
      <w:r>
        <w:rPr>
          <w:snapToGrid w:val="0"/>
        </w:rPr>
        <w:tab/>
        <w:t>(10)</w:t>
      </w:r>
      <w:r>
        <w:rPr>
          <w:snapToGrid w:val="0"/>
        </w:rPr>
        <w:tab/>
        <w:t>Where — </w:t>
      </w:r>
    </w:p>
    <w:p>
      <w:pPr>
        <w:pStyle w:val="Indenta"/>
        <w:keepNext/>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 or</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ind w:left="890" w:hanging="890"/>
      </w:pPr>
      <w:r>
        <w:tab/>
        <w:t xml:space="preserve">[Section 86 amended by No. 12 of 1998 s. 59; No. 10 of 2001 s. 220; No. 73 of 2006 s. 61.] </w:t>
      </w:r>
    </w:p>
    <w:p>
      <w:pPr>
        <w:pStyle w:val="Heading5"/>
        <w:keepLines w:val="0"/>
        <w:rPr>
          <w:snapToGrid w:val="0"/>
        </w:rPr>
      </w:pPr>
      <w:bookmarkStart w:id="244" w:name="_Toc522197318"/>
      <w:r>
        <w:rPr>
          <w:rStyle w:val="CharSectno"/>
        </w:rPr>
        <w:t>87</w:t>
      </w:r>
      <w:r>
        <w:rPr>
          <w:snapToGrid w:val="0"/>
        </w:rPr>
        <w:t>.</w:t>
      </w:r>
      <w:r>
        <w:rPr>
          <w:snapToGrid w:val="0"/>
        </w:rPr>
        <w:tab/>
        <w:t>Protection orders, grant and term of etc.</w:t>
      </w:r>
      <w:bookmarkEnd w:id="244"/>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 or</w:t>
      </w:r>
    </w:p>
    <w:p>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 or</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 or</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authorisation, in this Act referred to as a </w:t>
      </w:r>
      <w:r>
        <w:rPr>
          <w:rStyle w:val="CharDefText"/>
        </w:rPr>
        <w:t>protection order</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 or</w:t>
      </w:r>
    </w:p>
    <w:p>
      <w:pPr>
        <w:pStyle w:val="Indenti"/>
        <w:keepNext/>
        <w:keepLines/>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 or</w:t>
      </w:r>
    </w:p>
    <w:p>
      <w:pPr>
        <w:pStyle w:val="Indenti"/>
        <w:rPr>
          <w:snapToGrid w:val="0"/>
        </w:rPr>
      </w:pPr>
      <w:r>
        <w:rPr>
          <w:snapToGrid w:val="0"/>
        </w:rPr>
        <w:tab/>
        <w:t>(iii)</w:t>
      </w:r>
      <w:r>
        <w:rPr>
          <w:snapToGrid w:val="0"/>
        </w:rPr>
        <w:tab/>
        <w:t>on the granting of a new licence in respect of those premises; or</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rPr>
          <w:snapToGrid w:val="0"/>
        </w:rPr>
      </w:pPr>
      <w:r>
        <w:rPr>
          <w:snapToGrid w:val="0"/>
        </w:rPr>
        <w:tab/>
      </w:r>
      <w:r>
        <w:rPr>
          <w:snapToGrid w:val="0"/>
        </w:rPr>
        <w:tab/>
        <w:t>and whilst it continues in force this Act applies to the holder as if that person were the holder of a licence.</w:t>
      </w:r>
    </w:p>
    <w:p>
      <w:pPr>
        <w:pStyle w:val="Subsection"/>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keepNext/>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rPr>
          <w:snapToGrid w:val="0"/>
        </w:rPr>
      </w:pPr>
      <w:r>
        <w:rPr>
          <w:snapToGrid w:val="0"/>
        </w:rPr>
        <w:tab/>
      </w:r>
      <w:r>
        <w:rPr>
          <w:snapToGrid w:val="0"/>
        </w:rPr>
        <w:tab/>
        <w:t>and some other person entitled by subsection (1) applies for an order.</w:t>
      </w:r>
    </w:p>
    <w:p>
      <w:pPr>
        <w:pStyle w:val="Subsection"/>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by No. 14 of 1996 s. 4; No. 12 of 1998 s. 60; No. 73 of 2006 s. 62.] </w:t>
      </w:r>
    </w:p>
    <w:p>
      <w:pPr>
        <w:pStyle w:val="Heading5"/>
        <w:rPr>
          <w:snapToGrid w:val="0"/>
        </w:rPr>
      </w:pPr>
      <w:bookmarkStart w:id="245" w:name="_Toc522197319"/>
      <w:r>
        <w:rPr>
          <w:rStyle w:val="CharSectno"/>
        </w:rPr>
        <w:t>88</w:t>
      </w:r>
      <w:r>
        <w:rPr>
          <w:snapToGrid w:val="0"/>
        </w:rPr>
        <w:t>.</w:t>
      </w:r>
      <w:r>
        <w:rPr>
          <w:snapToGrid w:val="0"/>
        </w:rPr>
        <w:tab/>
        <w:t>Protection order, effect of</w:t>
      </w:r>
      <w:bookmarkEnd w:id="245"/>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 or</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keepLines/>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by No. 12 of 1998 s. 61.] </w:t>
      </w:r>
    </w:p>
    <w:p>
      <w:pPr>
        <w:pStyle w:val="Heading5"/>
        <w:spacing w:before="180"/>
        <w:rPr>
          <w:snapToGrid w:val="0"/>
        </w:rPr>
      </w:pPr>
      <w:bookmarkStart w:id="246" w:name="_Toc522197320"/>
      <w:r>
        <w:rPr>
          <w:rStyle w:val="CharSectno"/>
        </w:rPr>
        <w:t>89</w:t>
      </w:r>
      <w:r>
        <w:rPr>
          <w:snapToGrid w:val="0"/>
        </w:rPr>
        <w:t>.</w:t>
      </w:r>
      <w:r>
        <w:rPr>
          <w:snapToGrid w:val="0"/>
        </w:rPr>
        <w:tab/>
        <w:t>Dispute as to terms of lease, Director’s powers in case of</w:t>
      </w:r>
      <w:bookmarkEnd w:id="246"/>
    </w:p>
    <w:p>
      <w:pPr>
        <w:pStyle w:val="Subsection"/>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by No. 12 of 1998 s. 62.] </w:t>
      </w:r>
    </w:p>
    <w:p>
      <w:pPr>
        <w:pStyle w:val="Heading3"/>
        <w:spacing w:before="180"/>
        <w:rPr>
          <w:snapToGrid w:val="0"/>
        </w:rPr>
      </w:pPr>
      <w:bookmarkStart w:id="247" w:name="_Toc471906797"/>
      <w:bookmarkStart w:id="248" w:name="_Toc472001714"/>
      <w:bookmarkStart w:id="249" w:name="_Toc472676742"/>
      <w:bookmarkStart w:id="250" w:name="_Toc472682127"/>
      <w:bookmarkStart w:id="251" w:name="_Toc473119268"/>
      <w:bookmarkStart w:id="252" w:name="_Toc522197321"/>
      <w:r>
        <w:rPr>
          <w:rStyle w:val="CharDivNo"/>
        </w:rPr>
        <w:t>Division 11</w:t>
      </w:r>
      <w:r>
        <w:rPr>
          <w:snapToGrid w:val="0"/>
        </w:rPr>
        <w:t> — </w:t>
      </w:r>
      <w:r>
        <w:rPr>
          <w:rStyle w:val="CharDivText"/>
        </w:rPr>
        <w:t>Suspensions</w:t>
      </w:r>
      <w:bookmarkEnd w:id="247"/>
      <w:bookmarkEnd w:id="248"/>
      <w:bookmarkEnd w:id="249"/>
      <w:bookmarkEnd w:id="250"/>
      <w:bookmarkEnd w:id="251"/>
      <w:bookmarkEnd w:id="252"/>
      <w:r>
        <w:rPr>
          <w:rStyle w:val="CharDivText"/>
        </w:rPr>
        <w:t xml:space="preserve"> </w:t>
      </w:r>
    </w:p>
    <w:p>
      <w:pPr>
        <w:pStyle w:val="Ednotesection"/>
        <w:spacing w:before="180"/>
      </w:pPr>
      <w:r>
        <w:t>[</w:t>
      </w:r>
      <w:r>
        <w:rPr>
          <w:b/>
        </w:rPr>
        <w:t>90.</w:t>
      </w:r>
      <w:r>
        <w:tab/>
        <w:t>Deleted by No. 73 of 2006 s. 63.]</w:t>
      </w:r>
    </w:p>
    <w:p>
      <w:pPr>
        <w:pStyle w:val="Heading5"/>
        <w:spacing w:before="180"/>
        <w:rPr>
          <w:snapToGrid w:val="0"/>
        </w:rPr>
      </w:pPr>
      <w:bookmarkStart w:id="253" w:name="_Toc522197322"/>
      <w:r>
        <w:rPr>
          <w:rStyle w:val="CharSectno"/>
        </w:rPr>
        <w:t>91</w:t>
      </w:r>
      <w:r>
        <w:rPr>
          <w:snapToGrid w:val="0"/>
        </w:rPr>
        <w:t>.</w:t>
      </w:r>
      <w:r>
        <w:rPr>
          <w:snapToGrid w:val="0"/>
        </w:rPr>
        <w:tab/>
        <w:t>Suspension of licence or permit in the public interest</w:t>
      </w:r>
      <w:bookmarkEnd w:id="253"/>
    </w:p>
    <w:p>
      <w:pPr>
        <w:pStyle w:val="Subsection"/>
      </w:pPr>
      <w:r>
        <w:rPr>
          <w:snapToGrid w:val="0"/>
        </w:rPr>
        <w:tab/>
        <w:t>(1)</w:t>
      </w:r>
      <w:r>
        <w:rPr>
          <w:snapToGrid w:val="0"/>
        </w:rPr>
        <w:tab/>
        <w:t xml:space="preserve">The Director may, at discretion or on an application made by or on behalf of the Commissioner of Police, suspend the operation of any licence or permit, for such period or on such occasion as the Director thinks fit, </w:t>
      </w:r>
      <w:r>
        <w:t>if the Director considers it is in the public interest to do so.</w:t>
      </w:r>
    </w:p>
    <w:p>
      <w:pPr>
        <w:pStyle w:val="Subsection"/>
        <w:spacing w:before="120"/>
      </w:pPr>
      <w:r>
        <w:tab/>
        <w:t>(2)</w:t>
      </w:r>
      <w:r>
        <w:tab/>
        <w:t xml:space="preserve">Without limiting subsection (1), the Director may, after giving the licensee a reasonable opportunity to make submissions or to be heard, suspend the operation of a licence if — </w:t>
      </w:r>
    </w:p>
    <w:p>
      <w:pPr>
        <w:pStyle w:val="Indenta"/>
      </w:pPr>
      <w:r>
        <w:tab/>
        <w:t>(a)</w:t>
      </w:r>
      <w:r>
        <w:tab/>
        <w:t>the licence is other than an occasional licence; and</w:t>
      </w:r>
    </w:p>
    <w:p>
      <w:pPr>
        <w:pStyle w:val="Indenta"/>
      </w:pPr>
      <w:r>
        <w:tab/>
        <w:t>(b)</w:t>
      </w:r>
      <w:r>
        <w:tab/>
        <w:t xml:space="preserve">it appears to the Director that — </w:t>
      </w:r>
    </w:p>
    <w:p>
      <w:pPr>
        <w:pStyle w:val="Indenti"/>
      </w:pPr>
      <w:r>
        <w:tab/>
        <w:t>(i)</w:t>
      </w:r>
      <w:r>
        <w:tab/>
        <w:t>contrary to the condition referred to in section 37(5), the licensee has ceased to occupy the licensed premises to the exclusion of others; or</w:t>
      </w:r>
    </w:p>
    <w:p>
      <w:pPr>
        <w:pStyle w:val="Indenti"/>
      </w:pPr>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pPr>
        <w:pStyle w:val="Footnotesection"/>
      </w:pPr>
      <w:r>
        <w:tab/>
        <w:t>[Section 91 amended by No. 73 of 2006 s. 64.]</w:t>
      </w:r>
    </w:p>
    <w:p>
      <w:pPr>
        <w:pStyle w:val="Heading5"/>
        <w:spacing w:before="240"/>
        <w:rPr>
          <w:snapToGrid w:val="0"/>
        </w:rPr>
      </w:pPr>
      <w:bookmarkStart w:id="254" w:name="_Toc522197323"/>
      <w:r>
        <w:rPr>
          <w:rStyle w:val="CharSectno"/>
        </w:rPr>
        <w:t>92</w:t>
      </w:r>
      <w:r>
        <w:rPr>
          <w:snapToGrid w:val="0"/>
        </w:rPr>
        <w:t>.</w:t>
      </w:r>
      <w:r>
        <w:rPr>
          <w:snapToGrid w:val="0"/>
        </w:rPr>
        <w:tab/>
        <w:t>Suspension because business has ceased etc.</w:t>
      </w:r>
      <w:bookmarkEnd w:id="254"/>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by No. 12 of 1998 s. 63.] </w:t>
      </w:r>
    </w:p>
    <w:p>
      <w:pPr>
        <w:pStyle w:val="Heading5"/>
        <w:spacing w:before="240"/>
        <w:rPr>
          <w:snapToGrid w:val="0"/>
        </w:rPr>
      </w:pPr>
      <w:bookmarkStart w:id="255" w:name="_Toc522197324"/>
      <w:r>
        <w:rPr>
          <w:rStyle w:val="CharSectno"/>
        </w:rPr>
        <w:t>92A</w:t>
      </w:r>
      <w:r>
        <w:rPr>
          <w:snapToGrid w:val="0"/>
        </w:rPr>
        <w:t>.</w:t>
      </w:r>
      <w:r>
        <w:rPr>
          <w:snapToGrid w:val="0"/>
        </w:rPr>
        <w:tab/>
        <w:t>Cancellation of suspension</w:t>
      </w:r>
      <w:bookmarkEnd w:id="255"/>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by No. 12 of 1998 s. 64.] </w:t>
      </w:r>
    </w:p>
    <w:p>
      <w:pPr>
        <w:pStyle w:val="Heading5"/>
        <w:spacing w:before="240"/>
        <w:rPr>
          <w:snapToGrid w:val="0"/>
        </w:rPr>
      </w:pPr>
      <w:bookmarkStart w:id="256" w:name="_Toc522197325"/>
      <w:r>
        <w:rPr>
          <w:rStyle w:val="CharSectno"/>
        </w:rPr>
        <w:t>93</w:t>
      </w:r>
      <w:r>
        <w:rPr>
          <w:snapToGrid w:val="0"/>
        </w:rPr>
        <w:t>.</w:t>
      </w:r>
      <w:r>
        <w:rPr>
          <w:snapToGrid w:val="0"/>
        </w:rPr>
        <w:tab/>
        <w:t>Cancellation of suspended licences</w:t>
      </w:r>
      <w:bookmarkEnd w:id="256"/>
      <w:r>
        <w:rPr>
          <w:snapToGrid w:val="0"/>
        </w:rPr>
        <w:t xml:space="preserve"> </w:t>
      </w:r>
    </w:p>
    <w:p>
      <w:pPr>
        <w:pStyle w:val="Subsection"/>
        <w:spacing w:before="120"/>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pPr>
        <w:pStyle w:val="Indenta"/>
        <w:rPr>
          <w:snapToGrid w:val="0"/>
        </w:rPr>
      </w:pPr>
      <w:r>
        <w:rPr>
          <w:snapToGrid w:val="0"/>
        </w:rPr>
        <w:tab/>
        <w:t>(b)</w:t>
      </w:r>
      <w:r>
        <w:rPr>
          <w:snapToGrid w:val="0"/>
        </w:rPr>
        <w:tab/>
        <w:t xml:space="preserve">that </w:t>
      </w:r>
      <w:r>
        <w:t xml:space="preserve">the relevant period has </w:t>
      </w:r>
      <w:r>
        <w:rPr>
          <w:snapToGrid w:val="0"/>
        </w:rPr>
        <w:t>elapsed from the day on which the licence or permit was suspended, or deemed to have been suspended,</w:t>
      </w:r>
    </w:p>
    <w:p>
      <w:pPr>
        <w:pStyle w:val="Subsection"/>
        <w:spacing w:before="120"/>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spacing w:before="120"/>
      </w:pPr>
      <w:r>
        <w:tab/>
        <w:t>(1a)</w:t>
      </w:r>
      <w:r>
        <w:tab/>
        <w:t xml:space="preserve">In subsection (1)(b) — </w:t>
      </w:r>
    </w:p>
    <w:p>
      <w:pPr>
        <w:pStyle w:val="Defstart"/>
      </w:pPr>
      <w:r>
        <w:rPr>
          <w:b/>
        </w:rPr>
        <w:tab/>
      </w:r>
      <w:r>
        <w:rPr>
          <w:rStyle w:val="CharDefText"/>
        </w:rPr>
        <w:t>relevant period</w:t>
      </w:r>
      <w:r>
        <w:t xml:space="preserve"> means 28 days or any greater period prescribed.</w:t>
      </w:r>
    </w:p>
    <w:p>
      <w:pPr>
        <w:pStyle w:val="Subsection"/>
        <w:spacing w:before="120"/>
        <w:rPr>
          <w:snapToGrid w:val="0"/>
        </w:rPr>
      </w:pPr>
      <w:r>
        <w:rPr>
          <w:snapToGrid w:val="0"/>
        </w:rPr>
        <w:tab/>
        <w:t>(2)</w:t>
      </w:r>
      <w:r>
        <w:rPr>
          <w:snapToGrid w:val="0"/>
        </w:rPr>
        <w:tab/>
        <w:t>The Director may, on application, extend the period specified in a notice made under subsection (1).</w:t>
      </w:r>
    </w:p>
    <w:p>
      <w:pPr>
        <w:pStyle w:val="Footnotesection"/>
        <w:spacing w:before="80"/>
        <w:ind w:left="890" w:hanging="890"/>
      </w:pPr>
      <w:r>
        <w:tab/>
        <w:t xml:space="preserve">[Section 93 amended by No. 12 of 1998 s. 65; No. 73 of 2006 s. 65.] </w:t>
      </w:r>
    </w:p>
    <w:p>
      <w:pPr>
        <w:pStyle w:val="Heading3"/>
        <w:keepLines/>
        <w:spacing w:before="160"/>
        <w:rPr>
          <w:snapToGrid w:val="0"/>
        </w:rPr>
      </w:pPr>
      <w:bookmarkStart w:id="257" w:name="_Toc471906802"/>
      <w:bookmarkStart w:id="258" w:name="_Toc472001719"/>
      <w:bookmarkStart w:id="259" w:name="_Toc472676747"/>
      <w:bookmarkStart w:id="260" w:name="_Toc472682132"/>
      <w:bookmarkStart w:id="261" w:name="_Toc473119273"/>
      <w:bookmarkStart w:id="262" w:name="_Toc522197326"/>
      <w:r>
        <w:rPr>
          <w:rStyle w:val="CharDivNo"/>
        </w:rPr>
        <w:t>Division 12</w:t>
      </w:r>
      <w:r>
        <w:rPr>
          <w:snapToGrid w:val="0"/>
        </w:rPr>
        <w:t> — </w:t>
      </w:r>
      <w:r>
        <w:rPr>
          <w:rStyle w:val="CharDivText"/>
        </w:rPr>
        <w:t>Surrenders</w:t>
      </w:r>
      <w:bookmarkEnd w:id="257"/>
      <w:bookmarkEnd w:id="258"/>
      <w:bookmarkEnd w:id="259"/>
      <w:bookmarkEnd w:id="260"/>
      <w:bookmarkEnd w:id="261"/>
      <w:bookmarkEnd w:id="262"/>
      <w:r>
        <w:rPr>
          <w:rStyle w:val="CharDivText"/>
        </w:rPr>
        <w:t xml:space="preserve"> </w:t>
      </w:r>
    </w:p>
    <w:p>
      <w:pPr>
        <w:pStyle w:val="Heading5"/>
        <w:keepNext w:val="0"/>
        <w:spacing w:before="160"/>
        <w:rPr>
          <w:snapToGrid w:val="0"/>
        </w:rPr>
      </w:pPr>
      <w:bookmarkStart w:id="263" w:name="_Toc522197327"/>
      <w:r>
        <w:rPr>
          <w:rStyle w:val="CharSectno"/>
        </w:rPr>
        <w:t>94</w:t>
      </w:r>
      <w:r>
        <w:rPr>
          <w:snapToGrid w:val="0"/>
        </w:rPr>
        <w:t>.</w:t>
      </w:r>
      <w:r>
        <w:rPr>
          <w:snapToGrid w:val="0"/>
        </w:rPr>
        <w:tab/>
        <w:t>Surrendering licences</w:t>
      </w:r>
      <w:bookmarkEnd w:id="263"/>
    </w:p>
    <w:p>
      <w:pPr>
        <w:pStyle w:val="Subsection"/>
        <w:spacing w:before="120"/>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rPr>
          <w:snapToGrid w:val="0"/>
        </w:rPr>
      </w:pPr>
      <w:r>
        <w:rPr>
          <w:snapToGrid w:val="0"/>
        </w:rPr>
        <w:tab/>
        <w:t>(a)</w:t>
      </w:r>
      <w:r>
        <w:rPr>
          <w:snapToGrid w:val="0"/>
        </w:rPr>
        <w:tab/>
        <w:t>shall be deemed to be surrendered; and</w:t>
      </w:r>
    </w:p>
    <w:p>
      <w:pPr>
        <w:pStyle w:val="Indenta"/>
        <w:rPr>
          <w:snapToGrid w:val="0"/>
        </w:rPr>
      </w:pPr>
      <w:r>
        <w:rPr>
          <w:snapToGrid w:val="0"/>
        </w:rPr>
        <w:tab/>
        <w:t>(b)</w:t>
      </w:r>
      <w:r>
        <w:rPr>
          <w:snapToGrid w:val="0"/>
        </w:rPr>
        <w:tab/>
        <w:t>shall cease to have effect,</w:t>
      </w:r>
    </w:p>
    <w:p>
      <w:pPr>
        <w:pStyle w:val="Subsection"/>
        <w:spacing w:before="80"/>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rPr>
          <w:snapToGrid w:val="0"/>
        </w:rPr>
      </w:pPr>
      <w:r>
        <w:rPr>
          <w:snapToGrid w:val="0"/>
        </w:rPr>
        <w:tab/>
        <w:t>(3)</w:t>
      </w:r>
      <w:r>
        <w:rPr>
          <w:snapToGrid w:val="0"/>
        </w:rPr>
        <w:tab/>
        <w:t>The Director shall not give notice of acceptance of a surrender unless the Director is satisfied — </w:t>
      </w:r>
    </w:p>
    <w:p>
      <w:pPr>
        <w:pStyle w:val="Indenta"/>
        <w:rPr>
          <w:snapToGrid w:val="0"/>
        </w:rPr>
      </w:pPr>
      <w:r>
        <w:rPr>
          <w:snapToGrid w:val="0"/>
        </w:rPr>
        <w:tab/>
        <w:t>(a)</w:t>
      </w:r>
      <w:r>
        <w:rPr>
          <w:snapToGrid w:val="0"/>
        </w:rPr>
        <w:tab/>
        <w:t>except where the licence is a club licence, that the written consent of every person entitled to any freehold interest in the licensed premises has been sought; and</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 and</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264" w:name="_Toc471906804"/>
      <w:bookmarkStart w:id="265" w:name="_Toc472001721"/>
      <w:bookmarkStart w:id="266" w:name="_Toc472676749"/>
      <w:bookmarkStart w:id="267" w:name="_Toc472682134"/>
      <w:bookmarkStart w:id="268" w:name="_Toc473119275"/>
      <w:bookmarkStart w:id="269" w:name="_Toc522197328"/>
      <w:r>
        <w:rPr>
          <w:rStyle w:val="CharDivNo"/>
        </w:rPr>
        <w:t>Division 13</w:t>
      </w:r>
      <w:r>
        <w:rPr>
          <w:snapToGrid w:val="0"/>
        </w:rPr>
        <w:t> — </w:t>
      </w:r>
      <w:r>
        <w:rPr>
          <w:rStyle w:val="CharDivText"/>
        </w:rPr>
        <w:t>Disciplinary matters</w:t>
      </w:r>
      <w:bookmarkEnd w:id="264"/>
      <w:bookmarkEnd w:id="265"/>
      <w:bookmarkEnd w:id="266"/>
      <w:bookmarkEnd w:id="267"/>
      <w:bookmarkEnd w:id="268"/>
      <w:bookmarkEnd w:id="269"/>
      <w:r>
        <w:rPr>
          <w:rStyle w:val="CharDivText"/>
        </w:rPr>
        <w:t xml:space="preserve"> </w:t>
      </w:r>
    </w:p>
    <w:p>
      <w:pPr>
        <w:pStyle w:val="Heading5"/>
        <w:rPr>
          <w:snapToGrid w:val="0"/>
        </w:rPr>
      </w:pPr>
      <w:bookmarkStart w:id="270" w:name="_Toc522197329"/>
      <w:r>
        <w:rPr>
          <w:rStyle w:val="CharSectno"/>
        </w:rPr>
        <w:t>95</w:t>
      </w:r>
      <w:r>
        <w:rPr>
          <w:snapToGrid w:val="0"/>
        </w:rPr>
        <w:t>.</w:t>
      </w:r>
      <w:r>
        <w:rPr>
          <w:snapToGrid w:val="0"/>
        </w:rPr>
        <w:tab/>
        <w:t>Disciplinary action against licensees, grounds and procedure for</w:t>
      </w:r>
      <w:bookmarkEnd w:id="270"/>
    </w:p>
    <w:p>
      <w:pPr>
        <w:pStyle w:val="Subsection"/>
        <w:rPr>
          <w:snapToGrid w:val="0"/>
        </w:rPr>
      </w:pPr>
      <w:r>
        <w:rPr>
          <w:snapToGrid w:val="0"/>
        </w:rPr>
        <w:tab/>
        <w:t>(1)</w:t>
      </w:r>
      <w:r>
        <w:rPr>
          <w:snapToGrid w:val="0"/>
        </w:rPr>
        <w:tab/>
        <w:t xml:space="preserve">The </w:t>
      </w:r>
      <w:r>
        <w:t xml:space="preserve">Commission </w:t>
      </w:r>
      <w:r>
        <w:rPr>
          <w:snapToGrid w:val="0"/>
        </w:rPr>
        <w:t>may, on a complaint lodged under this section, take disciplinary action.</w:t>
      </w:r>
    </w:p>
    <w:p>
      <w:pPr>
        <w:pStyle w:val="Subsection"/>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rPr>
          <w:snapToGrid w:val="0"/>
        </w:rPr>
      </w:pPr>
      <w:r>
        <w:rPr>
          <w:snapToGrid w:val="0"/>
        </w:rPr>
        <w:tab/>
        <w:t>(3)</w:t>
      </w:r>
      <w:r>
        <w:rPr>
          <w:snapToGrid w:val="0"/>
        </w:rPr>
        <w:tab/>
        <w:t xml:space="preserve">Upon the making of a complaint, the </w:t>
      </w:r>
      <w:r>
        <w:t xml:space="preserve">Commission </w:t>
      </w:r>
      <w:r>
        <w:rPr>
          <w:snapToGrid w:val="0"/>
        </w:rPr>
        <w:t>may require the complainant to attend a preliminary conference before the</w:t>
      </w:r>
      <w:r>
        <w:t xml:space="preserve"> Commission</w:t>
      </w:r>
      <w:r>
        <w:rPr>
          <w:snapToGrid w:val="0"/>
        </w:rPr>
        <w:t xml:space="preserve">, and may require a licensee to show cause to the </w:t>
      </w:r>
      <w:r>
        <w:t xml:space="preserve">Commission </w:t>
      </w:r>
      <w:r>
        <w:rPr>
          <w:snapToGrid w:val="0"/>
        </w:rPr>
        <w:t xml:space="preserve">why disciplinary action should not be taken, and where the </w:t>
      </w:r>
      <w:r>
        <w:t xml:space="preserve">Commission </w:t>
      </w:r>
      <w:r>
        <w:rPr>
          <w:snapToGrid w:val="0"/>
        </w:rPr>
        <w:t xml:space="preserve">is satisfied that the grounds on which the allegation is based are vexatious or can not be made out the </w:t>
      </w:r>
      <w:r>
        <w:t xml:space="preserve">Commission </w:t>
      </w:r>
      <w:r>
        <w:rPr>
          <w:snapToGrid w:val="0"/>
        </w:rPr>
        <w:t>shall give notice of that determination to the complainant and the complaint shall not then be heard without leave of the</w:t>
      </w:r>
      <w:r>
        <w:t xml:space="preserve"> Commission</w:t>
      </w:r>
      <w:r>
        <w:rPr>
          <w:snapToGrid w:val="0"/>
        </w:rPr>
        <w:t>.</w:t>
      </w:r>
    </w:p>
    <w:p>
      <w:pPr>
        <w:pStyle w:val="Subsection"/>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 or</w:t>
      </w:r>
    </w:p>
    <w:p>
      <w:pPr>
        <w:pStyle w:val="Indenta"/>
        <w:rPr>
          <w:snapToGrid w:val="0"/>
        </w:rPr>
      </w:pPr>
      <w:r>
        <w:rPr>
          <w:snapToGrid w:val="0"/>
        </w:rPr>
        <w:tab/>
        <w:t>(b)</w:t>
      </w:r>
      <w:r>
        <w:rPr>
          <w:snapToGrid w:val="0"/>
        </w:rPr>
        <w:tab/>
        <w:t>the licensed premises are not properly managed in accordance with this Act; or</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 or</w:t>
      </w:r>
    </w:p>
    <w:p>
      <w:pPr>
        <w:pStyle w:val="Indenti"/>
        <w:rPr>
          <w:snapToGrid w:val="0"/>
        </w:rPr>
      </w:pPr>
      <w:r>
        <w:rPr>
          <w:snapToGrid w:val="0"/>
        </w:rPr>
        <w:tab/>
        <w:t>(ii)</w:t>
      </w:r>
      <w:r>
        <w:rPr>
          <w:snapToGrid w:val="0"/>
        </w:rPr>
        <w:tab/>
        <w:t>are otherwise in an unsatisfactory condition; or</w:t>
      </w:r>
    </w:p>
    <w:p>
      <w:pPr>
        <w:pStyle w:val="Indenti"/>
        <w:rPr>
          <w:snapToGrid w:val="0"/>
        </w:rPr>
      </w:pPr>
      <w:r>
        <w:rPr>
          <w:snapToGrid w:val="0"/>
        </w:rPr>
        <w:tab/>
        <w:t>(iii)</w:t>
      </w:r>
      <w:r>
        <w:rPr>
          <w:snapToGrid w:val="0"/>
        </w:rPr>
        <w:tab/>
        <w:t>have been altered without the prior approval of the Director; or</w:t>
      </w:r>
    </w:p>
    <w:p>
      <w:pPr>
        <w:pStyle w:val="Indenti"/>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 or</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 or</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keepNext/>
        <w:rPr>
          <w:snapToGrid w:val="0"/>
        </w:rPr>
      </w:pPr>
      <w:r>
        <w:rPr>
          <w:snapToGrid w:val="0"/>
        </w:rPr>
        <w:tab/>
        <w:t>(iii)</w:t>
      </w:r>
      <w:r>
        <w:rPr>
          <w:snapToGrid w:val="0"/>
        </w:rPr>
        <w:tab/>
        <w:t>failed to comply with a summons, direction or order under this Act;</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the licensee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(ia)</w:t>
      </w:r>
      <w:r>
        <w:rPr>
          <w:snapToGrid w:val="0"/>
        </w:rPr>
        <w:tab/>
        <w:t xml:space="preserve">an offence under the </w:t>
      </w:r>
      <w:r>
        <w:rPr>
          <w:i/>
          <w:iCs/>
          <w:snapToGrid w:val="0"/>
        </w:rPr>
        <w:t>Food Act 2008</w:t>
      </w:r>
      <w:r>
        <w:rPr>
          <w:snapToGrid w:val="0"/>
        </w:rPr>
        <w:t xml:space="preserve"> in relation to the licensed premises</w:t>
      </w:r>
      <w:r>
        <w: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(Miscellaneous Provisions) 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 or</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 or</w:t>
      </w:r>
    </w:p>
    <w:p>
      <w:pPr>
        <w:pStyle w:val="Indenta"/>
        <w:rPr>
          <w:snapToGrid w:val="0"/>
        </w:rPr>
      </w:pPr>
      <w:r>
        <w:rPr>
          <w:snapToGrid w:val="0"/>
        </w:rPr>
        <w:tab/>
        <w:t>(g)</w:t>
      </w:r>
      <w:r>
        <w:rPr>
          <w:snapToGrid w:val="0"/>
        </w:rPr>
        <w:tab/>
        <w:t>the licensee otherwise is, or becomes, an unsuitable person to hold a licence under this Act; or</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 or</w:t>
      </w:r>
    </w:p>
    <w:p>
      <w:pPr>
        <w:pStyle w:val="Indenta"/>
        <w:rPr>
          <w:snapToGrid w:val="0"/>
        </w:rPr>
      </w:pPr>
      <w:r>
        <w:rPr>
          <w:snapToGrid w:val="0"/>
        </w:rPr>
        <w:tab/>
        <w:t>(j)</w:t>
      </w:r>
      <w:r>
        <w:rPr>
          <w:snapToGrid w:val="0"/>
        </w:rPr>
        <w:tab/>
        <w:t>the continuation of the licence is not in the public interest or the licence has not been exercised in the public interest; or</w:t>
      </w:r>
    </w:p>
    <w:p>
      <w:pPr>
        <w:pStyle w:val="Indenta"/>
        <w:rPr>
          <w:snapToGrid w:val="0"/>
        </w:rPr>
      </w:pPr>
      <w:r>
        <w:rPr>
          <w:snapToGrid w:val="0"/>
        </w:rPr>
        <w:tab/>
        <w:t>(k)</w:t>
      </w:r>
      <w:r>
        <w:rPr>
          <w:snapToGrid w:val="0"/>
        </w:rPr>
        <w:tab/>
        <w:t>the safety, health or welfare of persons who resort to the licensed premises is endangered by an act or neglect of the licensee; or</w:t>
      </w:r>
    </w:p>
    <w:p>
      <w:pPr>
        <w:pStyle w:val="Indenta"/>
        <w:rPr>
          <w:snapToGrid w:val="0"/>
        </w:rPr>
      </w:pPr>
      <w:r>
        <w:rPr>
          <w:snapToGrid w:val="0"/>
        </w:rPr>
        <w:tab/>
        <w:t>(m)</w:t>
      </w:r>
      <w:r>
        <w:rPr>
          <w:snapToGrid w:val="0"/>
        </w:rPr>
        <w:tab/>
        <w:t>a person is convicted of unlawful gaming in respect of events that took place on the licensed premises; or</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 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rPr>
          <w:snapToGrid w:val="0"/>
        </w:rPr>
      </w:pPr>
      <w:r>
        <w:rPr>
          <w:snapToGrid w:val="0"/>
        </w:rPr>
        <w:tab/>
        <w:t>(5a)</w:t>
      </w:r>
      <w:r>
        <w:rPr>
          <w:snapToGrid w:val="0"/>
        </w:rPr>
        <w:tab/>
        <w:t xml:space="preserve">The complainant is to lodge the complaint with the </w:t>
      </w:r>
      <w:r>
        <w:t xml:space="preserve">Commission </w:t>
      </w:r>
      <w:r>
        <w:rPr>
          <w:snapToGrid w:val="0"/>
        </w:rPr>
        <w:t>and is to serve a copy of the complaint on the licensee.</w:t>
      </w:r>
    </w:p>
    <w:p>
      <w:pPr>
        <w:pStyle w:val="Subsection"/>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rPr>
          <w:snapToGrid w:val="0"/>
        </w:rPr>
      </w:pPr>
      <w:r>
        <w:rPr>
          <w:snapToGrid w:val="0"/>
        </w:rPr>
        <w:tab/>
        <w:t>(7)</w:t>
      </w:r>
      <w:r>
        <w:rPr>
          <w:snapToGrid w:val="0"/>
        </w:rPr>
        <w:tab/>
        <w:t>Notice of a complaint under this section and of the time and place appointed for the hearing of the complaint shall be served by the</w:t>
      </w:r>
      <w:r>
        <w:t xml:space="preserve"> Commission</w:t>
      </w:r>
      <w:r>
        <w:rPr>
          <w:snapToGrid w:val="0"/>
        </w:rPr>
        <w:t> — </w:t>
      </w:r>
    </w:p>
    <w:p>
      <w:pPr>
        <w:pStyle w:val="Indenta"/>
        <w:rPr>
          <w:snapToGrid w:val="0"/>
        </w:rPr>
      </w:pPr>
      <w:r>
        <w:rPr>
          <w:snapToGrid w:val="0"/>
        </w:rPr>
        <w:tab/>
        <w:t>(a)</w:t>
      </w:r>
      <w:r>
        <w:rPr>
          <w:snapToGrid w:val="0"/>
        </w:rPr>
        <w:tab/>
        <w:t>on the licensee; and</w:t>
      </w:r>
    </w:p>
    <w:p>
      <w:pPr>
        <w:pStyle w:val="Indenta"/>
        <w:keepNext/>
        <w:rPr>
          <w:snapToGrid w:val="0"/>
        </w:rPr>
      </w:pPr>
      <w:r>
        <w:rPr>
          <w:snapToGrid w:val="0"/>
        </w:rPr>
        <w:tab/>
        <w:t>(b)</w:t>
      </w:r>
      <w:r>
        <w:rPr>
          <w:snapToGrid w:val="0"/>
        </w:rPr>
        <w:tab/>
        <w:t>where the complaint is made on the grounds referred to — </w:t>
      </w:r>
    </w:p>
    <w:p>
      <w:pPr>
        <w:pStyle w:val="Indenti"/>
        <w:widowControl w:val="0"/>
        <w:rPr>
          <w:snapToGrid w:val="0"/>
        </w:rPr>
      </w:pPr>
      <w:r>
        <w:rPr>
          <w:snapToGrid w:val="0"/>
        </w:rPr>
        <w:tab/>
        <w:t>(i)</w:t>
      </w:r>
      <w:r>
        <w:rPr>
          <w:snapToGrid w:val="0"/>
        </w:rPr>
        <w:tab/>
        <w:t>in subsection (4)(c) or (d), the owner or occupier of the premises; or</w:t>
      </w:r>
    </w:p>
    <w:p>
      <w:pPr>
        <w:pStyle w:val="Indenti"/>
        <w:keepNext/>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 xml:space="preserve">any other person the </w:t>
      </w:r>
      <w:r>
        <w:t xml:space="preserve">Commission </w:t>
      </w:r>
      <w:r>
        <w:rPr>
          <w:snapToGrid w:val="0"/>
        </w:rPr>
        <w:t>may direct.</w:t>
      </w:r>
    </w:p>
    <w:p>
      <w:pPr>
        <w:pStyle w:val="Subsection"/>
      </w:pPr>
      <w:r>
        <w:tab/>
        <w:t>(7a)</w:t>
      </w:r>
      <w:r>
        <w:tab/>
        <w:t>When hearing a complaint under this section, the Commission is to be constituted by 3 members, including a member who is a lawyer.</w:t>
      </w:r>
    </w:p>
    <w:p>
      <w:pPr>
        <w:pStyle w:val="Subsection"/>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 and</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spacing w:before="120"/>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spacing w:before="120"/>
        <w:rPr>
          <w:snapToGrid w:val="0"/>
        </w:rPr>
      </w:pPr>
      <w:r>
        <w:rPr>
          <w:snapToGrid w:val="0"/>
        </w:rPr>
        <w:tab/>
        <w:t>(10)</w:t>
      </w:r>
      <w:r>
        <w:rPr>
          <w:snapToGrid w:val="0"/>
        </w:rPr>
        <w:tab/>
        <w:t xml:space="preserve">The </w:t>
      </w:r>
      <w:r>
        <w:t xml:space="preserve">Commission </w:t>
      </w:r>
      <w:r>
        <w:rPr>
          <w:snapToGrid w:val="0"/>
        </w:rPr>
        <w:t>may deal jointly with complaints lodged under this section if it considers that the complaints are related.</w:t>
      </w:r>
    </w:p>
    <w:p>
      <w:pPr>
        <w:pStyle w:val="Subsection"/>
        <w:spacing w:before="120"/>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Next/>
        <w:keepLines/>
        <w:rPr>
          <w:snapToGrid w:val="0"/>
        </w:rPr>
      </w:pPr>
      <w:r>
        <w:rPr>
          <w:snapToGrid w:val="0"/>
        </w:rPr>
        <w:tab/>
        <w:t>(b)</w:t>
      </w:r>
      <w:r>
        <w:rPr>
          <w:snapToGrid w:val="0"/>
        </w:rPr>
        <w:tab/>
        <w:t>had taken reasonable steps to prevent that act or omission from taking place.</w:t>
      </w:r>
    </w:p>
    <w:p>
      <w:pPr>
        <w:pStyle w:val="Footnotesection"/>
        <w:widowControl w:val="0"/>
        <w:ind w:left="890" w:hanging="890"/>
      </w:pPr>
      <w:r>
        <w:tab/>
        <w:t xml:space="preserve">[Section 95 amended by No. 14 of 1996 s. 4; No. 56 of 1997 s. 33; No. 12 of 1998 s. 10(11), 35(3) and (4), 66, 70(6) and (7); No. 73 of 2006 s. 66 and 106; No. 21 of 2008 s. 675(3); No. 43 of 2008 s. 148(4); No. 19 of 2016 s. 101.] </w:t>
      </w:r>
    </w:p>
    <w:p>
      <w:pPr>
        <w:pStyle w:val="Heading5"/>
        <w:spacing w:before="240"/>
        <w:rPr>
          <w:snapToGrid w:val="0"/>
        </w:rPr>
      </w:pPr>
      <w:bookmarkStart w:id="271" w:name="_Toc522197330"/>
      <w:r>
        <w:rPr>
          <w:rStyle w:val="CharSectno"/>
        </w:rPr>
        <w:t>96</w:t>
      </w:r>
      <w:r>
        <w:rPr>
          <w:snapToGrid w:val="0"/>
        </w:rPr>
        <w:t>.</w:t>
      </w:r>
      <w:r>
        <w:rPr>
          <w:snapToGrid w:val="0"/>
        </w:rPr>
        <w:tab/>
        <w:t>Disciplinary action, powers to take</w:t>
      </w:r>
      <w:bookmarkEnd w:id="271"/>
    </w:p>
    <w:p>
      <w:pPr>
        <w:pStyle w:val="Subsection"/>
        <w:spacing w:before="180"/>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person after due notice was given (where practicable), the </w:t>
      </w:r>
      <w:r>
        <w:t xml:space="preserve">Commission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r>
        <w:t xml:space="preserve">Commission </w:t>
      </w:r>
      <w:r>
        <w:rPr>
          <w:snapToGrid w:val="0"/>
        </w:rPr>
        <w:t>may — </w:t>
      </w:r>
    </w:p>
    <w:p>
      <w:pPr>
        <w:pStyle w:val="Indenta"/>
        <w:rPr>
          <w:snapToGrid w:val="0"/>
        </w:rPr>
      </w:pPr>
      <w:r>
        <w:rPr>
          <w:snapToGrid w:val="0"/>
        </w:rPr>
        <w:tab/>
        <w:t>(a)</w:t>
      </w:r>
      <w:r>
        <w:rPr>
          <w:snapToGrid w:val="0"/>
        </w:rPr>
        <w:tab/>
        <w:t>issue a reprimand; or</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 or</w:t>
      </w:r>
    </w:p>
    <w:p>
      <w:pPr>
        <w:pStyle w:val="Indenta"/>
        <w:rPr>
          <w:snapToGrid w:val="0"/>
        </w:rPr>
      </w:pPr>
      <w:r>
        <w:rPr>
          <w:snapToGrid w:val="0"/>
        </w:rPr>
        <w:tab/>
        <w:t>(c)</w:t>
      </w:r>
      <w:r>
        <w:rPr>
          <w:snapToGrid w:val="0"/>
        </w:rPr>
        <w:tab/>
        <w:t>vary or cancel a condition to which the licence is subject; or</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cancel the licence; or</w:t>
      </w:r>
    </w:p>
    <w:p>
      <w:pPr>
        <w:pStyle w:val="Indenta"/>
        <w:rPr>
          <w:snapToGrid w:val="0"/>
        </w:rPr>
      </w:pPr>
      <w:r>
        <w:rPr>
          <w:snapToGrid w:val="0"/>
        </w:rPr>
        <w:tab/>
        <w:t>(f)</w:t>
      </w:r>
      <w:r>
        <w:rPr>
          <w:snapToGrid w:val="0"/>
        </w:rPr>
        <w:tab/>
        <w:t xml:space="preserve">disqualify, for such period as the </w:t>
      </w:r>
      <w:r>
        <w:t xml:space="preserve">Commission </w:t>
      </w:r>
      <w:r>
        <w:rPr>
          <w:snapToGrid w:val="0"/>
        </w:rPr>
        <w:t>thinks fit, the licensee from holding a licence; or</w:t>
      </w:r>
    </w:p>
    <w:p>
      <w:pPr>
        <w:pStyle w:val="Indenta"/>
        <w:keepNext/>
        <w:rPr>
          <w:snapToGrid w:val="0"/>
        </w:rPr>
      </w:pPr>
      <w:r>
        <w:rPr>
          <w:snapToGrid w:val="0"/>
        </w:rPr>
        <w:tab/>
        <w:t>(g)</w:t>
      </w:r>
      <w:r>
        <w:rPr>
          <w:snapToGrid w:val="0"/>
        </w:rPr>
        <w:tab/>
        <w:t xml:space="preserve">disqualify, for such period as the </w:t>
      </w:r>
      <w:r>
        <w:t xml:space="preserve">Commission </w:t>
      </w:r>
      <w:r>
        <w:rPr>
          <w:snapToGrid w:val="0"/>
        </w:rPr>
        <w:t>thinks fit, a person against whom a ground of complaint was made out from being — </w:t>
      </w:r>
    </w:p>
    <w:p>
      <w:pPr>
        <w:pStyle w:val="Indenti"/>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 or</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 or</w:t>
      </w:r>
    </w:p>
    <w:p>
      <w:pPr>
        <w:pStyle w:val="Indenta"/>
        <w:rPr>
          <w:snapToGrid w:val="0"/>
        </w:rPr>
      </w:pPr>
      <w:r>
        <w:rPr>
          <w:snapToGrid w:val="0"/>
        </w:rPr>
        <w:tab/>
        <w:t>(j)</w:t>
      </w:r>
      <w:r>
        <w:rPr>
          <w:snapToGrid w:val="0"/>
        </w:rPr>
        <w:tab/>
        <w:t>give directions as to the conduct of the business of the licensee; or</w:t>
      </w:r>
    </w:p>
    <w:p>
      <w:pPr>
        <w:pStyle w:val="Indenta"/>
        <w:rPr>
          <w:snapToGrid w:val="0"/>
        </w:rPr>
      </w:pPr>
      <w:r>
        <w:rPr>
          <w:snapToGrid w:val="0"/>
        </w:rPr>
        <w:tab/>
        <w:t>(k)</w:t>
      </w:r>
      <w:r>
        <w:rPr>
          <w:snapToGrid w:val="0"/>
        </w:rPr>
        <w:tab/>
        <w:t>require specified action to be taken by the licensee within a specified period; or</w:t>
      </w:r>
    </w:p>
    <w:p>
      <w:pPr>
        <w:pStyle w:val="Indenta"/>
        <w:tabs>
          <w:tab w:val="left" w:pos="4845"/>
        </w:tabs>
        <w:rPr>
          <w:snapToGrid w:val="0"/>
        </w:rPr>
      </w:pPr>
      <w:r>
        <w:rPr>
          <w:snapToGrid w:val="0"/>
        </w:rPr>
        <w:tab/>
        <w:t>(m)</w:t>
      </w:r>
      <w:r>
        <w:rPr>
          <w:snapToGrid w:val="0"/>
        </w:rPr>
        <w:tab/>
        <w:t xml:space="preserve">order the licensee or a person against whom a ground of complaint was made out to pay to the Crown a monetary penalty not exceeding </w:t>
      </w:r>
      <w:r>
        <w:t>$60 000; or</w:t>
      </w:r>
    </w:p>
    <w:p>
      <w:pPr>
        <w:pStyle w:val="Indenta"/>
        <w:rPr>
          <w:snapToGrid w:val="0"/>
        </w:rPr>
      </w:pPr>
      <w:r>
        <w:rPr>
          <w:snapToGrid w:val="0"/>
        </w:rPr>
        <w:tab/>
        <w:t>(n)</w:t>
      </w:r>
      <w:r>
        <w:rPr>
          <w:snapToGrid w:val="0"/>
        </w:rPr>
        <w:tab/>
        <w:t xml:space="preserve">make such other order as the </w:t>
      </w:r>
      <w:r>
        <w:t xml:space="preserve">Commission </w:t>
      </w:r>
      <w:r>
        <w:rPr>
          <w:snapToGrid w:val="0"/>
        </w:rPr>
        <w:t>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deleted] </w:t>
      </w:r>
    </w:p>
    <w:p>
      <w:pPr>
        <w:pStyle w:val="Subsection"/>
        <w:rPr>
          <w:snapToGrid w:val="0"/>
        </w:rPr>
      </w:pPr>
      <w:r>
        <w:rPr>
          <w:snapToGrid w:val="0"/>
        </w:rPr>
        <w:tab/>
        <w:t>(3)</w:t>
      </w:r>
      <w:r>
        <w:rPr>
          <w:snapToGrid w:val="0"/>
        </w:rPr>
        <w:tab/>
        <w:t xml:space="preserve">The </w:t>
      </w:r>
      <w:r>
        <w:t xml:space="preserve">Commission </w:t>
      </w:r>
      <w:r>
        <w:rPr>
          <w:snapToGrid w:val="0"/>
        </w:rPr>
        <w:t>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rPr>
          <w:snapToGrid w:val="0"/>
        </w:rPr>
      </w:pPr>
      <w:r>
        <w:rPr>
          <w:snapToGrid w:val="0"/>
        </w:rPr>
        <w:tab/>
        <w:t>(4)</w:t>
      </w:r>
      <w:r>
        <w:rPr>
          <w:snapToGrid w:val="0"/>
        </w:rPr>
        <w:tab/>
        <w:t xml:space="preserve">Where the </w:t>
      </w:r>
      <w:r>
        <w:t xml:space="preserve">Commission </w:t>
      </w:r>
      <w:r>
        <w:rPr>
          <w:snapToGrid w:val="0"/>
        </w:rPr>
        <w:t xml:space="preserve">is satisfied that a licensee is committing, or permitting the commission of, a continuing breach of any condition of a licence the </w:t>
      </w:r>
      <w:r>
        <w:t xml:space="preserve">Commission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rPr>
          <w:snapToGrid w:val="0"/>
        </w:rPr>
      </w:pPr>
      <w:r>
        <w:rPr>
          <w:snapToGrid w:val="0"/>
        </w:rPr>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 or</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by No. 73 of 1994 s. 4; No. 12 of 1998 s. 67; No. 73 of 2006 s. 106 and 111(8); No. 56 of 2010 s. 47.] </w:t>
      </w:r>
    </w:p>
    <w:p>
      <w:pPr>
        <w:pStyle w:val="Heading2"/>
      </w:pPr>
      <w:bookmarkStart w:id="272" w:name="_Toc471906807"/>
      <w:bookmarkStart w:id="273" w:name="_Toc472001724"/>
      <w:bookmarkStart w:id="274" w:name="_Toc472676752"/>
      <w:bookmarkStart w:id="275" w:name="_Toc472682137"/>
      <w:bookmarkStart w:id="276" w:name="_Toc473119278"/>
      <w:bookmarkStart w:id="277" w:name="_Toc522197331"/>
      <w:r>
        <w:rPr>
          <w:rStyle w:val="CharPartNo"/>
        </w:rPr>
        <w:t>Part 4</w:t>
      </w:r>
      <w:r>
        <w:t> — </w:t>
      </w:r>
      <w:r>
        <w:rPr>
          <w:rStyle w:val="CharPartText"/>
        </w:rPr>
        <w:t>The conduct of business</w:t>
      </w:r>
      <w:bookmarkEnd w:id="272"/>
      <w:bookmarkEnd w:id="273"/>
      <w:bookmarkEnd w:id="274"/>
      <w:bookmarkEnd w:id="275"/>
      <w:bookmarkEnd w:id="276"/>
      <w:bookmarkEnd w:id="277"/>
      <w:r>
        <w:rPr>
          <w:rStyle w:val="CharPartText"/>
        </w:rPr>
        <w:t xml:space="preserve"> </w:t>
      </w:r>
    </w:p>
    <w:p>
      <w:pPr>
        <w:pStyle w:val="Heading3"/>
        <w:rPr>
          <w:snapToGrid w:val="0"/>
        </w:rPr>
      </w:pPr>
      <w:bookmarkStart w:id="278" w:name="_Toc471906808"/>
      <w:bookmarkStart w:id="279" w:name="_Toc472001725"/>
      <w:bookmarkStart w:id="280" w:name="_Toc472676753"/>
      <w:bookmarkStart w:id="281" w:name="_Toc472682138"/>
      <w:bookmarkStart w:id="282" w:name="_Toc473119279"/>
      <w:bookmarkStart w:id="283" w:name="_Toc522197332"/>
      <w:r>
        <w:rPr>
          <w:rStyle w:val="CharDivNo"/>
        </w:rPr>
        <w:t>Division 1</w:t>
      </w:r>
      <w:r>
        <w:rPr>
          <w:snapToGrid w:val="0"/>
        </w:rPr>
        <w:t> — </w:t>
      </w:r>
      <w:r>
        <w:rPr>
          <w:rStyle w:val="CharDivText"/>
        </w:rPr>
        <w:t>Hours of trading</w:t>
      </w:r>
      <w:bookmarkEnd w:id="278"/>
      <w:bookmarkEnd w:id="279"/>
      <w:bookmarkEnd w:id="280"/>
      <w:bookmarkEnd w:id="281"/>
      <w:bookmarkEnd w:id="282"/>
      <w:bookmarkEnd w:id="283"/>
      <w:r>
        <w:rPr>
          <w:rStyle w:val="CharDivText"/>
        </w:rPr>
        <w:t xml:space="preserve"> </w:t>
      </w:r>
    </w:p>
    <w:p>
      <w:pPr>
        <w:pStyle w:val="Heading5"/>
        <w:rPr>
          <w:snapToGrid w:val="0"/>
        </w:rPr>
      </w:pPr>
      <w:bookmarkStart w:id="284" w:name="_Toc522197333"/>
      <w:r>
        <w:rPr>
          <w:rStyle w:val="CharSectno"/>
        </w:rPr>
        <w:t>97</w:t>
      </w:r>
      <w:r>
        <w:rPr>
          <w:snapToGrid w:val="0"/>
        </w:rPr>
        <w:t>.</w:t>
      </w:r>
      <w:r>
        <w:rPr>
          <w:snapToGrid w:val="0"/>
        </w:rPr>
        <w:tab/>
        <w:t>Permitted hours generally</w:t>
      </w:r>
      <w:bookmarkEnd w:id="284"/>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Division;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Ednotesubsection"/>
      </w:pPr>
      <w:r>
        <w:tab/>
        <w:t>[(2)</w:t>
      </w:r>
      <w:r>
        <w:tab/>
        <w:t>deleted]</w:t>
      </w:r>
    </w:p>
    <w:p>
      <w:pPr>
        <w:pStyle w:val="Footnotesection"/>
        <w:keepLines w:val="0"/>
      </w:pPr>
      <w:r>
        <w:tab/>
        <w:t xml:space="preserve">[Section 97 amended by No. 12 of 1998 s. 68; No. 35 of 2003 s. 173(4); No. 73 of 2006 s. 67.] </w:t>
      </w:r>
    </w:p>
    <w:p>
      <w:pPr>
        <w:pStyle w:val="Heading5"/>
      </w:pPr>
      <w:bookmarkStart w:id="285" w:name="_Toc522197334"/>
      <w:r>
        <w:rPr>
          <w:rStyle w:val="CharSectno"/>
        </w:rPr>
        <w:t>98</w:t>
      </w:r>
      <w:r>
        <w:t>.</w:t>
      </w:r>
      <w:r>
        <w:tab/>
        <w:t>Hotel licence, permitted hours under</w:t>
      </w:r>
      <w:bookmarkEnd w:id="285"/>
    </w:p>
    <w:p>
      <w:pPr>
        <w:pStyle w:val="Subsection"/>
      </w:pPr>
      <w:r>
        <w:tab/>
        <w:t>(1)</w:t>
      </w:r>
      <w:r>
        <w:tab/>
        <w:t xml:space="preserve">The permitted hours under a hotel licence are — </w:t>
      </w:r>
    </w:p>
    <w:p>
      <w:pPr>
        <w:pStyle w:val="Indenta"/>
      </w:pPr>
      <w:r>
        <w:tab/>
        <w:t>(a)</w:t>
      </w:r>
      <w:r>
        <w:tab/>
        <w:t>on a day other than a Sunday — from 6 a.m. to 12 midnight;</w:t>
      </w:r>
    </w:p>
    <w:p>
      <w:pPr>
        <w:pStyle w:val="Indenta"/>
      </w:pPr>
      <w:r>
        <w:tab/>
        <w:t>(b)</w:t>
      </w:r>
      <w:r>
        <w:tab/>
        <w:t>on a Sunday — from 10 a.m. to 12 midnight;</w:t>
      </w:r>
    </w:p>
    <w:p>
      <w:pPr>
        <w:pStyle w:val="Ednotepara"/>
        <w:spacing w:before="80"/>
      </w:pPr>
      <w:r>
        <w:tab/>
        <w:t>[(c)</w:t>
      </w:r>
      <w:r>
        <w:tab/>
        <w:t>deleted]</w:t>
      </w:r>
    </w:p>
    <w:p>
      <w:pPr>
        <w:pStyle w:val="Indenta"/>
      </w:pPr>
      <w:r>
        <w:tab/>
        <w:t>(d)</w:t>
      </w:r>
      <w:r>
        <w:tab/>
        <w:t>on New Year’s Day — from immediately after 12 midnight on New Year’s Eve to 2 am and then in accordance with paragraph (a) or (b), as the case requires;</w:t>
      </w:r>
    </w:p>
    <w:p>
      <w:pPr>
        <w:pStyle w:val="Indenta"/>
      </w:pPr>
      <w:r>
        <w:tab/>
        <w:t>(e)</w:t>
      </w:r>
      <w:r>
        <w:tab/>
        <w:t>on Good Friday or Christmas Day — from 12 noon to 10 p.m., but only for liquor sold ancillary to a meal supplied by the licensee;</w:t>
      </w:r>
    </w:p>
    <w:p>
      <w:pPr>
        <w:pStyle w:val="Indenta"/>
      </w:pPr>
      <w:r>
        <w:tab/>
        <w:t>(f)</w:t>
      </w:r>
      <w:r>
        <w:tab/>
        <w:t>on ANZAC Day — from 12 noon to 12 midnight.</w:t>
      </w:r>
    </w:p>
    <w:p>
      <w:pPr>
        <w:pStyle w:val="Subsection"/>
        <w:keepNext/>
      </w:pPr>
      <w:r>
        <w:tab/>
        <w:t>(2)</w:t>
      </w:r>
      <w:r>
        <w:tab/>
        <w:t>The permitted hours under a hotel licence for the sale of liquor to a lodger are unrestricted.</w:t>
      </w:r>
    </w:p>
    <w:p>
      <w:pPr>
        <w:pStyle w:val="Footnotesection"/>
        <w:keepLines w:val="0"/>
        <w:ind w:left="890" w:hanging="890"/>
      </w:pPr>
      <w:r>
        <w:tab/>
        <w:t>[Section 98 inserted by No. 73 of 2006 s. 68; amended by No. 35 of 2015 s. 12; No. 9 of 2018 s. 47.]</w:t>
      </w:r>
    </w:p>
    <w:p>
      <w:pPr>
        <w:pStyle w:val="Heading5"/>
      </w:pPr>
      <w:bookmarkStart w:id="286" w:name="_Toc522197335"/>
      <w:r>
        <w:rPr>
          <w:rStyle w:val="CharSectno"/>
        </w:rPr>
        <w:t>98AA</w:t>
      </w:r>
      <w:r>
        <w:t>.</w:t>
      </w:r>
      <w:r>
        <w:tab/>
        <w:t>Permitted hours under small bar licence</w:t>
      </w:r>
      <w:bookmarkEnd w:id="286"/>
    </w:p>
    <w:p>
      <w:pPr>
        <w:pStyle w:val="Subsection"/>
      </w:pPr>
      <w:r>
        <w:tab/>
      </w:r>
      <w:r>
        <w:tab/>
        <w:t xml:space="preserve">The permitted hours under a small bar licence are — </w:t>
      </w:r>
    </w:p>
    <w:p>
      <w:pPr>
        <w:pStyle w:val="Indenta"/>
      </w:pPr>
      <w:r>
        <w:tab/>
        <w:t>(a)</w:t>
      </w:r>
      <w:r>
        <w:tab/>
        <w:t>on a day other than a Sunday — from 6 am to 12 midnight;</w:t>
      </w:r>
    </w:p>
    <w:p>
      <w:pPr>
        <w:pStyle w:val="Indenta"/>
      </w:pPr>
      <w:r>
        <w:tab/>
        <w:t>(b)</w:t>
      </w:r>
      <w:r>
        <w:tab/>
        <w:t>on a Sunday — from 10 am to 12 midnight;</w:t>
      </w:r>
    </w:p>
    <w:p>
      <w:pPr>
        <w:pStyle w:val="Indenta"/>
      </w:pPr>
      <w:r>
        <w:tab/>
        <w:t>(c)</w:t>
      </w:r>
      <w:r>
        <w:tab/>
        <w:t>on New Year’s Day — from immediately after 12 midnight on New Year’s Eve to 2 am and then in accordance with paragraph (a) or (b), as the case requires;</w:t>
      </w:r>
    </w:p>
    <w:p>
      <w:pPr>
        <w:pStyle w:val="Indenta"/>
      </w:pPr>
      <w:r>
        <w:tab/>
        <w:t>(d)</w:t>
      </w:r>
      <w:r>
        <w:tab/>
        <w:t>on Good Friday or Christmas Day — from 12 noon to 10 pm, but only for liquor sold ancillary to a meal supplied by the licensee;</w:t>
      </w:r>
    </w:p>
    <w:p>
      <w:pPr>
        <w:pStyle w:val="Indenta"/>
      </w:pPr>
      <w:r>
        <w:tab/>
        <w:t>(e)</w:t>
      </w:r>
      <w:r>
        <w:tab/>
        <w:t>on ANZAC Day — from 12 noon to 12 midnight.</w:t>
      </w:r>
    </w:p>
    <w:p>
      <w:pPr>
        <w:pStyle w:val="Footnotesection"/>
        <w:keepLines w:val="0"/>
        <w:ind w:left="890" w:hanging="890"/>
      </w:pPr>
      <w:r>
        <w:tab/>
        <w:t>[Section 98AA inserted by No. 9 of 2018 s. 48.]</w:t>
      </w:r>
    </w:p>
    <w:p>
      <w:pPr>
        <w:pStyle w:val="Heading5"/>
      </w:pPr>
      <w:bookmarkStart w:id="287" w:name="_Toc522197336"/>
      <w:r>
        <w:rPr>
          <w:rStyle w:val="CharSectno"/>
        </w:rPr>
        <w:t>98A</w:t>
      </w:r>
      <w:r>
        <w:t>.</w:t>
      </w:r>
      <w:r>
        <w:tab/>
        <w:t>Nightclub licence, permitted hours under</w:t>
      </w:r>
      <w:bookmarkEnd w:id="287"/>
    </w:p>
    <w:p>
      <w:pPr>
        <w:pStyle w:val="Subsection"/>
      </w:pPr>
      <w:r>
        <w:tab/>
        <w:t>(1)</w:t>
      </w:r>
      <w:r>
        <w:tab/>
        <w:t xml:space="preserve">The permitted hours under a nightclub licence are — </w:t>
      </w:r>
    </w:p>
    <w:p>
      <w:pPr>
        <w:pStyle w:val="Indenta"/>
      </w:pPr>
      <w:r>
        <w:tab/>
        <w:t>(a)</w:t>
      </w:r>
      <w:r>
        <w:tab/>
        <w:t>on a day other than a Sunday — from 6 p.m. to 12 midnight and then continuing to 5 a.m. on the next day;</w:t>
      </w:r>
    </w:p>
    <w:p>
      <w:pPr>
        <w:pStyle w:val="Ednotepara"/>
        <w:spacing w:before="80"/>
      </w:pPr>
      <w:r>
        <w:tab/>
        <w:t>[(b)</w:t>
      </w:r>
      <w:r>
        <w:tab/>
        <w:t>deleted]</w:t>
      </w:r>
    </w:p>
    <w:p>
      <w:pPr>
        <w:pStyle w:val="Indenta"/>
      </w:pPr>
      <w:r>
        <w:tab/>
        <w:t>(c)</w:t>
      </w:r>
      <w:r>
        <w:tab/>
        <w:t>on a Sunday that is not New Year’s Eve — from 8 p.m. to midnight and then continuing to 2 a.m. on the next day;</w:t>
      </w:r>
    </w:p>
    <w:p>
      <w:pPr>
        <w:pStyle w:val="Indenta"/>
      </w:pPr>
      <w:r>
        <w:tab/>
        <w:t>(d)</w:t>
      </w:r>
      <w:r>
        <w:tab/>
        <w:t>on a Sunday that is New Year’s Eve — from 8 p.m. to midnight and then continuing to 5 a.m. on the next day;</w:t>
      </w:r>
    </w:p>
    <w:p>
      <w:pPr>
        <w:pStyle w:val="Indenta"/>
      </w:pPr>
      <w:r>
        <w:tab/>
        <w:t>(e)</w:t>
      </w:r>
      <w:r>
        <w:tab/>
        <w:t>on Good Friday — from immediately after 12 midnight on the previous day to 3 a.m., and there are no further permitted hours before 6 p.m. on the following day;</w:t>
      </w:r>
    </w:p>
    <w:p>
      <w:pPr>
        <w:pStyle w:val="Indenta"/>
      </w:pPr>
      <w:r>
        <w:tab/>
        <w:t>(f)</w:t>
      </w:r>
      <w:r>
        <w:tab/>
        <w:t xml:space="preserve">on Christmas Day — subject to subsection (2), from immediately after 12 midnight on the previous day to 3 a.m., and there are no further permitted hours — </w:t>
      </w:r>
    </w:p>
    <w:p>
      <w:pPr>
        <w:pStyle w:val="Indenti"/>
      </w:pPr>
      <w:r>
        <w:tab/>
        <w:t>(i)</w:t>
      </w:r>
      <w:r>
        <w:tab/>
        <w:t>before 6 p.m. on the following day; or</w:t>
      </w:r>
    </w:p>
    <w:p>
      <w:pPr>
        <w:pStyle w:val="Indenti"/>
      </w:pPr>
      <w:r>
        <w:tab/>
        <w:t>(ii)</w:t>
      </w:r>
      <w:r>
        <w:tab/>
        <w:t>if the following day is a Sunday — before 8 p.m. on the following day;</w:t>
      </w:r>
    </w:p>
    <w:p>
      <w:pPr>
        <w:pStyle w:val="Indenta"/>
      </w:pPr>
      <w:r>
        <w:tab/>
        <w:t>(g)</w:t>
      </w:r>
      <w:r>
        <w:tab/>
        <w:t>on ANZAC Day — from immediately after 12 midnight on the previous day to 3 a.m. and then in accordance with paragraph (a) or (c), as the case requires.</w:t>
      </w:r>
    </w:p>
    <w:p>
      <w:pPr>
        <w:pStyle w:val="Subsection"/>
      </w:pPr>
      <w:r>
        <w:tab/>
        <w:t>(2)</w:t>
      </w:r>
      <w:r>
        <w:tab/>
        <w:t xml:space="preserve">If Christmas Day falls on a Monday — </w:t>
      </w:r>
    </w:p>
    <w:p>
      <w:pPr>
        <w:pStyle w:val="Indenta"/>
      </w:pPr>
      <w:r>
        <w:tab/>
        <w:t>(a)</w:t>
      </w:r>
      <w:r>
        <w:tab/>
        <w:t>the permitted hours under a nightclub licence on that day are from immediately after 12 midnight on the previous day to 2 a.m.; and</w:t>
      </w:r>
    </w:p>
    <w:p>
      <w:pPr>
        <w:pStyle w:val="Indenta"/>
        <w:keepNext/>
      </w:pPr>
      <w:r>
        <w:tab/>
        <w:t>(b)</w:t>
      </w:r>
      <w:r>
        <w:tab/>
        <w:t>there are no further permitted hours before 6 p.m. on the following day.</w:t>
      </w:r>
    </w:p>
    <w:p>
      <w:pPr>
        <w:pStyle w:val="Footnotesection"/>
        <w:spacing w:before="80"/>
        <w:ind w:left="890" w:hanging="890"/>
      </w:pPr>
      <w:r>
        <w:tab/>
        <w:t>[Section 98A inserted by No. 73 of 2006 s. 68; amended by No. 56 of 2010 s. 48; No. 35 of 2015 s. 13; No. 9 of 2018 s. 49.]</w:t>
      </w:r>
    </w:p>
    <w:p>
      <w:pPr>
        <w:pStyle w:val="Heading5"/>
      </w:pPr>
      <w:bookmarkStart w:id="288" w:name="_Toc522197337"/>
      <w:r>
        <w:rPr>
          <w:rStyle w:val="CharSectno"/>
        </w:rPr>
        <w:t>98B</w:t>
      </w:r>
      <w:r>
        <w:t>.</w:t>
      </w:r>
      <w:r>
        <w:tab/>
        <w:t>Casino liquor licence, permitted hours under</w:t>
      </w:r>
      <w:bookmarkEnd w:id="288"/>
    </w:p>
    <w:p>
      <w:pPr>
        <w:pStyle w:val="Subsection"/>
      </w:pPr>
      <w:r>
        <w:tab/>
        <w:t>(1)</w:t>
      </w:r>
      <w:r>
        <w:tab/>
        <w:t>The permitted hours under a casino liquor licence are as permitted by the Gaming and Wagering Commission by notice in writing given to the licensee.</w:t>
      </w:r>
    </w:p>
    <w:p>
      <w:pPr>
        <w:pStyle w:val="Subsection"/>
      </w:pPr>
      <w:r>
        <w:tab/>
        <w:t>(2)</w:t>
      </w:r>
      <w:r>
        <w:tab/>
        <w:t>The Gaming and Wagering Commission is to lodge a copy of a notice under subsection (1) with the Director.</w:t>
      </w:r>
    </w:p>
    <w:p>
      <w:pPr>
        <w:pStyle w:val="Footnotesection"/>
      </w:pPr>
      <w:r>
        <w:tab/>
        <w:t>[Section 98B inserted by No. 73 of 2006 s. 68.]</w:t>
      </w:r>
    </w:p>
    <w:p>
      <w:pPr>
        <w:pStyle w:val="Heading5"/>
      </w:pPr>
      <w:bookmarkStart w:id="289" w:name="_Toc522197338"/>
      <w:r>
        <w:rPr>
          <w:rStyle w:val="CharSectno"/>
        </w:rPr>
        <w:t>98C</w:t>
      </w:r>
      <w:r>
        <w:t>.</w:t>
      </w:r>
      <w:r>
        <w:tab/>
        <w:t>Special facility licence, permitted hours under</w:t>
      </w:r>
      <w:bookmarkEnd w:id="289"/>
    </w:p>
    <w:p>
      <w:pPr>
        <w:pStyle w:val="Subsection"/>
      </w:pPr>
      <w:r>
        <w:tab/>
      </w:r>
      <w:r>
        <w:tab/>
        <w:t>The permitted hours under a special facility licence are as specified in the particular licence.</w:t>
      </w:r>
    </w:p>
    <w:p>
      <w:pPr>
        <w:pStyle w:val="Footnotesection"/>
      </w:pPr>
      <w:r>
        <w:tab/>
        <w:t>[Section 98C inserted by No. 73 of 2006 s. 68.]</w:t>
      </w:r>
    </w:p>
    <w:p>
      <w:pPr>
        <w:pStyle w:val="Heading5"/>
      </w:pPr>
      <w:bookmarkStart w:id="290" w:name="_Toc522197339"/>
      <w:r>
        <w:rPr>
          <w:rStyle w:val="CharSectno"/>
        </w:rPr>
        <w:t>98D</w:t>
      </w:r>
      <w:r>
        <w:t>.</w:t>
      </w:r>
      <w:r>
        <w:tab/>
        <w:t>Liquor store licence, permitted hours under</w:t>
      </w:r>
      <w:bookmarkEnd w:id="290"/>
    </w:p>
    <w:p>
      <w:pPr>
        <w:pStyle w:val="Subsection"/>
      </w:pPr>
      <w:r>
        <w:tab/>
        <w:t>(1)</w:t>
      </w:r>
      <w:r>
        <w:tab/>
        <w:t xml:space="preserve">The permitted hours under a liquor store licence are — </w:t>
      </w:r>
    </w:p>
    <w:p>
      <w:pPr>
        <w:pStyle w:val="Indenta"/>
      </w:pPr>
      <w:r>
        <w:tab/>
        <w:t>(a)</w:t>
      </w:r>
      <w:r>
        <w:tab/>
        <w:t>on a day other than a Sunday, Good Friday, Christmas Day or ANZAC Day — from 8 a.m. to 10 p.m.;</w:t>
      </w:r>
    </w:p>
    <w:p>
      <w:pPr>
        <w:pStyle w:val="Indenta"/>
      </w:pPr>
      <w:r>
        <w:tab/>
        <w:t>(b)</w:t>
      </w:r>
      <w:r>
        <w:tab/>
        <w:t>on a Sunday that is not ANZAC Day — subject to subsection (2), from 10 a.m. to 10 p.m.;</w:t>
      </w:r>
    </w:p>
    <w:p>
      <w:pPr>
        <w:pStyle w:val="Indenta"/>
      </w:pPr>
      <w:r>
        <w:tab/>
        <w:t>(c)</w:t>
      </w:r>
      <w:r>
        <w:tab/>
        <w:t>on ANZAC Day — from 12 noon to 10 p.m.</w:t>
      </w:r>
    </w:p>
    <w:p>
      <w:pPr>
        <w:pStyle w:val="Subsection"/>
      </w:pPr>
      <w:r>
        <w:tab/>
        <w:t>(2)</w:t>
      </w:r>
      <w:r>
        <w:tab/>
        <w:t>Subsection (1)(b) applies only to liquor stores in the metropolitan area.</w:t>
      </w:r>
    </w:p>
    <w:p>
      <w:pPr>
        <w:pStyle w:val="Subsection"/>
      </w:pPr>
      <w:r>
        <w:tab/>
        <w:t>(3)</w:t>
      </w:r>
      <w:r>
        <w:tab/>
        <w:t>There are no permitted hours under a liquor store licence on Good Friday or Christmas Day.</w:t>
      </w:r>
    </w:p>
    <w:p>
      <w:pPr>
        <w:pStyle w:val="Footnotesection"/>
      </w:pPr>
      <w:r>
        <w:tab/>
        <w:t>[Section 98D inserted by No. 73 of 2006 s. 68.]</w:t>
      </w:r>
    </w:p>
    <w:p>
      <w:pPr>
        <w:pStyle w:val="Heading5"/>
      </w:pPr>
      <w:bookmarkStart w:id="291" w:name="_Toc522197340"/>
      <w:r>
        <w:rPr>
          <w:rStyle w:val="CharSectno"/>
        </w:rPr>
        <w:t>98E</w:t>
      </w:r>
      <w:r>
        <w:t>.</w:t>
      </w:r>
      <w:r>
        <w:tab/>
        <w:t>Club licence and club restricted licence, permitted hours under</w:t>
      </w:r>
      <w:bookmarkEnd w:id="291"/>
    </w:p>
    <w:p>
      <w:pPr>
        <w:pStyle w:val="Subsection"/>
      </w:pPr>
      <w:r>
        <w:tab/>
        <w:t>(1)</w:t>
      </w:r>
      <w:r>
        <w:tab/>
        <w:t xml:space="preserve">The permitted hours under a club licence (other than a club restricted licence), excluding Good Friday, Christmas Day or ANZAC Day, are — </w:t>
      </w:r>
    </w:p>
    <w:p>
      <w:pPr>
        <w:pStyle w:val="Indenta"/>
      </w:pPr>
      <w:r>
        <w:tab/>
        <w:t>(a)</w:t>
      </w:r>
      <w:r>
        <w:tab/>
        <w:t xml:space="preserve">on a day other than a Sunday — </w:t>
      </w:r>
    </w:p>
    <w:p>
      <w:pPr>
        <w:pStyle w:val="Indenti"/>
      </w:pPr>
      <w:r>
        <w:tab/>
        <w:t>(i)</w:t>
      </w:r>
      <w:r>
        <w:tab/>
        <w:t>from 6 a.m. to 12 midnight; and</w:t>
      </w:r>
    </w:p>
    <w:p>
      <w:pPr>
        <w:pStyle w:val="Indenti"/>
      </w:pPr>
      <w:r>
        <w:tab/>
        <w:t>(ii)</w:t>
      </w:r>
      <w:r>
        <w:tab/>
        <w:t>then continuing, if the following day is other than a Sunday or New Year’s Day, to 12.30 a.m., but only for liquor sold ancillary to a meal supplied by or on behalf of the licensee;</w:t>
      </w:r>
    </w:p>
    <w:p>
      <w:pPr>
        <w:pStyle w:val="Indenta"/>
      </w:pPr>
      <w:r>
        <w:tab/>
        <w:t>(b)</w:t>
      </w:r>
      <w:r>
        <w:tab/>
        <w:t xml:space="preserve">on a Sunday that is not New Year’s Eve — </w:t>
      </w:r>
    </w:p>
    <w:p>
      <w:pPr>
        <w:pStyle w:val="Indenti"/>
      </w:pPr>
      <w:r>
        <w:tab/>
        <w:t>(i)</w:t>
      </w:r>
      <w:r>
        <w:tab/>
        <w:t>from immediately after 12 midnight on the previous day to 1 a.m.; and</w:t>
      </w:r>
    </w:p>
    <w:p>
      <w:pPr>
        <w:pStyle w:val="Indenti"/>
      </w:pPr>
      <w:r>
        <w:tab/>
        <w:t>(ii)</w:t>
      </w:r>
      <w:r>
        <w:tab/>
        <w:t>from 10 a.m. to 10 p.m.;</w:t>
      </w:r>
    </w:p>
    <w:p>
      <w:pPr>
        <w:pStyle w:val="Indenta"/>
      </w:pPr>
      <w:r>
        <w:tab/>
        <w:t>(c)</w:t>
      </w:r>
      <w:r>
        <w:tab/>
        <w:t xml:space="preserve">on a Sunday that is New Year’s Eve — </w:t>
      </w:r>
    </w:p>
    <w:p>
      <w:pPr>
        <w:pStyle w:val="Indenti"/>
      </w:pPr>
      <w:r>
        <w:tab/>
        <w:t>(i)</w:t>
      </w:r>
      <w:r>
        <w:tab/>
        <w:t>from immediately after 12 midnight on the previous day to 1 a.m.; and</w:t>
      </w:r>
    </w:p>
    <w:p>
      <w:pPr>
        <w:pStyle w:val="Indenti"/>
      </w:pPr>
      <w:r>
        <w:tab/>
        <w:t>(ii)</w:t>
      </w:r>
      <w:r>
        <w:tab/>
        <w:t>from 10 a.m. to 12 midnight;</w:t>
      </w:r>
    </w:p>
    <w:p>
      <w:pPr>
        <w:pStyle w:val="Indenta"/>
      </w:pPr>
      <w:r>
        <w:tab/>
        <w:t>(d)</w:t>
      </w:r>
      <w:r>
        <w:tab/>
        <w:t>on New Year’s Day — from immediately after 12 midnight on the previous day to 2 a.m. and then in accordance with paragraph (a) or (b)(ii), as the case requires.</w:t>
      </w:r>
    </w:p>
    <w:p>
      <w:pPr>
        <w:pStyle w:val="Subsection"/>
      </w:pPr>
      <w:r>
        <w:tab/>
        <w:t>(2)</w:t>
      </w:r>
      <w:r>
        <w:tab/>
        <w:t xml:space="preserve">The permitted hours under a club licence (other than a club restricted licence) on Good Friday, Christmas Day and ANZAC Day are — </w:t>
      </w:r>
    </w:p>
    <w:p>
      <w:pPr>
        <w:pStyle w:val="Indenta"/>
      </w:pPr>
      <w:r>
        <w:tab/>
        <w:t>(a)</w:t>
      </w:r>
      <w:r>
        <w:tab/>
        <w:t>on Good Friday — from immediately after 12 midnight on the previous day to 12.30 a.m., but only for liquor sold ancillary to a meal supplied by or on behalf of the licensee;</w:t>
      </w:r>
    </w:p>
    <w:p>
      <w:pPr>
        <w:pStyle w:val="Indenta"/>
      </w:pPr>
      <w:r>
        <w:tab/>
        <w:t>(b)</w:t>
      </w:r>
      <w:r>
        <w:tab/>
        <w:t xml:space="preserve">on Christmas Day — </w:t>
      </w:r>
    </w:p>
    <w:p>
      <w:pPr>
        <w:pStyle w:val="Indenti"/>
      </w:pPr>
      <w:r>
        <w:tab/>
        <w:t>(i)</w:t>
      </w:r>
      <w:r>
        <w:tab/>
        <w:t>from immediately after 12 midnight on the previous day to 12.30 a.m.; and</w:t>
      </w:r>
    </w:p>
    <w:p>
      <w:pPr>
        <w:pStyle w:val="Indenti"/>
        <w:keepNext/>
      </w:pPr>
      <w:r>
        <w:tab/>
        <w:t>(ii)</w:t>
      </w:r>
      <w:r>
        <w:tab/>
        <w:t>from 12 noon to 10 p.m.,</w:t>
      </w:r>
    </w:p>
    <w:p>
      <w:pPr>
        <w:pStyle w:val="Indenta"/>
      </w:pPr>
      <w:r>
        <w:tab/>
      </w:r>
      <w:r>
        <w:tab/>
        <w:t>but only for liquor sold ancillary to a meal supplied by or on behalf of the licensee;</w:t>
      </w:r>
    </w:p>
    <w:p>
      <w:pPr>
        <w:pStyle w:val="Indenta"/>
      </w:pPr>
      <w:r>
        <w:tab/>
        <w:t>(c)</w:t>
      </w:r>
      <w:r>
        <w:tab/>
        <w:t xml:space="preserve">on ANZAC Day — </w:t>
      </w:r>
    </w:p>
    <w:p>
      <w:pPr>
        <w:pStyle w:val="Indenti"/>
      </w:pPr>
      <w:r>
        <w:tab/>
        <w:t>(i)</w:t>
      </w:r>
      <w:r>
        <w:tab/>
        <w:t>that is a Sunday — from immediately after 12 midnight on the previous day to 1 a.m. and from 12 noon to 12 midnight; or</w:t>
      </w:r>
    </w:p>
    <w:p>
      <w:pPr>
        <w:pStyle w:val="Indenti"/>
      </w:pPr>
      <w:r>
        <w:tab/>
        <w:t>(ii)</w:t>
      </w:r>
      <w:r>
        <w:tab/>
        <w:t>that is not a Sunday — from 12 noon to 12 midnight.</w:t>
      </w:r>
    </w:p>
    <w:p>
      <w:pPr>
        <w:pStyle w:val="Subsection"/>
      </w:pPr>
      <w:r>
        <w:tab/>
        <w:t>(3)</w:t>
      </w:r>
      <w:r>
        <w:tab/>
        <w:t>The permitted hours under a club licence (other than a club restricted licence) for the sale of liquor to a lodger who is a member of the club are unrestricted.</w:t>
      </w:r>
    </w:p>
    <w:p>
      <w:pPr>
        <w:pStyle w:val="Subsection"/>
      </w:pPr>
      <w:r>
        <w:tab/>
        <w:t>(4)</w:t>
      </w:r>
      <w:r>
        <w:tab/>
        <w:t>The permitted hours under a club restricted licence are as specified in the particular licence.</w:t>
      </w:r>
    </w:p>
    <w:p>
      <w:pPr>
        <w:pStyle w:val="Footnotesection"/>
      </w:pPr>
      <w:r>
        <w:tab/>
        <w:t>[Section 98E inserted by No. 73 of 2006 s. 68; amended by No. 9 of 2018 s. 50.]</w:t>
      </w:r>
    </w:p>
    <w:p>
      <w:pPr>
        <w:pStyle w:val="Heading5"/>
      </w:pPr>
      <w:bookmarkStart w:id="292" w:name="_Toc522197341"/>
      <w:r>
        <w:rPr>
          <w:rStyle w:val="CharSectno"/>
        </w:rPr>
        <w:t>98F</w:t>
      </w:r>
      <w:r>
        <w:t>.</w:t>
      </w:r>
      <w:r>
        <w:tab/>
        <w:t>Restaurant licence, permitted hours under</w:t>
      </w:r>
      <w:bookmarkEnd w:id="292"/>
    </w:p>
    <w:p>
      <w:pPr>
        <w:pStyle w:val="Subsection"/>
      </w:pPr>
      <w:r>
        <w:tab/>
      </w:r>
      <w:r>
        <w:tab/>
        <w:t>The permitted hours under a restaurant licence are at any time except from 3 a.m. to 12 noon on ANZAC Day.</w:t>
      </w:r>
    </w:p>
    <w:p>
      <w:pPr>
        <w:pStyle w:val="Footnotesection"/>
      </w:pPr>
      <w:r>
        <w:tab/>
        <w:t>[Section 98F inserted by No. 73 of 2006 s. 68.]</w:t>
      </w:r>
    </w:p>
    <w:p>
      <w:pPr>
        <w:pStyle w:val="Heading5"/>
      </w:pPr>
      <w:bookmarkStart w:id="293" w:name="_Toc522197342"/>
      <w:r>
        <w:rPr>
          <w:rStyle w:val="CharSectno"/>
        </w:rPr>
        <w:t>98G</w:t>
      </w:r>
      <w:r>
        <w:t>.</w:t>
      </w:r>
      <w:r>
        <w:tab/>
        <w:t>Producer’s licence, permitted hours under</w:t>
      </w:r>
      <w:bookmarkEnd w:id="293"/>
    </w:p>
    <w:p>
      <w:pPr>
        <w:pStyle w:val="Subsection"/>
      </w:pPr>
      <w:r>
        <w:tab/>
        <w:t>(1)</w:t>
      </w:r>
      <w:r>
        <w:tab/>
        <w:t xml:space="preserve">The permitted hours under a producer’s licence are — </w:t>
      </w:r>
    </w:p>
    <w:p>
      <w:pPr>
        <w:pStyle w:val="Indenta"/>
      </w:pPr>
      <w:r>
        <w:tab/>
        <w:t>(a)</w:t>
      </w:r>
      <w:r>
        <w:tab/>
        <w:t>except as provided in subsection (2), on a day other than Good Friday, Christmas Day or ANZAC Day — at any time;</w:t>
      </w:r>
    </w:p>
    <w:p>
      <w:pPr>
        <w:pStyle w:val="Indenta"/>
      </w:pPr>
      <w:r>
        <w:tab/>
        <w:t>(b)</w:t>
      </w:r>
      <w:r>
        <w:tab/>
        <w:t>on Good Friday or Christmas Day — from 12 noon to 10 p.m., but only for liquor sold ancillary to a meal supplied by the licensee;</w:t>
      </w:r>
    </w:p>
    <w:p>
      <w:pPr>
        <w:pStyle w:val="Indenta"/>
      </w:pPr>
      <w:r>
        <w:tab/>
        <w:t>(c)</w:t>
      </w:r>
      <w:r>
        <w:tab/>
        <w:t>on ANZAC Day — from 12 noon to 12 midnight.</w:t>
      </w:r>
    </w:p>
    <w:p>
      <w:pPr>
        <w:pStyle w:val="Subsection"/>
      </w:pPr>
      <w:r>
        <w:tab/>
        <w:t>(2)</w:t>
      </w:r>
      <w:r>
        <w:tab/>
        <w:t>For the purposes of section 55(1)(a), the permitted hours in relation to the sale or supply of beer or spirits on a day other than Good Friday, Christmas Day or ANZAC Day are from 10 am to 10 pm.</w:t>
      </w:r>
    </w:p>
    <w:p>
      <w:pPr>
        <w:pStyle w:val="Footnotesection"/>
      </w:pPr>
      <w:r>
        <w:tab/>
        <w:t>[Section 98G inserted by No. 73 of 2006 s. 68; amended by No. 35 of 2015 s. 14; No. 9 of 2018 s. 51.]</w:t>
      </w:r>
    </w:p>
    <w:p>
      <w:pPr>
        <w:pStyle w:val="Heading5"/>
        <w:spacing w:before="240"/>
      </w:pPr>
      <w:bookmarkStart w:id="294" w:name="_Toc522197343"/>
      <w:r>
        <w:rPr>
          <w:rStyle w:val="CharSectno"/>
        </w:rPr>
        <w:t>98H</w:t>
      </w:r>
      <w:r>
        <w:t>.</w:t>
      </w:r>
      <w:r>
        <w:tab/>
        <w:t>Wholesaler’s licence, permitted hours under</w:t>
      </w:r>
      <w:bookmarkEnd w:id="294"/>
    </w:p>
    <w:p>
      <w:pPr>
        <w:pStyle w:val="Subsection"/>
      </w:pPr>
      <w:r>
        <w:tab/>
        <w:t>(1)</w:t>
      </w:r>
      <w:r>
        <w:tab/>
        <w:t xml:space="preserve">The permitted hours under a wholesaler’s licence are — </w:t>
      </w:r>
    </w:p>
    <w:p>
      <w:pPr>
        <w:pStyle w:val="Indenta"/>
      </w:pPr>
      <w:r>
        <w:tab/>
        <w:t>(a)</w:t>
      </w:r>
      <w:r>
        <w:tab/>
        <w:t>on a day other than Good Friday, Christmas Day or ANZAC Day — at any time;</w:t>
      </w:r>
    </w:p>
    <w:p>
      <w:pPr>
        <w:pStyle w:val="Indenta"/>
      </w:pPr>
      <w:r>
        <w:tab/>
        <w:t>(b)</w:t>
      </w:r>
      <w:r>
        <w:tab/>
        <w:t>on ANZAC Day — from 12 noon to 12 midnight.</w:t>
      </w:r>
    </w:p>
    <w:p>
      <w:pPr>
        <w:pStyle w:val="Subsection"/>
      </w:pPr>
      <w:r>
        <w:tab/>
        <w:t>(2)</w:t>
      </w:r>
      <w:r>
        <w:tab/>
        <w:t>There are no permitted hours under a wholesaler’s licence on Good Friday and Christmas Day.</w:t>
      </w:r>
    </w:p>
    <w:p>
      <w:pPr>
        <w:pStyle w:val="Footnotesection"/>
      </w:pPr>
      <w:r>
        <w:tab/>
        <w:t>[Section 98H inserted by No. 73 of 2006 s. 68.]</w:t>
      </w:r>
    </w:p>
    <w:p>
      <w:pPr>
        <w:pStyle w:val="Heading3"/>
        <w:rPr>
          <w:snapToGrid w:val="0"/>
        </w:rPr>
      </w:pPr>
      <w:bookmarkStart w:id="295" w:name="_Toc471906819"/>
      <w:bookmarkStart w:id="296" w:name="_Toc472001736"/>
      <w:bookmarkStart w:id="297" w:name="_Toc472676764"/>
      <w:bookmarkStart w:id="298" w:name="_Toc472682149"/>
      <w:bookmarkStart w:id="299" w:name="_Toc473119290"/>
      <w:bookmarkStart w:id="300" w:name="_Toc522197344"/>
      <w:r>
        <w:rPr>
          <w:rStyle w:val="CharDivNo"/>
        </w:rPr>
        <w:t>Division 2</w:t>
      </w:r>
      <w:r>
        <w:rPr>
          <w:snapToGrid w:val="0"/>
        </w:rPr>
        <w:t> — </w:t>
      </w:r>
      <w:r>
        <w:rPr>
          <w:rStyle w:val="CharDivText"/>
        </w:rPr>
        <w:t>Maintenance of the premises</w:t>
      </w:r>
      <w:bookmarkEnd w:id="295"/>
      <w:bookmarkEnd w:id="296"/>
      <w:bookmarkEnd w:id="297"/>
      <w:bookmarkEnd w:id="298"/>
      <w:bookmarkEnd w:id="299"/>
      <w:bookmarkEnd w:id="300"/>
      <w:r>
        <w:rPr>
          <w:rStyle w:val="CharDivText"/>
        </w:rPr>
        <w:t xml:space="preserve"> </w:t>
      </w:r>
    </w:p>
    <w:p>
      <w:pPr>
        <w:pStyle w:val="Heading5"/>
        <w:spacing w:before="240"/>
        <w:rPr>
          <w:snapToGrid w:val="0"/>
        </w:rPr>
      </w:pPr>
      <w:bookmarkStart w:id="301" w:name="_Toc522197345"/>
      <w:r>
        <w:rPr>
          <w:rStyle w:val="CharSectno"/>
        </w:rPr>
        <w:t>99</w:t>
      </w:r>
      <w:r>
        <w:rPr>
          <w:snapToGrid w:val="0"/>
        </w:rPr>
        <w:t>.</w:t>
      </w:r>
      <w:r>
        <w:rPr>
          <w:snapToGrid w:val="0"/>
        </w:rPr>
        <w:tab/>
        <w:t>Duty to keep premises clean and in good repair; powers to enforce duty and require alterations</w:t>
      </w:r>
      <w:bookmarkEnd w:id="301"/>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keepNext/>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rPr>
          <w:snapToGrid w:val="0"/>
        </w:rPr>
      </w:pPr>
      <w:r>
        <w:rPr>
          <w:snapToGrid w:val="0"/>
        </w:rPr>
        <w:tab/>
        <w:t>(3)</w:t>
      </w:r>
      <w:r>
        <w:rPr>
          <w:snapToGrid w:val="0"/>
        </w:rPr>
        <w:tab/>
        <w:t>Where the Director determines that in the public interest — </w:t>
      </w:r>
    </w:p>
    <w:p>
      <w:pPr>
        <w:pStyle w:val="Indenta"/>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tab/>
        <w:t>[(4)</w:t>
      </w:r>
      <w:r>
        <w:tab/>
        <w:t>deleted]</w:t>
      </w:r>
    </w:p>
    <w:p>
      <w:pPr>
        <w:pStyle w:val="Subsection"/>
        <w:rPr>
          <w:snapToGrid w:val="0"/>
        </w:rPr>
      </w:pPr>
      <w:r>
        <w:rPr>
          <w:snapToGrid w:val="0"/>
        </w:rPr>
        <w:tab/>
        <w:t>(5)</w:t>
      </w:r>
      <w:r>
        <w:rPr>
          <w:snapToGrid w:val="0"/>
        </w:rPr>
        <w:tab/>
        <w:t xml:space="preserve">In subsections (2) and (3), </w:t>
      </w:r>
      <w:r>
        <w:rPr>
          <w:rStyle w:val="CharDefText"/>
        </w:rPr>
        <w:t>specified</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 xml:space="preserve">Where an owner or licensee fails to comply with a requirement made under subsection (2) or (3) within the time limited in that requirement, the Director may determine that a monetary penalty, not exceeding </w:t>
      </w:r>
      <w:r>
        <w:t xml:space="preserve">$1 000 </w:t>
      </w:r>
      <w:r>
        <w:rPr>
          <w:snapToGrid w:val="0"/>
        </w:rPr>
        <w:t>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by No. 12 of 1998 s. 70(1) to (4); No. 56 of 2010 s. 49.] </w:t>
      </w:r>
    </w:p>
    <w:p>
      <w:pPr>
        <w:pStyle w:val="Heading3"/>
        <w:keepLines/>
        <w:spacing w:before="180"/>
        <w:rPr>
          <w:snapToGrid w:val="0"/>
        </w:rPr>
      </w:pPr>
      <w:bookmarkStart w:id="302" w:name="_Toc471906821"/>
      <w:bookmarkStart w:id="303" w:name="_Toc472001738"/>
      <w:bookmarkStart w:id="304" w:name="_Toc472676766"/>
      <w:bookmarkStart w:id="305" w:name="_Toc472682151"/>
      <w:bookmarkStart w:id="306" w:name="_Toc473119292"/>
      <w:bookmarkStart w:id="307" w:name="_Toc522197346"/>
      <w:r>
        <w:rPr>
          <w:rStyle w:val="CharDivNo"/>
        </w:rPr>
        <w:t>Division 3</w:t>
      </w:r>
      <w:r>
        <w:rPr>
          <w:snapToGrid w:val="0"/>
        </w:rPr>
        <w:t> — </w:t>
      </w:r>
      <w:r>
        <w:rPr>
          <w:rStyle w:val="CharDivText"/>
        </w:rPr>
        <w:t>Supervision and management</w:t>
      </w:r>
      <w:bookmarkEnd w:id="302"/>
      <w:bookmarkEnd w:id="303"/>
      <w:bookmarkEnd w:id="304"/>
      <w:bookmarkEnd w:id="305"/>
      <w:bookmarkEnd w:id="306"/>
      <w:bookmarkEnd w:id="307"/>
      <w:r>
        <w:rPr>
          <w:rStyle w:val="CharDivText"/>
        </w:rPr>
        <w:t xml:space="preserve"> </w:t>
      </w:r>
    </w:p>
    <w:p>
      <w:pPr>
        <w:pStyle w:val="Heading4"/>
        <w:keepLines/>
        <w:spacing w:before="180"/>
      </w:pPr>
      <w:bookmarkStart w:id="308" w:name="_Toc471906822"/>
      <w:bookmarkStart w:id="309" w:name="_Toc472001739"/>
      <w:bookmarkStart w:id="310" w:name="_Toc472676767"/>
      <w:bookmarkStart w:id="311" w:name="_Toc472682152"/>
      <w:bookmarkStart w:id="312" w:name="_Toc473119293"/>
      <w:bookmarkStart w:id="313" w:name="_Toc522197347"/>
      <w:r>
        <w:t>Subdivision 1 — Licensed premises to be supervised and managed</w:t>
      </w:r>
      <w:bookmarkEnd w:id="308"/>
      <w:bookmarkEnd w:id="309"/>
      <w:bookmarkEnd w:id="310"/>
      <w:bookmarkEnd w:id="311"/>
      <w:bookmarkEnd w:id="312"/>
      <w:bookmarkEnd w:id="313"/>
    </w:p>
    <w:p>
      <w:pPr>
        <w:pStyle w:val="Footnoteheading"/>
        <w:spacing w:before="100"/>
      </w:pPr>
      <w:r>
        <w:tab/>
        <w:t>[Heading inserted by No. 56 of 2010 s. 14.]</w:t>
      </w:r>
    </w:p>
    <w:p>
      <w:pPr>
        <w:pStyle w:val="Heading5"/>
        <w:spacing w:before="180"/>
        <w:rPr>
          <w:snapToGrid w:val="0"/>
        </w:rPr>
      </w:pPr>
      <w:bookmarkStart w:id="314" w:name="_Toc522197348"/>
      <w:r>
        <w:rPr>
          <w:rStyle w:val="CharSectno"/>
        </w:rPr>
        <w:t>100</w:t>
      </w:r>
      <w:r>
        <w:rPr>
          <w:snapToGrid w:val="0"/>
        </w:rPr>
        <w:t>.</w:t>
      </w:r>
      <w:r>
        <w:rPr>
          <w:snapToGrid w:val="0"/>
        </w:rPr>
        <w:tab/>
        <w:t>Licensee’s duties</w:t>
      </w:r>
      <w:bookmarkEnd w:id="314"/>
    </w:p>
    <w:p>
      <w:pPr>
        <w:pStyle w:val="Subsection"/>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rPr>
          <w:snapToGrid w:val="0"/>
        </w:rPr>
      </w:pPr>
      <w:r>
        <w:rPr>
          <w:snapToGrid w:val="0"/>
        </w:rPr>
        <w:tab/>
        <w:t>(2)</w:t>
      </w:r>
      <w:r>
        <w:rPr>
          <w:snapToGrid w:val="0"/>
        </w:rPr>
        <w:tab/>
        <w:t>The licensee shall ensure that the conduct of business at the licensed premises is personally supervised and managed — </w:t>
      </w:r>
    </w:p>
    <w:p>
      <w:pPr>
        <w:pStyle w:val="Indenta"/>
        <w:rPr>
          <w:snapToGrid w:val="0"/>
        </w:rPr>
      </w:pPr>
      <w:r>
        <w:rPr>
          <w:snapToGrid w:val="0"/>
        </w:rPr>
        <w:tab/>
        <w:t>(a)</w:t>
      </w:r>
      <w:r>
        <w:rPr>
          <w:snapToGrid w:val="0"/>
        </w:rPr>
        <w:tab/>
        <w:t>by the licensee, if there is only one licensee and that licensee is a natural</w:t>
      </w:r>
      <w:r>
        <w:t xml:space="preserve"> person; or</w:t>
      </w:r>
    </w:p>
    <w:p>
      <w:pPr>
        <w:pStyle w:val="Indenta"/>
        <w:rPr>
          <w:snapToGrid w:val="0"/>
        </w:rPr>
      </w:pPr>
      <w:r>
        <w:tab/>
        <w:t>(b)</w:t>
      </w:r>
      <w:r>
        <w:tab/>
        <w:t xml:space="preserve">by a person </w:t>
      </w:r>
      <w:r>
        <w:rPr>
          <w:snapToGrid w:val="0"/>
        </w:rPr>
        <w:t>who is —</w:t>
      </w:r>
    </w:p>
    <w:p>
      <w:pPr>
        <w:pStyle w:val="Indenti"/>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rPr>
          <w:snapToGrid w:val="0"/>
        </w:rPr>
      </w:pPr>
      <w:r>
        <w:rPr>
          <w:snapToGrid w:val="0"/>
        </w:rPr>
        <w:tab/>
      </w:r>
      <w:r>
        <w:rPr>
          <w:snapToGrid w:val="0"/>
        </w:rPr>
        <w:tab/>
        <w:t>or</w:t>
      </w:r>
    </w:p>
    <w:p>
      <w:pPr>
        <w:pStyle w:val="Indenta"/>
      </w:pPr>
      <w:r>
        <w:tab/>
        <w:t>(c)</w:t>
      </w:r>
      <w:r>
        <w:tab/>
        <w:t>a person appointed in accordance with subsection (3) to act as a temporary manager of the premises.</w:t>
      </w:r>
    </w:p>
    <w:p>
      <w:pPr>
        <w:pStyle w:val="Penstart"/>
        <w:rPr>
          <w:snapToGrid w:val="0"/>
        </w:rPr>
      </w:pPr>
      <w:r>
        <w:rPr>
          <w:snapToGrid w:val="0"/>
        </w:rPr>
        <w:tab/>
        <w:t xml:space="preserve">Penalty: </w:t>
      </w:r>
      <w:r>
        <w:t>a fine of</w:t>
      </w:r>
      <w:r>
        <w:rPr>
          <w:snapToGrid w:val="0"/>
        </w:rPr>
        <w:t xml:space="preserve"> $10 000.</w:t>
      </w:r>
    </w:p>
    <w:p>
      <w:pPr>
        <w:pStyle w:val="Subsection"/>
        <w:spacing w:before="120"/>
      </w:pPr>
      <w:r>
        <w:tab/>
        <w:t>(2a)</w:t>
      </w:r>
      <w:r>
        <w:tab/>
        <w:t>Without limiting subsection (2), the licensee is to ensure, unless the Director otherwise approves, that there is present at the licensed premises at any time when business is conducted at the premises —</w:t>
      </w:r>
    </w:p>
    <w:p>
      <w:pPr>
        <w:pStyle w:val="Indenta"/>
      </w:pPr>
      <w:r>
        <w:tab/>
        <w:t>(a)</w:t>
      </w:r>
      <w:r>
        <w:tab/>
        <w:t>a person who is —</w:t>
      </w:r>
    </w:p>
    <w:p>
      <w:pPr>
        <w:pStyle w:val="Indenti"/>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pPr>
      <w:r>
        <w:tab/>
      </w:r>
      <w:r>
        <w:tab/>
        <w:t>or</w:t>
      </w:r>
    </w:p>
    <w:p>
      <w:pPr>
        <w:pStyle w:val="Indenta"/>
      </w:pPr>
      <w:r>
        <w:tab/>
        <w:t>(b)</w:t>
      </w:r>
      <w:r>
        <w:tab/>
        <w:t>a person appointed in accordance with subsection (3) to act as a temporary manager of the premises.</w:t>
      </w:r>
    </w:p>
    <w:p>
      <w:pPr>
        <w:pStyle w:val="Penstart"/>
      </w:pPr>
      <w:r>
        <w:tab/>
        <w:t>Penalty: a fine of $10 000.</w:t>
      </w:r>
    </w:p>
    <w:p>
      <w:pPr>
        <w:pStyle w:val="Subsection"/>
      </w:pPr>
      <w:r>
        <w:tab/>
        <w:t>(2b)</w:t>
      </w:r>
      <w:r>
        <w:tab/>
        <w:t xml:space="preserve">Subsection (2a) does not apply in relation to the conduct of business at licensed premises at a particular time if — </w:t>
      </w:r>
    </w:p>
    <w:p>
      <w:pPr>
        <w:pStyle w:val="Indenta"/>
      </w:pPr>
      <w:r>
        <w:tab/>
        <w:t>(a)</w:t>
      </w:r>
      <w:r>
        <w:tab/>
        <w:t>there is only one licensee and that licensee is a natural person; and</w:t>
      </w:r>
    </w:p>
    <w:p>
      <w:pPr>
        <w:pStyle w:val="Indenta"/>
      </w:pPr>
      <w:r>
        <w:tab/>
        <w:t>(b)</w:t>
      </w:r>
      <w:r>
        <w:tab/>
        <w:t>the licensee is present at those premises at that time.</w:t>
      </w:r>
    </w:p>
    <w:p>
      <w:pPr>
        <w:pStyle w:val="Subsection"/>
        <w:rPr>
          <w:snapToGrid w:val="0"/>
        </w:rPr>
      </w:pPr>
      <w:r>
        <w:rPr>
          <w:snapToGrid w:val="0"/>
        </w:rPr>
        <w:tab/>
        <w:t>(3)</w:t>
      </w:r>
      <w:r>
        <w:rPr>
          <w:snapToGrid w:val="0"/>
        </w:rPr>
        <w:tab/>
        <w:t>Subject to any condition imposed under subsection (</w:t>
      </w:r>
      <w:r>
        <w:t>4)</w:t>
      </w:r>
      <w:r>
        <w:rPr>
          <w:snapToGrid w:val="0"/>
        </w:rPr>
        <w:t xml:space="preserve">, a </w:t>
      </w:r>
      <w:r>
        <w:t>licensee, an approved unrestricted manager or an approved restricted manager</w:t>
      </w:r>
      <w:r>
        <w:rPr>
          <w:snapToGrid w:val="0"/>
        </w:rPr>
        <w:t xml:space="preserve"> may appoint a person to act as a temporary manager of licensed premises for a particular period if —</w:t>
      </w:r>
    </w:p>
    <w:p>
      <w:pPr>
        <w:pStyle w:val="Indenta"/>
      </w:pPr>
      <w:r>
        <w:tab/>
        <w:t>(a)</w:t>
      </w:r>
      <w:r>
        <w:tab/>
        <w:t>unless the Director otherwise approves, at the end of that period the premises will not have been supervised and managed by a temporary manager —</w:t>
      </w:r>
    </w:p>
    <w:p>
      <w:pPr>
        <w:pStyle w:val="Indenti"/>
      </w:pPr>
      <w:r>
        <w:tab/>
        <w:t>(i)</w:t>
      </w:r>
      <w:r>
        <w:tab/>
        <w:t>for more than 7 consecutive days; nor</w:t>
      </w:r>
    </w:p>
    <w:p>
      <w:pPr>
        <w:pStyle w:val="Indenti"/>
      </w:pPr>
      <w:r>
        <w:tab/>
        <w:t>(ii)</w:t>
      </w:r>
      <w:r>
        <w:tab/>
        <w:t>for more than 7 days in any 28 day period;</w:t>
      </w:r>
    </w:p>
    <w:p>
      <w:pPr>
        <w:pStyle w:val="Indenta"/>
      </w:pPr>
      <w:r>
        <w:tab/>
      </w:r>
      <w:r>
        <w:tab/>
        <w:t>and</w:t>
      </w:r>
    </w:p>
    <w:p>
      <w:pPr>
        <w:pStyle w:val="Indenta"/>
      </w:pPr>
      <w:r>
        <w:tab/>
        <w:t>(b)</w:t>
      </w:r>
      <w:r>
        <w:tab/>
        <w:t>the person appointed has not, at any time, been found to be not a fit and proper person to manage licensed premises.</w:t>
      </w:r>
    </w:p>
    <w:p>
      <w:pPr>
        <w:pStyle w:val="Subsection"/>
        <w:rPr>
          <w:snapToGrid w:val="0"/>
        </w:rPr>
      </w:pPr>
      <w:r>
        <w:tab/>
        <w:t>(4)</w:t>
      </w:r>
      <w:r>
        <w:tab/>
        <w:t xml:space="preserve">Without limiting section 64, the Director may impose a condition on a licence prohibiting the appointment of </w:t>
      </w:r>
      <w:r>
        <w:rPr>
          <w:snapToGrid w:val="0"/>
        </w:rPr>
        <w:t>a person under subsection (3) unless the Director has approved the appointment.</w:t>
      </w:r>
    </w:p>
    <w:p>
      <w:pPr>
        <w:pStyle w:val="Subsection"/>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 xml:space="preserve">Penalty: </w:t>
      </w:r>
      <w:r>
        <w:t>a fine of</w:t>
      </w:r>
      <w:r>
        <w:rPr>
          <w:snapToGrid w:val="0"/>
        </w:rPr>
        <w:t xml:space="preserve"> $10 000.</w:t>
      </w:r>
    </w:p>
    <w:p>
      <w:pPr>
        <w:pStyle w:val="Ednotesubsection"/>
      </w:pPr>
      <w:r>
        <w:tab/>
        <w:t>[(6)</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(7)</w:t>
      </w:r>
      <w:r>
        <w:rPr>
          <w:snapToGrid w:val="0"/>
        </w:rPr>
        <w:tab/>
        <w:t>A manager of licensed premises, in relation to those premises and the conduct of business at those premises, may deal and be dealt with, and under section 101 may be liable, as though that person were also a licensee of those premises.</w:t>
      </w:r>
    </w:p>
    <w:p>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by No. 12 of 1998 s. 71; amended by No. 73 of 2006 s. 69 and 110; No. 56 of 2010 s. 15 and 69; No. 9 of 2018 s. 52.] </w:t>
      </w:r>
    </w:p>
    <w:p>
      <w:pPr>
        <w:pStyle w:val="Heading5"/>
        <w:rPr>
          <w:snapToGrid w:val="0"/>
        </w:rPr>
      </w:pPr>
      <w:bookmarkStart w:id="315" w:name="_Toc522197349"/>
      <w:r>
        <w:rPr>
          <w:rStyle w:val="CharSectno"/>
        </w:rPr>
        <w:t>101</w:t>
      </w:r>
      <w:r>
        <w:rPr>
          <w:snapToGrid w:val="0"/>
        </w:rPr>
        <w:t>.</w:t>
      </w:r>
      <w:r>
        <w:rPr>
          <w:snapToGrid w:val="0"/>
        </w:rPr>
        <w:tab/>
        <w:t>Managers etc., liabilities of</w:t>
      </w:r>
      <w:bookmarkEnd w:id="315"/>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r>
      <w:r>
        <w:t>a manager of the licensed premises, or a person permitted by the licensee to conduct, supervise or manage the business carried on under the licence, is responsible</w:t>
      </w:r>
      <w:r>
        <w:rPr>
          <w:snapToGrid w:val="0"/>
        </w:rPr>
        <w:t xml:space="preserv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a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rPr>
          <w:snapToGrid w:val="0"/>
        </w:rPr>
      </w:pPr>
      <w:r>
        <w:rPr>
          <w:snapToGrid w:val="0"/>
        </w:rPr>
        <w:tab/>
        <w:t>(b)</w:t>
      </w:r>
      <w:r>
        <w:rPr>
          <w:snapToGrid w:val="0"/>
        </w:rPr>
        <w:tab/>
        <w:t>to conduct, supervise or manage the business carried on there under the licence, other than in accordance with section 100,</w:t>
      </w:r>
    </w:p>
    <w:p>
      <w:pPr>
        <w:pStyle w:val="Subsection"/>
        <w:rPr>
          <w:snapToGrid w:val="0"/>
        </w:rPr>
      </w:pPr>
      <w:r>
        <w:rPr>
          <w:snapToGrid w:val="0"/>
        </w:rPr>
        <w:tab/>
      </w:r>
      <w:r>
        <w:rPr>
          <w:snapToGrid w:val="0"/>
        </w:rPr>
        <w:tab/>
        <w:t>the licensee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101 amended by No. 12 of 1998 s. 72; No. 84 of 2004 s. 80; No. 73 of 2006 s. 110; No. 56 of 2010 s. 25 and 69.] </w:t>
      </w:r>
    </w:p>
    <w:p>
      <w:pPr>
        <w:pStyle w:val="Heading4"/>
      </w:pPr>
      <w:bookmarkStart w:id="316" w:name="_Toc471906825"/>
      <w:bookmarkStart w:id="317" w:name="_Toc472001742"/>
      <w:bookmarkStart w:id="318" w:name="_Toc472676770"/>
      <w:bookmarkStart w:id="319" w:name="_Toc472682155"/>
      <w:bookmarkStart w:id="320" w:name="_Toc473119296"/>
      <w:bookmarkStart w:id="321" w:name="_Toc522197350"/>
      <w:r>
        <w:t>Subdivision 2 — Approval of managers</w:t>
      </w:r>
      <w:bookmarkEnd w:id="316"/>
      <w:bookmarkEnd w:id="317"/>
      <w:bookmarkEnd w:id="318"/>
      <w:bookmarkEnd w:id="319"/>
      <w:bookmarkEnd w:id="320"/>
      <w:bookmarkEnd w:id="321"/>
    </w:p>
    <w:p>
      <w:pPr>
        <w:pStyle w:val="Footnoteheading"/>
      </w:pPr>
      <w:r>
        <w:tab/>
        <w:t>[Heading inserted by No. 56 of 2010 s. 16.]</w:t>
      </w:r>
    </w:p>
    <w:p>
      <w:pPr>
        <w:pStyle w:val="Heading5"/>
      </w:pPr>
      <w:bookmarkStart w:id="322" w:name="_Toc522197351"/>
      <w:r>
        <w:rPr>
          <w:rStyle w:val="CharSectno"/>
        </w:rPr>
        <w:t>102A</w:t>
      </w:r>
      <w:r>
        <w:t>.</w:t>
      </w:r>
      <w:r>
        <w:tab/>
        <w:t>Terms used</w:t>
      </w:r>
      <w:bookmarkEnd w:id="322"/>
    </w:p>
    <w:p>
      <w:pPr>
        <w:pStyle w:val="Subsection"/>
      </w:pPr>
      <w:r>
        <w:tab/>
      </w:r>
      <w:r>
        <w:tab/>
        <w:t>In this Subdivision —</w:t>
      </w:r>
    </w:p>
    <w:p>
      <w:pPr>
        <w:pStyle w:val="Defstart"/>
      </w:pPr>
      <w:r>
        <w:tab/>
      </w:r>
      <w:r>
        <w:rPr>
          <w:rStyle w:val="CharDefText"/>
        </w:rPr>
        <w:t>approved manager</w:t>
      </w:r>
      <w:r>
        <w:t xml:space="preserve"> means an approved unrestricted manager or an approved restricted manager;</w:t>
      </w:r>
    </w:p>
    <w:p>
      <w:pPr>
        <w:pStyle w:val="Defstart"/>
      </w:pPr>
      <w:r>
        <w:tab/>
      </w:r>
      <w:r>
        <w:rPr>
          <w:rStyle w:val="CharDefText"/>
        </w:rPr>
        <w:t>manager’s approval</w:t>
      </w:r>
      <w:r>
        <w:t xml:space="preserve"> means an approval granted under section 102B.</w:t>
      </w:r>
    </w:p>
    <w:p>
      <w:pPr>
        <w:pStyle w:val="Footnotesection"/>
      </w:pPr>
      <w:r>
        <w:tab/>
        <w:t>[Section 102A inserted by No. 56 of 2010 s. 16.]</w:t>
      </w:r>
    </w:p>
    <w:p>
      <w:pPr>
        <w:pStyle w:val="Heading5"/>
      </w:pPr>
      <w:bookmarkStart w:id="323" w:name="_Toc522197352"/>
      <w:r>
        <w:rPr>
          <w:rStyle w:val="CharSectno"/>
        </w:rPr>
        <w:t>102B</w:t>
      </w:r>
      <w:r>
        <w:t>.</w:t>
      </w:r>
      <w:r>
        <w:tab/>
        <w:t>Applications for and granting approvals</w:t>
      </w:r>
      <w:bookmarkEnd w:id="323"/>
    </w:p>
    <w:p>
      <w:pPr>
        <w:pStyle w:val="Subsection"/>
        <w:rPr>
          <w:snapToGrid w:val="0"/>
        </w:rPr>
      </w:pPr>
      <w:r>
        <w:rPr>
          <w:snapToGrid w:val="0"/>
        </w:rPr>
        <w:tab/>
        <w:t>(1)</w:t>
      </w:r>
      <w:r>
        <w:rPr>
          <w:snapToGrid w:val="0"/>
        </w:rPr>
        <w:tab/>
        <w:t>The Director may, in writing, approve a natural person as —</w:t>
      </w:r>
    </w:p>
    <w:p>
      <w:pPr>
        <w:pStyle w:val="Indenta"/>
        <w:rPr>
          <w:snapToGrid w:val="0"/>
        </w:rPr>
      </w:pPr>
      <w:r>
        <w:rPr>
          <w:snapToGrid w:val="0"/>
        </w:rPr>
        <w:tab/>
        <w:t>(a)</w:t>
      </w:r>
      <w:r>
        <w:rPr>
          <w:snapToGrid w:val="0"/>
        </w:rPr>
        <w:tab/>
        <w:t>an approved unrestricted manager; or</w:t>
      </w:r>
    </w:p>
    <w:p>
      <w:pPr>
        <w:pStyle w:val="Indenta"/>
        <w:rPr>
          <w:snapToGrid w:val="0"/>
        </w:rPr>
      </w:pPr>
      <w:r>
        <w:rPr>
          <w:snapToGrid w:val="0"/>
        </w:rPr>
        <w:tab/>
        <w:t>(b)</w:t>
      </w:r>
      <w:r>
        <w:rPr>
          <w:snapToGrid w:val="0"/>
        </w:rPr>
        <w:tab/>
        <w:t>an approved restricted manager.</w:t>
      </w:r>
    </w:p>
    <w:p>
      <w:pPr>
        <w:pStyle w:val="Subsection"/>
        <w:rPr>
          <w:snapToGrid w:val="0"/>
        </w:rPr>
      </w:pPr>
      <w:r>
        <w:rPr>
          <w:snapToGrid w:val="0"/>
        </w:rPr>
        <w:tab/>
        <w:t>(2)</w:t>
      </w:r>
      <w:r>
        <w:rPr>
          <w:snapToGrid w:val="0"/>
        </w:rPr>
        <w:tab/>
        <w:t>An application for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Subsection"/>
        <w:rPr>
          <w:snapToGrid w:val="0"/>
        </w:rPr>
      </w:pPr>
      <w:r>
        <w:rPr>
          <w:snapToGrid w:val="0"/>
        </w:rPr>
        <w:tab/>
        <w:t>(3)</w:t>
      </w:r>
      <w:r>
        <w:rPr>
          <w:snapToGrid w:val="0"/>
        </w:rPr>
        <w:tab/>
        <w:t>The Director must not grant a manager’s approval unless satisfied that the applicant is a fit and proper person to be approved.</w:t>
      </w:r>
    </w:p>
    <w:p>
      <w:pPr>
        <w:pStyle w:val="Subsection"/>
      </w:pPr>
      <w:r>
        <w:tab/>
        <w:t>(4)</w:t>
      </w:r>
      <w:r>
        <w:tab/>
        <w:t>In determining an application for a manager’s approval the Director may have regard to any matters prescribed by the regulations.</w:t>
      </w:r>
    </w:p>
    <w:p>
      <w:pPr>
        <w:pStyle w:val="Subsection"/>
      </w:pPr>
      <w:r>
        <w:tab/>
        <w:t>(5)</w:t>
      </w:r>
      <w:r>
        <w:tab/>
        <w:t>Unless the Director otherwise determines, if a person has applied for a manager’s approval the person is to be taken to be an approved unrestricted manager or an approved restricted manager, as the case requires, until the Director determines the application.</w:t>
      </w:r>
    </w:p>
    <w:p>
      <w:pPr>
        <w:pStyle w:val="Footnotesection"/>
      </w:pPr>
      <w:r>
        <w:tab/>
        <w:t>[Section 102B inserted by No. 56 of 2010 s. 16.]</w:t>
      </w:r>
    </w:p>
    <w:p>
      <w:pPr>
        <w:pStyle w:val="Heading5"/>
        <w:spacing w:before="180"/>
      </w:pPr>
      <w:bookmarkStart w:id="324" w:name="_Toc522197353"/>
      <w:r>
        <w:rPr>
          <w:rStyle w:val="CharSectno"/>
        </w:rPr>
        <w:t>102C</w:t>
      </w:r>
      <w:r>
        <w:t>.</w:t>
      </w:r>
      <w:r>
        <w:tab/>
        <w:t>Conditions on manager’s approval</w:t>
      </w:r>
      <w:bookmarkEnd w:id="324"/>
    </w:p>
    <w:p>
      <w:pPr>
        <w:pStyle w:val="Subsection"/>
      </w:pPr>
      <w:r>
        <w:rPr>
          <w:snapToGrid w:val="0"/>
        </w:rPr>
        <w:tab/>
      </w:r>
      <w:r>
        <w:rPr>
          <w:snapToGrid w:val="0"/>
        </w:rPr>
        <w:tab/>
        <w:t xml:space="preserve">The Director may, in accordance with the regulations, impose any conditions on a manager’s approval that the Director thinks fit and may </w:t>
      </w:r>
      <w:r>
        <w:t>vary or remove those conditions.</w:t>
      </w:r>
    </w:p>
    <w:p>
      <w:pPr>
        <w:pStyle w:val="Footnotesection"/>
      </w:pPr>
      <w:r>
        <w:tab/>
        <w:t>[Section 102C inserted by No. 56 of 2010 s. 16.]</w:t>
      </w:r>
    </w:p>
    <w:p>
      <w:pPr>
        <w:pStyle w:val="Heading5"/>
        <w:spacing w:before="180"/>
      </w:pPr>
      <w:bookmarkStart w:id="325" w:name="_Toc522197354"/>
      <w:r>
        <w:rPr>
          <w:rStyle w:val="CharSectno"/>
        </w:rPr>
        <w:t>102D</w:t>
      </w:r>
      <w:r>
        <w:t>.</w:t>
      </w:r>
      <w:r>
        <w:tab/>
        <w:t>Duration of manager’s approval</w:t>
      </w:r>
      <w:bookmarkEnd w:id="325"/>
    </w:p>
    <w:p>
      <w:pPr>
        <w:pStyle w:val="Subsection"/>
      </w:pPr>
      <w:r>
        <w:tab/>
        <w:t>(1)</w:t>
      </w:r>
      <w:r>
        <w:tab/>
        <w:t>A manager’s approval —</w:t>
      </w:r>
    </w:p>
    <w:p>
      <w:pPr>
        <w:pStyle w:val="Indenta"/>
      </w:pPr>
      <w:r>
        <w:tab/>
        <w:t>(a)</w:t>
      </w:r>
      <w:r>
        <w:tab/>
        <w:t>takes effect on the day on which it is granted or any later day specified in it; and</w:t>
      </w:r>
    </w:p>
    <w:p>
      <w:pPr>
        <w:pStyle w:val="Indenta"/>
      </w:pPr>
      <w:r>
        <w:tab/>
        <w:t>(b)</w:t>
      </w:r>
      <w:r>
        <w:tab/>
        <w:t>remains in force for the period prescribed by the regulations, unless before then it is revoked under section 102F.</w:t>
      </w:r>
    </w:p>
    <w:p>
      <w:pPr>
        <w:pStyle w:val="Subsection"/>
        <w:spacing w:before="120"/>
      </w:pPr>
      <w:r>
        <w:tab/>
        <w:t>(2)</w:t>
      </w:r>
      <w:r>
        <w:tab/>
        <w:t>A manager’s approval may be renewed for consecutive periods of the duration prescribed by the regulations.</w:t>
      </w:r>
    </w:p>
    <w:p>
      <w:pPr>
        <w:pStyle w:val="Footnotesection"/>
      </w:pPr>
      <w:r>
        <w:tab/>
        <w:t>[Section 102D inserted by No. 56 of 2010 s. 16.]</w:t>
      </w:r>
    </w:p>
    <w:p>
      <w:pPr>
        <w:pStyle w:val="Heading5"/>
        <w:keepNext w:val="0"/>
        <w:keepLines w:val="0"/>
        <w:spacing w:before="180"/>
      </w:pPr>
      <w:bookmarkStart w:id="326" w:name="_Toc522197355"/>
      <w:r>
        <w:rPr>
          <w:rStyle w:val="CharSectno"/>
        </w:rPr>
        <w:t>102E</w:t>
      </w:r>
      <w:r>
        <w:t>.</w:t>
      </w:r>
      <w:r>
        <w:tab/>
        <w:t>Renewal of manager’s approval</w:t>
      </w:r>
      <w:bookmarkEnd w:id="326"/>
    </w:p>
    <w:p>
      <w:pPr>
        <w:pStyle w:val="Subsection"/>
        <w:spacing w:before="120"/>
      </w:pPr>
      <w:r>
        <w:tab/>
        <w:t>(1)</w:t>
      </w:r>
      <w:r>
        <w:tab/>
        <w:t>An approved manager may apply to the Director to renew his or her manager’s approval.</w:t>
      </w:r>
    </w:p>
    <w:p>
      <w:pPr>
        <w:pStyle w:val="Subsection"/>
        <w:spacing w:before="120"/>
        <w:rPr>
          <w:snapToGrid w:val="0"/>
        </w:rPr>
      </w:pPr>
      <w:r>
        <w:rPr>
          <w:snapToGrid w:val="0"/>
        </w:rPr>
        <w:tab/>
        <w:t>(2)</w:t>
      </w:r>
      <w:r>
        <w:rPr>
          <w:snapToGrid w:val="0"/>
        </w:rPr>
        <w:tab/>
        <w:t>An application for the renewal of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Footnotesection"/>
      </w:pPr>
      <w:r>
        <w:tab/>
        <w:t>[Section 102E inserted by No. 56 of 2010 s. 16.]</w:t>
      </w:r>
    </w:p>
    <w:p>
      <w:pPr>
        <w:pStyle w:val="Heading5"/>
        <w:spacing w:before="180"/>
      </w:pPr>
      <w:bookmarkStart w:id="327" w:name="_Toc522197356"/>
      <w:r>
        <w:rPr>
          <w:rStyle w:val="CharSectno"/>
        </w:rPr>
        <w:t>102F</w:t>
      </w:r>
      <w:r>
        <w:t>.</w:t>
      </w:r>
      <w:r>
        <w:tab/>
        <w:t>Disciplinary action against approved managers</w:t>
      </w:r>
      <w:bookmarkEnd w:id="327"/>
    </w:p>
    <w:p>
      <w:pPr>
        <w:pStyle w:val="Subsection"/>
        <w:spacing w:before="120"/>
        <w:rPr>
          <w:snapToGrid w:val="0"/>
        </w:rPr>
      </w:pPr>
      <w:r>
        <w:rPr>
          <w:snapToGrid w:val="0"/>
        </w:rPr>
        <w:tab/>
        <w:t>(1)</w:t>
      </w:r>
      <w:r>
        <w:rPr>
          <w:snapToGrid w:val="0"/>
        </w:rPr>
        <w:tab/>
        <w:t>There are grounds for taking action against an approved manager under this section if —</w:t>
      </w:r>
    </w:p>
    <w:p>
      <w:pPr>
        <w:pStyle w:val="Indenta"/>
        <w:rPr>
          <w:snapToGrid w:val="0"/>
        </w:rPr>
      </w:pPr>
      <w:r>
        <w:rPr>
          <w:snapToGrid w:val="0"/>
        </w:rPr>
        <w:tab/>
        <w:t>(a)</w:t>
      </w:r>
      <w:r>
        <w:rPr>
          <w:snapToGrid w:val="0"/>
        </w:rPr>
        <w:tab/>
        <w:t>the approved manager has failed to supervise and manage the conduct of business at licensed premises in a proper manner; or</w:t>
      </w:r>
    </w:p>
    <w:p>
      <w:pPr>
        <w:pStyle w:val="Indenta"/>
      </w:pPr>
      <w:r>
        <w:tab/>
        <w:t>(b)</w:t>
      </w:r>
      <w:r>
        <w:tab/>
      </w:r>
      <w:r>
        <w:rPr>
          <w:snapToGrid w:val="0"/>
        </w:rPr>
        <w:t>the approved manager is no longer fit and proper to be approved; or</w:t>
      </w:r>
    </w:p>
    <w:p>
      <w:pPr>
        <w:pStyle w:val="Indenta"/>
      </w:pPr>
      <w:r>
        <w:tab/>
        <w:t>(c)</w:t>
      </w:r>
      <w:r>
        <w:tab/>
        <w:t>t</w:t>
      </w:r>
      <w:r>
        <w:rPr>
          <w:snapToGrid w:val="0"/>
        </w:rPr>
        <w:t xml:space="preserve">he approved manager </w:t>
      </w:r>
      <w:r>
        <w:t>has failed to comply with any condition on his or her manager’s approval; or</w:t>
      </w:r>
    </w:p>
    <w:p>
      <w:pPr>
        <w:pStyle w:val="Indenta"/>
        <w:rPr>
          <w:snapToGrid w:val="0"/>
        </w:rPr>
      </w:pPr>
      <w:r>
        <w:tab/>
        <w:t>(d)</w:t>
      </w:r>
      <w:r>
        <w:tab/>
        <w:t>grounds exist under the regulations for taking action under this section.</w:t>
      </w:r>
    </w:p>
    <w:p>
      <w:pPr>
        <w:pStyle w:val="Subsection"/>
        <w:spacing w:before="120"/>
        <w:rPr>
          <w:snapToGrid w:val="0"/>
        </w:rPr>
      </w:pPr>
      <w:r>
        <w:rPr>
          <w:snapToGrid w:val="0"/>
        </w:rPr>
        <w:tab/>
        <w:t>(2)</w:t>
      </w:r>
      <w:r>
        <w:rPr>
          <w:snapToGrid w:val="0"/>
        </w:rPr>
        <w:tab/>
        <w:t>If the Director is satisfied that there are grounds for taking action against an approved manager under this section the Director may, by notice in writing —</w:t>
      </w:r>
    </w:p>
    <w:p>
      <w:pPr>
        <w:pStyle w:val="Indenta"/>
        <w:rPr>
          <w:snapToGrid w:val="0"/>
        </w:rPr>
      </w:pPr>
      <w:r>
        <w:rPr>
          <w:snapToGrid w:val="0"/>
        </w:rPr>
        <w:tab/>
        <w:t>(a)</w:t>
      </w:r>
      <w:r>
        <w:rPr>
          <w:snapToGrid w:val="0"/>
        </w:rPr>
        <w:tab/>
        <w:t>revoke the manager’s approval; or</w:t>
      </w:r>
    </w:p>
    <w:p>
      <w:pPr>
        <w:pStyle w:val="Indenta"/>
        <w:rPr>
          <w:snapToGrid w:val="0"/>
        </w:rPr>
      </w:pPr>
      <w:r>
        <w:rPr>
          <w:snapToGrid w:val="0"/>
        </w:rPr>
        <w:tab/>
        <w:t>(b)</w:t>
      </w:r>
      <w:r>
        <w:rPr>
          <w:snapToGrid w:val="0"/>
        </w:rPr>
        <w:tab/>
        <w:t>suspend the manager’s approval for a specified period; or</w:t>
      </w:r>
    </w:p>
    <w:p>
      <w:pPr>
        <w:pStyle w:val="Indenta"/>
        <w:rPr>
          <w:snapToGrid w:val="0"/>
        </w:rPr>
      </w:pPr>
      <w:r>
        <w:rPr>
          <w:snapToGrid w:val="0"/>
        </w:rPr>
        <w:tab/>
        <w:t>(c)</w:t>
      </w:r>
      <w:r>
        <w:rPr>
          <w:snapToGrid w:val="0"/>
        </w:rPr>
        <w:tab/>
        <w:t>impose conditions on the manager’s approval.</w:t>
      </w:r>
    </w:p>
    <w:p>
      <w:pPr>
        <w:pStyle w:val="Subsection"/>
        <w:rPr>
          <w:snapToGrid w:val="0"/>
        </w:rPr>
      </w:pPr>
      <w:r>
        <w:rPr>
          <w:snapToGrid w:val="0"/>
        </w:rPr>
        <w:tab/>
        <w:t>(3)</w:t>
      </w:r>
      <w:r>
        <w:rPr>
          <w:snapToGrid w:val="0"/>
        </w:rPr>
        <w:tab/>
        <w:t>The Director must not take action against an approved manager under this section unless the approved manager —</w:t>
      </w:r>
    </w:p>
    <w:p>
      <w:pPr>
        <w:pStyle w:val="Indenta"/>
        <w:rPr>
          <w:snapToGrid w:val="0"/>
        </w:rPr>
      </w:pPr>
      <w:r>
        <w:rPr>
          <w:snapToGrid w:val="0"/>
        </w:rPr>
        <w:tab/>
        <w:t>(a)</w:t>
      </w:r>
      <w:r>
        <w:rPr>
          <w:snapToGrid w:val="0"/>
        </w:rPr>
        <w:tab/>
        <w:t>has been given</w:t>
      </w:r>
      <w:r>
        <w:t>, subject to section 30, details of the grounds on which the Director proposes to take that action</w:t>
      </w:r>
      <w:r>
        <w:rPr>
          <w:snapToGrid w:val="0"/>
        </w:rPr>
        <w:t>; and</w:t>
      </w:r>
    </w:p>
    <w:p>
      <w:pPr>
        <w:pStyle w:val="Indenta"/>
        <w:rPr>
          <w:snapToGrid w:val="0"/>
        </w:rPr>
      </w:pPr>
      <w:r>
        <w:rPr>
          <w:snapToGrid w:val="0"/>
        </w:rPr>
        <w:tab/>
        <w:t>(b)</w:t>
      </w:r>
      <w:r>
        <w:rPr>
          <w:snapToGrid w:val="0"/>
        </w:rPr>
        <w:tab/>
        <w:t>has been afforded a reasonable opportunity to be heard on the matter.</w:t>
      </w:r>
    </w:p>
    <w:p>
      <w:pPr>
        <w:pStyle w:val="Subsection"/>
      </w:pPr>
      <w:r>
        <w:tab/>
        <w:t>(4)</w:t>
      </w:r>
      <w:r>
        <w:tab/>
        <w:t>The Director may revoke a suspension imposed under subsection (2)(b) before the end of the specified period.</w:t>
      </w:r>
    </w:p>
    <w:p>
      <w:pPr>
        <w:pStyle w:val="Footnotesection"/>
      </w:pPr>
      <w:r>
        <w:tab/>
        <w:t>[Section 102F inserted by No. 56 of 2010 s. 16.]</w:t>
      </w:r>
    </w:p>
    <w:p>
      <w:pPr>
        <w:pStyle w:val="Heading5"/>
      </w:pPr>
      <w:bookmarkStart w:id="328" w:name="_Toc522197357"/>
      <w:r>
        <w:rPr>
          <w:rStyle w:val="CharSectno"/>
        </w:rPr>
        <w:t>102G</w:t>
      </w:r>
      <w:r>
        <w:t>.</w:t>
      </w:r>
      <w:r>
        <w:tab/>
        <w:t>Approval may be cancelled on request</w:t>
      </w:r>
      <w:bookmarkEnd w:id="328"/>
    </w:p>
    <w:p>
      <w:pPr>
        <w:pStyle w:val="Subsection"/>
        <w:rPr>
          <w:snapToGrid w:val="0"/>
        </w:rPr>
      </w:pPr>
      <w:r>
        <w:rPr>
          <w:snapToGrid w:val="0"/>
        </w:rPr>
        <w:tab/>
      </w:r>
      <w:r>
        <w:rPr>
          <w:snapToGrid w:val="0"/>
        </w:rPr>
        <w:tab/>
        <w:t>The Director may cancel a manager’s approval at the request of the manager.</w:t>
      </w:r>
    </w:p>
    <w:p>
      <w:pPr>
        <w:pStyle w:val="Footnotesection"/>
      </w:pPr>
      <w:r>
        <w:tab/>
        <w:t>[Section 102G inserted by No. 56 of 2010 s. 16.]</w:t>
      </w:r>
    </w:p>
    <w:p>
      <w:pPr>
        <w:pStyle w:val="Heading4"/>
      </w:pPr>
      <w:bookmarkStart w:id="329" w:name="_Toc471906833"/>
      <w:bookmarkStart w:id="330" w:name="_Toc472001750"/>
      <w:bookmarkStart w:id="331" w:name="_Toc472676778"/>
      <w:bookmarkStart w:id="332" w:name="_Toc472682163"/>
      <w:bookmarkStart w:id="333" w:name="_Toc473119304"/>
      <w:bookmarkStart w:id="334" w:name="_Toc522197358"/>
      <w:r>
        <w:t>Subdivision 3 — General matters</w:t>
      </w:r>
      <w:bookmarkEnd w:id="329"/>
      <w:bookmarkEnd w:id="330"/>
      <w:bookmarkEnd w:id="331"/>
      <w:bookmarkEnd w:id="332"/>
      <w:bookmarkEnd w:id="333"/>
      <w:bookmarkEnd w:id="334"/>
    </w:p>
    <w:p>
      <w:pPr>
        <w:pStyle w:val="Footnoteheading"/>
      </w:pPr>
      <w:r>
        <w:tab/>
        <w:t>[Heading inserted by No. 56 of 2010 s. 17.]</w:t>
      </w:r>
    </w:p>
    <w:p>
      <w:pPr>
        <w:pStyle w:val="Heading5"/>
        <w:rPr>
          <w:snapToGrid w:val="0"/>
        </w:rPr>
      </w:pPr>
      <w:bookmarkStart w:id="335" w:name="_Toc522197359"/>
      <w:r>
        <w:rPr>
          <w:rStyle w:val="CharSectno"/>
        </w:rPr>
        <w:t>102</w:t>
      </w:r>
      <w:r>
        <w:rPr>
          <w:snapToGrid w:val="0"/>
        </w:rPr>
        <w:t>.</w:t>
      </w:r>
      <w:r>
        <w:rPr>
          <w:snapToGrid w:val="0"/>
        </w:rPr>
        <w:tab/>
        <w:t>Management and control of incorporated licensees, approvals required</w:t>
      </w:r>
      <w:bookmarkEnd w:id="335"/>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keepLines/>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pPr>
        <w:pStyle w:val="Subsection"/>
        <w:keepLines/>
        <w:rPr>
          <w:snapToGrid w:val="0"/>
        </w:rPr>
      </w:pPr>
      <w:r>
        <w:rPr>
          <w:snapToGrid w:val="0"/>
        </w:rPr>
        <w:tab/>
      </w:r>
      <w:r>
        <w:rPr>
          <w:snapToGrid w:val="0"/>
        </w:rPr>
        <w:tab/>
        <w:t>commits an offence.</w:t>
      </w:r>
    </w:p>
    <w:p>
      <w:pPr>
        <w:pStyle w:val="Penstart"/>
        <w:keepLines/>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Subsection (1) does not apply to or in relation to an occasional licence.</w:t>
      </w:r>
    </w:p>
    <w:p>
      <w:pPr>
        <w:pStyle w:val="Subsection"/>
      </w:pPr>
      <w:r>
        <w:tab/>
        <w:t>(3)</w:t>
      </w:r>
      <w:r>
        <w:tab/>
        <w:t xml:space="preserve">Subsection (1)(b) does not apply to a person who is a shareholder in a proprietary company that holds a licence if — </w:t>
      </w:r>
    </w:p>
    <w:p>
      <w:pPr>
        <w:pStyle w:val="Indenta"/>
      </w:pPr>
      <w:r>
        <w:tab/>
        <w:t>(a)</w:t>
      </w:r>
      <w:r>
        <w:tab/>
        <w:t>at the time the person’s shareholding in the proprietary company changes, the occupation by the person of a position of authority in the proprietary company has been approved by the licensing authority under section 33(5); and</w:t>
      </w:r>
    </w:p>
    <w:p>
      <w:pPr>
        <w:pStyle w:val="Indenta"/>
      </w:pPr>
      <w:r>
        <w:tab/>
        <w:t>(b)</w:t>
      </w:r>
      <w:r>
        <w:tab/>
        <w:t>the person gives the licensing authority written notice of the change in the person’s shareholding within 14 days after the change occurs.</w:t>
      </w:r>
    </w:p>
    <w:p>
      <w:pPr>
        <w:pStyle w:val="Subsection"/>
      </w:pPr>
      <w:r>
        <w:tab/>
        <w:t>(4)</w:t>
      </w:r>
      <w:r>
        <w:tab/>
        <w:t>If a person is convicted of an offence under subsection (1) in relation to a body corporate (including a proprietary company) that holds a licence, the body corporate is to be taken to have also committed an offence and is liable to the penalty provided for in that subsection.</w:t>
      </w:r>
    </w:p>
    <w:p>
      <w:pPr>
        <w:pStyle w:val="Footnotesection"/>
      </w:pPr>
      <w:r>
        <w:tab/>
        <w:t>[Section 102 amended by No. 73 of 2006 s. 70 and 110; No. 56 of 2010 s. 69.]</w:t>
      </w:r>
    </w:p>
    <w:p>
      <w:pPr>
        <w:pStyle w:val="Heading5"/>
        <w:spacing w:before="240"/>
        <w:rPr>
          <w:snapToGrid w:val="0"/>
        </w:rPr>
      </w:pPr>
      <w:bookmarkStart w:id="336" w:name="_Toc522197360"/>
      <w:r>
        <w:rPr>
          <w:rStyle w:val="CharSectno"/>
        </w:rPr>
        <w:t>103</w:t>
      </w:r>
      <w:r>
        <w:rPr>
          <w:snapToGrid w:val="0"/>
        </w:rPr>
        <w:t>.</w:t>
      </w:r>
      <w:r>
        <w:rPr>
          <w:snapToGrid w:val="0"/>
        </w:rPr>
        <w:tab/>
        <w:t>Owners of licensed premises to notify Director of certain matters</w:t>
      </w:r>
      <w:bookmarkEnd w:id="336"/>
    </w:p>
    <w:p>
      <w:pPr>
        <w:pStyle w:val="Subsection"/>
        <w:keepNext/>
        <w:keepLines/>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Footnotesection"/>
      </w:pPr>
      <w:r>
        <w:tab/>
        <w:t>[Section 103 amended by No. 56 of 2010 s. 69.]</w:t>
      </w:r>
    </w:p>
    <w:p>
      <w:pPr>
        <w:pStyle w:val="Heading3"/>
        <w:keepLines/>
        <w:spacing w:before="180"/>
      </w:pPr>
      <w:bookmarkStart w:id="337" w:name="_Toc471906836"/>
      <w:bookmarkStart w:id="338" w:name="_Toc472001753"/>
      <w:bookmarkStart w:id="339" w:name="_Toc472676781"/>
      <w:bookmarkStart w:id="340" w:name="_Toc472682166"/>
      <w:bookmarkStart w:id="341" w:name="_Toc473119307"/>
      <w:bookmarkStart w:id="342" w:name="_Toc522197361"/>
      <w:r>
        <w:rPr>
          <w:rStyle w:val="CharDivNo"/>
        </w:rPr>
        <w:t>Division 3A</w:t>
      </w:r>
      <w:r>
        <w:t> — </w:t>
      </w:r>
      <w:r>
        <w:rPr>
          <w:rStyle w:val="CharDivText"/>
        </w:rPr>
        <w:t>Responsible practices in selling, supplying and serving liquor</w:t>
      </w:r>
      <w:bookmarkEnd w:id="337"/>
      <w:bookmarkEnd w:id="338"/>
      <w:bookmarkEnd w:id="339"/>
      <w:bookmarkEnd w:id="340"/>
      <w:bookmarkEnd w:id="341"/>
      <w:bookmarkEnd w:id="342"/>
    </w:p>
    <w:p>
      <w:pPr>
        <w:pStyle w:val="Footnoteheading"/>
        <w:keepNext/>
        <w:keepLines/>
      </w:pPr>
      <w:r>
        <w:tab/>
        <w:t>[Heading inserted by No. 73 of 2006 s. 71.]</w:t>
      </w:r>
    </w:p>
    <w:p>
      <w:pPr>
        <w:pStyle w:val="Heading5"/>
        <w:spacing w:before="180"/>
      </w:pPr>
      <w:bookmarkStart w:id="343" w:name="_Toc522197362"/>
      <w:r>
        <w:rPr>
          <w:rStyle w:val="CharSectno"/>
        </w:rPr>
        <w:t>103AA</w:t>
      </w:r>
      <w:r>
        <w:t>.</w:t>
      </w:r>
      <w:r>
        <w:tab/>
        <w:t>Register of responsible practices’ training</w:t>
      </w:r>
      <w:bookmarkEnd w:id="343"/>
    </w:p>
    <w:p>
      <w:pPr>
        <w:pStyle w:val="Subsection"/>
        <w:spacing w:before="120"/>
      </w:pPr>
      <w:r>
        <w:tab/>
        <w:t>(1)</w:t>
      </w:r>
      <w:r>
        <w:tab/>
        <w:t xml:space="preserve">A licensee is to maintain a register on the licenced premises that records any details prescribed under section 103A(1)(b) (the </w:t>
      </w:r>
      <w:r>
        <w:rPr>
          <w:rStyle w:val="CharDefText"/>
        </w:rPr>
        <w:t>Register</w:t>
      </w:r>
      <w:r>
        <w:t>).</w:t>
      </w:r>
    </w:p>
    <w:p>
      <w:pPr>
        <w:pStyle w:val="Subsection"/>
        <w:spacing w:before="120"/>
      </w:pPr>
      <w:r>
        <w:tab/>
        <w:t>(2)</w:t>
      </w:r>
      <w:r>
        <w:tab/>
        <w:t xml:space="preserve">A record referred to in subsection (1) must be maintained on the Register — </w:t>
      </w:r>
    </w:p>
    <w:p>
      <w:pPr>
        <w:pStyle w:val="Indenta"/>
      </w:pPr>
      <w:r>
        <w:tab/>
        <w:t>(a)</w:t>
      </w:r>
      <w:r>
        <w:tab/>
        <w:t>for a period of 4 years; or</w:t>
      </w:r>
    </w:p>
    <w:p>
      <w:pPr>
        <w:pStyle w:val="Indenta"/>
      </w:pPr>
      <w:r>
        <w:tab/>
        <w:t>(b)</w:t>
      </w:r>
      <w:r>
        <w:tab/>
        <w:t>for the duration of the employment or engagement of a person by the licensee described in section 103A(1)(a).</w:t>
      </w:r>
    </w:p>
    <w:p>
      <w:pPr>
        <w:pStyle w:val="Subsection"/>
        <w:spacing w:before="120"/>
      </w:pPr>
      <w:r>
        <w:tab/>
        <w:t>(3)</w:t>
      </w:r>
      <w:r>
        <w:tab/>
        <w:t>The Register may be kept in any way the licensee considers appropriate, including by electronic means.</w:t>
      </w:r>
    </w:p>
    <w:p>
      <w:pPr>
        <w:pStyle w:val="Subsection"/>
        <w:spacing w:before="120"/>
      </w:pPr>
      <w:r>
        <w:tab/>
        <w:t>(4)</w:t>
      </w:r>
      <w:r>
        <w:tab/>
        <w:t xml:space="preserve">The licensee, or an employee of the licensee, must, at the request of an authorised officer, allow an authorised officer to — </w:t>
      </w:r>
    </w:p>
    <w:p>
      <w:pPr>
        <w:pStyle w:val="Indenta"/>
      </w:pPr>
      <w:r>
        <w:tab/>
        <w:t>(a)</w:t>
      </w:r>
      <w:r>
        <w:tab/>
        <w:t>inspect the Register; and</w:t>
      </w:r>
    </w:p>
    <w:p>
      <w:pPr>
        <w:pStyle w:val="Indenta"/>
      </w:pPr>
      <w:r>
        <w:tab/>
        <w:t>(b)</w:t>
      </w:r>
      <w:r>
        <w:tab/>
        <w:t>to take copies of, or extracts from, any part of it.</w:t>
      </w:r>
    </w:p>
    <w:p>
      <w:pPr>
        <w:pStyle w:val="Footnoteheading"/>
        <w:keepNext/>
        <w:keepLines/>
      </w:pPr>
      <w:r>
        <w:tab/>
        <w:t>[Section 103AA inserted by No. 35 of 2015 s. 15.]</w:t>
      </w:r>
    </w:p>
    <w:p>
      <w:pPr>
        <w:pStyle w:val="Heading5"/>
        <w:spacing w:before="180"/>
      </w:pPr>
      <w:bookmarkStart w:id="344" w:name="_Toc522197363"/>
      <w:r>
        <w:rPr>
          <w:rStyle w:val="CharSectno"/>
        </w:rPr>
        <w:t>103A</w:t>
      </w:r>
      <w:r>
        <w:t>.</w:t>
      </w:r>
      <w:r>
        <w:tab/>
        <w:t>Regulations about training people in responsible practices</w:t>
      </w:r>
      <w:bookmarkEnd w:id="344"/>
    </w:p>
    <w:p>
      <w:pPr>
        <w:pStyle w:val="Subsection"/>
        <w:spacing w:before="120"/>
        <w:rPr>
          <w:snapToGrid w:val="0"/>
        </w:rPr>
      </w:pPr>
      <w:r>
        <w:rPr>
          <w:snapToGrid w:val="0"/>
        </w:rPr>
        <w:tab/>
        <w:t>(1)</w:t>
      </w:r>
      <w:r>
        <w:rPr>
          <w:snapToGrid w:val="0"/>
        </w:rPr>
        <w:tab/>
        <w:t xml:space="preserve">The regulations may — </w:t>
      </w:r>
    </w:p>
    <w:p>
      <w:pPr>
        <w:pStyle w:val="Indenta"/>
      </w:pPr>
      <w:r>
        <w:tab/>
        <w:t>(a)</w:t>
      </w:r>
      <w:r>
        <w:tab/>
        <w:t xml:space="preserve">require persons, or persons of a specified class, who are — </w:t>
      </w:r>
    </w:p>
    <w:p>
      <w:pPr>
        <w:pStyle w:val="Indenti"/>
      </w:pPr>
      <w:r>
        <w:tab/>
        <w:t>(i)</w:t>
      </w:r>
      <w:r>
        <w:tab/>
        <w:t>employed or engaged in the sale, supply or service of liquor on or from licensed premises; or</w:t>
      </w:r>
    </w:p>
    <w:p>
      <w:pPr>
        <w:pStyle w:val="Indenti"/>
      </w:pPr>
      <w:r>
        <w:tab/>
        <w:t>(ii)</w:t>
      </w:r>
      <w:r>
        <w:tab/>
        <w:t>employed or engaged in the performance of other prescribed functions at licensed premises,</w:t>
      </w:r>
    </w:p>
    <w:p>
      <w:pPr>
        <w:pStyle w:val="Indenta"/>
      </w:pPr>
      <w:r>
        <w:tab/>
      </w:r>
      <w:r>
        <w:tab/>
        <w:t>to complete successfully within a specified period a course of training or an assessment, approved by the Director, in responsible practices in the sale, supply and service of liquor; and</w:t>
      </w:r>
    </w:p>
    <w:p>
      <w:pPr>
        <w:pStyle w:val="Indenta"/>
      </w:pPr>
      <w:r>
        <w:tab/>
        <w:t>(b)</w:t>
      </w:r>
      <w:r>
        <w:tab/>
        <w:t>for the purposes of paragraph (a) prescribe details in respect of that course of training or assessment and the persons employed or engaged as described in paragraph (a) who have successfully completed it; and</w:t>
      </w:r>
    </w:p>
    <w:p>
      <w:pPr>
        <w:pStyle w:val="Indenta"/>
      </w:pPr>
      <w:r>
        <w:tab/>
        <w:t>(c)</w:t>
      </w:r>
      <w:r>
        <w:tab/>
        <w:t xml:space="preserve">provide for transitional arrangements for successfully completing that course of training or assessment that apply to persons who, immediately before the commencement of the </w:t>
      </w:r>
      <w:r>
        <w:rPr>
          <w:i/>
        </w:rPr>
        <w:t>Liquor and Gaming Legislation Amendment Act 2006</w:t>
      </w:r>
      <w:r>
        <w:t xml:space="preserve"> section 71, were employed or engaged as described in paragraph (a).</w:t>
      </w:r>
    </w:p>
    <w:p>
      <w:pPr>
        <w:pStyle w:val="Subsection"/>
        <w:rPr>
          <w:snapToGrid w:val="0"/>
        </w:rPr>
      </w:pPr>
      <w:r>
        <w:rPr>
          <w:snapToGrid w:val="0"/>
        </w:rPr>
        <w:tab/>
        <w:t>(2)</w:t>
      </w:r>
      <w:r>
        <w:rPr>
          <w:snapToGrid w:val="0"/>
        </w:rPr>
        <w:tab/>
        <w:t xml:space="preserve">Without limiting subsection (1), regulations made for the purposes of that subsection — </w:t>
      </w:r>
    </w:p>
    <w:p>
      <w:pPr>
        <w:pStyle w:val="Indenta"/>
      </w:pPr>
      <w:r>
        <w:tab/>
        <w:t>(a)</w:t>
      </w:r>
      <w:r>
        <w:tab/>
        <w:t>may operate by reference to persons employed or engaged for the purposes of a specified class of licence; and</w:t>
      </w:r>
    </w:p>
    <w:p>
      <w:pPr>
        <w:pStyle w:val="Indenta"/>
      </w:pPr>
      <w:r>
        <w:tab/>
        <w:t>(b)</w:t>
      </w:r>
      <w:r>
        <w:tab/>
        <w:t>may authorise the Director to approve exemptions from those regulations.</w:t>
      </w:r>
    </w:p>
    <w:p>
      <w:pPr>
        <w:pStyle w:val="Subsection"/>
        <w:rPr>
          <w:snapToGrid w:val="0"/>
        </w:rPr>
      </w:pPr>
      <w:r>
        <w:rPr>
          <w:snapToGrid w:val="0"/>
        </w:rPr>
        <w:tab/>
        <w:t>(3)</w:t>
      </w:r>
      <w:r>
        <w:rPr>
          <w:snapToGrid w:val="0"/>
        </w:rPr>
        <w:tab/>
        <w:t>Regulations made for the purposes of subsection (1)(a) do not apply to a person who is a</w:t>
      </w:r>
      <w:r>
        <w:t xml:space="preserve"> licensee, an approved unrestricted manager or an approved restricted manager.</w:t>
      </w:r>
    </w:p>
    <w:p>
      <w:pPr>
        <w:pStyle w:val="Footnotesection"/>
      </w:pPr>
      <w:r>
        <w:tab/>
        <w:t>[Section 103A inserted by No. 73 of 2006 s. 71; amended by No. 56 of 2010 s. 25 and 50; No. 35 of 2015 s. 16.]</w:t>
      </w:r>
    </w:p>
    <w:p>
      <w:pPr>
        <w:pStyle w:val="Heading3"/>
        <w:spacing w:before="180"/>
        <w:rPr>
          <w:snapToGrid w:val="0"/>
        </w:rPr>
      </w:pPr>
      <w:bookmarkStart w:id="345" w:name="_Toc471906839"/>
      <w:bookmarkStart w:id="346" w:name="_Toc472001756"/>
      <w:bookmarkStart w:id="347" w:name="_Toc472676784"/>
      <w:bookmarkStart w:id="348" w:name="_Toc472682169"/>
      <w:bookmarkStart w:id="349" w:name="_Toc473119310"/>
      <w:bookmarkStart w:id="350" w:name="_Toc522197364"/>
      <w:r>
        <w:rPr>
          <w:rStyle w:val="CharDivNo"/>
        </w:rPr>
        <w:t>Division 4</w:t>
      </w:r>
      <w:r>
        <w:rPr>
          <w:snapToGrid w:val="0"/>
        </w:rPr>
        <w:t> — </w:t>
      </w:r>
      <w:r>
        <w:rPr>
          <w:rStyle w:val="CharDivText"/>
        </w:rPr>
        <w:t>Profit sharing</w:t>
      </w:r>
      <w:bookmarkEnd w:id="345"/>
      <w:bookmarkEnd w:id="346"/>
      <w:bookmarkEnd w:id="347"/>
      <w:bookmarkEnd w:id="348"/>
      <w:bookmarkEnd w:id="349"/>
      <w:bookmarkEnd w:id="350"/>
      <w:r>
        <w:rPr>
          <w:rStyle w:val="CharDivText"/>
        </w:rPr>
        <w:t xml:space="preserve"> </w:t>
      </w:r>
    </w:p>
    <w:p>
      <w:pPr>
        <w:pStyle w:val="Heading5"/>
        <w:spacing w:before="180"/>
        <w:rPr>
          <w:snapToGrid w:val="0"/>
        </w:rPr>
      </w:pPr>
      <w:bookmarkStart w:id="351" w:name="_Toc522197365"/>
      <w:r>
        <w:rPr>
          <w:rStyle w:val="CharSectno"/>
        </w:rPr>
        <w:t>104</w:t>
      </w:r>
      <w:r>
        <w:rPr>
          <w:snapToGrid w:val="0"/>
        </w:rPr>
        <w:t>.</w:t>
      </w:r>
      <w:r>
        <w:rPr>
          <w:snapToGrid w:val="0"/>
        </w:rPr>
        <w:tab/>
        <w:t>Profit sharing etc. prohibited without approval</w:t>
      </w:r>
      <w:bookmarkEnd w:id="351"/>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enters into partnership with another person in relation to the business carried on under the licence; or</w:t>
      </w:r>
    </w:p>
    <w:p>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 xml:space="preserve">Penalty: </w:t>
      </w:r>
      <w:r>
        <w:t>a fine of</w:t>
      </w:r>
      <w:r>
        <w:rPr>
          <w:snapToGrid w:val="0"/>
        </w:rPr>
        <w:t xml:space="preserve"> $10 000.</w:t>
      </w:r>
    </w:p>
    <w:p>
      <w:pPr>
        <w:pStyle w:val="Subsection"/>
        <w:keepNext/>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 or</w:t>
      </w:r>
    </w:p>
    <w:p>
      <w:pPr>
        <w:pStyle w:val="Indenta"/>
        <w:rPr>
          <w:snapToGrid w:val="0"/>
        </w:rPr>
      </w:pPr>
      <w:r>
        <w:rPr>
          <w:snapToGrid w:val="0"/>
        </w:rPr>
        <w:tab/>
        <w:t>(b)</w:t>
      </w:r>
      <w:r>
        <w:rPr>
          <w:snapToGrid w:val="0"/>
        </w:rPr>
        <w:tab/>
        <w:t>an extended trading permit, where it is approved under section 60(8); or</w:t>
      </w:r>
    </w:p>
    <w:p>
      <w:pPr>
        <w:pStyle w:val="Indenta"/>
      </w:pPr>
      <w:r>
        <w:tab/>
        <w:t>(ba)</w:t>
      </w:r>
      <w:r>
        <w:tab/>
        <w:t>the provision of entertainment solely for juveniles on licensed premises or a part of licensed premises, where it is approved under section 126B(5);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keepNext/>
      </w:pPr>
      <w:r>
        <w:tab/>
        <w:t>(3a)</w:t>
      </w:r>
      <w:r>
        <w:tab/>
        <w:t xml:space="preserve">An agreement or arrangement approved under subsection (3) is of no effect to the extent that it purports — </w:t>
      </w:r>
    </w:p>
    <w:p>
      <w:pPr>
        <w:pStyle w:val="Indenta"/>
      </w:pPr>
      <w:r>
        <w:tab/>
        <w:t>(a)</w:t>
      </w:r>
      <w:r>
        <w:tab/>
        <w:t>to authorise a person other than the licensee to conduct the business carried on under the licence; or</w:t>
      </w:r>
    </w:p>
    <w:p>
      <w:pPr>
        <w:pStyle w:val="Indenta"/>
      </w:pPr>
      <w:r>
        <w:tab/>
        <w:t>(b)</w:t>
      </w:r>
      <w:r>
        <w:tab/>
        <w:t>to exclude, modify or restrict any requirement, responsibility or duty imposed on the licensee by or under this Act.</w:t>
      </w:r>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by No. 12 of 1998 s. 73; No. 73 of 2006 s. 72, 92(2) and 110; No. 56 of 2010 s. 69.] </w:t>
      </w:r>
    </w:p>
    <w:p>
      <w:pPr>
        <w:pStyle w:val="Heading3"/>
        <w:rPr>
          <w:snapToGrid w:val="0"/>
        </w:rPr>
      </w:pPr>
      <w:bookmarkStart w:id="352" w:name="_Toc471906841"/>
      <w:bookmarkStart w:id="353" w:name="_Toc472001758"/>
      <w:bookmarkStart w:id="354" w:name="_Toc472676786"/>
      <w:bookmarkStart w:id="355" w:name="_Toc472682171"/>
      <w:bookmarkStart w:id="356" w:name="_Toc473119312"/>
      <w:bookmarkStart w:id="357" w:name="_Toc522197366"/>
      <w:r>
        <w:rPr>
          <w:rStyle w:val="CharDivNo"/>
        </w:rPr>
        <w:t>Division 5</w:t>
      </w:r>
      <w:r>
        <w:rPr>
          <w:snapToGrid w:val="0"/>
        </w:rPr>
        <w:t> — </w:t>
      </w:r>
      <w:r>
        <w:rPr>
          <w:rStyle w:val="CharDivText"/>
        </w:rPr>
        <w:t>Lodgers</w:t>
      </w:r>
      <w:bookmarkEnd w:id="352"/>
      <w:bookmarkEnd w:id="353"/>
      <w:bookmarkEnd w:id="354"/>
      <w:bookmarkEnd w:id="355"/>
      <w:bookmarkEnd w:id="356"/>
      <w:bookmarkEnd w:id="357"/>
      <w:r>
        <w:rPr>
          <w:rStyle w:val="CharDivText"/>
        </w:rPr>
        <w:t xml:space="preserve"> </w:t>
      </w:r>
    </w:p>
    <w:p>
      <w:pPr>
        <w:pStyle w:val="Heading5"/>
        <w:rPr>
          <w:snapToGrid w:val="0"/>
        </w:rPr>
      </w:pPr>
      <w:bookmarkStart w:id="358" w:name="_Toc522197367"/>
      <w:r>
        <w:rPr>
          <w:rStyle w:val="CharSectno"/>
        </w:rPr>
        <w:t>105</w:t>
      </w:r>
      <w:r>
        <w:rPr>
          <w:snapToGrid w:val="0"/>
        </w:rPr>
        <w:t>.</w:t>
      </w:r>
      <w:r>
        <w:rPr>
          <w:snapToGrid w:val="0"/>
        </w:rPr>
        <w:tab/>
        <w:t>Persons deemed lodgers of licensed premises in some cases</w:t>
      </w:r>
      <w:bookmarkEnd w:id="358"/>
    </w:p>
    <w:p>
      <w:pPr>
        <w:pStyle w:val="Ednotesubsection"/>
      </w:pPr>
      <w:r>
        <w:tab/>
        <w:t>[(1), (2)</w:t>
      </w:r>
      <w:r>
        <w:tab/>
        <w:t>deleted]</w:t>
      </w:r>
    </w:p>
    <w:p>
      <w:pPr>
        <w:pStyle w:val="Subsection"/>
        <w:rPr>
          <w:snapToGrid w:val="0"/>
        </w:rPr>
      </w:pPr>
      <w:r>
        <w:rPr>
          <w:snapToGrid w:val="0"/>
        </w:rPr>
        <w:tab/>
        <w:t>(3)</w:t>
      </w:r>
      <w:r>
        <w:rPr>
          <w:snapToGrid w:val="0"/>
        </w:rPr>
        <w:tab/>
        <w:t>Where on the licensed premises no bedroom accommodation is available and other guest accommodation is provided there or on adjacent premises by or on behalf of the licensee in a location approved by the Director, a person so accommodated shall be deemed to be a lodger of the licensed premises.</w:t>
      </w:r>
    </w:p>
    <w:p>
      <w:pPr>
        <w:pStyle w:val="Ednotesubsection"/>
      </w:pPr>
      <w:r>
        <w:tab/>
      </w:r>
      <w:r>
        <w:tab/>
        <w:t>[Section 105 amended by No. 23 of 2000 s. 7; No. 73 of 2006 s. 73 and 108.]</w:t>
      </w:r>
    </w:p>
    <w:p>
      <w:pPr>
        <w:pStyle w:val="Heading5"/>
        <w:spacing w:before="180"/>
        <w:rPr>
          <w:snapToGrid w:val="0"/>
        </w:rPr>
      </w:pPr>
      <w:bookmarkStart w:id="359" w:name="_Toc522197368"/>
      <w:r>
        <w:rPr>
          <w:rStyle w:val="CharSectno"/>
        </w:rPr>
        <w:t>106</w:t>
      </w:r>
      <w:r>
        <w:rPr>
          <w:snapToGrid w:val="0"/>
        </w:rPr>
        <w:t>.</w:t>
      </w:r>
      <w:r>
        <w:rPr>
          <w:snapToGrid w:val="0"/>
        </w:rPr>
        <w:tab/>
        <w:t>Liquor supplied to lodgers etc., conditions applying to</w:t>
      </w:r>
      <w:bookmarkEnd w:id="359"/>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rPr>
          <w:snapToGrid w:val="0"/>
        </w:rPr>
      </w:pPr>
      <w:r>
        <w:rPr>
          <w:snapToGrid w:val="0"/>
        </w:rPr>
        <w:tab/>
        <w:t>(a)</w:t>
      </w:r>
      <w:r>
        <w:rPr>
          <w:snapToGrid w:val="0"/>
        </w:rPr>
        <w:tab/>
        <w:t>the liquor shall not be supplied to, or consumed by, a juvenile; and</w:t>
      </w:r>
    </w:p>
    <w:p>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pPr>
      <w:r>
        <w:tab/>
        <w:t xml:space="preserve">Penalty: </w:t>
      </w:r>
    </w:p>
    <w:p>
      <w:pPr>
        <w:pStyle w:val="Penpara"/>
      </w:pPr>
      <w:r>
        <w:tab/>
        <w:t>(a)</w:t>
      </w:r>
      <w:r>
        <w:tab/>
        <w:t>for the licensee or a manager, a fine of $10 000;</w:t>
      </w:r>
    </w:p>
    <w:p>
      <w:pPr>
        <w:pStyle w:val="Penpara"/>
        <w:keepNext/>
      </w:pPr>
      <w:r>
        <w:tab/>
        <w:t>(b)</w:t>
      </w:r>
      <w:r>
        <w:tab/>
        <w:t>for an employee or agent, a fine of $4 000;</w:t>
      </w:r>
    </w:p>
    <w:p>
      <w:pPr>
        <w:pStyle w:val="Penpara"/>
      </w:pPr>
      <w:r>
        <w:tab/>
        <w:t>(c)</w:t>
      </w:r>
      <w:r>
        <w:tab/>
        <w:t>for a lodger, a fine of $2 000.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keepNext/>
      </w:pPr>
      <w:r>
        <w:tab/>
        <w:t>(c)</w:t>
      </w:r>
      <w:r>
        <w:tab/>
        <w:t>for a lodger, a fine of $2 000.</w:t>
      </w:r>
    </w:p>
    <w:p>
      <w:pPr>
        <w:pStyle w:val="Footnotesection"/>
        <w:ind w:left="890" w:hanging="890"/>
      </w:pPr>
      <w:r>
        <w:tab/>
        <w:t xml:space="preserve">[Section 106 amended by No. 12 of 1998 s. 74; No. 73 of 2006 s. 74 and 110; No. 56 of 2010 s. 51.] </w:t>
      </w:r>
    </w:p>
    <w:p>
      <w:pPr>
        <w:pStyle w:val="Heading5"/>
        <w:rPr>
          <w:snapToGrid w:val="0"/>
        </w:rPr>
      </w:pPr>
      <w:bookmarkStart w:id="360" w:name="_Toc522197369"/>
      <w:r>
        <w:rPr>
          <w:rStyle w:val="CharSectno"/>
        </w:rPr>
        <w:t>107</w:t>
      </w:r>
      <w:r>
        <w:rPr>
          <w:snapToGrid w:val="0"/>
        </w:rPr>
        <w:t>.</w:t>
      </w:r>
      <w:r>
        <w:rPr>
          <w:snapToGrid w:val="0"/>
        </w:rPr>
        <w:tab/>
        <w:t>Loss of lodger’s property, licensee’s liability for</w:t>
      </w:r>
      <w:bookmarkEnd w:id="360"/>
    </w:p>
    <w:p>
      <w:pPr>
        <w:pStyle w:val="Subsection"/>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rPr>
          <w:snapToGrid w:val="0"/>
        </w:rPr>
      </w:pPr>
      <w:r>
        <w:rPr>
          <w:snapToGrid w:val="0"/>
        </w:rPr>
        <w:tab/>
        <w:t>(a)</w:t>
      </w:r>
      <w:r>
        <w:rPr>
          <w:snapToGrid w:val="0"/>
        </w:rPr>
        <w:tab/>
        <w:t>the property was lost or damaged due to the wilful act, default or neglect of the licensee or a person in the employment of the licensee; or</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361" w:name="_Toc471906845"/>
      <w:bookmarkStart w:id="362" w:name="_Toc472001762"/>
      <w:bookmarkStart w:id="363" w:name="_Toc472676790"/>
      <w:bookmarkStart w:id="364" w:name="_Toc472682175"/>
      <w:bookmarkStart w:id="365" w:name="_Toc473119316"/>
      <w:bookmarkStart w:id="366" w:name="_Toc522197370"/>
      <w:r>
        <w:rPr>
          <w:rStyle w:val="CharDivNo"/>
        </w:rPr>
        <w:t>Division 6</w:t>
      </w:r>
      <w:r>
        <w:rPr>
          <w:snapToGrid w:val="0"/>
        </w:rPr>
        <w:t> — </w:t>
      </w:r>
      <w:r>
        <w:rPr>
          <w:rStyle w:val="CharDivText"/>
        </w:rPr>
        <w:t>The sale and consumption of liquor, etc.</w:t>
      </w:r>
      <w:bookmarkEnd w:id="361"/>
      <w:bookmarkEnd w:id="362"/>
      <w:bookmarkEnd w:id="363"/>
      <w:bookmarkEnd w:id="364"/>
      <w:bookmarkEnd w:id="365"/>
      <w:bookmarkEnd w:id="366"/>
      <w:r>
        <w:rPr>
          <w:rStyle w:val="CharDivText"/>
        </w:rPr>
        <w:t xml:space="preserve"> </w:t>
      </w:r>
    </w:p>
    <w:p>
      <w:pPr>
        <w:pStyle w:val="Heading5"/>
      </w:pPr>
      <w:bookmarkStart w:id="367" w:name="_Toc522197371"/>
      <w:r>
        <w:rPr>
          <w:rStyle w:val="CharSectno"/>
        </w:rPr>
        <w:t>108</w:t>
      </w:r>
      <w:r>
        <w:t>.</w:t>
      </w:r>
      <w:r>
        <w:tab/>
        <w:t>Certain licensees to exhibit charges for meals and liquor</w:t>
      </w:r>
      <w:bookmarkEnd w:id="367"/>
    </w:p>
    <w:p>
      <w:pPr>
        <w:pStyle w:val="Subsection"/>
        <w:rPr>
          <w:snapToGrid w:val="0"/>
        </w:rPr>
      </w:pPr>
      <w:r>
        <w:rPr>
          <w:snapToGrid w:val="0"/>
        </w:rPr>
        <w:tab/>
      </w:r>
      <w:r>
        <w:rPr>
          <w:snapToGrid w:val="0"/>
        </w:rPr>
        <w:tab/>
        <w:t xml:space="preserve">At a time when — </w:t>
      </w:r>
    </w:p>
    <w:p>
      <w:pPr>
        <w:pStyle w:val="Indenta"/>
      </w:pPr>
      <w:r>
        <w:tab/>
        <w:t>(a)</w:t>
      </w:r>
      <w:r>
        <w:tab/>
        <w:t>a licensee is authorised to sell liquor only with or ancillary to a meal; or</w:t>
      </w:r>
    </w:p>
    <w:p>
      <w:pPr>
        <w:pStyle w:val="Indenta"/>
      </w:pPr>
      <w:r>
        <w:tab/>
        <w:t>(b)</w:t>
      </w:r>
      <w:r>
        <w:tab/>
        <w:t>a licensee of a restaurant licence is authorised to sell liquor whether or not ancillary to a meal,</w:t>
      </w:r>
    </w:p>
    <w:p>
      <w:pPr>
        <w:pStyle w:val="Subsection"/>
      </w:pPr>
      <w:r>
        <w:tab/>
      </w:r>
      <w:r>
        <w:tab/>
        <w:t>the licensee is to cause to be exhibited in the place where that liquor is sold, for the use of and clearly visible to customers, a price list showing the charges made for meals and for the various types of liquor supplied ancillary to meals or otherwise.</w:t>
      </w:r>
    </w:p>
    <w:p>
      <w:pPr>
        <w:pStyle w:val="Penstart"/>
      </w:pPr>
      <w:r>
        <w:tab/>
        <w:t>Penalty: a fine of $2 000.</w:t>
      </w:r>
    </w:p>
    <w:p>
      <w:pPr>
        <w:pStyle w:val="Footnotesection"/>
        <w:ind w:left="890" w:hanging="890"/>
      </w:pPr>
      <w:r>
        <w:tab/>
        <w:t>[Section 108 inserted by No. 73 of 2006 s. 75; amended by No. 56 of 2010 s. 69.]</w:t>
      </w:r>
    </w:p>
    <w:p>
      <w:pPr>
        <w:pStyle w:val="Heading5"/>
        <w:spacing w:before="240"/>
        <w:rPr>
          <w:snapToGrid w:val="0"/>
        </w:rPr>
      </w:pPr>
      <w:bookmarkStart w:id="368" w:name="_Toc522197372"/>
      <w:r>
        <w:rPr>
          <w:rStyle w:val="CharSectno"/>
        </w:rPr>
        <w:t>109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liquor, offences as to</w:t>
      </w:r>
      <w:bookmarkEnd w:id="368"/>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is an employee or an agent of a person so authorised, and is lawfully acting in that capacity,</w:t>
      </w:r>
    </w:p>
    <w:p>
      <w:pPr>
        <w:pStyle w:val="Subsection"/>
        <w:rPr>
          <w:snapToGrid w:val="0"/>
        </w:rPr>
      </w:pPr>
      <w:r>
        <w:rPr>
          <w:snapToGrid w:val="0"/>
        </w:rPr>
        <w:tab/>
      </w:r>
      <w:r>
        <w:rPr>
          <w:snapToGrid w:val="0"/>
        </w:rPr>
        <w:tab/>
        <w:t>or the sale is deemed to have been made under such a licence or permit.</w:t>
      </w:r>
    </w:p>
    <w:p>
      <w:pPr>
        <w:pStyle w:val="Penstart"/>
      </w:pPr>
      <w:r>
        <w:tab/>
        <w:t>Penalty: a fine of $20 000 and imprisonment for 2 years, but the minimum penalty is a fine of $2 000.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spacing w:before="60"/>
        <w:rPr>
          <w:snapToGrid w:val="0"/>
        </w:rPr>
      </w:pPr>
      <w:r>
        <w:rPr>
          <w:snapToGrid w:val="0"/>
        </w:rPr>
        <w:tab/>
        <w:t>(a)</w:t>
      </w:r>
      <w:r>
        <w:rPr>
          <w:snapToGrid w:val="0"/>
        </w:rPr>
        <w:tab/>
        <w:t>carries liquor about for the purpose of sale; or</w:t>
      </w:r>
    </w:p>
    <w:p>
      <w:pPr>
        <w:pStyle w:val="Indenta"/>
        <w:rPr>
          <w:snapToGrid w:val="0"/>
        </w:rPr>
      </w:pPr>
      <w:r>
        <w:rPr>
          <w:snapToGrid w:val="0"/>
        </w:rPr>
        <w:tab/>
        <w:t>(b)</w:t>
      </w:r>
      <w:r>
        <w:rPr>
          <w:snapToGrid w:val="0"/>
        </w:rPr>
        <w:tab/>
        <w:t>offers or exposes liquor for sale at or upon any place other than a place at or upon which liquor may lawfully be sold; or</w:t>
      </w:r>
    </w:p>
    <w:p>
      <w:pPr>
        <w:pStyle w:val="Indenta"/>
        <w:rPr>
          <w:snapToGrid w:val="0"/>
        </w:rPr>
      </w:pPr>
      <w:r>
        <w:rPr>
          <w:snapToGrid w:val="0"/>
        </w:rPr>
        <w:tab/>
        <w:t>(c)</w:t>
      </w:r>
      <w:r>
        <w:rPr>
          <w:snapToGrid w:val="0"/>
        </w:rPr>
        <w:tab/>
        <w:t>carries liquor, for the purpose of sale, to a place other than a place at or upon which liquor may lawfully be sold; or</w:t>
      </w:r>
    </w:p>
    <w:p>
      <w:pPr>
        <w:pStyle w:val="Indenta"/>
        <w:rPr>
          <w:snapToGrid w:val="0"/>
        </w:rPr>
      </w:pPr>
      <w:r>
        <w:rPr>
          <w:snapToGrid w:val="0"/>
        </w:rPr>
        <w:tab/>
        <w:t>(d)</w:t>
      </w:r>
      <w:r>
        <w:rPr>
          <w:snapToGrid w:val="0"/>
        </w:rPr>
        <w:tab/>
        <w:t>employs any person, or engages any person as an agent, so to do,</w:t>
      </w:r>
    </w:p>
    <w:p>
      <w:pPr>
        <w:pStyle w:val="Subsection"/>
        <w:rPr>
          <w:snapToGrid w:val="0"/>
        </w:rPr>
      </w:pPr>
      <w:r>
        <w:rPr>
          <w:snapToGrid w:val="0"/>
        </w:rPr>
        <w:tab/>
      </w:r>
      <w:r>
        <w:rPr>
          <w:snapToGrid w:val="0"/>
        </w:rPr>
        <w:tab/>
        <w:t>commits an offence.</w:t>
      </w:r>
    </w:p>
    <w:p>
      <w:pPr>
        <w:pStyle w:val="Penstart"/>
      </w:pPr>
      <w:r>
        <w:tab/>
        <w:t>Penalty: a fine of $10 000, but the minimum penalty is a fine of $1 000.</w:t>
      </w:r>
    </w:p>
    <w:p>
      <w:pPr>
        <w:pStyle w:val="Subsection"/>
      </w:pPr>
      <w:r>
        <w:tab/>
        <w:t>(4A)</w:t>
      </w:r>
      <w:r>
        <w:tab/>
        <w:t xml:space="preserve">A licensee, or an employee or agent of a licensee (the </w:t>
      </w:r>
      <w:r>
        <w:rPr>
          <w:rStyle w:val="CharDefText"/>
        </w:rPr>
        <w:t>seller</w:t>
      </w:r>
      <w:r>
        <w:t xml:space="preserve">), commits an offence if — </w:t>
      </w:r>
    </w:p>
    <w:p>
      <w:pPr>
        <w:pStyle w:val="Indenta"/>
      </w:pPr>
      <w:r>
        <w:tab/>
        <w:t>(a)</w:t>
      </w:r>
      <w:r>
        <w:tab/>
        <w:t xml:space="preserve">the seller sells liquor to another person (the </w:t>
      </w:r>
      <w:r>
        <w:rPr>
          <w:rStyle w:val="CharDefText"/>
          <w:bCs/>
          <w:iCs/>
        </w:rPr>
        <w:t>buyer</w:t>
      </w:r>
      <w:r>
        <w:t>) whom the seller reasonably believes, or ought reasonably to believe, intends to sell the liquor in contravention of subsection (1); and</w:t>
      </w:r>
    </w:p>
    <w:p>
      <w:pPr>
        <w:pStyle w:val="Indenta"/>
        <w:keepNext/>
      </w:pPr>
      <w:r>
        <w:tab/>
        <w:t>(b)</w:t>
      </w:r>
      <w:r>
        <w:tab/>
        <w:t>the buyer sells the liquor in contravention of subsection (1).</w:t>
      </w:r>
    </w:p>
    <w:p>
      <w:pPr>
        <w:pStyle w:val="Penstart"/>
      </w:pPr>
      <w:r>
        <w:tab/>
        <w:t>Penalty: a fine of $20 000 and imprisonment for 2 years, but the minimum penalty is a fine of $2 000.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keepLines/>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keepLines/>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ind w:left="890" w:hanging="890"/>
      </w:pPr>
      <w:r>
        <w:tab/>
        <w:t xml:space="preserve">[Section 109 amended by No. 84 of 2004 s. 80 and 82; No. 73 of 2006 s. 76 and 110; No. 56 of 2010 s. 52.] </w:t>
      </w:r>
    </w:p>
    <w:p>
      <w:pPr>
        <w:pStyle w:val="Heading5"/>
        <w:keepLines w:val="0"/>
        <w:spacing w:before="240"/>
        <w:rPr>
          <w:snapToGrid w:val="0"/>
        </w:rPr>
      </w:pPr>
      <w:bookmarkStart w:id="369" w:name="_Toc522197373"/>
      <w:r>
        <w:rPr>
          <w:rStyle w:val="CharSectno"/>
        </w:rPr>
        <w:t>110</w:t>
      </w:r>
      <w:r>
        <w:rPr>
          <w:snapToGrid w:val="0"/>
        </w:rPr>
        <w:t>.</w:t>
      </w:r>
      <w:r>
        <w:rPr>
          <w:snapToGrid w:val="0"/>
        </w:rPr>
        <w:tab/>
        <w:t>Licensed premises and sports arenas, offences as to</w:t>
      </w:r>
      <w:bookmarkEnd w:id="369"/>
    </w:p>
    <w:p>
      <w:pPr>
        <w:pStyle w:val="Subsection"/>
        <w:keepLines/>
        <w:widowControl w:val="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rPr>
          <w:snapToGrid w:val="0"/>
        </w:rPr>
      </w:pPr>
      <w:r>
        <w:rPr>
          <w:snapToGrid w:val="0"/>
        </w:rPr>
        <w:tab/>
        <w:t>(a)</w:t>
      </w:r>
      <w:r>
        <w:rPr>
          <w:snapToGrid w:val="0"/>
        </w:rPr>
        <w:tab/>
        <w:t>sells liquor on or from the premises otherwise than as, and at the place, authorised under this Act; or</w:t>
      </w:r>
    </w:p>
    <w:p>
      <w:pPr>
        <w:pStyle w:val="Indenta"/>
        <w:rPr>
          <w:snapToGrid w:val="0"/>
        </w:rPr>
      </w:pPr>
      <w:r>
        <w:rPr>
          <w:snapToGrid w:val="0"/>
        </w:rPr>
        <w:tab/>
        <w:t>(aa)</w:t>
      </w:r>
      <w:r>
        <w:rPr>
          <w:snapToGrid w:val="0"/>
        </w:rPr>
        <w:tab/>
        <w:t>acts in any way that contravenes this Act or any term or condition of the licence or permit; or</w:t>
      </w:r>
    </w:p>
    <w:p>
      <w:pPr>
        <w:pStyle w:val="Indenta"/>
        <w:keepLines/>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rPr>
          <w:snapToGrid w:val="0"/>
        </w:rPr>
      </w:pPr>
      <w:r>
        <w:rPr>
          <w:snapToGrid w:val="0"/>
        </w:rPr>
        <w:tab/>
      </w:r>
      <w:r>
        <w:rPr>
          <w:snapToGrid w:val="0"/>
        </w:rPr>
        <w:tab/>
        <w:t>that person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rPr>
          <w:snapToGrid w:val="0"/>
        </w:rPr>
      </w:pPr>
      <w:r>
        <w:rPr>
          <w:snapToGrid w:val="0"/>
        </w:rPr>
        <w:tab/>
        <w:t>(a)</w:t>
      </w:r>
      <w:r>
        <w:rPr>
          <w:snapToGrid w:val="0"/>
        </w:rPr>
        <w:tab/>
        <w:t>to whom the licensee is not authorised by the licence to sell the liquor for consumption there; or</w:t>
      </w:r>
    </w:p>
    <w:p>
      <w:pPr>
        <w:pStyle w:val="Indenta"/>
        <w:rPr>
          <w:snapToGrid w:val="0"/>
        </w:rPr>
      </w:pPr>
      <w:r>
        <w:rPr>
          <w:snapToGrid w:val="0"/>
        </w:rPr>
        <w:tab/>
        <w:t>(b)</w:t>
      </w:r>
      <w:r>
        <w:rPr>
          <w:snapToGrid w:val="0"/>
        </w:rPr>
        <w:tab/>
        <w:t>for whose consumption there the licensee is not authorised by the licence to sell the liquor to any other person; or</w:t>
      </w:r>
    </w:p>
    <w:p>
      <w:pPr>
        <w:pStyle w:val="Indenta"/>
        <w:keepNext/>
        <w:keepLines/>
        <w:rPr>
          <w:snapToGrid w:val="0"/>
        </w:rPr>
      </w:pPr>
      <w:r>
        <w:rPr>
          <w:snapToGrid w:val="0"/>
        </w:rPr>
        <w:tab/>
        <w:t>(c)</w:t>
      </w:r>
      <w:r>
        <w:rPr>
          <w:snapToGrid w:val="0"/>
        </w:rPr>
        <w:tab/>
        <w:t>during permitted hours, but in circumstances not otherwise authorised,</w:t>
      </w:r>
    </w:p>
    <w:p>
      <w:pPr>
        <w:pStyle w:val="Subsection"/>
        <w:keepLines/>
        <w:widowControl w:val="0"/>
        <w:spacing w:before="100"/>
        <w:rPr>
          <w:snapToGrid w:val="0"/>
        </w:rPr>
      </w:pPr>
      <w:r>
        <w:rPr>
          <w:snapToGrid w:val="0"/>
        </w:rPr>
        <w:tab/>
      </w:r>
      <w:r>
        <w:rPr>
          <w:snapToGrid w:val="0"/>
        </w:rPr>
        <w:tab/>
        <w:t>without reasonable excuse,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keepLines/>
      </w:pPr>
      <w:r>
        <w:tab/>
        <w:t xml:space="preserve">Penalty: </w:t>
      </w:r>
    </w:p>
    <w:p>
      <w:pPr>
        <w:pStyle w:val="Penpara"/>
        <w:keepLines/>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pPr>
      <w:r>
        <w:tab/>
        <w:t>(4AA)</w:t>
      </w:r>
      <w:r>
        <w:tab/>
        <w:t xml:space="preserve">Subsection (3) does not apply if — </w:t>
      </w:r>
    </w:p>
    <w:p>
      <w:pPr>
        <w:pStyle w:val="Indenta"/>
      </w:pPr>
      <w:r>
        <w:tab/>
        <w:t>(a)</w:t>
      </w:r>
      <w:r>
        <w:tab/>
        <w:t>a person takes liquor from premises to adjacent premises; and</w:t>
      </w:r>
    </w:p>
    <w:p>
      <w:pPr>
        <w:pStyle w:val="Indenta"/>
      </w:pPr>
      <w:r>
        <w:tab/>
        <w:t>(b)</w:t>
      </w:r>
      <w:r>
        <w:tab/>
        <w:t>both premises are licensed, or deemed to be licensed, in the name of the licensee.</w:t>
      </w:r>
    </w:p>
    <w:p>
      <w:pPr>
        <w:pStyle w:val="Subsection"/>
      </w:pPr>
      <w:r>
        <w:tab/>
        <w:t>(4A)</w:t>
      </w:r>
      <w:r>
        <w:tab/>
        <w:t>A person attending a public event at a sports arena commits an offence if, without the consent of the licensee, the person —</w:t>
      </w:r>
    </w:p>
    <w:p>
      <w:pPr>
        <w:pStyle w:val="Indenta"/>
      </w:pPr>
      <w:r>
        <w:tab/>
        <w:t>(a)</w:t>
      </w:r>
      <w:r>
        <w:tab/>
        <w:t>brings into the sports arena; or</w:t>
      </w:r>
    </w:p>
    <w:p>
      <w:pPr>
        <w:pStyle w:val="Indenta"/>
      </w:pPr>
      <w:r>
        <w:tab/>
        <w:t>(b)</w:t>
      </w:r>
      <w:r>
        <w:tab/>
        <w:t>attempts to bring into the sports arena; or</w:t>
      </w:r>
    </w:p>
    <w:p>
      <w:pPr>
        <w:pStyle w:val="Indenta"/>
      </w:pPr>
      <w:r>
        <w:tab/>
        <w:t>(c)</w:t>
      </w:r>
      <w:r>
        <w:tab/>
        <w:t>has in his or her possession or control; or</w:t>
      </w:r>
    </w:p>
    <w:p>
      <w:pPr>
        <w:pStyle w:val="Indenta"/>
      </w:pPr>
      <w:r>
        <w:tab/>
        <w:t>(d)</w:t>
      </w:r>
      <w:r>
        <w:tab/>
        <w:t>consumes,</w:t>
      </w:r>
    </w:p>
    <w:p>
      <w:pPr>
        <w:pStyle w:val="Subsection"/>
        <w:spacing w:before="120"/>
      </w:pPr>
      <w:r>
        <w:tab/>
      </w:r>
      <w:r>
        <w:tab/>
        <w:t>any liquor that was not purchased in the sports arena while it was open for the purpose of holding or conducting that public event.</w:t>
      </w:r>
    </w:p>
    <w:p>
      <w:pPr>
        <w:pStyle w:val="Penstart"/>
      </w:pPr>
      <w:r>
        <w:tab/>
        <w:t>Penalty: a fine of $2 000.</w:t>
      </w:r>
    </w:p>
    <w:p>
      <w:pPr>
        <w:pStyle w:val="Subsection"/>
        <w:spacing w:before="140"/>
      </w:pPr>
      <w:r>
        <w:tab/>
        <w:t>(4B)</w:t>
      </w:r>
      <w:r>
        <w:tab/>
        <w:t>In subsection (4A) —</w:t>
      </w:r>
    </w:p>
    <w:p>
      <w:pPr>
        <w:pStyle w:val="Defstart"/>
      </w:pPr>
      <w:r>
        <w:tab/>
      </w:r>
      <w:r>
        <w:rPr>
          <w:rStyle w:val="CharDefText"/>
        </w:rPr>
        <w:t>public event</w:t>
      </w:r>
      <w:r>
        <w:t xml:space="preserve"> means —</w:t>
      </w:r>
    </w:p>
    <w:p>
      <w:pPr>
        <w:pStyle w:val="Defpara"/>
      </w:pPr>
      <w:r>
        <w:tab/>
        <w:t>(a)</w:t>
      </w:r>
      <w:r>
        <w:tab/>
        <w:t>any event, including any game or sport, that is held or conducted for public exhibition; or</w:t>
      </w:r>
    </w:p>
    <w:p>
      <w:pPr>
        <w:pStyle w:val="Defpara"/>
      </w:pPr>
      <w:r>
        <w:tab/>
        <w:t>(b)</w:t>
      </w:r>
      <w:r>
        <w:tab/>
        <w:t>any —</w:t>
      </w:r>
    </w:p>
    <w:p>
      <w:pPr>
        <w:pStyle w:val="Defsubpara"/>
      </w:pPr>
      <w:r>
        <w:tab/>
        <w:t>(i)</w:t>
      </w:r>
      <w:r>
        <w:tab/>
        <w:t>training session, practice or rehearsal; or</w:t>
      </w:r>
    </w:p>
    <w:p>
      <w:pPr>
        <w:pStyle w:val="Defsubpara"/>
      </w:pPr>
      <w:r>
        <w:tab/>
        <w:t>(ii)</w:t>
      </w:r>
      <w:r>
        <w:tab/>
        <w:t>promotional or advertising event, press conference, preview or similar activity,</w:t>
      </w:r>
    </w:p>
    <w:p>
      <w:pPr>
        <w:pStyle w:val="Defpara"/>
      </w:pPr>
      <w:r>
        <w:tab/>
      </w:r>
      <w:r>
        <w:tab/>
        <w:t>that is held or conducted for purposes other than public exhibition but which is open to the public;</w:t>
      </w:r>
    </w:p>
    <w:p>
      <w:pPr>
        <w:pStyle w:val="Defstart"/>
      </w:pPr>
      <w:r>
        <w:rPr>
          <w:b/>
        </w:rPr>
        <w:tab/>
      </w:r>
      <w:r>
        <w:rPr>
          <w:rStyle w:val="CharDefText"/>
        </w:rPr>
        <w:t>sports arena</w:t>
      </w:r>
      <w:r>
        <w:t xml:space="preserve"> means a sports arena, ground or stadium —</w:t>
      </w:r>
    </w:p>
    <w:p>
      <w:pPr>
        <w:pStyle w:val="Defpara"/>
      </w:pPr>
      <w:r>
        <w:tab/>
        <w:t>(a)</w:t>
      </w:r>
      <w:r>
        <w:tab/>
        <w:t>all or part of which is licensed premises; and</w:t>
      </w:r>
    </w:p>
    <w:p>
      <w:pPr>
        <w:pStyle w:val="Defpara"/>
      </w:pPr>
      <w:r>
        <w:tab/>
        <w:t>(b)</w:t>
      </w:r>
      <w:r>
        <w:tab/>
        <w:t>that is prescribed for the purposes of this definition.</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80"/>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keepNext/>
        <w:rPr>
          <w:snapToGrid w:val="0"/>
        </w:rPr>
      </w:pPr>
      <w:r>
        <w:rPr>
          <w:snapToGrid w:val="0"/>
        </w:rPr>
        <w:tab/>
        <w:t>(b)</w:t>
      </w:r>
      <w:r>
        <w:rPr>
          <w:snapToGrid w:val="0"/>
        </w:rPr>
        <w:tab/>
        <w:t>the consumption of liquor on the licensed premises ancillary to a meal provided by the licensee,</w:t>
      </w:r>
    </w:p>
    <w:p>
      <w:pPr>
        <w:pStyle w:val="Subsection"/>
        <w:spacing w:before="180"/>
        <w:rPr>
          <w:snapToGrid w:val="0"/>
        </w:rPr>
      </w:pPr>
      <w:r>
        <w:rPr>
          <w:snapToGrid w:val="0"/>
        </w:rPr>
        <w:tab/>
      </w:r>
      <w:r>
        <w:rPr>
          <w:snapToGrid w:val="0"/>
        </w:rPr>
        <w:tab/>
        <w:t>then, notwithstanding any other provision of this Act, it is lawful for a person — </w:t>
      </w:r>
    </w:p>
    <w:p>
      <w:pPr>
        <w:pStyle w:val="Indenta"/>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pPr>
      <w:r>
        <w:tab/>
        <w:t>(6A)</w:t>
      </w:r>
      <w:r>
        <w:tab/>
        <w:t xml:space="preserve">If, under a licence, wine is sold to a person (the </w:t>
      </w:r>
      <w:r>
        <w:rPr>
          <w:rStyle w:val="CharDefText"/>
        </w:rPr>
        <w:t>purchaser</w:t>
      </w:r>
      <w:r>
        <w:t>) for consumption on the licensed premises ancillary to a meal provided by the licensee, then, despite any other provision of this Act, it is lawful for the purchaser subsequently to take from the licensed premises any opened container of the wine if its contents have been partially consumed.</w:t>
      </w:r>
    </w:p>
    <w:p>
      <w:pPr>
        <w:pStyle w:val="Subsection"/>
        <w:spacing w:before="180"/>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keepNext/>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110 amended by No. 12 of 1998 s. 76; No. 73 of 2006 s. 77 and 110; No. 56 of 2010 s. 53 and 69; No. 35 of 2015 s. 17; No. 9 of 2018 s. 54.] </w:t>
      </w:r>
    </w:p>
    <w:p>
      <w:pPr>
        <w:pStyle w:val="Heading5"/>
        <w:rPr>
          <w:snapToGrid w:val="0"/>
        </w:rPr>
      </w:pPr>
      <w:bookmarkStart w:id="370" w:name="_Toc522197374"/>
      <w:r>
        <w:rPr>
          <w:rStyle w:val="CharSectno"/>
        </w:rPr>
        <w:t>111</w:t>
      </w:r>
      <w:r>
        <w:rPr>
          <w:snapToGrid w:val="0"/>
        </w:rPr>
        <w:t>.</w:t>
      </w:r>
      <w:r>
        <w:rPr>
          <w:snapToGrid w:val="0"/>
        </w:rPr>
        <w:tab/>
        <w:t>Trading outside permitted hours, offences as to</w:t>
      </w:r>
      <w:bookmarkEnd w:id="370"/>
    </w:p>
    <w:p>
      <w:pPr>
        <w:pStyle w:val="Subsection"/>
        <w:keepNext/>
        <w:keepLines/>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keepLines/>
      </w:pPr>
      <w:r>
        <w:tab/>
        <w:t xml:space="preserve">Penalty: </w:t>
      </w:r>
    </w:p>
    <w:p>
      <w:pPr>
        <w:pStyle w:val="Penpara"/>
        <w:keepLines/>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rPr>
          <w:snapToGrid w:val="0"/>
        </w:rPr>
      </w:pPr>
      <w:r>
        <w:rPr>
          <w:snapToGrid w:val="0"/>
        </w:rPr>
        <w:tab/>
        <w:t>(a)</w:t>
      </w:r>
      <w:r>
        <w:rPr>
          <w:snapToGrid w:val="0"/>
        </w:rPr>
        <w:tab/>
        <w:t>purchases or consumes liquor, or is in possession of liquor, on the licensed premises; or</w:t>
      </w:r>
    </w:p>
    <w:p>
      <w:pPr>
        <w:pStyle w:val="Indenta"/>
        <w:keepNext/>
        <w:rPr>
          <w:snapToGrid w:val="0"/>
        </w:rPr>
      </w:pPr>
      <w:r>
        <w:rPr>
          <w:snapToGrid w:val="0"/>
        </w:rPr>
        <w:tab/>
        <w:t>(b)</w:t>
      </w:r>
      <w:r>
        <w:rPr>
          <w:snapToGrid w:val="0"/>
        </w:rPr>
        <w:tab/>
        <w:t>takes liquor from the licensed premises,</w:t>
      </w:r>
    </w:p>
    <w:p>
      <w:pPr>
        <w:pStyle w:val="Subsection"/>
        <w:keepNext/>
        <w:keepLines/>
        <w:rPr>
          <w:snapToGrid w:val="0"/>
        </w:rPr>
      </w:pPr>
      <w:r>
        <w:rPr>
          <w:snapToGrid w:val="0"/>
        </w:rPr>
        <w:tab/>
      </w:r>
      <w:r>
        <w:rPr>
          <w:snapToGrid w:val="0"/>
        </w:rPr>
        <w:tab/>
        <w:t>that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(2a)</w:t>
      </w:r>
      <w:r>
        <w:rPr>
          <w:snapToGrid w:val="0"/>
        </w:rPr>
        <w:tab/>
        <w:t>To avoid doubt, an act referred to in this section constitutes an offence if done while a licence is suspended.</w:t>
      </w:r>
    </w:p>
    <w:p>
      <w:pPr>
        <w:pStyle w:val="Subsection"/>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ind w:left="890" w:hanging="890"/>
      </w:pPr>
      <w:r>
        <w:tab/>
        <w:t xml:space="preserve">[Section 111 amended by No. 12 of 1998 s. 77; No. 73 of 2006 s. 110; No. 56 of 2010 s. 54 and 69.] </w:t>
      </w:r>
    </w:p>
    <w:p>
      <w:pPr>
        <w:pStyle w:val="Heading5"/>
        <w:keepNext w:val="0"/>
        <w:keepLines w:val="0"/>
        <w:rPr>
          <w:snapToGrid w:val="0"/>
        </w:rPr>
      </w:pPr>
      <w:bookmarkStart w:id="371" w:name="_Toc522197375"/>
      <w:r>
        <w:rPr>
          <w:rStyle w:val="CharSectno"/>
        </w:rPr>
        <w:t>112</w:t>
      </w:r>
      <w:r>
        <w:rPr>
          <w:snapToGrid w:val="0"/>
        </w:rPr>
        <w:t>.</w:t>
      </w:r>
      <w:r>
        <w:rPr>
          <w:snapToGrid w:val="0"/>
        </w:rPr>
        <w:tab/>
        <w:t>Exceptions to s. 109, 110 and 111</w:t>
      </w:r>
      <w:bookmarkEnd w:id="371"/>
    </w:p>
    <w:p>
      <w:pPr>
        <w:pStyle w:val="Subsection"/>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widowControl w:val="0"/>
        <w:rPr>
          <w:snapToGrid w:val="0"/>
        </w:rPr>
      </w:pPr>
      <w:r>
        <w:rPr>
          <w:snapToGrid w:val="0"/>
        </w:rPr>
        <w:tab/>
        <w:t>(i)</w:t>
      </w:r>
      <w:r>
        <w:rPr>
          <w:snapToGrid w:val="0"/>
        </w:rPr>
        <w:tab/>
        <w:t xml:space="preserve">during the first </w:t>
      </w:r>
      <w:r>
        <w:t>30</w:t>
      </w:r>
      <w:r>
        <w:rPr>
          <w:snapToGrid w:val="0"/>
        </w:rPr>
        <w:t xml:space="preserve">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possession or consumption by any person of liquor on premises where the person resides; or</w:t>
      </w:r>
    </w:p>
    <w:p>
      <w:pPr>
        <w:pStyle w:val="Indenta"/>
        <w:keepLines/>
        <w:widowControl w:val="0"/>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keepNext/>
        <w:rPr>
          <w:snapToGrid w:val="0"/>
        </w:rPr>
      </w:pPr>
      <w:r>
        <w:rPr>
          <w:snapToGrid w:val="0"/>
        </w:rPr>
        <w:tab/>
        <w:t>(d)</w:t>
      </w:r>
      <w:r>
        <w:rPr>
          <w:snapToGrid w:val="0"/>
        </w:rPr>
        <w:tab/>
        <w:t>as regards licensed premises — </w:t>
      </w:r>
    </w:p>
    <w:p>
      <w:pPr>
        <w:pStyle w:val="Indenti"/>
        <w:rPr>
          <w:snapToGrid w:val="0"/>
        </w:rPr>
      </w:pPr>
      <w:r>
        <w:rPr>
          <w:snapToGrid w:val="0"/>
        </w:rPr>
        <w:tab/>
        <w:t>(i)</w:t>
      </w:r>
      <w:r>
        <w:rPr>
          <w:snapToGrid w:val="0"/>
        </w:rPr>
        <w:tab/>
        <w:t>the taking of liquor from the premises by a person who resides there; or</w:t>
      </w:r>
    </w:p>
    <w:p>
      <w:pPr>
        <w:pStyle w:val="Indenti"/>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rPr>
          <w:snapToGrid w:val="0"/>
        </w:rPr>
      </w:pPr>
      <w:r>
        <w:rPr>
          <w:snapToGrid w:val="0"/>
        </w:rPr>
        <w:tab/>
        <w:t>(2)</w:t>
      </w:r>
      <w:r>
        <w:rPr>
          <w:snapToGrid w:val="0"/>
        </w:rPr>
        <w:tab/>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spacing w:before="80"/>
        <w:ind w:left="890" w:hanging="890"/>
      </w:pPr>
      <w:r>
        <w:tab/>
        <w:t xml:space="preserve">[Section 112 amended by No. 12 of 1998 s. 78; No. 84 of 2004 s. 80; No. 9 of 2018 s. 55.] </w:t>
      </w:r>
    </w:p>
    <w:p>
      <w:pPr>
        <w:pStyle w:val="Heading5"/>
        <w:keepNext w:val="0"/>
        <w:keepLines w:val="0"/>
        <w:rPr>
          <w:snapToGrid w:val="0"/>
        </w:rPr>
      </w:pPr>
      <w:bookmarkStart w:id="372" w:name="_Toc522197376"/>
      <w:r>
        <w:rPr>
          <w:rStyle w:val="CharSectno"/>
        </w:rPr>
        <w:t>113</w:t>
      </w:r>
      <w:r>
        <w:rPr>
          <w:snapToGrid w:val="0"/>
        </w:rPr>
        <w:t>.</w:t>
      </w:r>
      <w:r>
        <w:rPr>
          <w:snapToGrid w:val="0"/>
        </w:rPr>
        <w:tab/>
        <w:t>Offence under s. 109, 110 or 111, finding as to unlawful dealing in liquor; forfeiture of liquor</w:t>
      </w:r>
      <w:bookmarkEnd w:id="372"/>
    </w:p>
    <w:p>
      <w:pPr>
        <w:pStyle w:val="Subsection"/>
        <w:widowControl w:val="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Footnotesection"/>
        <w:ind w:left="890" w:hanging="890"/>
      </w:pPr>
      <w:r>
        <w:tab/>
        <w:t>[Section 113 amended by No. 6 of 1993 s. 11; No. 49 of 1996 s. 64; No. 59 of 2006 s. 54; No. 77 of 2006 s. 4.]</w:t>
      </w:r>
    </w:p>
    <w:p>
      <w:pPr>
        <w:pStyle w:val="Heading5"/>
      </w:pPr>
      <w:bookmarkStart w:id="373" w:name="_Toc522197377"/>
      <w:r>
        <w:rPr>
          <w:rStyle w:val="CharSectno"/>
        </w:rPr>
        <w:t>113A</w:t>
      </w:r>
      <w:r>
        <w:t>.</w:t>
      </w:r>
      <w:r>
        <w:tab/>
        <w:t>Websites of some licensees, information to be displayed on</w:t>
      </w:r>
      <w:bookmarkEnd w:id="373"/>
    </w:p>
    <w:p>
      <w:pPr>
        <w:pStyle w:val="Subsection"/>
      </w:pPr>
      <w:r>
        <w:tab/>
      </w:r>
      <w:r>
        <w:tab/>
      </w:r>
      <w:r>
        <w:rPr>
          <w:snapToGrid w:val="0"/>
        </w:rPr>
        <w:t>Where</w:t>
      </w:r>
      <w:r>
        <w:t xml:space="preserve"> — </w:t>
      </w:r>
    </w:p>
    <w:p>
      <w:pPr>
        <w:pStyle w:val="Indenta"/>
      </w:pPr>
      <w:r>
        <w:tab/>
        <w:t>(a)</w:t>
      </w:r>
      <w:r>
        <w:tab/>
        <w:t xml:space="preserve">an internet website is maintained by or on behalf of a licensee for the purpose of advertising, promoting or otherwise facilitating the </w:t>
      </w:r>
      <w:r>
        <w:rPr>
          <w:snapToGrid w:val="0"/>
        </w:rPr>
        <w:t>business</w:t>
      </w:r>
      <w:r>
        <w:t xml:space="preserve"> carried on under the licence; and</w:t>
      </w:r>
    </w:p>
    <w:p>
      <w:pPr>
        <w:pStyle w:val="Indenta"/>
        <w:keepNext/>
      </w:pPr>
      <w:r>
        <w:tab/>
        <w:t>(b)</w:t>
      </w:r>
      <w:r>
        <w:tab/>
        <w:t xml:space="preserve">the </w:t>
      </w:r>
      <w:r>
        <w:rPr>
          <w:snapToGrid w:val="0"/>
        </w:rPr>
        <w:t>licence</w:t>
      </w:r>
      <w:r>
        <w:t xml:space="preserve"> is of a prescribed class,</w:t>
      </w:r>
    </w:p>
    <w:p>
      <w:pPr>
        <w:pStyle w:val="Subsection"/>
      </w:pPr>
      <w:r>
        <w:tab/>
      </w:r>
      <w:r>
        <w:tab/>
        <w:t xml:space="preserve">the </w:t>
      </w:r>
      <w:r>
        <w:rPr>
          <w:snapToGrid w:val="0"/>
        </w:rPr>
        <w:t>licensee</w:t>
      </w:r>
      <w:r>
        <w:t xml:space="preserve"> is to include on the website any information prescribed in respect of a licence of that class.</w:t>
      </w:r>
    </w:p>
    <w:p>
      <w:pPr>
        <w:pStyle w:val="Penstart"/>
      </w:pPr>
      <w:r>
        <w:tab/>
        <w:t>Penalty: a fine of $5 000.</w:t>
      </w:r>
    </w:p>
    <w:p>
      <w:pPr>
        <w:pStyle w:val="Footnotesection"/>
        <w:ind w:left="890" w:hanging="890"/>
      </w:pPr>
      <w:r>
        <w:tab/>
        <w:t>[Section 113A inserted by No. 73 of 2006 s. 78; amended by No. 56 of 2010 s. 69.]</w:t>
      </w:r>
    </w:p>
    <w:p>
      <w:pPr>
        <w:pStyle w:val="Heading5"/>
        <w:rPr>
          <w:snapToGrid w:val="0"/>
        </w:rPr>
      </w:pPr>
      <w:bookmarkStart w:id="374" w:name="_Toc522197378"/>
      <w:r>
        <w:rPr>
          <w:rStyle w:val="CharSectno"/>
        </w:rPr>
        <w:t>114</w:t>
      </w:r>
      <w:r>
        <w:rPr>
          <w:snapToGrid w:val="0"/>
        </w:rPr>
        <w:t>.</w:t>
      </w:r>
      <w:r>
        <w:rPr>
          <w:snapToGrid w:val="0"/>
        </w:rPr>
        <w:tab/>
        <w:t>Closure of licensed premises, police powers as to</w:t>
      </w:r>
      <w:bookmarkEnd w:id="374"/>
    </w:p>
    <w:p>
      <w:pPr>
        <w:pStyle w:val="Subsection"/>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 xml:space="preserve">On the orders of the member of the Police Force making a requirement in relation to licensed premises under subsection (1), a person may use such force as may be </w:t>
      </w:r>
      <w:r>
        <w:t xml:space="preserve">reasonably </w:t>
      </w:r>
      <w:r>
        <w:rPr>
          <w:snapToGrid w:val="0"/>
        </w:rPr>
        <w:t>necessary to ensure compliance with the requirement.</w:t>
      </w:r>
    </w:p>
    <w:p>
      <w:pPr>
        <w:pStyle w:val="Footnotesection"/>
      </w:pPr>
      <w:r>
        <w:tab/>
        <w:t xml:space="preserve">[Section 114 amended by No. 12 of 1998 s. 79; No. 73 of 2006 s. 79, 109 and 110; No. 56 of 2010 s. 55.] </w:t>
      </w:r>
    </w:p>
    <w:p>
      <w:pPr>
        <w:pStyle w:val="Heading5"/>
        <w:rPr>
          <w:snapToGrid w:val="0"/>
        </w:rPr>
      </w:pPr>
      <w:bookmarkStart w:id="375" w:name="_Toc522197379"/>
      <w:r>
        <w:rPr>
          <w:rStyle w:val="CharSectno"/>
        </w:rPr>
        <w:t>115</w:t>
      </w:r>
      <w:r>
        <w:rPr>
          <w:snapToGrid w:val="0"/>
        </w:rPr>
        <w:t>.</w:t>
      </w:r>
      <w:r>
        <w:rPr>
          <w:snapToGrid w:val="0"/>
        </w:rPr>
        <w:tab/>
        <w:t>Drunk etc. people, offences as to, refusal of entry to etc.</w:t>
      </w:r>
      <w:bookmarkEnd w:id="375"/>
    </w:p>
    <w:p>
      <w:pPr>
        <w:pStyle w:val="Subsection"/>
        <w:keepNext/>
        <w:spacing w:before="120"/>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rPr>
          <w:snapToGrid w:val="0"/>
        </w:rPr>
      </w:pPr>
      <w:r>
        <w:rPr>
          <w:snapToGrid w:val="0"/>
        </w:rPr>
        <w:tab/>
        <w:t>(i)</w:t>
      </w:r>
      <w:r>
        <w:rPr>
          <w:snapToGrid w:val="0"/>
        </w:rPr>
        <w:tab/>
        <w:t>drunkenness; or</w:t>
      </w:r>
    </w:p>
    <w:p>
      <w:pPr>
        <w:pStyle w:val="Indenti"/>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 xml:space="preserve">to take </w:t>
      </w:r>
      <w:r>
        <w:t>place on the licensed premises; or</w:t>
      </w:r>
    </w:p>
    <w:p>
      <w:pPr>
        <w:pStyle w:val="Indenta"/>
        <w:rPr>
          <w:snapToGrid w:val="0"/>
        </w:rPr>
      </w:pPr>
      <w:r>
        <w:rPr>
          <w:snapToGrid w:val="0"/>
        </w:rPr>
        <w:tab/>
        <w:t>(b)</w:t>
      </w:r>
      <w:r>
        <w:rPr>
          <w:snapToGrid w:val="0"/>
        </w:rPr>
        <w:tab/>
        <w:t xml:space="preserve">permits any reputed thief, prostitute or supplier of unlawful drugs to remain </w:t>
      </w:r>
      <w:r>
        <w:t xml:space="preserve">on the licensed premises; </w:t>
      </w:r>
      <w:r>
        <w:rPr>
          <w:snapToGrid w:val="0"/>
        </w:rPr>
        <w:t>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pPr>
        <w:pStyle w:val="Subsection"/>
        <w:spacing w:before="120"/>
        <w:rPr>
          <w:snapToGrid w:val="0"/>
        </w:rPr>
      </w:pPr>
      <w:r>
        <w:rPr>
          <w:snapToGrid w:val="0"/>
        </w:rPr>
        <w:tab/>
      </w:r>
      <w:r>
        <w:rPr>
          <w:snapToGrid w:val="0"/>
        </w:rPr>
        <w:tab/>
        <w:t>that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spacing w:before="120"/>
        <w:rPr>
          <w:snapToGrid w:val="0"/>
        </w:rPr>
      </w:pPr>
      <w:r>
        <w:rPr>
          <w:snapToGrid w:val="0"/>
        </w:rPr>
        <w:tab/>
        <w:t>(2)</w:t>
      </w:r>
      <w:r>
        <w:rPr>
          <w:snapToGrid w:val="0"/>
        </w:rPr>
        <w:tab/>
        <w:t>A person shall not, on licensed premises</w:t>
      </w:r>
      <w:r>
        <w:t xml:space="preserve"> or regulated premises</w:t>
      </w:r>
      <w:r>
        <w:rPr>
          <w:snapToGrid w:val="0"/>
        </w:rPr>
        <w:t> — </w:t>
      </w:r>
    </w:p>
    <w:p>
      <w:pPr>
        <w:pStyle w:val="Indenta"/>
        <w:spacing w:before="60"/>
        <w:rPr>
          <w:snapToGrid w:val="0"/>
        </w:rPr>
      </w:pPr>
      <w:r>
        <w:rPr>
          <w:snapToGrid w:val="0"/>
        </w:rPr>
        <w:tab/>
        <w:t>(a)</w:t>
      </w:r>
      <w:r>
        <w:rPr>
          <w:snapToGrid w:val="0"/>
        </w:rPr>
        <w:tab/>
        <w:t>sell or supply liquor, or cause or permit liquor to be sold or supplied, to a drunk person; or</w:t>
      </w:r>
    </w:p>
    <w:p>
      <w:pPr>
        <w:pStyle w:val="Indenta"/>
        <w:spacing w:before="60"/>
        <w:rPr>
          <w:snapToGrid w:val="0"/>
        </w:rPr>
      </w:pPr>
      <w:r>
        <w:rPr>
          <w:snapToGrid w:val="0"/>
        </w:rPr>
        <w:tab/>
        <w:t>(b)</w:t>
      </w:r>
      <w:r>
        <w:rPr>
          <w:snapToGrid w:val="0"/>
        </w:rPr>
        <w:tab/>
        <w:t>allow or permit a drunk person to consume liquor; or</w:t>
      </w:r>
    </w:p>
    <w:p>
      <w:pPr>
        <w:pStyle w:val="Indenta"/>
        <w:spacing w:before="60"/>
        <w:rPr>
          <w:snapToGrid w:val="0"/>
        </w:rPr>
      </w:pPr>
      <w:r>
        <w:rPr>
          <w:snapToGrid w:val="0"/>
        </w:rPr>
        <w:tab/>
        <w:t>(c)</w:t>
      </w:r>
      <w:r>
        <w:rPr>
          <w:snapToGrid w:val="0"/>
        </w:rPr>
        <w:tab/>
        <w:t>obtain or attempt to obtain liquor for consumption by a drunk person; or</w:t>
      </w:r>
    </w:p>
    <w:p>
      <w:pPr>
        <w:pStyle w:val="Indenta"/>
        <w:spacing w:before="60"/>
        <w:rPr>
          <w:snapToGrid w:val="0"/>
        </w:rPr>
      </w:pPr>
      <w:r>
        <w:rPr>
          <w:snapToGrid w:val="0"/>
        </w:rPr>
        <w:tab/>
        <w:t>(d)</w:t>
      </w:r>
      <w:r>
        <w:rPr>
          <w:snapToGrid w:val="0"/>
        </w:rPr>
        <w:tab/>
        <w:t>aid a drunk person in obtaining or consuming liquor.</w:t>
      </w:r>
    </w:p>
    <w:p>
      <w:pPr>
        <w:pStyle w:val="Penstart"/>
        <w:spacing w:before="60"/>
      </w:pPr>
      <w:r>
        <w:tab/>
        <w:t xml:space="preserve">Penalty: </w:t>
      </w:r>
    </w:p>
    <w:p>
      <w:pPr>
        <w:pStyle w:val="Penpara"/>
        <w:spacing w:before="60"/>
      </w:pPr>
      <w:r>
        <w:tab/>
        <w:t>(a)</w:t>
      </w:r>
      <w:r>
        <w:tab/>
        <w:t>for an offence on licensed premises —</w:t>
      </w:r>
    </w:p>
    <w:p>
      <w:pPr>
        <w:pStyle w:val="Pensubpara"/>
        <w:spacing w:before="60"/>
      </w:pPr>
      <w:r>
        <w:tab/>
        <w:t>(i)</w:t>
      </w:r>
      <w:r>
        <w:tab/>
        <w:t>for the licensee or a manager, a fine of $10 000;</w:t>
      </w:r>
    </w:p>
    <w:p>
      <w:pPr>
        <w:pStyle w:val="Pensubpara"/>
      </w:pPr>
      <w:r>
        <w:tab/>
        <w:t>(ii)</w:t>
      </w:r>
      <w:r>
        <w:tab/>
        <w:t>for an employee or agent, a fine of $4 000;</w:t>
      </w:r>
    </w:p>
    <w:p>
      <w:pPr>
        <w:pStyle w:val="Pensubpara"/>
      </w:pPr>
      <w:r>
        <w:tab/>
        <w:t>(iii)</w:t>
      </w:r>
      <w:r>
        <w:tab/>
        <w:t>for anyone else, a fine of $2 000;</w:t>
      </w:r>
    </w:p>
    <w:p>
      <w:pPr>
        <w:pStyle w:val="Penpara"/>
      </w:pPr>
      <w:r>
        <w:tab/>
        <w:t>(b)</w:t>
      </w:r>
      <w:r>
        <w:tab/>
        <w:t>for an offence on regulated premises —</w:t>
      </w:r>
    </w:p>
    <w:p>
      <w:pPr>
        <w:pStyle w:val="Pensubpara"/>
      </w:pPr>
      <w:r>
        <w:tab/>
        <w:t>(i)</w:t>
      </w:r>
      <w:r>
        <w:tab/>
        <w:t>for the owner of the regulated premises, a fine of $10 000;</w:t>
      </w:r>
    </w:p>
    <w:p>
      <w:pPr>
        <w:pStyle w:val="Pensubpara"/>
      </w:pPr>
      <w:r>
        <w:tab/>
        <w:t>(ii)</w:t>
      </w:r>
      <w:r>
        <w:tab/>
        <w:t>for anyone else, a fine of $2 000.</w:t>
      </w:r>
    </w:p>
    <w:p>
      <w:pPr>
        <w:pStyle w:val="Subsection"/>
      </w:pPr>
      <w:r>
        <w:tab/>
        <w:t>(3)</w:t>
      </w:r>
      <w:r>
        <w:tab/>
        <w:t>It is a defence to a charge of an offence against subsection (2)(a) of selling or supplying liquor to a drunk person to show that the person charged was instructed by the licensee, a manager or another person in a position of authority in relation to the person charged to sell or supply the liquor to the drunk person.</w:t>
      </w:r>
    </w:p>
    <w:p>
      <w:pPr>
        <w:pStyle w:val="Subsection"/>
        <w:keepNext/>
      </w:pPr>
      <w:r>
        <w:tab/>
        <w:t>(4)</w:t>
      </w:r>
      <w:r>
        <w:tab/>
        <w:t>If subsection (4a) applies to a person —</w:t>
      </w:r>
    </w:p>
    <w:p>
      <w:pPr>
        <w:pStyle w:val="Indenta"/>
      </w:pPr>
      <w:r>
        <w:tab/>
        <w:t>(a)</w:t>
      </w:r>
      <w:r>
        <w:tab/>
        <w:t>an authorised person may refuse the person entry to the licensed premises or a part of the premises; or</w:t>
      </w:r>
    </w:p>
    <w:p>
      <w:pPr>
        <w:pStyle w:val="Indenta"/>
      </w:pPr>
      <w:r>
        <w:tab/>
        <w:t>(b)</w:t>
      </w:r>
      <w:r>
        <w:tab/>
        <w:t>an authorised person may require the person to leave the licensed premises or a part of the premises; or</w:t>
      </w:r>
    </w:p>
    <w:p>
      <w:pPr>
        <w:pStyle w:val="Indenta"/>
      </w:pPr>
      <w:r>
        <w:tab/>
        <w:t>(c)</w:t>
      </w:r>
      <w:r>
        <w:tab/>
        <w:t>if the requirement under paragraph (b) is not complied with — an authorised person, or any other person on the request of an authorised person, may remove the person from the licensed premises or a part of the premises using such force as may be reasonably necessary; or</w:t>
      </w:r>
    </w:p>
    <w:p>
      <w:pPr>
        <w:pStyle w:val="Indenta"/>
      </w:pPr>
      <w:r>
        <w:tab/>
        <w:t>(d)</w:t>
      </w:r>
      <w:r>
        <w:tab/>
        <w:t>an authorised person may refuse to sell liquor to the person.</w:t>
      </w:r>
    </w:p>
    <w:p>
      <w:pPr>
        <w:pStyle w:val="Subsection"/>
      </w:pPr>
      <w:r>
        <w:tab/>
        <w:t>(4a)</w:t>
      </w:r>
      <w:r>
        <w:tab/>
        <w:t xml:space="preserve">This subsection applies to a person who — </w:t>
      </w:r>
    </w:p>
    <w:p>
      <w:pPr>
        <w:pStyle w:val="Indenta"/>
      </w:pPr>
      <w:r>
        <w:tab/>
        <w:t>(a)</w:t>
      </w:r>
      <w:r>
        <w:tab/>
        <w:t>is or appears to be drunk; or</w:t>
      </w:r>
    </w:p>
    <w:p>
      <w:pPr>
        <w:pStyle w:val="Indenta"/>
      </w:pPr>
      <w:r>
        <w:tab/>
        <w:t>(b)</w:t>
      </w:r>
      <w:r>
        <w:tab/>
        <w:t>is behaving in an offensive manner; or</w:t>
      </w:r>
    </w:p>
    <w:p>
      <w:pPr>
        <w:pStyle w:val="Indenta"/>
      </w:pPr>
      <w:r>
        <w:tab/>
        <w:t>(c)</w:t>
      </w:r>
      <w:r>
        <w:tab/>
        <w:t xml:space="preserve">is not dressed in conformity with the licensee’s requirements for a standard of dress, being requirements — </w:t>
      </w:r>
    </w:p>
    <w:p>
      <w:pPr>
        <w:pStyle w:val="Indenti"/>
      </w:pPr>
      <w:r>
        <w:tab/>
        <w:t>(i)</w:t>
      </w:r>
      <w:r>
        <w:tab/>
        <w:t>that were at the relevant time reasonable in the circumstances; and</w:t>
      </w:r>
    </w:p>
    <w:p>
      <w:pPr>
        <w:pStyle w:val="Indenti"/>
      </w:pPr>
      <w:r>
        <w:tab/>
        <w:t>(ii)</w:t>
      </w:r>
      <w:r>
        <w:tab/>
        <w:t>notice of which had been conspicuously displayed at each entrance to any part of the premises where the requirements were to be complied with;</w:t>
      </w:r>
    </w:p>
    <w:p>
      <w:pPr>
        <w:pStyle w:val="Indenta"/>
      </w:pPr>
      <w:r>
        <w:tab/>
      </w:r>
      <w:r>
        <w:tab/>
        <w:t>or</w:t>
      </w:r>
    </w:p>
    <w:p>
      <w:pPr>
        <w:pStyle w:val="Indenta"/>
        <w:keepNext/>
      </w:pPr>
      <w:r>
        <w:tab/>
        <w:t>(d)</w:t>
      </w:r>
      <w:r>
        <w:tab/>
        <w:t xml:space="preserve">is a person who the authorised person has reasonable cause to believe — </w:t>
      </w:r>
    </w:p>
    <w:p>
      <w:pPr>
        <w:pStyle w:val="Indenti"/>
      </w:pPr>
      <w:r>
        <w:tab/>
        <w:t>(i)</w:t>
      </w:r>
      <w:r>
        <w:tab/>
        <w:t>cannot or will not pay; or</w:t>
      </w:r>
    </w:p>
    <w:p>
      <w:pPr>
        <w:pStyle w:val="Indenti"/>
      </w:pPr>
      <w:r>
        <w:tab/>
        <w:t>(ii)</w:t>
      </w:r>
      <w:r>
        <w:tab/>
        <w:t>is or is known to be quarrelsome or disorderly; or</w:t>
      </w:r>
    </w:p>
    <w:p>
      <w:pPr>
        <w:pStyle w:val="Indenti"/>
      </w:pPr>
      <w:r>
        <w:tab/>
        <w:t>(iii)</w:t>
      </w:r>
      <w:r>
        <w:tab/>
        <w:t>is seeking to obtain liquor by begging;</w:t>
      </w:r>
    </w:p>
    <w:p>
      <w:pPr>
        <w:pStyle w:val="Indenta"/>
      </w:pPr>
      <w:r>
        <w:tab/>
      </w:r>
      <w:r>
        <w:tab/>
        <w:t>or</w:t>
      </w:r>
    </w:p>
    <w:p>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pPr>
        <w:pStyle w:val="Indenta"/>
      </w:pPr>
      <w:r>
        <w:tab/>
        <w:t>(f)</w:t>
      </w:r>
      <w:r>
        <w:tab/>
        <w:t>is or appears to be a person whose presence, or to whom the provision of service, on the licensed premises will occasion the licensee to commit an offence under this Act; or</w:t>
      </w:r>
    </w:p>
    <w:p>
      <w:pPr>
        <w:pStyle w:val="Indenta"/>
      </w:pPr>
      <w:r>
        <w:tab/>
        <w:t>(g)</w:t>
      </w:r>
      <w:r>
        <w:tab/>
        <w:t>seeks to enter or enters or remains on the licensed premises at a time when they are closed or are required under this Act to be closed; or</w:t>
      </w:r>
    </w:p>
    <w:p>
      <w:pPr>
        <w:pStyle w:val="Indenta"/>
      </w:pPr>
      <w:r>
        <w:tab/>
        <w:t>(h)</w:t>
      </w:r>
      <w:r>
        <w:tab/>
        <w:t xml:space="preserve">requests service on a part of the premises — </w:t>
      </w:r>
    </w:p>
    <w:p>
      <w:pPr>
        <w:pStyle w:val="Indenti"/>
      </w:pPr>
      <w:r>
        <w:tab/>
        <w:t>(i)</w:t>
      </w:r>
      <w:r>
        <w:tab/>
        <w:t>where the licensee is not authorised to provide the service requested; or</w:t>
      </w:r>
    </w:p>
    <w:p>
      <w:pPr>
        <w:pStyle w:val="Indenti"/>
        <w:rPr>
          <w:snapToGrid w:val="0"/>
        </w:rPr>
      </w:pPr>
      <w:r>
        <w:tab/>
        <w:t>(ii)</w:t>
      </w:r>
      <w:r>
        <w:tab/>
        <w:t>set aside for the purposes of a private function.</w:t>
      </w:r>
    </w:p>
    <w:p>
      <w:pPr>
        <w:pStyle w:val="Subsection"/>
        <w:keepNext/>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pPr>
      <w:r>
        <w:tab/>
        <w:t>(b)</w:t>
      </w:r>
      <w:r>
        <w:tab/>
        <w:t>without lawful excuse, the burden of proof of which lies on that person, enters licensed premises at a time when they are closed or are required under this Act to be closed; or</w:t>
      </w:r>
    </w:p>
    <w:p>
      <w:pPr>
        <w:pStyle w:val="Indenta"/>
      </w:pPr>
      <w:r>
        <w:tab/>
        <w:t>(c)</w:t>
      </w:r>
      <w:r>
        <w:tab/>
        <w:t>having been required under subsection (4) to leave the licensed premises or a part of the premises, does not do so,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$2 000.</w:t>
      </w:r>
    </w:p>
    <w:p>
      <w:pPr>
        <w:pStyle w:val="Subsection"/>
        <w:keepNext/>
      </w:pPr>
      <w:r>
        <w:tab/>
        <w:t>(6)</w:t>
      </w:r>
      <w:r>
        <w:tab/>
        <w:t xml:space="preserve">A person who — </w:t>
      </w:r>
    </w:p>
    <w:p>
      <w:pPr>
        <w:pStyle w:val="Indenta"/>
      </w:pPr>
      <w:r>
        <w:tab/>
        <w:t>(a)</w:t>
      </w:r>
      <w:r>
        <w:tab/>
        <w:t xml:space="preserve">under this section — </w:t>
      </w:r>
    </w:p>
    <w:p>
      <w:pPr>
        <w:pStyle w:val="Indenti"/>
      </w:pPr>
      <w:r>
        <w:tab/>
        <w:t>(i)</w:t>
      </w:r>
      <w:r>
        <w:tab/>
        <w:t>has been refused entry to; or</w:t>
      </w:r>
    </w:p>
    <w:p>
      <w:pPr>
        <w:pStyle w:val="Indenti"/>
      </w:pPr>
      <w:r>
        <w:tab/>
        <w:t>(ii)</w:t>
      </w:r>
      <w:r>
        <w:tab/>
        <w:t>has been required to leave and has left, or been removed from,</w:t>
      </w:r>
    </w:p>
    <w:p>
      <w:pPr>
        <w:pStyle w:val="Indenta"/>
      </w:pPr>
      <w:r>
        <w:tab/>
      </w:r>
      <w:r>
        <w:tab/>
        <w:t>licensed premises;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w:t>
      </w:r>
    </w:p>
    <w:p>
      <w:pPr>
        <w:pStyle w:val="Indenta"/>
      </w:pPr>
      <w:r>
        <w:tab/>
      </w:r>
      <w:r>
        <w:tab/>
        <w:t>that is adjacent to the licensed premises,</w:t>
      </w:r>
    </w:p>
    <w:p>
      <w:pPr>
        <w:pStyle w:val="Subsection"/>
        <w:spacing w:before="180"/>
      </w:pPr>
      <w:r>
        <w:tab/>
      </w:r>
      <w:r>
        <w:tab/>
        <w:t>commits an offence.</w:t>
      </w:r>
    </w:p>
    <w:p>
      <w:pPr>
        <w:pStyle w:val="Penstart"/>
      </w:pPr>
      <w:r>
        <w:tab/>
        <w:t>Penalty: a fine of $2 000.</w:t>
      </w:r>
    </w:p>
    <w:p>
      <w:pPr>
        <w:pStyle w:val="Subsection"/>
        <w:keepNext/>
        <w:spacing w:before="120"/>
        <w:rPr>
          <w:snapToGrid w:val="0"/>
        </w:rPr>
      </w:pPr>
      <w:r>
        <w:rPr>
          <w:snapToGrid w:val="0"/>
        </w:rPr>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 xml:space="preserve">any other person, on the request of the licensee </w:t>
      </w:r>
      <w:r>
        <w:t>or a manager</w:t>
      </w:r>
      <w:r>
        <w:rPr>
          <w:snapToGrid w:val="0"/>
        </w:rPr>
        <w:t xml:space="preserve">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pPr>
      <w:r>
        <w:tab/>
        <w:t>(9)</w:t>
      </w:r>
      <w:r>
        <w:tab/>
        <w:t>This section does not limit any other right to refuse a person entry to premises or to remove a person from premises.</w:t>
      </w:r>
    </w:p>
    <w:p>
      <w:pPr>
        <w:pStyle w:val="Footnotesection"/>
      </w:pPr>
      <w:r>
        <w:tab/>
        <w:t xml:space="preserve">[Section 115 amended by No. 12 of 1998 s. 80; No. 35 of 2003 s. 173(3); No. 73 of 2006 s. 80, 109 and 110; No. 56 of 2010 s. 25, 56 and 69.] </w:t>
      </w:r>
    </w:p>
    <w:p>
      <w:pPr>
        <w:pStyle w:val="Heading5"/>
      </w:pPr>
      <w:bookmarkStart w:id="376" w:name="_Toc522197380"/>
      <w:r>
        <w:rPr>
          <w:rStyle w:val="CharSectno"/>
        </w:rPr>
        <w:t>115AA</w:t>
      </w:r>
      <w:r>
        <w:t>.</w:t>
      </w:r>
      <w:r>
        <w:tab/>
        <w:t>Banning people from licensed premises, Commissioner of Police’s power for</w:t>
      </w:r>
      <w:bookmarkEnd w:id="376"/>
    </w:p>
    <w:p>
      <w:pPr>
        <w:pStyle w:val="Subsection"/>
      </w:pPr>
      <w:r>
        <w:tab/>
        <w:t>(1)</w:t>
      </w:r>
      <w:r>
        <w:tab/>
        <w:t>In this section —</w:t>
      </w:r>
    </w:p>
    <w:p>
      <w:pPr>
        <w:pStyle w:val="Defstart"/>
      </w:pPr>
      <w:r>
        <w:tab/>
      </w:r>
      <w:r>
        <w:rPr>
          <w:rStyle w:val="CharDefText"/>
        </w:rPr>
        <w:t>specified</w:t>
      </w:r>
      <w:r>
        <w:t xml:space="preserve"> means specified in a notice under this section.</w:t>
      </w:r>
    </w:p>
    <w:p>
      <w:pPr>
        <w:pStyle w:val="Subsection"/>
      </w:pPr>
      <w:r>
        <w:tab/>
        <w:t>(2)</w:t>
      </w:r>
      <w:r>
        <w:tab/>
        <w:t>The Commissioner of Police may give a notice to a person prohibiting the person from entering specified licensed premises, or a specified class of licensed premises, if the Commissioner believes, on reasonable grounds, that the person has, on licensed premises or in the vicinity of licensed premises —</w:t>
      </w:r>
    </w:p>
    <w:p>
      <w:pPr>
        <w:pStyle w:val="Indenta"/>
      </w:pPr>
      <w:r>
        <w:tab/>
        <w:t>(a)</w:t>
      </w:r>
      <w:r>
        <w:tab/>
        <w:t>been violent or disorderly; or</w:t>
      </w:r>
    </w:p>
    <w:p>
      <w:pPr>
        <w:pStyle w:val="Indenta"/>
      </w:pPr>
      <w:r>
        <w:tab/>
        <w:t>(b)</w:t>
      </w:r>
      <w:r>
        <w:tab/>
        <w:t>engaged in indecent behaviour; or</w:t>
      </w:r>
    </w:p>
    <w:p>
      <w:pPr>
        <w:pStyle w:val="Indenta"/>
      </w:pPr>
      <w:r>
        <w:tab/>
        <w:t>(c)</w:t>
      </w:r>
      <w:r>
        <w:tab/>
        <w:t>contravened a provision of any written law.</w:t>
      </w:r>
    </w:p>
    <w:p>
      <w:pPr>
        <w:pStyle w:val="Subsection"/>
      </w:pPr>
      <w:r>
        <w:tab/>
        <w:t>(3)</w:t>
      </w:r>
      <w:r>
        <w:tab/>
        <w:t>The notice is to be in a form approved by the Director.</w:t>
      </w:r>
    </w:p>
    <w:p>
      <w:pPr>
        <w:pStyle w:val="Subsection"/>
      </w:pPr>
      <w:r>
        <w:tab/>
        <w:t>(4)</w:t>
      </w:r>
      <w:r>
        <w:tab/>
        <w:t>The notice has effect from the day the notice is given to the person until the earliest of —</w:t>
      </w:r>
    </w:p>
    <w:p>
      <w:pPr>
        <w:pStyle w:val="Indenta"/>
      </w:pPr>
      <w:r>
        <w:tab/>
        <w:t>(a)</w:t>
      </w:r>
      <w:r>
        <w:tab/>
        <w:t>a specified day; or</w:t>
      </w:r>
    </w:p>
    <w:p>
      <w:pPr>
        <w:pStyle w:val="Indenta"/>
      </w:pPr>
      <w:r>
        <w:tab/>
        <w:t>(b)</w:t>
      </w:r>
      <w:r>
        <w:tab/>
        <w:t>if the notice is revoked under subsection (7) — the day that the notice of revocation is given to the person; or</w:t>
      </w:r>
    </w:p>
    <w:p>
      <w:pPr>
        <w:pStyle w:val="Indenta"/>
      </w:pPr>
      <w:r>
        <w:tab/>
        <w:t>(c)</w:t>
      </w:r>
      <w:r>
        <w:tab/>
        <w:t>if the decision to give the notice is quashed by the Commission under section 115AD — the day that a copy of the Commission’s decision is given to the person.</w:t>
      </w:r>
    </w:p>
    <w:p>
      <w:pPr>
        <w:pStyle w:val="Subsection"/>
      </w:pPr>
      <w:r>
        <w:tab/>
        <w:t>(5)</w:t>
      </w:r>
      <w:r>
        <w:tab/>
        <w:t>The specified day cannot be more than 12 months after the day on which the notice is served.</w:t>
      </w:r>
    </w:p>
    <w:p>
      <w:pPr>
        <w:pStyle w:val="Subsection"/>
      </w:pPr>
      <w:r>
        <w:tab/>
        <w:t>(6)</w:t>
      </w:r>
      <w:r>
        <w:tab/>
        <w:t>Except as provided in subsection (7A), a person who enters premises contrary to a notice under subsection (2) commits an offence.</w:t>
      </w:r>
    </w:p>
    <w:p>
      <w:pPr>
        <w:pStyle w:val="Penstart"/>
      </w:pPr>
      <w:r>
        <w:tab/>
        <w:t>Penalty: a fine of $10 000.</w:t>
      </w:r>
    </w:p>
    <w:p>
      <w:pPr>
        <w:pStyle w:val="Subsection"/>
      </w:pPr>
      <w:r>
        <w:tab/>
        <w:t>(7A)</w:t>
      </w:r>
      <w:r>
        <w:tab/>
        <w:t>A person does not commit an offence under subsection (6) if the person enters the premises solely for the purpose of performing duties relating to the person’s work.</w:t>
      </w:r>
    </w:p>
    <w:p>
      <w:pPr>
        <w:pStyle w:val="Subsection"/>
      </w:pPr>
      <w:r>
        <w:tab/>
        <w:t>(7B)</w:t>
      </w:r>
      <w:r>
        <w:tab/>
        <w:t>The reference in subsection (7A) to performing duties relating to the person’s work does not include attending a function associated with the person’s work that is held on the premises.</w:t>
      </w:r>
    </w:p>
    <w:p>
      <w:pPr>
        <w:pStyle w:val="Subsection"/>
      </w:pPr>
      <w:r>
        <w:tab/>
        <w:t>(7)</w:t>
      </w:r>
      <w:r>
        <w:tab/>
        <w:t>The Commissioner of Police may revoke a notice under subsection (2) by giving to the person a notice of revocation.</w:t>
      </w:r>
    </w:p>
    <w:p>
      <w:pPr>
        <w:pStyle w:val="Subsection"/>
      </w:pPr>
      <w:r>
        <w:tab/>
        <w:t>(8)</w:t>
      </w:r>
      <w:r>
        <w:tab/>
        <w:t>The notice of revocation is to be in a form approved by the Director.</w:t>
      </w:r>
    </w:p>
    <w:p>
      <w:pPr>
        <w:pStyle w:val="Footnotesection"/>
      </w:pPr>
      <w:r>
        <w:tab/>
        <w:t>[Section 115AA inserted by No. 56 of 2010 s. 30; amended by No. 9 of 2018 s. 57.]</w:t>
      </w:r>
    </w:p>
    <w:p>
      <w:pPr>
        <w:pStyle w:val="Heading5"/>
      </w:pPr>
      <w:bookmarkStart w:id="377" w:name="_Toc522197381"/>
      <w:r>
        <w:rPr>
          <w:rStyle w:val="CharSectno"/>
        </w:rPr>
        <w:t>115AB</w:t>
      </w:r>
      <w:r>
        <w:t>.</w:t>
      </w:r>
      <w:r>
        <w:tab/>
        <w:t>Delegation by Commissioner of Police</w:t>
      </w:r>
      <w:bookmarkEnd w:id="377"/>
    </w:p>
    <w:p>
      <w:pPr>
        <w:pStyle w:val="Subsection"/>
      </w:pPr>
      <w:r>
        <w:tab/>
        <w:t>(1)</w:t>
      </w:r>
      <w:r>
        <w:tab/>
        <w:t>The Commissioner of Police may delegate the Commissioner’s functions under section 115AA to a member of the Police Force of or above the rank of Inspector.</w:t>
      </w:r>
    </w:p>
    <w:p>
      <w:pPr>
        <w:pStyle w:val="Subsection"/>
      </w:pPr>
      <w:r>
        <w:tab/>
        <w:t>(2)</w:t>
      </w:r>
      <w:r>
        <w:tab/>
        <w:t>The delegation must be in writing signed by the Commissioner of Police.</w:t>
      </w:r>
    </w:p>
    <w:p>
      <w:pPr>
        <w:pStyle w:val="Subsection"/>
      </w:pPr>
      <w:r>
        <w:tab/>
        <w:t>(3)</w:t>
      </w:r>
      <w:r>
        <w:tab/>
        <w:t>A person to whom the duty is delegated under this section cannot delegate that duty.</w:t>
      </w:r>
    </w:p>
    <w:p>
      <w:pPr>
        <w:pStyle w:val="Subsection"/>
      </w:pPr>
      <w:r>
        <w:tab/>
        <w:t>(4)</w:t>
      </w:r>
      <w:r>
        <w:tab/>
        <w:t>A person performing the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the duty through an officer or agent.</w:t>
      </w:r>
    </w:p>
    <w:p>
      <w:pPr>
        <w:pStyle w:val="Footnotesection"/>
      </w:pPr>
      <w:r>
        <w:tab/>
        <w:t>[Section 115AB inserted by No. 56 of 2010 s. 30.]</w:t>
      </w:r>
    </w:p>
    <w:p>
      <w:pPr>
        <w:pStyle w:val="Heading5"/>
      </w:pPr>
      <w:bookmarkStart w:id="378" w:name="_Toc522197382"/>
      <w:r>
        <w:rPr>
          <w:rStyle w:val="CharSectno"/>
        </w:rPr>
        <w:t>115AC</w:t>
      </w:r>
      <w:r>
        <w:t>.</w:t>
      </w:r>
      <w:r>
        <w:tab/>
        <w:t>Publication of details of people banned under s. 115AA</w:t>
      </w:r>
      <w:bookmarkEnd w:id="378"/>
    </w:p>
    <w:p>
      <w:pPr>
        <w:pStyle w:val="Subsection"/>
        <w:spacing w:before="120"/>
      </w:pPr>
      <w:r>
        <w:tab/>
        <w:t>(1A)</w:t>
      </w:r>
      <w:r>
        <w:tab/>
        <w:t xml:space="preserve">In this section — </w:t>
      </w:r>
    </w:p>
    <w:p>
      <w:pPr>
        <w:pStyle w:val="Defstart"/>
      </w:pPr>
      <w:r>
        <w:tab/>
      </w:r>
      <w:r>
        <w:rPr>
          <w:rStyle w:val="CharDefText"/>
        </w:rPr>
        <w:t>secure webpage</w:t>
      </w:r>
      <w:r>
        <w:t xml:space="preserve"> means a page on a website that is accessible only by — </w:t>
      </w:r>
    </w:p>
    <w:p>
      <w:pPr>
        <w:pStyle w:val="Defpara"/>
      </w:pPr>
      <w:r>
        <w:tab/>
        <w:t>(a)</w:t>
      </w:r>
      <w:r>
        <w:tab/>
        <w:t>the licensee or occupier of licensed premises; or</w:t>
      </w:r>
    </w:p>
    <w:p>
      <w:pPr>
        <w:pStyle w:val="Defpara"/>
      </w:pPr>
      <w:r>
        <w:tab/>
        <w:t>(b)</w:t>
      </w:r>
      <w:r>
        <w:tab/>
        <w:t>a manager of licensed premises; or</w:t>
      </w:r>
    </w:p>
    <w:p>
      <w:pPr>
        <w:pStyle w:val="Defpara"/>
      </w:pPr>
      <w:r>
        <w:tab/>
        <w:t>(c)</w:t>
      </w:r>
      <w:r>
        <w:tab/>
        <w:t>a prescribed person or class of persons or a person in a prescribed circumstance.</w:t>
      </w:r>
    </w:p>
    <w:p>
      <w:pPr>
        <w:pStyle w:val="Subsection"/>
        <w:spacing w:before="120"/>
      </w:pPr>
      <w:r>
        <w:tab/>
        <w:t>(1)</w:t>
      </w:r>
      <w:r>
        <w:tab/>
        <w:t>The Commissioner of Police must publish on a secure webpage all of the following in relation to a person to whom a notice under section 115AA is given —</w:t>
      </w:r>
    </w:p>
    <w:p>
      <w:pPr>
        <w:pStyle w:val="Indenta"/>
      </w:pPr>
      <w:r>
        <w:tab/>
        <w:t>(a)</w:t>
      </w:r>
      <w:r>
        <w:tab/>
        <w:t>the name and date of birth of the person;</w:t>
      </w:r>
    </w:p>
    <w:p>
      <w:pPr>
        <w:pStyle w:val="Indenta"/>
      </w:pPr>
      <w:r>
        <w:tab/>
        <w:t>(b)</w:t>
      </w:r>
      <w:r>
        <w:tab/>
        <w:t>a photograph of the person (if any is in the possession of the Commissioner);</w:t>
      </w:r>
    </w:p>
    <w:p>
      <w:pPr>
        <w:pStyle w:val="Indenta"/>
      </w:pPr>
      <w:r>
        <w:tab/>
        <w:t>(c)</w:t>
      </w:r>
      <w:r>
        <w:tab/>
        <w:t>the address of the person;</w:t>
      </w:r>
    </w:p>
    <w:p>
      <w:pPr>
        <w:pStyle w:val="Indenta"/>
      </w:pPr>
      <w:r>
        <w:tab/>
        <w:t>(d)</w:t>
      </w:r>
      <w:r>
        <w:tab/>
        <w:t>the licensed premises, or class of licensed premises, in relation to which the notice relates.</w:t>
      </w:r>
    </w:p>
    <w:p>
      <w:pPr>
        <w:pStyle w:val="Subsection"/>
        <w:spacing w:before="120"/>
      </w:pPr>
      <w:r>
        <w:tab/>
        <w:t>(2)</w:t>
      </w:r>
      <w:r>
        <w:tab/>
        <w:t>Subsection (1) does not permit the publication of anything that identifies, or is capable of identifying —</w:t>
      </w:r>
    </w:p>
    <w:p>
      <w:pPr>
        <w:pStyle w:val="Indenta"/>
      </w:pPr>
      <w:r>
        <w:tab/>
        <w:t>(a)</w:t>
      </w:r>
      <w:r>
        <w:tab/>
        <w:t>a child other than the person to whom the notice is given; or</w:t>
      </w:r>
    </w:p>
    <w:p>
      <w:pPr>
        <w:pStyle w:val="Indenta"/>
      </w:pPr>
      <w:r>
        <w:tab/>
        <w:t>(b)</w:t>
      </w:r>
      <w:r>
        <w:tab/>
        <w:t>the details of any offence of which the person was convicted in the Children’s Court.</w:t>
      </w:r>
    </w:p>
    <w:p>
      <w:pPr>
        <w:pStyle w:val="Subsection"/>
        <w:spacing w:before="120"/>
      </w:pPr>
      <w:r>
        <w:tab/>
        <w:t>(3)</w:t>
      </w:r>
      <w:r>
        <w:tab/>
        <w:t>Except as provided in subsection (4), a person who discloses something that has been published under subsection (1) commits an offence.</w:t>
      </w:r>
    </w:p>
    <w:p>
      <w:pPr>
        <w:pStyle w:val="Penstart"/>
      </w:pPr>
      <w:r>
        <w:tab/>
        <w:t>Penalty: a fine of $10 000.</w:t>
      </w:r>
    </w:p>
    <w:p>
      <w:pPr>
        <w:pStyle w:val="Subsection"/>
        <w:spacing w:before="120"/>
      </w:pPr>
      <w:r>
        <w:tab/>
        <w:t>(4)</w:t>
      </w:r>
      <w:r>
        <w:tab/>
        <w:t xml:space="preserve">A licensee or manager of licensed premises does not commit an offence under subsection (3) if — </w:t>
      </w:r>
    </w:p>
    <w:p>
      <w:pPr>
        <w:pStyle w:val="Indenta"/>
      </w:pPr>
      <w:r>
        <w:tab/>
        <w:t>(a)</w:t>
      </w:r>
      <w:r>
        <w:tab/>
        <w:t>he or she discloses information published under subsection (1) to a responsible person in relation to those premises; and</w:t>
      </w:r>
    </w:p>
    <w:p>
      <w:pPr>
        <w:pStyle w:val="Indenta"/>
      </w:pPr>
      <w:r>
        <w:tab/>
        <w:t>(b)</w:t>
      </w:r>
      <w:r>
        <w:tab/>
        <w:t>the disclosure is made for the purposes of enabling the responsible person to perform duties relating to the person’s work on the licensed premises.</w:t>
      </w:r>
    </w:p>
    <w:p>
      <w:pPr>
        <w:pStyle w:val="Footnotesection"/>
      </w:pPr>
      <w:r>
        <w:tab/>
        <w:t>[Section 115AC inserted by No. 56 of 2010 s. 30; amended by No. 9 of 2018 s. 58.]</w:t>
      </w:r>
    </w:p>
    <w:p>
      <w:pPr>
        <w:pStyle w:val="Heading5"/>
      </w:pPr>
      <w:bookmarkStart w:id="379" w:name="_Toc522197383"/>
      <w:r>
        <w:rPr>
          <w:rStyle w:val="CharSectno"/>
        </w:rPr>
        <w:t>115AD</w:t>
      </w:r>
      <w:r>
        <w:t>.</w:t>
      </w:r>
      <w:r>
        <w:tab/>
        <w:t>Review of s. 115AA notices</w:t>
      </w:r>
      <w:bookmarkEnd w:id="379"/>
    </w:p>
    <w:p>
      <w:pPr>
        <w:pStyle w:val="Subsection"/>
      </w:pPr>
      <w:r>
        <w:tab/>
        <w:t>(1)</w:t>
      </w:r>
      <w:r>
        <w:tab/>
        <w:t>In this section —</w:t>
      </w:r>
    </w:p>
    <w:p>
      <w:pPr>
        <w:pStyle w:val="Defstart"/>
      </w:pPr>
      <w:r>
        <w:tab/>
      </w:r>
      <w:r>
        <w:rPr>
          <w:rStyle w:val="CharDefText"/>
        </w:rPr>
        <w:t>notice</w:t>
      </w:r>
      <w:r>
        <w:t xml:space="preserve"> means a notice under section 115AA(2).</w:t>
      </w:r>
    </w:p>
    <w:p>
      <w:pPr>
        <w:pStyle w:val="Subsection"/>
      </w:pPr>
      <w:r>
        <w:tab/>
        <w:t>(2)</w:t>
      </w:r>
      <w:r>
        <w:tab/>
        <w:t>This section applies if —</w:t>
      </w:r>
    </w:p>
    <w:p>
      <w:pPr>
        <w:pStyle w:val="Indenta"/>
      </w:pPr>
      <w:r>
        <w:tab/>
        <w:t>(a)</w:t>
      </w:r>
      <w:r>
        <w:tab/>
        <w:t>a notice is given to a person in respect of licensed premises; and</w:t>
      </w:r>
    </w:p>
    <w:p>
      <w:pPr>
        <w:pStyle w:val="Indenta"/>
      </w:pPr>
      <w:r>
        <w:tab/>
        <w:t>(b)</w:t>
      </w:r>
      <w:r>
        <w:tab/>
        <w:t>the notice —</w:t>
      </w:r>
    </w:p>
    <w:p>
      <w:pPr>
        <w:pStyle w:val="Indenti"/>
      </w:pPr>
      <w:r>
        <w:tab/>
        <w:t>(i)</w:t>
      </w:r>
      <w:r>
        <w:tab/>
        <w:t>has effect for one month or more; or</w:t>
      </w:r>
    </w:p>
    <w:p>
      <w:pPr>
        <w:pStyle w:val="Indenti"/>
      </w:pPr>
      <w:r>
        <w:tab/>
        <w:t>(ii)</w:t>
      </w:r>
      <w:r>
        <w:tab/>
        <w:t>has effect for any shorter period that, when added to the period of any notice previously given to the person in respect of the premises or premises of the particular class (as the case requires), results in the person being prohibited from those premises or that class of premises for a period of more than one month in any 12 month period.</w:t>
      </w:r>
    </w:p>
    <w:p>
      <w:pPr>
        <w:pStyle w:val="Subsection"/>
      </w:pPr>
      <w:r>
        <w:tab/>
        <w:t>(3)</w:t>
      </w:r>
      <w:r>
        <w:tab/>
        <w:t>Subject to subsection (4), where the person is dissatisfied with the decision of the Commissioner of Police to give the notice, the person may apply to the Commission for a review of that decision.</w:t>
      </w:r>
    </w:p>
    <w:p>
      <w:pPr>
        <w:pStyle w:val="Subsection"/>
      </w:pPr>
      <w:r>
        <w:tab/>
        <w:t>(4)</w:t>
      </w:r>
      <w:r>
        <w:tab/>
        <w:t>An application under subsection (3) must be made within a month after the applicant is served with the notice or such longer period as the Commission may allow.</w:t>
      </w:r>
    </w:p>
    <w:p>
      <w:pPr>
        <w:pStyle w:val="Subsection"/>
      </w:pPr>
      <w:r>
        <w:tab/>
        <w:t>(5)</w:t>
      </w:r>
      <w:r>
        <w:tab/>
        <w:t xml:space="preserve">The application must be — </w:t>
      </w:r>
    </w:p>
    <w:p>
      <w:pPr>
        <w:pStyle w:val="Indenta"/>
      </w:pPr>
      <w:r>
        <w:tab/>
        <w:t>(a)</w:t>
      </w:r>
      <w:r>
        <w:tab/>
        <w:t>made in a manner and form approved by the Commission; and</w:t>
      </w:r>
    </w:p>
    <w:p>
      <w:pPr>
        <w:pStyle w:val="Indenta"/>
      </w:pPr>
      <w:r>
        <w:tab/>
        <w:t>(b)</w:t>
      </w:r>
      <w:r>
        <w:tab/>
        <w:t>accompanied by the prescribed fee, if any.</w:t>
      </w:r>
    </w:p>
    <w:p>
      <w:pPr>
        <w:pStyle w:val="Subsection"/>
      </w:pPr>
      <w:r>
        <w:tab/>
        <w:t>(6)</w:t>
      </w:r>
      <w:r>
        <w:tab/>
        <w:t xml:space="preserve">When conducting a review of the decision, the Commission may have regard to — </w:t>
      </w:r>
    </w:p>
    <w:p>
      <w:pPr>
        <w:pStyle w:val="Indenta"/>
      </w:pPr>
      <w:r>
        <w:tab/>
        <w:t>(a)</w:t>
      </w:r>
      <w:r>
        <w:tab/>
        <w:t>the material that was before the Commissioner of Police when making the decision; and</w:t>
      </w:r>
    </w:p>
    <w:p>
      <w:pPr>
        <w:pStyle w:val="Indenta"/>
      </w:pPr>
      <w:r>
        <w:tab/>
        <w:t>(b)</w:t>
      </w:r>
      <w:r>
        <w:tab/>
        <w:t>any information or document provided by the applicant.</w:t>
      </w:r>
    </w:p>
    <w:p>
      <w:pPr>
        <w:pStyle w:val="Subsection"/>
      </w:pPr>
      <w:r>
        <w:tab/>
        <w:t>(7)</w:t>
      </w:r>
      <w:r>
        <w:tab/>
        <w:t>On a review under this section, the Commission may affirm, vary or quash the decision subject to the review.</w:t>
      </w:r>
    </w:p>
    <w:p>
      <w:pPr>
        <w:pStyle w:val="Subsection"/>
      </w:pPr>
      <w:r>
        <w:tab/>
        <w:t>(8)</w:t>
      </w:r>
      <w:r>
        <w:tab/>
        <w:t>The notice remains in force during the period of the review of the decision to give that notice.</w:t>
      </w:r>
    </w:p>
    <w:p>
      <w:pPr>
        <w:pStyle w:val="Footnotesection"/>
      </w:pPr>
      <w:r>
        <w:tab/>
        <w:t>[Section 115AD inserted by No. 56 of 2010 s. 30.]</w:t>
      </w:r>
    </w:p>
    <w:p>
      <w:pPr>
        <w:pStyle w:val="Heading5"/>
        <w:spacing w:before="180"/>
      </w:pPr>
      <w:bookmarkStart w:id="380" w:name="_Toc522197384"/>
      <w:r>
        <w:rPr>
          <w:rStyle w:val="CharSectno"/>
        </w:rPr>
        <w:t>115AE</w:t>
      </w:r>
      <w:r>
        <w:t>.</w:t>
      </w:r>
      <w:r>
        <w:tab/>
        <w:t>Permitting entry to premises contrary to s. 115AA notice</w:t>
      </w:r>
      <w:bookmarkEnd w:id="380"/>
    </w:p>
    <w:p>
      <w:pPr>
        <w:pStyle w:val="Subsection"/>
        <w:spacing w:before="120"/>
      </w:pPr>
      <w:r>
        <w:tab/>
        <w:t>(1)</w:t>
      </w:r>
      <w:r>
        <w:tab/>
        <w:t xml:space="preserve">Subject to subsection (2), a responsible person in relation to licensed premises commits an offence if the responsible person — </w:t>
      </w:r>
    </w:p>
    <w:p>
      <w:pPr>
        <w:pStyle w:val="Indenta"/>
      </w:pPr>
      <w:r>
        <w:tab/>
        <w:t>(a)</w:t>
      </w:r>
      <w:r>
        <w:tab/>
        <w:t>knows that a notice under section 115AA(2) has been given to a person in respect of the premises; and</w:t>
      </w:r>
    </w:p>
    <w:p>
      <w:pPr>
        <w:pStyle w:val="Indenta"/>
      </w:pPr>
      <w:r>
        <w:tab/>
        <w:t>(b)</w:t>
      </w:r>
      <w:r>
        <w:tab/>
        <w:t>permits the person to enter or remain on the premises contrary to the notice.</w:t>
      </w:r>
    </w:p>
    <w:p>
      <w:pPr>
        <w:pStyle w:val="Penstart"/>
      </w:pPr>
      <w:r>
        <w:tab/>
        <w:t>Penalty for this subsection: a fine of $10 000.</w:t>
      </w:r>
    </w:p>
    <w:p>
      <w:pPr>
        <w:pStyle w:val="Subsection"/>
      </w:pPr>
      <w:r>
        <w:tab/>
        <w:t>(2)</w:t>
      </w:r>
      <w:r>
        <w:tab/>
        <w:t>A responsible person in relation to licensed premises does not commit an offence under subsection (1) if the responsible person permits the person to enter or remain on the premises solely for the purpose of performing duties relating to the person’s work.</w:t>
      </w:r>
    </w:p>
    <w:p>
      <w:pPr>
        <w:pStyle w:val="Subsection"/>
      </w:pPr>
      <w:r>
        <w:tab/>
        <w:t>(3)</w:t>
      </w:r>
      <w:r>
        <w:tab/>
        <w:t>The reference in subsection (2) to performing duties relating to the person’s work does not include attending a function associated with the person’s work that is held on the premises.</w:t>
      </w:r>
    </w:p>
    <w:p>
      <w:pPr>
        <w:pStyle w:val="Footnotesection"/>
        <w:spacing w:before="80"/>
        <w:ind w:left="890" w:hanging="890"/>
      </w:pPr>
      <w:r>
        <w:tab/>
        <w:t>[Section 115AE inserted by No. 56 of 2010 s. 30; amended by No. 9 of 2018 s. 59.]</w:t>
      </w:r>
    </w:p>
    <w:p>
      <w:pPr>
        <w:pStyle w:val="Heading5"/>
        <w:spacing w:before="180"/>
      </w:pPr>
      <w:bookmarkStart w:id="381" w:name="_Toc522197385"/>
      <w:r>
        <w:rPr>
          <w:rStyle w:val="CharSectno"/>
        </w:rPr>
        <w:t>115A</w:t>
      </w:r>
      <w:r>
        <w:t>.</w:t>
      </w:r>
      <w:r>
        <w:tab/>
        <w:t>Drinking water to be provided free at certain licensed premises</w:t>
      </w:r>
      <w:bookmarkEnd w:id="381"/>
    </w:p>
    <w:p>
      <w:pPr>
        <w:pStyle w:val="Subsection"/>
        <w:spacing w:before="120"/>
      </w:pPr>
      <w:r>
        <w:tab/>
        <w:t>(1)</w:t>
      </w:r>
      <w:r>
        <w:tab/>
        <w:t>Subsection (2) applies to licensed premises at which liquor is authorised to be sold under the licence for consumption on the premises.</w:t>
      </w:r>
    </w:p>
    <w:p>
      <w:pPr>
        <w:pStyle w:val="Subsection"/>
        <w:spacing w:before="120"/>
      </w:pPr>
      <w:r>
        <w:tab/>
        <w:t>(2)</w:t>
      </w:r>
      <w:r>
        <w:tab/>
        <w:t>The licensee of any licensed premises to which this subsection applies must ensure that water suitable for drinking is provided, free of charge, at all times when liquor is sold for consumption on the premises.</w:t>
      </w:r>
    </w:p>
    <w:p>
      <w:pPr>
        <w:pStyle w:val="Penstart"/>
      </w:pPr>
      <w:r>
        <w:tab/>
        <w:t xml:space="preserve">Penalty: </w:t>
      </w:r>
    </w:p>
    <w:p>
      <w:pPr>
        <w:pStyle w:val="Penpara"/>
      </w:pPr>
      <w:r>
        <w:tab/>
        <w:t>(a)</w:t>
      </w:r>
      <w:r>
        <w:tab/>
        <w:t>for the licensee, a fine of $10 000;</w:t>
      </w:r>
    </w:p>
    <w:p>
      <w:pPr>
        <w:pStyle w:val="Penpara"/>
      </w:pPr>
      <w:r>
        <w:tab/>
        <w:t>(b)</w:t>
      </w:r>
      <w:r>
        <w:tab/>
        <w:t>for a manager, a fine of $4 000.</w:t>
      </w:r>
    </w:p>
    <w:p>
      <w:pPr>
        <w:pStyle w:val="Footnotesection"/>
        <w:spacing w:before="80"/>
        <w:ind w:left="890" w:hanging="890"/>
      </w:pPr>
      <w:r>
        <w:tab/>
        <w:t>[Section 115A inserted by No. 73 of 2006 s. 81; amended by No. 56 of 2010 s. 57.]</w:t>
      </w:r>
    </w:p>
    <w:p>
      <w:pPr>
        <w:pStyle w:val="Heading5"/>
        <w:keepNext w:val="0"/>
        <w:keepLines w:val="0"/>
        <w:spacing w:before="180"/>
        <w:rPr>
          <w:snapToGrid w:val="0"/>
        </w:rPr>
      </w:pPr>
      <w:bookmarkStart w:id="382" w:name="_Toc522197386"/>
      <w:r>
        <w:rPr>
          <w:rStyle w:val="CharSectno"/>
        </w:rPr>
        <w:t>116</w:t>
      </w:r>
      <w:r>
        <w:rPr>
          <w:snapToGrid w:val="0"/>
        </w:rPr>
        <w:t>.</w:t>
      </w:r>
      <w:r>
        <w:rPr>
          <w:snapToGrid w:val="0"/>
        </w:rPr>
        <w:tab/>
        <w:t>Documents to be displayed etc. at premises and produced</w:t>
      </w:r>
      <w:bookmarkEnd w:id="382"/>
    </w:p>
    <w:p>
      <w:pPr>
        <w:pStyle w:val="Subsection"/>
        <w:spacing w:before="120"/>
        <w:rPr>
          <w:snapToGrid w:val="0"/>
        </w:rPr>
      </w:pPr>
      <w:r>
        <w:rPr>
          <w:snapToGrid w:val="0"/>
        </w:rPr>
        <w:tab/>
        <w:t>(1)</w:t>
      </w:r>
      <w:r>
        <w:rPr>
          <w:snapToGrid w:val="0"/>
        </w:rPr>
        <w:tab/>
        <w:t>Unless the Director otherwise approves, a licensee must cause a copy of the following documents to be kept on the licensed premises at all times —</w:t>
      </w:r>
    </w:p>
    <w:p>
      <w:pPr>
        <w:pStyle w:val="Indenta"/>
        <w:spacing w:before="40"/>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any permit that relates to the licence;</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Penstart"/>
      </w:pPr>
      <w:r>
        <w:tab/>
        <w:t>Penalty: a fine of $2 000.</w:t>
      </w:r>
    </w:p>
    <w:p>
      <w:pPr>
        <w:pStyle w:val="Subsection"/>
      </w:pPr>
      <w:r>
        <w:tab/>
        <w:t>(2A)</w:t>
      </w:r>
      <w:r>
        <w:tab/>
        <w:t>Unless the Director otherwise approves, a licensee of a cellar door permit must cause a copy of the plans described in subsection (1)(c) to be kept on the premises to which the permit applies at all times.</w:t>
      </w:r>
    </w:p>
    <w:p>
      <w:pPr>
        <w:pStyle w:val="Penstart"/>
      </w:pPr>
      <w:r>
        <w:tab/>
        <w:t>Penalty: a fine of $2 000.</w:t>
      </w:r>
    </w:p>
    <w:p>
      <w:pPr>
        <w:pStyle w:val="Subsection"/>
        <w:rPr>
          <w:snapToGrid w:val="0"/>
        </w:rPr>
      </w:pPr>
      <w:r>
        <w:rPr>
          <w:snapToGrid w:val="0"/>
        </w:rPr>
        <w:tab/>
        <w:t>(2)</w:t>
      </w:r>
      <w:r>
        <w:rPr>
          <w:snapToGrid w:val="0"/>
        </w:rPr>
        <w:tab/>
      </w:r>
      <w:r>
        <w:t>The licensee or a manager of the licensed premises</w:t>
      </w:r>
      <w:r>
        <w:rPr>
          <w:snapToGrid w:val="0"/>
        </w:rPr>
        <w:t xml:space="preserve"> shall, if so required by an authorised officer, produce for inspection a copy of the licence or of any other documents referred to in subsection (1).</w:t>
      </w:r>
    </w:p>
    <w:p>
      <w:pPr>
        <w:pStyle w:val="Penstart"/>
        <w:rPr>
          <w:snapToGrid w:val="0"/>
        </w:rPr>
      </w:pPr>
      <w:r>
        <w:tab/>
        <w:t>Penalty: a fine of $2 000.</w:t>
      </w:r>
    </w:p>
    <w:p>
      <w:pPr>
        <w:pStyle w:val="Subsection"/>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Penstart"/>
        <w:rPr>
          <w:snapToGrid w:val="0"/>
        </w:rPr>
      </w:pPr>
      <w:r>
        <w:tab/>
        <w:t>Penalty: a fine of $2 000.</w:t>
      </w:r>
    </w:p>
    <w:p>
      <w:pPr>
        <w:pStyle w:val="Subsection"/>
      </w:pPr>
      <w:r>
        <w:tab/>
        <w:t>(4)</w:t>
      </w:r>
      <w:r>
        <w:tab/>
        <w:t>A licensee shall cause to be displayed in a readily legible condition and in a conspicuous position in the licensed premises —</w:t>
      </w:r>
    </w:p>
    <w:p>
      <w:pPr>
        <w:pStyle w:val="Indenta"/>
      </w:pPr>
      <w:r>
        <w:tab/>
        <w:t>(a)</w:t>
      </w:r>
      <w:r>
        <w:tab/>
        <w:t>a copy of the licence; and</w:t>
      </w:r>
    </w:p>
    <w:p>
      <w:pPr>
        <w:pStyle w:val="Indenta"/>
      </w:pPr>
      <w:r>
        <w:tab/>
        <w:t>(b)</w:t>
      </w:r>
      <w:r>
        <w:tab/>
        <w:t>if section 100(2a) applies in relation to the premises — a notice displaying the name of each person who is supervising and managing the premises and identifying every such person as a manager.</w:t>
      </w:r>
    </w:p>
    <w:p>
      <w:pPr>
        <w:pStyle w:val="Penstart"/>
      </w:pPr>
      <w:r>
        <w:tab/>
        <w:t>Penalty: a fine of $2 000.</w:t>
      </w:r>
    </w:p>
    <w:p>
      <w:pPr>
        <w:pStyle w:val="Subsection"/>
      </w:pPr>
      <w:r>
        <w:tab/>
        <w:t>(5A)</w:t>
      </w:r>
      <w:r>
        <w:tab/>
        <w:t>The notice required by subsection (4)(b) may be combined with the notice required by subsection (5).</w:t>
      </w:r>
    </w:p>
    <w:p>
      <w:pPr>
        <w:pStyle w:val="Subsection"/>
        <w:rPr>
          <w:snapToGrid w:val="0"/>
        </w:rPr>
      </w:pPr>
      <w:r>
        <w:rPr>
          <w:snapToGrid w:val="0"/>
        </w:rPr>
        <w:tab/>
        <w:t>(5)</w:t>
      </w:r>
      <w:r>
        <w:rPr>
          <w:snapToGrid w:val="0"/>
        </w:rPr>
        <w:tab/>
        <w:t xml:space="preserve">A licensee, other than the holder of an occasional </w:t>
      </w:r>
      <w:r>
        <w:t>licence or a licensee of a cellar door permit, must</w:t>
      </w:r>
      <w:r>
        <w:rPr>
          <w:snapToGrid w:val="0"/>
        </w:rPr>
        <w:t xml:space="preserve">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 xml:space="preserve">the name of the licensee, followed by the word </w:t>
      </w:r>
      <w:r>
        <w:t>“Licensee”,</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 xml:space="preserve">Penalty: </w:t>
      </w:r>
      <w:r>
        <w:t>a fine of</w:t>
      </w:r>
      <w:r>
        <w:rPr>
          <w:snapToGrid w:val="0"/>
        </w:rPr>
        <w:t xml:space="preserve"> $2 000.</w:t>
      </w:r>
    </w:p>
    <w:p>
      <w:pPr>
        <w:pStyle w:val="Subsection"/>
      </w:pPr>
      <w:r>
        <w:tab/>
        <w:t>(6)</w:t>
      </w:r>
      <w:r>
        <w:tab/>
        <w:t>The regulations may prescribe any additional matters relating to the display of, or the production of, documents by a licensee of a cellar door permit.</w:t>
      </w:r>
    </w:p>
    <w:p>
      <w:pPr>
        <w:pStyle w:val="Footnotesection"/>
      </w:pPr>
      <w:r>
        <w:tab/>
        <w:t xml:space="preserve">[Section 116 inserted by No. 12 of 1998 s. 81; amended by No. 73 of 2006 s. 82 and 110; No. 56 of 2010 s. 18, 25, 58 and 69; No. 35 of 2015 s. 18.] </w:t>
      </w:r>
    </w:p>
    <w:p>
      <w:pPr>
        <w:pStyle w:val="Heading5"/>
        <w:spacing w:before="180"/>
      </w:pPr>
      <w:bookmarkStart w:id="383" w:name="_Toc522197387"/>
      <w:r>
        <w:rPr>
          <w:rStyle w:val="CharSectno"/>
        </w:rPr>
        <w:t>116A</w:t>
      </w:r>
      <w:r>
        <w:t>.</w:t>
      </w:r>
      <w:r>
        <w:tab/>
        <w:t>Register of incidents at licensed premises to be maintained</w:t>
      </w:r>
      <w:bookmarkEnd w:id="383"/>
      <w:r>
        <w:t xml:space="preserve"> </w:t>
      </w:r>
    </w:p>
    <w:p>
      <w:pPr>
        <w:pStyle w:val="Subsection"/>
      </w:pPr>
      <w:r>
        <w:tab/>
        <w:t>(1)</w:t>
      </w:r>
      <w:r>
        <w:tab/>
        <w:t>A licensee must maintain a register on the licensed premises of the incidents, of the prescribed kind, that take place at the licensed premises.</w:t>
      </w:r>
    </w:p>
    <w:p>
      <w:pPr>
        <w:pStyle w:val="Penstart"/>
        <w:spacing w:before="120"/>
      </w:pPr>
      <w:r>
        <w:tab/>
        <w:t>Penalty: a fine of $5 000.</w:t>
      </w:r>
    </w:p>
    <w:p>
      <w:pPr>
        <w:pStyle w:val="Subsection"/>
        <w:keepNext/>
      </w:pPr>
      <w:r>
        <w:tab/>
        <w:t>(2)</w:t>
      </w:r>
      <w:r>
        <w:tab/>
        <w:t>The register is to be maintained in a form acceptable to the Director and is to contain the prescribed information.</w:t>
      </w:r>
    </w:p>
    <w:p>
      <w:pPr>
        <w:pStyle w:val="Subsection"/>
      </w:pPr>
      <w:r>
        <w:tab/>
        <w:t>(3A)</w:t>
      </w:r>
      <w:r>
        <w:tab/>
        <w:t>The record of an incident referred to in subsection (1) must be maintained on the Register for a period of 4 years.</w:t>
      </w:r>
    </w:p>
    <w:p>
      <w:pPr>
        <w:pStyle w:val="Subsection"/>
      </w:pPr>
      <w:r>
        <w:tab/>
        <w:t>(3B)</w:t>
      </w:r>
      <w:r>
        <w:tab/>
        <w:t>The Register may be kept in any way the licensee considers appropriate, including by electronic means.</w:t>
      </w:r>
    </w:p>
    <w:p>
      <w:pPr>
        <w:pStyle w:val="Subsection"/>
      </w:pPr>
      <w:r>
        <w:tab/>
        <w:t>(3)</w:t>
      </w:r>
      <w:r>
        <w:tab/>
        <w:t xml:space="preserve">A licensee, or the employee or agent of a licensee, must, at the request of an authorised officer — </w:t>
      </w:r>
    </w:p>
    <w:p>
      <w:pPr>
        <w:pStyle w:val="Indenta"/>
      </w:pPr>
      <w:r>
        <w:tab/>
        <w:t>(a)</w:t>
      </w:r>
      <w:r>
        <w:tab/>
        <w:t>make the Register available for inspection by the authorised officer; and</w:t>
      </w:r>
    </w:p>
    <w:p>
      <w:pPr>
        <w:pStyle w:val="Indenta"/>
      </w:pPr>
      <w:r>
        <w:tab/>
        <w:t>(b)</w:t>
      </w:r>
      <w:r>
        <w:tab/>
        <w:t>allow the authorised officer to take copies of, or extracts from, any part of the Register.</w:t>
      </w:r>
    </w:p>
    <w:p>
      <w:pPr>
        <w:pStyle w:val="Penstart"/>
      </w:pPr>
      <w:r>
        <w:tab/>
        <w:t>Penalty: a fine of $5 000.</w:t>
      </w:r>
    </w:p>
    <w:p>
      <w:pPr>
        <w:pStyle w:val="Footnotesection"/>
      </w:pPr>
      <w:r>
        <w:tab/>
        <w:t>[Section 116A inserted by No. 73 of 2006 s. 83; amended by No. 56 of 2010 s. 59 and 69; No. 35 of 2015 s. 19.]</w:t>
      </w:r>
    </w:p>
    <w:p>
      <w:pPr>
        <w:pStyle w:val="Heading3"/>
      </w:pPr>
      <w:bookmarkStart w:id="384" w:name="_Toc471906863"/>
      <w:bookmarkStart w:id="385" w:name="_Toc472001780"/>
      <w:bookmarkStart w:id="386" w:name="_Toc472676808"/>
      <w:bookmarkStart w:id="387" w:name="_Toc472682193"/>
      <w:bookmarkStart w:id="388" w:name="_Toc473119334"/>
      <w:bookmarkStart w:id="389" w:name="_Toc522197388"/>
      <w:r>
        <w:rPr>
          <w:rStyle w:val="CharDivNo"/>
        </w:rPr>
        <w:t>Division 7</w:t>
      </w:r>
      <w:r>
        <w:t> — </w:t>
      </w:r>
      <w:r>
        <w:rPr>
          <w:rStyle w:val="CharDivText"/>
        </w:rPr>
        <w:t>Complaints to Director</w:t>
      </w:r>
      <w:bookmarkEnd w:id="384"/>
      <w:bookmarkEnd w:id="385"/>
      <w:bookmarkEnd w:id="386"/>
      <w:bookmarkEnd w:id="387"/>
      <w:bookmarkEnd w:id="388"/>
      <w:bookmarkEnd w:id="389"/>
    </w:p>
    <w:p>
      <w:pPr>
        <w:pStyle w:val="Footnoteheading"/>
        <w:rPr>
          <w:snapToGrid w:val="0"/>
        </w:rPr>
      </w:pPr>
      <w:r>
        <w:tab/>
        <w:t>[Heading inserted by No. 73 of 2006 s. 84.]</w:t>
      </w:r>
    </w:p>
    <w:p>
      <w:pPr>
        <w:pStyle w:val="Heading5"/>
        <w:spacing w:before="240"/>
        <w:rPr>
          <w:snapToGrid w:val="0"/>
        </w:rPr>
      </w:pPr>
      <w:bookmarkStart w:id="390" w:name="_Toc522197389"/>
      <w:r>
        <w:rPr>
          <w:rStyle w:val="CharSectno"/>
        </w:rPr>
        <w:t>117</w:t>
      </w:r>
      <w:r>
        <w:rPr>
          <w:snapToGrid w:val="0"/>
        </w:rPr>
        <w:t>.</w:t>
      </w:r>
      <w:r>
        <w:rPr>
          <w:snapToGrid w:val="0"/>
        </w:rPr>
        <w:tab/>
        <w:t>Noise or behaviour related to licensed premises, complaints about</w:t>
      </w:r>
      <w:bookmarkEnd w:id="390"/>
    </w:p>
    <w:p>
      <w:pPr>
        <w:pStyle w:val="Subsection"/>
        <w:rPr>
          <w:snapToGrid w:val="0"/>
        </w:rPr>
      </w:pPr>
      <w:r>
        <w:rPr>
          <w:snapToGrid w:val="0"/>
        </w:rPr>
        <w:tab/>
        <w:t>(1)</w:t>
      </w:r>
      <w:r>
        <w:rPr>
          <w:snapToGrid w:val="0"/>
        </w:rPr>
        <w:tab/>
      </w:r>
      <w:r>
        <w:t xml:space="preserve">A complaint in writing may be </w:t>
      </w:r>
      <w:r>
        <w:rPr>
          <w:snapToGrid w:val="0"/>
        </w:rPr>
        <w:t>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 or</w:t>
      </w:r>
    </w:p>
    <w:p>
      <w:pPr>
        <w:pStyle w:val="Indenti"/>
        <w:rPr>
          <w:snapToGrid w:val="0"/>
        </w:rPr>
      </w:pPr>
      <w:r>
        <w:rPr>
          <w:snapToGrid w:val="0"/>
        </w:rPr>
        <w:tab/>
        <w:t>(ii)</w:t>
      </w:r>
      <w:r>
        <w:rPr>
          <w:snapToGrid w:val="0"/>
        </w:rPr>
        <w:tab/>
        <w:t>noise emanating from the licensed premises; or</w:t>
      </w:r>
    </w:p>
    <w:p>
      <w:pPr>
        <w:pStyle w:val="Indenti"/>
        <w:keepLines/>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 or</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 or</w:t>
      </w:r>
    </w:p>
    <w:p>
      <w:pPr>
        <w:pStyle w:val="Indenta"/>
        <w:rPr>
          <w:snapToGrid w:val="0"/>
        </w:rPr>
      </w:pPr>
      <w:r>
        <w:rPr>
          <w:snapToGrid w:val="0"/>
        </w:rPr>
        <w:tab/>
        <w:t>(c)</w:t>
      </w:r>
      <w:r>
        <w:rPr>
          <w:snapToGrid w:val="0"/>
        </w:rPr>
        <w:tab/>
        <w:t>a government agency or statutory authority; or</w:t>
      </w:r>
    </w:p>
    <w:p>
      <w:pPr>
        <w:pStyle w:val="Indenta"/>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 or</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pPr>
      <w:r>
        <w:tab/>
        <w:t>(2a)</w:t>
      </w:r>
      <w:r>
        <w:tab/>
        <w:t>If a complaint is lodged by a person referred to in subsection (2)(d), the complaint is to be signed, unless the Director otherwise approves, by 3 unrelated adults (including the complainant).</w:t>
      </w:r>
    </w:p>
    <w:p>
      <w:pPr>
        <w:pStyle w:val="Subsection"/>
      </w:pPr>
      <w:r>
        <w:tab/>
        <w:t>(2b)</w:t>
      </w:r>
      <w:r>
        <w:tab/>
        <w:t xml:space="preserve">In subsection (2a) — </w:t>
      </w:r>
    </w:p>
    <w:p>
      <w:pPr>
        <w:pStyle w:val="Defstart"/>
      </w:pPr>
      <w:r>
        <w:rPr>
          <w:b/>
        </w:rPr>
        <w:tab/>
      </w:r>
      <w:r>
        <w:rPr>
          <w:rStyle w:val="CharDefText"/>
        </w:rPr>
        <w:t>3 unrelated adults</w:t>
      </w:r>
      <w:r>
        <w:t xml:space="preserve"> means 3 adults each of whom — </w:t>
      </w:r>
    </w:p>
    <w:p>
      <w:pPr>
        <w:pStyle w:val="Defpara"/>
      </w:pPr>
      <w:r>
        <w:tab/>
        <w:t>(a)</w:t>
      </w:r>
      <w:r>
        <w:tab/>
        <w:t>resides at different residential premises; and</w:t>
      </w:r>
    </w:p>
    <w:p>
      <w:pPr>
        <w:pStyle w:val="Defpara"/>
      </w:pPr>
      <w:r>
        <w:tab/>
        <w:t>(b)</w:t>
      </w:r>
      <w:r>
        <w:tab/>
        <w:t xml:space="preserve">is not — </w:t>
      </w:r>
    </w:p>
    <w:p>
      <w:pPr>
        <w:pStyle w:val="Defsubpara"/>
        <w:keepLines w:val="0"/>
      </w:pPr>
      <w:r>
        <w:tab/>
        <w:t>(i)</w:t>
      </w:r>
      <w:r>
        <w:tab/>
        <w:t>a child; or</w:t>
      </w:r>
    </w:p>
    <w:p>
      <w:pPr>
        <w:pStyle w:val="Defsubpara"/>
        <w:keepLines w:val="0"/>
      </w:pPr>
      <w:r>
        <w:tab/>
        <w:t>(ii)</w:t>
      </w:r>
      <w:r>
        <w:tab/>
        <w:t>a parent; or</w:t>
      </w:r>
    </w:p>
    <w:p>
      <w:pPr>
        <w:pStyle w:val="Defsubpara"/>
        <w:keepLines w:val="0"/>
      </w:pPr>
      <w:r>
        <w:tab/>
        <w:t>(iii)</w:t>
      </w:r>
      <w:r>
        <w:tab/>
        <w:t>a brother or sister; or</w:t>
      </w:r>
    </w:p>
    <w:p>
      <w:pPr>
        <w:pStyle w:val="Defsubpara"/>
        <w:keepLines w:val="0"/>
      </w:pPr>
      <w:r>
        <w:tab/>
        <w:t>(iv)</w:t>
      </w:r>
      <w:r>
        <w:tab/>
        <w:t>an aunt or uncle; or</w:t>
      </w:r>
    </w:p>
    <w:p>
      <w:pPr>
        <w:pStyle w:val="Defsubpara"/>
        <w:keepLines w:val="0"/>
      </w:pPr>
      <w:r>
        <w:tab/>
        <w:t>(v)</w:t>
      </w:r>
      <w:r>
        <w:tab/>
        <w:t>a spouse or former spouse; or</w:t>
      </w:r>
    </w:p>
    <w:p>
      <w:pPr>
        <w:pStyle w:val="Defsubpara"/>
        <w:keepLines w:val="0"/>
      </w:pPr>
      <w:r>
        <w:tab/>
        <w:t>(vi)</w:t>
      </w:r>
      <w:r>
        <w:tab/>
        <w:t>a de facto partner or former de facto partner,</w:t>
      </w:r>
    </w:p>
    <w:p>
      <w:pPr>
        <w:pStyle w:val="Defpara"/>
      </w:pPr>
      <w:r>
        <w:tab/>
      </w:r>
      <w:r>
        <w:tab/>
        <w:t>of either of the other 2 adults.</w:t>
      </w:r>
    </w:p>
    <w:p>
      <w:pPr>
        <w:pStyle w:val="Subsection"/>
        <w:spacing w:before="120"/>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spacing w:before="120"/>
      </w:pPr>
      <w:r>
        <w:tab/>
        <w:t>(3a)</w:t>
      </w:r>
      <w:r>
        <w:tab/>
        <w:t>When a complaint is lodged with the Director under subsection (1), the Director is to attempt to settle the matter by conciliation or negotiation.</w:t>
      </w:r>
    </w:p>
    <w:p>
      <w:pPr>
        <w:pStyle w:val="Subsection"/>
      </w:pPr>
      <w:r>
        <w:tab/>
        <w:t>(3b)</w:t>
      </w:r>
      <w:r>
        <w:tab/>
        <w:t>If the Director determines at any stage of the proceedings under this section that the complaint is frivolous or vexatious, the Director is to dismiss the complaint.</w:t>
      </w:r>
    </w:p>
    <w:p>
      <w:pPr>
        <w:pStyle w:val="Subsection"/>
      </w:pPr>
      <w:r>
        <w:tab/>
        <w:t>(4)</w:t>
      </w:r>
      <w:r>
        <w:tab/>
        <w:t>If the matter referred to in a complaint is not settled by conciliation or negotiation, the Director is to give the complainant, the licensee and any other person appearing to the Director to have a relevant interest in the matter a reasonable opportunity to be heard or to make submissions.</w:t>
      </w:r>
    </w:p>
    <w:p>
      <w:pPr>
        <w:pStyle w:val="Subsection"/>
      </w:pPr>
      <w:r>
        <w:tab/>
        <w:t>(4a)</w:t>
      </w:r>
      <w:r>
        <w:tab/>
        <w:t xml:space="preserve">Having complied with subsection (4), the Director — </w:t>
      </w:r>
    </w:p>
    <w:p>
      <w:pPr>
        <w:pStyle w:val="Indenta"/>
      </w:pPr>
      <w:r>
        <w:tab/>
        <w:t>(a)</w:t>
      </w:r>
      <w:r>
        <w:tab/>
        <w:t>subject to subsection (4c), may determine the matter; and</w:t>
      </w:r>
    </w:p>
    <w:p>
      <w:pPr>
        <w:pStyle w:val="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pPr>
        <w:pStyle w:val="Subsection"/>
      </w:pPr>
      <w:r>
        <w:tab/>
      </w:r>
      <w:r>
        <w:tab/>
        <w:t>but otherwise the Director is to dismiss the complaint.</w:t>
      </w:r>
    </w:p>
    <w:p>
      <w:pPr>
        <w:pStyle w:val="Subsection"/>
        <w:keepNext/>
      </w:pPr>
      <w:r>
        <w:tab/>
        <w:t>(4b)</w:t>
      </w:r>
      <w:r>
        <w:tab/>
        <w:t xml:space="preserve">Without limiting the matters that the Director may have regard to when making a determination under subsection (4a), the Director may have regard to — </w:t>
      </w:r>
    </w:p>
    <w:p>
      <w:pPr>
        <w:pStyle w:val="Indenta"/>
      </w:pPr>
      <w:r>
        <w:tab/>
        <w:t>(a)</w:t>
      </w:r>
      <w:r>
        <w:tab/>
        <w:t xml:space="preserve">any alteration, including any structural change, made — </w:t>
      </w:r>
    </w:p>
    <w:p>
      <w:pPr>
        <w:pStyle w:val="Indenti"/>
      </w:pPr>
      <w:r>
        <w:tab/>
        <w:t>(i)</w:t>
      </w:r>
      <w:r>
        <w:tab/>
        <w:t>to the licensed premises; or</w:t>
      </w:r>
    </w:p>
    <w:p>
      <w:pPr>
        <w:pStyle w:val="Indenti"/>
      </w:pPr>
      <w:r>
        <w:tab/>
        <w:t>(ii)</w:t>
      </w:r>
      <w:r>
        <w:tab/>
        <w:t>if the complainant is a person referred to in subsection (2)(d) — to any relevant premises where the complainant (or, if subsection (2)(d)(ii) applies, the complainant’s child) resides, works, worships, attends or is a patient;</w:t>
      </w:r>
    </w:p>
    <w:p>
      <w:pPr>
        <w:pStyle w:val="Indenta"/>
      </w:pPr>
      <w:r>
        <w:tab/>
      </w:r>
      <w:r>
        <w:tab/>
        <w:t>and</w:t>
      </w:r>
    </w:p>
    <w:p>
      <w:pPr>
        <w:pStyle w:val="Indenta"/>
      </w:pPr>
      <w:r>
        <w:tab/>
        <w:t>(b)</w:t>
      </w:r>
      <w:r>
        <w:tab/>
        <w:t>any changes that have taken place over time to the activities that take place on the licensed premises; and</w:t>
      </w:r>
    </w:p>
    <w:p>
      <w:pPr>
        <w:pStyle w:val="Indenta"/>
        <w:keepNext/>
      </w:pPr>
      <w:r>
        <w:tab/>
        <w:t>(c)</w:t>
      </w:r>
      <w:r>
        <w:tab/>
        <w:t>the kind of business conducted under the licence and how that business is managed; and</w:t>
      </w:r>
    </w:p>
    <w:p>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pPr>
        <w:pStyle w:val="Indenta"/>
      </w:pPr>
      <w:r>
        <w:tab/>
        <w:t>(e)</w:t>
      </w:r>
      <w:r>
        <w:tab/>
        <w:t xml:space="preserve">any provision of the </w:t>
      </w:r>
      <w:r>
        <w:rPr>
          <w:i/>
        </w:rPr>
        <w:t>Environmental Protection Act 1986</w:t>
      </w:r>
      <w:r>
        <w:t>, or of any regulations made under that Act, that is relevant to the subject matter of the complaint.</w:t>
      </w:r>
    </w:p>
    <w:p>
      <w:pPr>
        <w:pStyle w:val="Subsection"/>
      </w:pPr>
      <w:r>
        <w:tab/>
        <w:t>(4c)</w:t>
      </w:r>
      <w:r>
        <w:tab/>
        <w:t xml:space="preserve">The Director — </w:t>
      </w:r>
    </w:p>
    <w:p>
      <w:pPr>
        <w:pStyle w:val="Indenta"/>
      </w:pPr>
      <w:r>
        <w:tab/>
        <w:t>(a)</w:t>
      </w:r>
      <w:r>
        <w:tab/>
        <w:t>may defer making a determination under subsection (4a) for any period the Director considers appropriate; and</w:t>
      </w:r>
    </w:p>
    <w:p>
      <w:pPr>
        <w:pStyle w:val="Indenta"/>
      </w:pPr>
      <w:r>
        <w:tab/>
        <w:t>(b)</w:t>
      </w:r>
      <w:r>
        <w:tab/>
        <w:t>may make an interim order that has effect for that period for any purpose for which an order may be made under subsection (5).</w:t>
      </w:r>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 or</w:t>
      </w:r>
    </w:p>
    <w:p>
      <w:pPr>
        <w:pStyle w:val="Indenta"/>
        <w:spacing w:before="90"/>
        <w:rPr>
          <w:snapToGrid w:val="0"/>
        </w:rPr>
      </w:pPr>
      <w:r>
        <w:rPr>
          <w:snapToGrid w:val="0"/>
        </w:rPr>
        <w:tab/>
        <w:t>(b)</w:t>
      </w:r>
      <w:r>
        <w:rPr>
          <w:snapToGrid w:val="0"/>
        </w:rPr>
        <w:tab/>
        <w:t>redefine, or redesignate a part of, the licensed premises; or</w:t>
      </w:r>
    </w:p>
    <w:p>
      <w:pPr>
        <w:pStyle w:val="Indenta"/>
        <w:keepLines/>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spacing w:before="120"/>
        <w:rPr>
          <w:snapToGrid w:val="0"/>
        </w:rPr>
      </w:pPr>
      <w:r>
        <w:rPr>
          <w:snapToGrid w:val="0"/>
        </w:rPr>
        <w:tab/>
        <w:t>(6)</w:t>
      </w:r>
      <w:r>
        <w:rPr>
          <w:snapToGrid w:val="0"/>
        </w:rPr>
        <w:tab/>
        <w:t>Where, under section 25, a determination made by the Director under this section is to be reviewed by the</w:t>
      </w:r>
      <w:r>
        <w:t xml:space="preserve"> Commission</w:t>
      </w:r>
      <w:r>
        <w:rPr>
          <w:snapToGrid w:val="0"/>
        </w:rPr>
        <w:t> — </w:t>
      </w:r>
    </w:p>
    <w:p>
      <w:pPr>
        <w:pStyle w:val="Indenta"/>
        <w:rPr>
          <w:snapToGrid w:val="0"/>
        </w:rPr>
      </w:pPr>
      <w:r>
        <w:rPr>
          <w:snapToGrid w:val="0"/>
        </w:rPr>
        <w:tab/>
        <w:t>(a)</w:t>
      </w:r>
      <w:r>
        <w:rPr>
          <w:snapToGrid w:val="0"/>
        </w:rPr>
        <w:tab/>
        <w:t>effect shall be given to any determination made by the Director; and</w:t>
      </w:r>
    </w:p>
    <w:p>
      <w:pPr>
        <w:pStyle w:val="Indenta"/>
        <w:rPr>
          <w:snapToGrid w:val="0"/>
        </w:rPr>
      </w:pPr>
      <w:r>
        <w:rPr>
          <w:snapToGrid w:val="0"/>
        </w:rPr>
        <w:tab/>
        <w:t>(b)</w:t>
      </w:r>
      <w:r>
        <w:rPr>
          <w:snapToGrid w:val="0"/>
        </w:rPr>
        <w:tab/>
        <w:t>any order made, or other action taken, by the Director under subsection (5) remains in force until revoked by the Director or quashed by the</w:t>
      </w:r>
      <w:r>
        <w:t xml:space="preserve"> Commission</w:t>
      </w:r>
      <w:r>
        <w:rPr>
          <w:snapToGrid w:val="0"/>
        </w:rPr>
        <w:t>,</w:t>
      </w:r>
    </w:p>
    <w:p>
      <w:pPr>
        <w:pStyle w:val="Subsection"/>
        <w:rPr>
          <w:snapToGrid w:val="0"/>
        </w:rPr>
      </w:pPr>
      <w:r>
        <w:rPr>
          <w:snapToGrid w:val="0"/>
        </w:rPr>
        <w:tab/>
      </w:r>
      <w:r>
        <w:rPr>
          <w:snapToGrid w:val="0"/>
        </w:rPr>
        <w:tab/>
        <w:t>unless the</w:t>
      </w:r>
      <w:r>
        <w:t xml:space="preserve"> Commission</w:t>
      </w:r>
      <w:r>
        <w:rPr>
          <w:snapToGrid w:val="0"/>
        </w:rPr>
        <w:t>, by way of interim order, otherwise directs.</w:t>
      </w:r>
    </w:p>
    <w:p>
      <w:pPr>
        <w:pStyle w:val="Subsection"/>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117 amended by No. 14 of 1996 s. 4; No. 12 of 1998 s. 82; No. 73 of 2006 s. 85, 106 and 110; No. 56 of 2010 s. 69.] </w:t>
      </w:r>
    </w:p>
    <w:p>
      <w:pPr>
        <w:pStyle w:val="Heading3"/>
        <w:keepNext w:val="0"/>
        <w:rPr>
          <w:snapToGrid w:val="0"/>
        </w:rPr>
      </w:pPr>
      <w:bookmarkStart w:id="391" w:name="_Toc471906865"/>
      <w:bookmarkStart w:id="392" w:name="_Toc472001782"/>
      <w:bookmarkStart w:id="393" w:name="_Toc472676810"/>
      <w:bookmarkStart w:id="394" w:name="_Toc472682195"/>
      <w:bookmarkStart w:id="395" w:name="_Toc473119336"/>
      <w:bookmarkStart w:id="396" w:name="_Toc522197390"/>
      <w:r>
        <w:rPr>
          <w:rStyle w:val="CharDivNo"/>
        </w:rPr>
        <w:t>Division 8</w:t>
      </w:r>
      <w:r>
        <w:rPr>
          <w:snapToGrid w:val="0"/>
        </w:rPr>
        <w:t> — </w:t>
      </w:r>
      <w:r>
        <w:rPr>
          <w:rStyle w:val="CharDivText"/>
        </w:rPr>
        <w:t>Liquor on unlicensed premises</w:t>
      </w:r>
      <w:bookmarkEnd w:id="391"/>
      <w:bookmarkEnd w:id="392"/>
      <w:bookmarkEnd w:id="393"/>
      <w:bookmarkEnd w:id="394"/>
      <w:bookmarkEnd w:id="395"/>
      <w:bookmarkEnd w:id="396"/>
      <w:r>
        <w:rPr>
          <w:rStyle w:val="CharDivText"/>
        </w:rPr>
        <w:t xml:space="preserve"> </w:t>
      </w:r>
    </w:p>
    <w:p>
      <w:pPr>
        <w:pStyle w:val="Heading5"/>
        <w:spacing w:before="180"/>
        <w:rPr>
          <w:snapToGrid w:val="0"/>
        </w:rPr>
      </w:pPr>
      <w:bookmarkStart w:id="397" w:name="_Toc522197391"/>
      <w:r>
        <w:rPr>
          <w:rStyle w:val="CharSectno"/>
        </w:rPr>
        <w:t>118</w:t>
      </w:r>
      <w:r>
        <w:rPr>
          <w:snapToGrid w:val="0"/>
        </w:rPr>
        <w:t>.</w:t>
      </w:r>
      <w:r>
        <w:rPr>
          <w:snapToGrid w:val="0"/>
        </w:rPr>
        <w:tab/>
        <w:t>Persons purporting to be licensee</w:t>
      </w:r>
      <w:bookmarkEnd w:id="397"/>
      <w:r>
        <w:rPr>
          <w:snapToGrid w:val="0"/>
        </w:rPr>
        <w:t xml:space="preserve"> </w:t>
      </w:r>
    </w:p>
    <w:p>
      <w:pPr>
        <w:pStyle w:val="Subsection"/>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rPr>
          <w:snapToGrid w:val="0"/>
        </w:rPr>
      </w:pPr>
      <w:r>
        <w:rPr>
          <w:snapToGrid w:val="0"/>
        </w:rPr>
        <w:tab/>
        <w:t>(a)</w:t>
      </w:r>
      <w:r>
        <w:rPr>
          <w:snapToGrid w:val="0"/>
        </w:rPr>
        <w:tab/>
        <w:t>which are licensed premises; or</w:t>
      </w:r>
    </w:p>
    <w:p>
      <w:pPr>
        <w:pStyle w:val="Indenta"/>
        <w:rPr>
          <w:snapToGrid w:val="0"/>
        </w:rPr>
      </w:pPr>
      <w:r>
        <w:rPr>
          <w:snapToGrid w:val="0"/>
        </w:rPr>
        <w:tab/>
        <w:t>(b)</w:t>
      </w:r>
      <w:r>
        <w:rPr>
          <w:snapToGrid w:val="0"/>
        </w:rPr>
        <w:tab/>
        <w:t>of which that person purports to be the licensee; or</w:t>
      </w:r>
    </w:p>
    <w:p>
      <w:pPr>
        <w:pStyle w:val="Indenta"/>
        <w:rPr>
          <w:snapToGrid w:val="0"/>
        </w:rPr>
      </w:pPr>
      <w:r>
        <w:rPr>
          <w:snapToGrid w:val="0"/>
        </w:rPr>
        <w:tab/>
        <w:t>(c)</w:t>
      </w:r>
      <w:r>
        <w:rPr>
          <w:snapToGrid w:val="0"/>
        </w:rPr>
        <w:tab/>
        <w:t>in respect to which that person alleges a licence was transferred; or</w:t>
      </w:r>
    </w:p>
    <w:p>
      <w:pPr>
        <w:pStyle w:val="Indenta"/>
        <w:rPr>
          <w:snapToGrid w:val="0"/>
        </w:rPr>
      </w:pPr>
      <w:r>
        <w:rPr>
          <w:snapToGrid w:val="0"/>
        </w:rPr>
        <w:tab/>
        <w:t>(d)</w:t>
      </w:r>
      <w:r>
        <w:rPr>
          <w:snapToGrid w:val="0"/>
        </w:rPr>
        <w:tab/>
        <w:t>to which a purported authorisation conferred by section 86 applies,</w:t>
      </w:r>
    </w:p>
    <w:p>
      <w:pPr>
        <w:pStyle w:val="Subsection"/>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Footnotesection"/>
      </w:pPr>
      <w:r>
        <w:tab/>
        <w:t>[Section 118 amended by No. 73 of 2006 s. 110; No. 56 of 2010 s. 69.]</w:t>
      </w:r>
    </w:p>
    <w:p>
      <w:pPr>
        <w:pStyle w:val="Heading5"/>
        <w:spacing w:before="240"/>
        <w:rPr>
          <w:snapToGrid w:val="0"/>
        </w:rPr>
      </w:pPr>
      <w:bookmarkStart w:id="398" w:name="_Toc522197392"/>
      <w:r>
        <w:rPr>
          <w:rStyle w:val="CharSectno"/>
        </w:rPr>
        <w:t>119</w:t>
      </w:r>
      <w:r>
        <w:rPr>
          <w:snapToGrid w:val="0"/>
        </w:rPr>
        <w:t>.</w:t>
      </w:r>
      <w:r>
        <w:rPr>
          <w:snapToGrid w:val="0"/>
        </w:rPr>
        <w:tab/>
        <w:t>Unlicensed premises etc., offences as to</w:t>
      </w:r>
      <w:bookmarkEnd w:id="398"/>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 or</w:t>
      </w:r>
    </w:p>
    <w:p>
      <w:pPr>
        <w:pStyle w:val="Indenta"/>
        <w:keepNext/>
        <w:rPr>
          <w:snapToGrid w:val="0"/>
        </w:rPr>
      </w:pPr>
      <w:r>
        <w:rPr>
          <w:snapToGrid w:val="0"/>
        </w:rPr>
        <w:tab/>
        <w:t>(b)</w:t>
      </w:r>
      <w:r>
        <w:rPr>
          <w:snapToGrid w:val="0"/>
        </w:rPr>
        <w:tab/>
        <w:t>has in his or her possession or control any liquor in; or</w:t>
      </w:r>
    </w:p>
    <w:p>
      <w:pPr>
        <w:pStyle w:val="Indenta"/>
        <w:keepNext/>
        <w:rPr>
          <w:snapToGrid w:val="0"/>
        </w:rPr>
      </w:pPr>
      <w:r>
        <w:rPr>
          <w:snapToGrid w:val="0"/>
        </w:rPr>
        <w:tab/>
        <w:t>(c)</w:t>
      </w:r>
      <w:r>
        <w:rPr>
          <w:snapToGrid w:val="0"/>
        </w:rPr>
        <w:tab/>
        <w:t>consumes liquor in,</w:t>
      </w:r>
    </w:p>
    <w:p>
      <w:pPr>
        <w:pStyle w:val="Subsection"/>
        <w:spacing w:before="180"/>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80"/>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 or</w:t>
      </w:r>
    </w:p>
    <w:p>
      <w:pPr>
        <w:pStyle w:val="Indenta"/>
        <w:rPr>
          <w:snapToGrid w:val="0"/>
        </w:rPr>
      </w:pPr>
      <w:r>
        <w:rPr>
          <w:snapToGrid w:val="0"/>
        </w:rPr>
        <w:tab/>
        <w:t>(b)</w:t>
      </w:r>
      <w:r>
        <w:rPr>
          <w:snapToGrid w:val="0"/>
        </w:rPr>
        <w:tab/>
        <w:t>liquor the possession and sale of which is authorised by a licence or permit under this Act; or</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spacing w:before="180"/>
        <w:rPr>
          <w:snapToGrid w:val="0"/>
        </w:rPr>
      </w:pPr>
      <w:r>
        <w:rPr>
          <w:snapToGrid w:val="0"/>
        </w:rPr>
        <w:tab/>
        <w:t>(4)</w:t>
      </w:r>
      <w:r>
        <w:rPr>
          <w:snapToGrid w:val="0"/>
        </w:rPr>
        <w:tab/>
        <w:t xml:space="preserve">Except </w:t>
      </w:r>
      <w:r>
        <w:t>where exempted in regulations under section 6(1)(o) or</w:t>
      </w:r>
      <w:r>
        <w:rPr>
          <w:snapToGrid w:val="0"/>
        </w:rPr>
        <w:t xml:space="preserve"> where the supply of that liquor was authorised by a licence or permit under this Act and the place where the liquor is consumed is for the time being a place to which that licence or permit applies, a person who consumes liquor — </w:t>
      </w:r>
    </w:p>
    <w:p>
      <w:pPr>
        <w:pStyle w:val="Indenta"/>
        <w:spacing w:before="100"/>
      </w:pPr>
      <w:r>
        <w:tab/>
        <w:t>(a)</w:t>
      </w:r>
      <w:r>
        <w:tab/>
        <w:t xml:space="preserve">on a road as defined in the </w:t>
      </w:r>
      <w:r>
        <w:rPr>
          <w:i/>
          <w:iCs/>
        </w:rPr>
        <w:t>Road Traffic (Administration) Act 2008</w:t>
      </w:r>
      <w:r>
        <w:t xml:space="preserve"> section 4; or</w:t>
      </w:r>
    </w:p>
    <w:p>
      <w:pPr>
        <w:pStyle w:val="Indenta"/>
        <w:spacing w:before="100"/>
        <w:rPr>
          <w:snapToGrid w:val="0"/>
        </w:rPr>
      </w:pPr>
      <w:r>
        <w:rPr>
          <w:snapToGrid w:val="0"/>
        </w:rPr>
        <w:tab/>
        <w:t>(b)</w:t>
      </w:r>
      <w:r>
        <w:rPr>
          <w:snapToGrid w:val="0"/>
        </w:rPr>
        <w:tab/>
        <w:t>within 400 m of any public hall during the conduct of any entertainment in that hall to which the public is permitted to have access; or</w:t>
      </w:r>
    </w:p>
    <w:p>
      <w:pPr>
        <w:pStyle w:val="Indenta"/>
        <w:spacing w:before="100"/>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rPr>
          <w:snapToGrid w:val="0"/>
        </w:rPr>
      </w:pPr>
      <w:r>
        <w:rPr>
          <w:snapToGrid w:val="0"/>
        </w:rPr>
        <w:tab/>
      </w:r>
      <w:r>
        <w:rPr>
          <w:snapToGrid w:val="0"/>
        </w:rPr>
        <w:tab/>
        <w:t>commits an offence.</w:t>
      </w:r>
    </w:p>
    <w:p>
      <w:pPr>
        <w:pStyle w:val="Penstart"/>
        <w:spacing w:before="60"/>
        <w:rPr>
          <w:snapToGrid w:val="0"/>
        </w:rPr>
      </w:pPr>
      <w:r>
        <w:rPr>
          <w:snapToGrid w:val="0"/>
        </w:rPr>
        <w:tab/>
      </w:r>
      <w:r>
        <w:t>Penalty: a fine of $2 000.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 xml:space="preserve">is the occupier of, </w:t>
      </w:r>
      <w:r>
        <w:t>a manager of, or</w:t>
      </w:r>
      <w:r>
        <w:rPr>
          <w:snapToGrid w:val="0"/>
        </w:rPr>
        <w:t xml:space="preserve"> a person who has the control of, any place or premises to which subsection (2) or (4)(c) applies; or</w:t>
      </w:r>
    </w:p>
    <w:p>
      <w:pPr>
        <w:pStyle w:val="Indenta"/>
      </w:pPr>
      <w:r>
        <w:tab/>
        <w:t>(ba)</w:t>
      </w:r>
      <w:r>
        <w:tab/>
        <w:t>is in charge of a vehicle on a road referred to in subsection (4)(a); or</w:t>
      </w:r>
    </w:p>
    <w:p>
      <w:pPr>
        <w:pStyle w:val="Indenta"/>
        <w:rPr>
          <w:snapToGrid w:val="0"/>
        </w:rPr>
      </w:pPr>
      <w:r>
        <w:rPr>
          <w:snapToGrid w:val="0"/>
        </w:rPr>
        <w:tab/>
        <w:t>(b)</w:t>
      </w:r>
      <w:r>
        <w:rPr>
          <w:snapToGrid w:val="0"/>
        </w:rPr>
        <w:tab/>
        <w:t xml:space="preserve">is employed by, or the agent of, </w:t>
      </w:r>
      <w:r>
        <w:t>a person referred to in paragraph (a) or (ba),</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keepNext/>
        <w:keepLines/>
        <w:rPr>
          <w:snapToGrid w:val="0"/>
        </w:rPr>
      </w:pPr>
      <w:r>
        <w:rPr>
          <w:snapToGrid w:val="0"/>
        </w:rPr>
        <w:tab/>
        <w:t>(6)</w:t>
      </w:r>
      <w:r>
        <w:rPr>
          <w:snapToGrid w:val="0"/>
        </w:rPr>
        <w:tab/>
        <w:t>It is not a defence to a charge of an offence against this section that the liquor was in, or was consumed in or upon, a vehicle.</w:t>
      </w:r>
    </w:p>
    <w:p>
      <w:pPr>
        <w:pStyle w:val="Subsection"/>
        <w:spacing w:before="120"/>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rPr>
          <w:snapToGrid w:val="0"/>
        </w:rPr>
      </w:pPr>
      <w:r>
        <w:rPr>
          <w:snapToGrid w:val="0"/>
        </w:rPr>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spacing w:before="120"/>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 xml:space="preserve">Penalty: </w:t>
      </w:r>
      <w:r>
        <w:t>a fine of</w:t>
      </w:r>
      <w:r>
        <w:rPr>
          <w:snapToGrid w:val="0"/>
        </w:rPr>
        <w:t xml:space="preserve"> $2 000.</w:t>
      </w:r>
    </w:p>
    <w:p>
      <w:pPr>
        <w:pStyle w:val="Subsection"/>
        <w:keepNext/>
        <w:keepLines/>
        <w:spacing w:before="120"/>
        <w:rPr>
          <w:snapToGrid w:val="0"/>
        </w:rPr>
      </w:pPr>
      <w:r>
        <w:rPr>
          <w:snapToGrid w:val="0"/>
        </w:rPr>
        <w:tab/>
        <w:t>(12)</w:t>
      </w:r>
      <w:r>
        <w:rPr>
          <w:snapToGrid w:val="0"/>
        </w:rPr>
        <w:tab/>
        <w:t>It is a defence to a charge under subsection (11) if the accused proves that he or she — </w:t>
      </w:r>
    </w:p>
    <w:p>
      <w:pPr>
        <w:pStyle w:val="Indenta"/>
        <w:rPr>
          <w:snapToGrid w:val="0"/>
        </w:rPr>
      </w:pPr>
      <w:r>
        <w:rPr>
          <w:snapToGrid w:val="0"/>
        </w:rPr>
        <w:tab/>
        <w:t>(a)</w:t>
      </w:r>
      <w:r>
        <w:rPr>
          <w:snapToGrid w:val="0"/>
        </w:rPr>
        <w:tab/>
        <w:t>was present on the premises for a lawful purpose; and</w:t>
      </w:r>
    </w:p>
    <w:p>
      <w:pPr>
        <w:pStyle w:val="Indenta"/>
        <w:keepNext/>
        <w:rPr>
          <w:snapToGrid w:val="0"/>
        </w:rPr>
      </w:pPr>
      <w:r>
        <w:rPr>
          <w:snapToGrid w:val="0"/>
        </w:rPr>
        <w:tab/>
        <w:t>(b)</w:t>
      </w:r>
      <w:r>
        <w:rPr>
          <w:snapToGrid w:val="0"/>
        </w:rPr>
        <w:tab/>
        <w:t>neither took part nor intended to take part in any unlawful sale, supply, or consumption of liquor.</w:t>
      </w:r>
    </w:p>
    <w:p>
      <w:pPr>
        <w:pStyle w:val="Footnotesection"/>
        <w:ind w:left="890" w:hanging="890"/>
      </w:pPr>
      <w:r>
        <w:tab/>
        <w:t xml:space="preserve">[Section 119 amended by No. 84 of 2004 s. 80 and 82; No. 73 of 2006 s. 86 and 110; No. 56 of 2010 s. 25, 60 and 69; No. 8 of 2012 s. 119.] </w:t>
      </w:r>
    </w:p>
    <w:p>
      <w:pPr>
        <w:pStyle w:val="Heading3"/>
        <w:spacing w:before="180"/>
      </w:pPr>
      <w:bookmarkStart w:id="399" w:name="_Toc471906868"/>
      <w:bookmarkStart w:id="400" w:name="_Toc472001785"/>
      <w:bookmarkStart w:id="401" w:name="_Toc472676813"/>
      <w:bookmarkStart w:id="402" w:name="_Toc472682198"/>
      <w:bookmarkStart w:id="403" w:name="_Toc473119339"/>
      <w:bookmarkStart w:id="404" w:name="_Toc522197393"/>
      <w:r>
        <w:rPr>
          <w:rStyle w:val="CharDivNo"/>
        </w:rPr>
        <w:t>Division 8A</w:t>
      </w:r>
      <w:r>
        <w:t> — </w:t>
      </w:r>
      <w:r>
        <w:rPr>
          <w:rStyle w:val="CharDivText"/>
        </w:rPr>
        <w:t>Conduct of unapproved businesses on or from licensed premises</w:t>
      </w:r>
      <w:bookmarkEnd w:id="399"/>
      <w:bookmarkEnd w:id="400"/>
      <w:bookmarkEnd w:id="401"/>
      <w:bookmarkEnd w:id="402"/>
      <w:bookmarkEnd w:id="403"/>
      <w:bookmarkEnd w:id="404"/>
    </w:p>
    <w:p>
      <w:pPr>
        <w:pStyle w:val="Footnoteheading"/>
      </w:pPr>
      <w:r>
        <w:tab/>
        <w:t>[Heading inserted by No. 73 of 2006 s. 87.]</w:t>
      </w:r>
    </w:p>
    <w:p>
      <w:pPr>
        <w:pStyle w:val="Heading5"/>
        <w:spacing w:before="180"/>
      </w:pPr>
      <w:bookmarkStart w:id="405" w:name="_Toc522197394"/>
      <w:r>
        <w:rPr>
          <w:rStyle w:val="CharSectno"/>
        </w:rPr>
        <w:t>119A</w:t>
      </w:r>
      <w:r>
        <w:t>.</w:t>
      </w:r>
      <w:r>
        <w:tab/>
        <w:t>Non-liquor businesses on licensed premises, conduct of requires approval</w:t>
      </w:r>
      <w:bookmarkEnd w:id="405"/>
    </w:p>
    <w:p>
      <w:pPr>
        <w:pStyle w:val="Subsection"/>
        <w:spacing w:before="120"/>
      </w:pPr>
      <w:r>
        <w:tab/>
        <w:t>(1)</w:t>
      </w:r>
      <w:r>
        <w:tab/>
        <w:t>In this section —</w:t>
      </w:r>
    </w:p>
    <w:p>
      <w:pPr>
        <w:pStyle w:val="Defstart"/>
        <w:spacing w:before="160"/>
      </w:pPr>
      <w:r>
        <w:tab/>
      </w:r>
      <w:r>
        <w:rPr>
          <w:rStyle w:val="CharDefText"/>
        </w:rPr>
        <w:t>non</w:t>
      </w:r>
      <w:r>
        <w:rPr>
          <w:rStyle w:val="CharDefText"/>
        </w:rPr>
        <w:noBreakHyphen/>
        <w:t>liquor business on licensed premises</w:t>
      </w:r>
      <w:r>
        <w:t xml:space="preserve"> means a business, other than a business conducted under a licence or a prescribed business, conducted on or from licensed premises.</w:t>
      </w:r>
    </w:p>
    <w:p>
      <w:pPr>
        <w:pStyle w:val="Subsection"/>
      </w:pPr>
      <w:r>
        <w:tab/>
        <w:t>(2)</w:t>
      </w:r>
      <w:r>
        <w:tab/>
        <w:t>The licensing authority may, on an application by a person under subsection (3), give approval to the person to conduct a non</w:t>
      </w:r>
      <w:r>
        <w:noBreakHyphen/>
        <w:t>liquor business on licensed premises.</w:t>
      </w:r>
    </w:p>
    <w:p>
      <w:pPr>
        <w:pStyle w:val="Subsection"/>
      </w:pPr>
      <w:r>
        <w:tab/>
        <w:t>(3)</w:t>
      </w:r>
      <w:r>
        <w:tab/>
        <w:t xml:space="preserve">The application for the approval must — </w:t>
      </w:r>
    </w:p>
    <w:p>
      <w:pPr>
        <w:pStyle w:val="Indenta"/>
        <w:spacing w:before="60"/>
      </w:pPr>
      <w:r>
        <w:tab/>
        <w:t>(a)</w:t>
      </w:r>
      <w:r>
        <w:tab/>
        <w:t>be made in a form approved by the licensing authority; and</w:t>
      </w:r>
    </w:p>
    <w:p>
      <w:pPr>
        <w:pStyle w:val="Indenta"/>
        <w:spacing w:before="60"/>
      </w:pPr>
      <w:r>
        <w:tab/>
        <w:t>(b)</w:t>
      </w:r>
      <w:r>
        <w:tab/>
        <w:t>be accompanied by the prescribed fee; and</w:t>
      </w:r>
    </w:p>
    <w:p>
      <w:pPr>
        <w:pStyle w:val="Indenta"/>
        <w:spacing w:before="60"/>
      </w:pPr>
      <w:r>
        <w:tab/>
        <w:t>(c)</w:t>
      </w:r>
      <w:r>
        <w:tab/>
        <w:t>be supported by any further or other documentation or information that the licensing authority may require.</w:t>
      </w:r>
    </w:p>
    <w:p>
      <w:pPr>
        <w:pStyle w:val="Subsection"/>
      </w:pPr>
      <w:r>
        <w:tab/>
        <w:t>(4)</w:t>
      </w:r>
      <w:r>
        <w:tab/>
        <w:t>A person who conducts a non</w:t>
      </w:r>
      <w:r>
        <w:noBreakHyphen/>
        <w:t>liquor business on licensed premises without the approval commits an offence.</w:t>
      </w:r>
    </w:p>
    <w:p>
      <w:pPr>
        <w:pStyle w:val="Penstart"/>
      </w:pPr>
      <w:r>
        <w:tab/>
        <w:t xml:space="preserve">Penalty: </w:t>
      </w:r>
    </w:p>
    <w:p>
      <w:pPr>
        <w:pStyle w:val="Penpara"/>
        <w:spacing w:before="60"/>
      </w:pPr>
      <w:r>
        <w:tab/>
        <w:t>(a)</w:t>
      </w:r>
      <w:r>
        <w:tab/>
        <w:t>for the licensee, a fine of $10 000;</w:t>
      </w:r>
    </w:p>
    <w:p>
      <w:pPr>
        <w:pStyle w:val="Penpara"/>
        <w:spacing w:before="60"/>
      </w:pPr>
      <w:r>
        <w:tab/>
        <w:t>(b)</w:t>
      </w:r>
      <w:r>
        <w:tab/>
        <w:t>for anyone else, a fine of $4 000.</w:t>
      </w:r>
    </w:p>
    <w:p>
      <w:pPr>
        <w:pStyle w:val="Subsection"/>
      </w:pPr>
      <w:r>
        <w:tab/>
        <w:t>(5)</w:t>
      </w:r>
      <w:r>
        <w:tab/>
        <w:t>A licensee who causes or permits another person to conduct a non</w:t>
      </w:r>
      <w:r>
        <w:noBreakHyphen/>
        <w:t>liquor business on licensed premises without the approval commits an offence.</w:t>
      </w:r>
    </w:p>
    <w:p>
      <w:pPr>
        <w:pStyle w:val="Penstart"/>
      </w:pPr>
      <w:r>
        <w:tab/>
        <w:t>Penalty: a fine of $10 000.</w:t>
      </w:r>
    </w:p>
    <w:p>
      <w:pPr>
        <w:pStyle w:val="Footnotesection"/>
      </w:pPr>
      <w:r>
        <w:tab/>
        <w:t>[Section 119A inserted by No. 56 of 2010 s. 61.]</w:t>
      </w:r>
    </w:p>
    <w:p>
      <w:pPr>
        <w:pStyle w:val="Heading3"/>
        <w:keepLines/>
        <w:rPr>
          <w:snapToGrid w:val="0"/>
        </w:rPr>
      </w:pPr>
      <w:bookmarkStart w:id="406" w:name="_Toc471906870"/>
      <w:bookmarkStart w:id="407" w:name="_Toc472001787"/>
      <w:bookmarkStart w:id="408" w:name="_Toc472676815"/>
      <w:bookmarkStart w:id="409" w:name="_Toc472682200"/>
      <w:bookmarkStart w:id="410" w:name="_Toc473119341"/>
      <w:bookmarkStart w:id="411" w:name="_Toc522197395"/>
      <w:r>
        <w:rPr>
          <w:rStyle w:val="CharDivNo"/>
        </w:rPr>
        <w:t>Division 9</w:t>
      </w:r>
      <w:r>
        <w:rPr>
          <w:snapToGrid w:val="0"/>
        </w:rPr>
        <w:t> — </w:t>
      </w:r>
      <w:r>
        <w:rPr>
          <w:rStyle w:val="CharDivText"/>
        </w:rPr>
        <w:t>Juveniles</w:t>
      </w:r>
      <w:bookmarkEnd w:id="406"/>
      <w:bookmarkEnd w:id="407"/>
      <w:bookmarkEnd w:id="408"/>
      <w:bookmarkEnd w:id="409"/>
      <w:bookmarkEnd w:id="410"/>
      <w:bookmarkEnd w:id="411"/>
      <w:r>
        <w:rPr>
          <w:rStyle w:val="CharDivText"/>
        </w:rPr>
        <w:t xml:space="preserve"> </w:t>
      </w:r>
    </w:p>
    <w:p>
      <w:pPr>
        <w:pStyle w:val="Heading5"/>
        <w:rPr>
          <w:snapToGrid w:val="0"/>
        </w:rPr>
      </w:pPr>
      <w:bookmarkStart w:id="412" w:name="_Toc522197396"/>
      <w:r>
        <w:rPr>
          <w:rStyle w:val="CharSectno"/>
        </w:rPr>
        <w:t>120</w:t>
      </w:r>
      <w:r>
        <w:rPr>
          <w:snapToGrid w:val="0"/>
        </w:rPr>
        <w:t>.</w:t>
      </w:r>
      <w:r>
        <w:rPr>
          <w:snapToGrid w:val="0"/>
        </w:rPr>
        <w:tab/>
        <w:t>When juveniles permitted on licensed premises</w:t>
      </w:r>
      <w:bookmarkEnd w:id="412"/>
    </w:p>
    <w:p>
      <w:pPr>
        <w:pStyle w:val="Subsection"/>
        <w:keepNext/>
        <w:keepLines/>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constitution or rules of the club; and</w:t>
      </w:r>
    </w:p>
    <w:p>
      <w:pPr>
        <w:pStyle w:val="Indenti"/>
        <w:rPr>
          <w:snapToGrid w:val="0"/>
        </w:rPr>
      </w:pPr>
      <w:r>
        <w:rPr>
          <w:snapToGrid w:val="0"/>
        </w:rPr>
        <w:tab/>
        <w:t>(ii)</w:t>
      </w:r>
      <w:r>
        <w:rPr>
          <w:snapToGrid w:val="0"/>
        </w:rPr>
        <w:tab/>
        <w:t>is permitted, expressly or by implication, by the committee of the club; and</w:t>
      </w:r>
    </w:p>
    <w:p>
      <w:pPr>
        <w:pStyle w:val="Indenti"/>
        <w:keepNext/>
        <w:rPr>
          <w:snapToGrid w:val="0"/>
        </w:rPr>
      </w:pPr>
      <w:r>
        <w:rPr>
          <w:snapToGrid w:val="0"/>
        </w:rPr>
        <w:tab/>
        <w:t>(iii)</w:t>
      </w:r>
      <w:r>
        <w:rPr>
          <w:snapToGrid w:val="0"/>
        </w:rPr>
        <w:tab/>
        <w:t>does not contravene a condition of the licence;</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 xml:space="preserve">a member of the family of </w:t>
      </w:r>
      <w:r>
        <w:t>the licensee or occupier or a manager of</w:t>
      </w:r>
      <w:r>
        <w:rPr>
          <w:snapToGrid w:val="0"/>
        </w:rPr>
        <w:t xml:space="preserve">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 or</w:t>
      </w:r>
    </w:p>
    <w:p>
      <w:pPr>
        <w:pStyle w:val="Indenti"/>
        <w:rPr>
          <w:snapToGrid w:val="0"/>
        </w:rPr>
      </w:pPr>
      <w:r>
        <w:rPr>
          <w:snapToGrid w:val="0"/>
        </w:rPr>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 or</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 or</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Footnotesection"/>
      </w:pPr>
      <w:r>
        <w:tab/>
        <w:t xml:space="preserve">[Section 120 amended by No. 56 of 2010 s. 25.] </w:t>
      </w:r>
    </w:p>
    <w:p>
      <w:pPr>
        <w:pStyle w:val="Heading5"/>
        <w:rPr>
          <w:snapToGrid w:val="0"/>
        </w:rPr>
      </w:pPr>
      <w:bookmarkStart w:id="413" w:name="_Toc522197397"/>
      <w:r>
        <w:rPr>
          <w:rStyle w:val="CharSectno"/>
        </w:rPr>
        <w:t>121</w:t>
      </w:r>
      <w:r>
        <w:rPr>
          <w:snapToGrid w:val="0"/>
        </w:rPr>
        <w:t>.</w:t>
      </w:r>
      <w:r>
        <w:rPr>
          <w:snapToGrid w:val="0"/>
        </w:rPr>
        <w:tab/>
        <w:t>Licensed premises, offences as to juveniles</w:t>
      </w:r>
      <w:bookmarkEnd w:id="413"/>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 and</w:t>
      </w:r>
    </w:p>
    <w:p>
      <w:pPr>
        <w:pStyle w:val="Indenta"/>
      </w:pPr>
      <w:r>
        <w:tab/>
        <w:t>(b)</w:t>
      </w:r>
      <w:r>
        <w:tab/>
        <w:t>any manager who is supervising and managing the licensed premises at the time the liquor is sold or supplied; and</w:t>
      </w:r>
    </w:p>
    <w:p>
      <w:pPr>
        <w:pStyle w:val="Indenta"/>
        <w:rPr>
          <w:snapToGrid w:val="0"/>
        </w:rPr>
      </w:pPr>
      <w:r>
        <w:rPr>
          <w:snapToGrid w:val="0"/>
        </w:rPr>
        <w:tab/>
        <w:t>(c)</w:t>
      </w:r>
      <w:r>
        <w:rPr>
          <w:snapToGrid w:val="0"/>
        </w:rPr>
        <w:tab/>
        <w:t>any other person by whom the liquor is sold or supplied; and</w:t>
      </w:r>
    </w:p>
    <w:p>
      <w:pPr>
        <w:pStyle w:val="Indenta"/>
        <w:keepNext/>
        <w:rPr>
          <w:snapToGrid w:val="0"/>
        </w:rPr>
      </w:pPr>
      <w:r>
        <w:rPr>
          <w:snapToGrid w:val="0"/>
        </w:rPr>
        <w:tab/>
        <w:t>(d)</w:t>
      </w:r>
      <w:r>
        <w:rPr>
          <w:snapToGrid w:val="0"/>
        </w:rPr>
        <w:tab/>
        <w:t>any person who permits the sale or supply,</w:t>
      </w:r>
    </w:p>
    <w:p>
      <w:pPr>
        <w:pStyle w:val="Subsection"/>
        <w:spacing w:before="80"/>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the sale or supply by any other person, a fine of $4 000;</w:t>
      </w:r>
    </w:p>
    <w:p>
      <w:pPr>
        <w:pStyle w:val="Penpara"/>
      </w:pPr>
      <w:r>
        <w:tab/>
        <w:t>(c)</w:t>
      </w:r>
      <w:r>
        <w:tab/>
        <w:t>for anyone else, a fine of $2 000.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anyone else, a fine of $4 000.</w:t>
      </w:r>
    </w:p>
    <w:p>
      <w:pPr>
        <w:pStyle w:val="Subsection"/>
        <w:keepNext/>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pPr>
        <w:pStyle w:val="Penstart"/>
        <w:rPr>
          <w:snapToGrid w:val="0"/>
        </w:rPr>
      </w:pPr>
      <w:r>
        <w:rPr>
          <w:snapToGrid w:val="0"/>
        </w:rPr>
        <w:tab/>
        <w:t xml:space="preserve">Penalty: </w:t>
      </w:r>
      <w:r>
        <w:t>a fine of</w:t>
      </w:r>
      <w:r>
        <w:rPr>
          <w:snapToGrid w:val="0"/>
        </w:rPr>
        <w:t xml:space="preserve"> $2 000.</w:t>
      </w:r>
    </w:p>
    <w:p>
      <w:pPr>
        <w:pStyle w:val="Subsection"/>
        <w:keepNext/>
        <w:spacing w:before="120"/>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 and</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spacing w:before="120"/>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 juvenile, a fine of $2 000.</w:t>
      </w:r>
    </w:p>
    <w:p>
      <w:pPr>
        <w:pStyle w:val="Subsection"/>
        <w:spacing w:before="120"/>
        <w:rPr>
          <w:snapToGrid w:val="0"/>
        </w:rPr>
      </w:pPr>
      <w:r>
        <w:rPr>
          <w:snapToGrid w:val="0"/>
        </w:rPr>
        <w:tab/>
        <w:t>(5)</w:t>
      </w:r>
      <w:r>
        <w:rPr>
          <w:snapToGrid w:val="0"/>
        </w:rPr>
        <w:tab/>
        <w:t>Subsection (4) does not apply — </w:t>
      </w:r>
    </w:p>
    <w:p>
      <w:pPr>
        <w:pStyle w:val="Indenta"/>
        <w:spacing w:before="60"/>
        <w:rPr>
          <w:snapToGrid w:val="0"/>
        </w:rPr>
      </w:pPr>
      <w:r>
        <w:rPr>
          <w:snapToGrid w:val="0"/>
        </w:rPr>
        <w:tab/>
        <w:t>(a)</w:t>
      </w:r>
      <w:r>
        <w:rPr>
          <w:snapToGrid w:val="0"/>
        </w:rPr>
        <w:tab/>
        <w:t>to a juvenile who is — </w:t>
      </w:r>
    </w:p>
    <w:p>
      <w:pPr>
        <w:pStyle w:val="Indenti"/>
        <w:spacing w:before="60"/>
        <w:rPr>
          <w:snapToGrid w:val="0"/>
        </w:rPr>
      </w:pPr>
      <w:r>
        <w:rPr>
          <w:snapToGrid w:val="0"/>
        </w:rPr>
        <w:tab/>
        <w:t>(i)</w:t>
      </w:r>
      <w:r>
        <w:rPr>
          <w:snapToGrid w:val="0"/>
        </w:rPr>
        <w:tab/>
        <w:t>accompanied by, and under the supervision of, a responsible adult; or</w:t>
      </w:r>
    </w:p>
    <w:p>
      <w:pPr>
        <w:pStyle w:val="Indenti"/>
        <w:keepNext/>
        <w:spacing w:before="60"/>
        <w:rPr>
          <w:snapToGrid w:val="0"/>
        </w:rPr>
      </w:pPr>
      <w:r>
        <w:rPr>
          <w:snapToGrid w:val="0"/>
        </w:rPr>
        <w:tab/>
        <w:t>(ii)</w:t>
      </w:r>
      <w:r>
        <w:rPr>
          <w:snapToGrid w:val="0"/>
        </w:rPr>
        <w:tab/>
        <w:t>on the premises for the purpose of obtaining a meal;</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to the presence on a part of the licensed premises of a juvenile at a time at which — </w:t>
      </w:r>
    </w:p>
    <w:p>
      <w:pPr>
        <w:pStyle w:val="Indenti"/>
        <w:spacing w:before="60"/>
        <w:rPr>
          <w:snapToGrid w:val="0"/>
        </w:rPr>
      </w:pPr>
      <w:r>
        <w:rPr>
          <w:snapToGrid w:val="0"/>
        </w:rPr>
        <w:tab/>
        <w:t>(i)</w:t>
      </w:r>
      <w:r>
        <w:rPr>
          <w:snapToGrid w:val="0"/>
        </w:rPr>
        <w:tab/>
        <w:t>entertainment is, with the approval of the Director</w:t>
      </w:r>
      <w:r>
        <w:t xml:space="preserve"> under section 126A</w:t>
      </w:r>
      <w:r>
        <w:rPr>
          <w:snapToGrid w:val="0"/>
        </w:rPr>
        <w:t xml:space="preserve">, provided on that part of the premises </w:t>
      </w:r>
      <w:r>
        <w:t xml:space="preserve">solely </w:t>
      </w:r>
      <w:r>
        <w:rPr>
          <w:snapToGrid w:val="0"/>
        </w:rPr>
        <w:t>for juveniles; and</w:t>
      </w:r>
    </w:p>
    <w:p>
      <w:pPr>
        <w:pStyle w:val="Indenti"/>
        <w:spacing w:before="60"/>
        <w:rPr>
          <w:snapToGrid w:val="0"/>
        </w:rPr>
      </w:pPr>
      <w:r>
        <w:rPr>
          <w:snapToGrid w:val="0"/>
        </w:rPr>
        <w:tab/>
        <w:t>(ii)</w:t>
      </w:r>
      <w:r>
        <w:rPr>
          <w:snapToGrid w:val="0"/>
        </w:rPr>
        <w:tab/>
        <w:t>liquor is not sold, supplied or consumed there;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to a juvenile engaged in a training course approved by the Director, when so present in accordance with the requirements of that course; or</w:t>
      </w:r>
    </w:p>
    <w:p>
      <w:pPr>
        <w:pStyle w:val="Indenta"/>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 xml:space="preserve">by notices in the </w:t>
      </w:r>
      <w:r>
        <w:t xml:space="preserve">form approved by the Director </w:t>
      </w:r>
      <w:r>
        <w:rPr>
          <w:snapToGrid w:val="0"/>
        </w:rPr>
        <w:t>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pPr>
      <w:r>
        <w:tab/>
        <w:t>(7a)</w:t>
      </w:r>
      <w:r>
        <w:tab/>
        <w:t xml:space="preserve">A person who — </w:t>
      </w:r>
    </w:p>
    <w:p>
      <w:pPr>
        <w:pStyle w:val="Indenta"/>
      </w:pPr>
      <w:r>
        <w:tab/>
        <w:t>(a)</w:t>
      </w:r>
      <w:r>
        <w:tab/>
        <w:t>has been required to leave and has left, or been removed from, licensed premises under this section; and</w:t>
      </w:r>
    </w:p>
    <w:p>
      <w:pPr>
        <w:pStyle w:val="Indenta"/>
        <w:keepNext/>
      </w:pPr>
      <w:r>
        <w:tab/>
        <w:t>(b)</w:t>
      </w:r>
      <w:r>
        <w:tab/>
        <w:t xml:space="preserve">remains — </w:t>
      </w:r>
    </w:p>
    <w:p>
      <w:pPr>
        <w:pStyle w:val="Indenti"/>
      </w:pPr>
      <w:r>
        <w:tab/>
        <w:t>(i)</w:t>
      </w:r>
      <w:r>
        <w:tab/>
        <w:t>on any footpath; or</w:t>
      </w:r>
    </w:p>
    <w:p>
      <w:pPr>
        <w:pStyle w:val="Indenti"/>
        <w:keepNext/>
        <w:keepLines/>
      </w:pPr>
      <w:r>
        <w:tab/>
        <w:t>(ii)</w:t>
      </w:r>
      <w:r>
        <w:tab/>
        <w:t>in any area subject to the control or management of the licensee,</w:t>
      </w:r>
    </w:p>
    <w:p>
      <w:pPr>
        <w:pStyle w:val="Indenta"/>
        <w:keepLines/>
      </w:pPr>
      <w:r>
        <w:tab/>
      </w:r>
      <w:r>
        <w:tab/>
        <w:t>that is adjacent to the licensed premises,</w:t>
      </w:r>
    </w:p>
    <w:p>
      <w:pPr>
        <w:pStyle w:val="Subsection"/>
        <w:keepLines/>
      </w:pPr>
      <w:r>
        <w:tab/>
      </w:r>
      <w:r>
        <w:tab/>
        <w:t>commits an offence.</w:t>
      </w:r>
    </w:p>
    <w:p>
      <w:pPr>
        <w:pStyle w:val="Penstart"/>
      </w:pPr>
      <w:r>
        <w:tab/>
        <w:t>Penalty: a fine of $2 000.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pPr>
      <w:r>
        <w:tab/>
        <w:t>(11)</w:t>
      </w:r>
      <w:r>
        <w:tab/>
        <w:t xml:space="preserve">Subsection (10) does not apply in relation to the employment or engagement of a juvenile to serve liquor ancillary to a meal if — </w:t>
      </w:r>
    </w:p>
    <w:p>
      <w:pPr>
        <w:pStyle w:val="Indenta"/>
      </w:pPr>
      <w:r>
        <w:tab/>
        <w:t>(a)</w:t>
      </w:r>
      <w:r>
        <w:tab/>
        <w:t>the juvenile is of or above the age of 16 years; and</w:t>
      </w:r>
    </w:p>
    <w:p>
      <w:pPr>
        <w:pStyle w:val="Indenta"/>
      </w:pPr>
      <w:r>
        <w:tab/>
        <w:t>(b)</w:t>
      </w:r>
      <w:r>
        <w:tab/>
        <w:t>the juvenile’s employment or engagement is approved by the Director; and</w:t>
      </w:r>
    </w:p>
    <w:p>
      <w:pPr>
        <w:pStyle w:val="Indenta"/>
      </w:pPr>
      <w:r>
        <w:tab/>
        <w:t>(c)</w:t>
      </w:r>
      <w:r>
        <w:tab/>
        <w:t>the work carried out by the juvenile is supervised at all times; and</w:t>
      </w:r>
    </w:p>
    <w:p>
      <w:pPr>
        <w:pStyle w:val="Indenta"/>
      </w:pPr>
      <w:r>
        <w:tab/>
        <w:t>(d)</w:t>
      </w:r>
      <w:r>
        <w:tab/>
        <w:t>either —</w:t>
      </w:r>
    </w:p>
    <w:p>
      <w:pPr>
        <w:pStyle w:val="Indenti"/>
      </w:pPr>
      <w:r>
        <w:tab/>
        <w:t>(i)</w:t>
      </w:r>
      <w:r>
        <w:tab/>
        <w:t>the work carried out by the juvenile will be assessed for the purposes of a prescribed training course being undertaken by the juvenile; or</w:t>
      </w:r>
    </w:p>
    <w:p>
      <w:pPr>
        <w:pStyle w:val="Indenti"/>
      </w:pPr>
      <w:r>
        <w:tab/>
        <w:t>(ii)</w:t>
      </w:r>
      <w:r>
        <w:tab/>
        <w:t>the juvenile has successfully completed a prescribed training course the assessment for which included an assessment of the juvenile’s work while employed or engaged to serve liquor ancillary to a meal.</w:t>
      </w:r>
    </w:p>
    <w:p>
      <w:pPr>
        <w:pStyle w:val="Subsection"/>
      </w:pPr>
      <w:r>
        <w:tab/>
        <w:t>(12)</w:t>
      </w:r>
      <w:r>
        <w:tab/>
        <w:t>This section does not limit any other right to refuse a person entry to premises or to remove a person from premises.</w:t>
      </w:r>
    </w:p>
    <w:p>
      <w:pPr>
        <w:pStyle w:val="Footnotesection"/>
      </w:pPr>
      <w:r>
        <w:tab/>
        <w:t>[Section 121 amended by No. 12 of 1998 s. 83; No. 73 of 2006 s. 88, 109, 110 and 111(9); No. 56 of 2010 s. 19, 62 and 69.]</w:t>
      </w:r>
    </w:p>
    <w:p>
      <w:pPr>
        <w:pStyle w:val="Heading5"/>
        <w:spacing w:before="240"/>
      </w:pPr>
      <w:bookmarkStart w:id="414" w:name="_Toc522197398"/>
      <w:r>
        <w:rPr>
          <w:rStyle w:val="CharSectno"/>
        </w:rPr>
        <w:t>122A</w:t>
      </w:r>
      <w:r>
        <w:t>.</w:t>
      </w:r>
      <w:r>
        <w:tab/>
        <w:t>Supplying juveniles with alcohol on unlicensed premises</w:t>
      </w:r>
      <w:bookmarkEnd w:id="414"/>
    </w:p>
    <w:p>
      <w:pPr>
        <w:pStyle w:val="Subsection"/>
      </w:pPr>
      <w:r>
        <w:tab/>
        <w:t>(1)</w:t>
      </w:r>
      <w:r>
        <w:tab/>
        <w:t>A person is drunk for the purposes of this section if section 3A(1)(b) and (c) apply to the person.</w:t>
      </w:r>
    </w:p>
    <w:p>
      <w:pPr>
        <w:pStyle w:val="Subsection"/>
        <w:keepNext/>
      </w:pPr>
      <w:r>
        <w:tab/>
        <w:t>(2)</w:t>
      </w:r>
      <w:r>
        <w:tab/>
        <w:t xml:space="preserve">A person must not supply liquor to a juvenile unless that person is on unlicensed premises and the person — </w:t>
      </w:r>
    </w:p>
    <w:p>
      <w:pPr>
        <w:pStyle w:val="Indenta"/>
      </w:pPr>
      <w:r>
        <w:tab/>
        <w:t>(a)</w:t>
      </w:r>
      <w:r>
        <w:tab/>
        <w:t>is the parent or guardian of the juvenile; or</w:t>
      </w:r>
    </w:p>
    <w:p>
      <w:pPr>
        <w:pStyle w:val="Indenta"/>
      </w:pPr>
      <w:r>
        <w:tab/>
        <w:t>(b)</w:t>
      </w:r>
      <w:r>
        <w:tab/>
        <w:t>subject to subsection (3), has obtained the consent of the parent or guardian of the juvenile to supply liquor to the juvenile on those premises.</w:t>
      </w:r>
    </w:p>
    <w:p>
      <w:pPr>
        <w:pStyle w:val="Penstart"/>
      </w:pPr>
      <w:r>
        <w:tab/>
        <w:t>Penalty: a fine of $10 000.</w:t>
      </w:r>
    </w:p>
    <w:p>
      <w:pPr>
        <w:pStyle w:val="Subsection"/>
      </w:pPr>
      <w:r>
        <w:tab/>
        <w:t>(3)</w:t>
      </w:r>
      <w:r>
        <w:tab/>
        <w:t xml:space="preserve">Where under subsection (2)(b) a person has obtained the consent of the parent or guardian of a juvenile to supply liquor to a juvenile on unlicensed premises, the person must not supply the liquor — </w:t>
      </w:r>
    </w:p>
    <w:p>
      <w:pPr>
        <w:pStyle w:val="Indenta"/>
      </w:pPr>
      <w:r>
        <w:tab/>
        <w:t>(a)</w:t>
      </w:r>
      <w:r>
        <w:tab/>
        <w:t>if, at the time that the parent or guardian of the juvenile gives consent, the parent or guardian is drunk; or</w:t>
      </w:r>
    </w:p>
    <w:p>
      <w:pPr>
        <w:pStyle w:val="Indenta"/>
      </w:pPr>
      <w:r>
        <w:tab/>
        <w:t>(b)</w:t>
      </w:r>
      <w:r>
        <w:tab/>
        <w:t>if the person is drunk; or</w:t>
      </w:r>
    </w:p>
    <w:p>
      <w:pPr>
        <w:pStyle w:val="Indenta"/>
      </w:pPr>
      <w:r>
        <w:tab/>
        <w:t>(c)</w:t>
      </w:r>
      <w:r>
        <w:tab/>
        <w:t>if the juvenile is drunk; or</w:t>
      </w:r>
    </w:p>
    <w:p>
      <w:pPr>
        <w:pStyle w:val="Indenta"/>
      </w:pPr>
      <w:r>
        <w:tab/>
        <w:t>(d)</w:t>
      </w:r>
      <w:r>
        <w:tab/>
        <w:t>if the person is unable to supervise the consumption of the liquor by the juvenile; or</w:t>
      </w:r>
    </w:p>
    <w:p>
      <w:pPr>
        <w:pStyle w:val="Indenta"/>
      </w:pPr>
      <w:r>
        <w:tab/>
        <w:t>(e)</w:t>
      </w:r>
      <w:r>
        <w:tab/>
        <w:t>in circumstances prescribed by the regulations.</w:t>
      </w:r>
    </w:p>
    <w:p>
      <w:pPr>
        <w:pStyle w:val="Penstart"/>
      </w:pPr>
      <w:r>
        <w:tab/>
        <w:t>Penalty: a fine of $10 000.</w:t>
      </w:r>
    </w:p>
    <w:p>
      <w:pPr>
        <w:pStyle w:val="Footnotesection"/>
      </w:pPr>
      <w:r>
        <w:tab/>
        <w:t>[Section 122A inserted by No. 35 of 2015 s. 20.]</w:t>
      </w:r>
    </w:p>
    <w:p>
      <w:pPr>
        <w:pStyle w:val="Heading5"/>
        <w:rPr>
          <w:snapToGrid w:val="0"/>
        </w:rPr>
      </w:pPr>
      <w:bookmarkStart w:id="415" w:name="_Toc522197399"/>
      <w:r>
        <w:rPr>
          <w:rStyle w:val="CharSectno"/>
        </w:rPr>
        <w:t>122</w:t>
      </w:r>
      <w:r>
        <w:rPr>
          <w:snapToGrid w:val="0"/>
        </w:rPr>
        <w:t>.</w:t>
      </w:r>
      <w:r>
        <w:rPr>
          <w:snapToGrid w:val="0"/>
        </w:rPr>
        <w:tab/>
        <w:t>Regulated premises, offences as to juveniles</w:t>
      </w:r>
      <w:bookmarkEnd w:id="415"/>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place to which a permit applies, or other premises on which liquor may lawfully be supplied; and</w:t>
      </w:r>
    </w:p>
    <w:p>
      <w:pPr>
        <w:pStyle w:val="Indenta"/>
        <w:keepLines/>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 or</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 and</w:t>
      </w:r>
    </w:p>
    <w:p>
      <w:pPr>
        <w:pStyle w:val="Indenta"/>
        <w:rPr>
          <w:snapToGrid w:val="0"/>
        </w:rPr>
      </w:pPr>
      <w:r>
        <w:rPr>
          <w:snapToGrid w:val="0"/>
        </w:rPr>
        <w:tab/>
        <w:t>(e)</w:t>
      </w:r>
      <w:r>
        <w:rPr>
          <w:snapToGrid w:val="0"/>
        </w:rPr>
        <w:tab/>
        <w:t>any premises occupied by a club in respect of which a licence is not in force; and</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spacing w:before="180"/>
      </w:pPr>
      <w:r>
        <w:tab/>
        <w:t>(2)</w:t>
      </w:r>
      <w:r>
        <w:tab/>
        <w:t xml:space="preserve">Subject to this Act, a person who — </w:t>
      </w:r>
    </w:p>
    <w:p>
      <w:pPr>
        <w:pStyle w:val="Indenta"/>
        <w:spacing w:before="100"/>
      </w:pPr>
      <w:r>
        <w:tab/>
        <w:t>(a)</w:t>
      </w:r>
      <w:r>
        <w:tab/>
        <w:t>sells or supplies, or permits the sale or supply of, liquor to; or</w:t>
      </w:r>
    </w:p>
    <w:p>
      <w:pPr>
        <w:pStyle w:val="Indenta"/>
        <w:spacing w:before="100"/>
      </w:pPr>
      <w:r>
        <w:tab/>
        <w:t>(b)</w:t>
      </w:r>
      <w:r>
        <w:tab/>
        <w:t>permits the consumption or possession of liquor by,</w:t>
      </w:r>
    </w:p>
    <w:p>
      <w:pPr>
        <w:pStyle w:val="Subsection"/>
        <w:spacing w:before="180"/>
      </w:pPr>
      <w:r>
        <w:tab/>
      </w:r>
      <w:r>
        <w:tab/>
        <w:t>a juvenile on regulated premises commits an offence.</w:t>
      </w:r>
    </w:p>
    <w:p>
      <w:pPr>
        <w:pStyle w:val="Penstart"/>
        <w:spacing w:before="120"/>
      </w:pPr>
      <w:r>
        <w:tab/>
        <w:t>Penalty: a fine of $10 000.</w:t>
      </w:r>
    </w:p>
    <w:p>
      <w:pPr>
        <w:pStyle w:val="Subsection"/>
        <w:spacing w:before="180"/>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pPr>
      <w:r>
        <w:tab/>
        <w:t xml:space="preserve">Penalty: </w:t>
      </w:r>
    </w:p>
    <w:p>
      <w:pPr>
        <w:pStyle w:val="Penpara"/>
      </w:pPr>
      <w:r>
        <w:tab/>
        <w:t>(a)</w:t>
      </w:r>
      <w:r>
        <w:tab/>
        <w:t>for a juvenile, a fine of $2 000;</w:t>
      </w:r>
    </w:p>
    <w:p>
      <w:pPr>
        <w:pStyle w:val="Penpara"/>
      </w:pPr>
      <w:r>
        <w:tab/>
        <w:t>(b)</w:t>
      </w:r>
      <w:r>
        <w:tab/>
        <w:t>for anyone else, a fine of $4 000.</w:t>
      </w:r>
    </w:p>
    <w:p>
      <w:pPr>
        <w:pStyle w:val="Subsection"/>
        <w:rPr>
          <w:snapToGrid w:val="0"/>
        </w:rPr>
      </w:pPr>
      <w:r>
        <w:rPr>
          <w:snapToGrid w:val="0"/>
        </w:rPr>
        <w:tab/>
        <w:t>(4)</w:t>
      </w:r>
      <w:r>
        <w:rPr>
          <w:snapToGrid w:val="0"/>
        </w:rPr>
        <w:tab/>
        <w:t>Subsection (3) does not apply to or in relation to a juvenile to whom section 120(1)(b) or (f), 120(2), or 121(5)(c) or (d) applies.</w:t>
      </w:r>
    </w:p>
    <w:p>
      <w:pPr>
        <w:pStyle w:val="Footnotesection"/>
        <w:ind w:left="890" w:hanging="890"/>
      </w:pPr>
      <w:r>
        <w:tab/>
        <w:t xml:space="preserve">[Section 122 amended by No. 12 of 1998 s. 35(5); No. 73 of 2006 s. 89 and 110; No. 56 of 2010 s. 63 and 69.] </w:t>
      </w:r>
    </w:p>
    <w:p>
      <w:pPr>
        <w:pStyle w:val="Heading5"/>
        <w:spacing w:before="240"/>
        <w:rPr>
          <w:snapToGrid w:val="0"/>
        </w:rPr>
      </w:pPr>
      <w:bookmarkStart w:id="416" w:name="_Toc522197400"/>
      <w:r>
        <w:rPr>
          <w:rStyle w:val="CharSectno"/>
        </w:rPr>
        <w:t>123</w:t>
      </w:r>
      <w:r>
        <w:rPr>
          <w:snapToGrid w:val="0"/>
        </w:rPr>
        <w:t>.</w:t>
      </w:r>
      <w:r>
        <w:rPr>
          <w:snapToGrid w:val="0"/>
        </w:rPr>
        <w:tab/>
        <w:t>Possession etc. of liquor, offences by juveniles</w:t>
      </w:r>
      <w:bookmarkEnd w:id="416"/>
    </w:p>
    <w:p>
      <w:pPr>
        <w:pStyle w:val="Subsection"/>
        <w:rPr>
          <w:snapToGrid w:val="0"/>
        </w:rPr>
      </w:pPr>
      <w:r>
        <w:rPr>
          <w:snapToGrid w:val="0"/>
        </w:rPr>
        <w:tab/>
        <w:t>(1)</w:t>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 or</w:t>
      </w:r>
    </w:p>
    <w:p>
      <w:pPr>
        <w:pStyle w:val="Indenta"/>
        <w:rPr>
          <w:snapToGrid w:val="0"/>
        </w:rPr>
      </w:pPr>
      <w:r>
        <w:rPr>
          <w:snapToGrid w:val="0"/>
        </w:rPr>
        <w:tab/>
        <w:t>(b)</w:t>
      </w:r>
      <w:r>
        <w:rPr>
          <w:snapToGrid w:val="0"/>
        </w:rPr>
        <w:tab/>
        <w:t>brings liquor on to licensed or regulated premises; or</w:t>
      </w:r>
    </w:p>
    <w:p>
      <w:pPr>
        <w:pStyle w:val="Indenta"/>
        <w:keepNext/>
        <w:keepLines/>
        <w:rPr>
          <w:snapToGrid w:val="0"/>
        </w:rPr>
      </w:pPr>
      <w:r>
        <w:rPr>
          <w:snapToGrid w:val="0"/>
        </w:rPr>
        <w:tab/>
        <w:t>(c)</w:t>
      </w:r>
      <w:r>
        <w:rPr>
          <w:snapToGrid w:val="0"/>
        </w:rPr>
        <w:tab/>
        <w:t>consumes liquor on licensed or regulated premises,</w:t>
      </w:r>
    </w:p>
    <w:p>
      <w:pPr>
        <w:pStyle w:val="Subsection"/>
        <w:keepNext/>
        <w:keepLines/>
        <w:spacing w:before="120"/>
        <w:rPr>
          <w:snapToGrid w:val="0"/>
        </w:rPr>
      </w:pPr>
      <w:r>
        <w:rPr>
          <w:snapToGrid w:val="0"/>
        </w:rPr>
        <w:tab/>
      </w:r>
      <w:r>
        <w:rPr>
          <w:snapToGrid w:val="0"/>
        </w:rPr>
        <w:tab/>
        <w:t>the juvenile commits an offence.</w:t>
      </w:r>
    </w:p>
    <w:p>
      <w:pPr>
        <w:pStyle w:val="Penstart"/>
        <w:keepLines/>
        <w:rPr>
          <w:snapToGrid w:val="0"/>
        </w:rPr>
      </w:pPr>
      <w:r>
        <w:rPr>
          <w:snapToGrid w:val="0"/>
        </w:rPr>
        <w:tab/>
        <w:t xml:space="preserve">Penalty: </w:t>
      </w:r>
      <w:r>
        <w:t>a fine of</w:t>
      </w:r>
      <w:r>
        <w:rPr>
          <w:snapToGrid w:val="0"/>
        </w:rPr>
        <w:t xml:space="preserve"> $2 000.</w:t>
      </w:r>
    </w:p>
    <w:p>
      <w:pPr>
        <w:pStyle w:val="Subsection"/>
        <w:spacing w:before="120"/>
      </w:pPr>
      <w:r>
        <w:tab/>
        <w:t>(2)</w:t>
      </w:r>
      <w:r>
        <w:tab/>
        <w:t>Without limiting section 119, a juvenile who has any liquor in his or her possession or control in any place or on any premises to which the public is permitted to have access, whether on payment of a charge or otherwise, commits an offence.</w:t>
      </w:r>
    </w:p>
    <w:p>
      <w:pPr>
        <w:pStyle w:val="Penstart"/>
        <w:spacing w:before="120"/>
      </w:pPr>
      <w:r>
        <w:tab/>
        <w:t>Penalty: a fine of $2 000.</w:t>
      </w:r>
    </w:p>
    <w:p>
      <w:pPr>
        <w:pStyle w:val="Footnotesection"/>
      </w:pPr>
      <w:r>
        <w:tab/>
        <w:t>[Section 123 amended by No. 73 of 2006 s. 90 and 110; No. 56 of 2010 s. 69.]</w:t>
      </w:r>
    </w:p>
    <w:p>
      <w:pPr>
        <w:pStyle w:val="Heading5"/>
        <w:keepNext w:val="0"/>
        <w:keepLines w:val="0"/>
        <w:spacing w:before="160"/>
        <w:rPr>
          <w:snapToGrid w:val="0"/>
        </w:rPr>
      </w:pPr>
      <w:bookmarkStart w:id="417" w:name="_Toc522197401"/>
      <w:r>
        <w:rPr>
          <w:rStyle w:val="CharSectno"/>
        </w:rPr>
        <w:t>124</w:t>
      </w:r>
      <w:r>
        <w:rPr>
          <w:snapToGrid w:val="0"/>
        </w:rPr>
        <w:t>.</w:t>
      </w:r>
      <w:r>
        <w:rPr>
          <w:snapToGrid w:val="0"/>
        </w:rPr>
        <w:tab/>
        <w:t>Sending juveniles to obtain liquor, offence</w:t>
      </w:r>
      <w:bookmarkEnd w:id="417"/>
    </w:p>
    <w:p>
      <w:pPr>
        <w:pStyle w:val="Subsection"/>
        <w:spacing w:before="120"/>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[Section 124 amended by No. 73 of 2006 s. 110; No. 56 of 2010 s. 69.]</w:t>
      </w:r>
    </w:p>
    <w:p>
      <w:pPr>
        <w:pStyle w:val="Heading5"/>
        <w:spacing w:before="180"/>
        <w:rPr>
          <w:snapToGrid w:val="0"/>
        </w:rPr>
      </w:pPr>
      <w:bookmarkStart w:id="418" w:name="_Toc522197402"/>
      <w:r>
        <w:rPr>
          <w:rStyle w:val="CharSectno"/>
        </w:rPr>
        <w:t>125</w:t>
      </w:r>
      <w:r>
        <w:rPr>
          <w:snapToGrid w:val="0"/>
        </w:rPr>
        <w:t>.</w:t>
      </w:r>
      <w:r>
        <w:rPr>
          <w:snapToGrid w:val="0"/>
        </w:rPr>
        <w:tab/>
        <w:t>Defences to offences under this Division</w:t>
      </w:r>
      <w:bookmarkEnd w:id="418"/>
    </w:p>
    <w:p>
      <w:pPr>
        <w:pStyle w:val="Subsection"/>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rPr>
          <w:snapToGrid w:val="0"/>
        </w:rPr>
      </w:pPr>
      <w:r>
        <w:rPr>
          <w:snapToGrid w:val="0"/>
        </w:rPr>
        <w:tab/>
        <w:t>(a)</w:t>
      </w:r>
      <w:r>
        <w:rPr>
          <w:snapToGrid w:val="0"/>
        </w:rPr>
        <w:tab/>
        <w:t>that the juvenile to whom liquor was sold or supplied is —</w:t>
      </w:r>
    </w:p>
    <w:p>
      <w:pPr>
        <w:pStyle w:val="Indenti"/>
        <w:rPr>
          <w:snapToGrid w:val="0"/>
        </w:rPr>
      </w:pPr>
      <w:r>
        <w:rPr>
          <w:snapToGrid w:val="0"/>
        </w:rPr>
        <w:tab/>
        <w:t>(i)</w:t>
      </w:r>
      <w:r>
        <w:rPr>
          <w:snapToGrid w:val="0"/>
        </w:rPr>
        <w:tab/>
        <w:t xml:space="preserve">a member of the family of the </w:t>
      </w:r>
      <w:r>
        <w:t>licensee or occupier or a manager</w:t>
      </w:r>
      <w:r>
        <w:rPr>
          <w:snapToGrid w:val="0"/>
        </w:rPr>
        <w:t xml:space="preserve"> of, or of a person employed on, the regulated premises and resides there, and that the supply was gratuitous; or</w:t>
      </w:r>
    </w:p>
    <w:p>
      <w:pPr>
        <w:pStyle w:val="Indenti"/>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where the offence is alleged to have occurred on regulated premises, if the accused is the </w:t>
      </w:r>
      <w:r>
        <w:t>licensee or occupier or a manager</w:t>
      </w:r>
      <w:r>
        <w:rPr>
          <w:snapToGrid w:val="0"/>
        </w:rPr>
        <w:t xml:space="preserve"> of the regulated premises and did not personally sell or supply the liquor, that — </w:t>
      </w:r>
    </w:p>
    <w:p>
      <w:pPr>
        <w:pStyle w:val="Indenti"/>
        <w:rPr>
          <w:snapToGrid w:val="0"/>
        </w:rPr>
      </w:pPr>
      <w:r>
        <w:rPr>
          <w:snapToGrid w:val="0"/>
        </w:rPr>
        <w:tab/>
        <w:t>(i)</w:t>
      </w:r>
      <w:r>
        <w:rPr>
          <w:snapToGrid w:val="0"/>
        </w:rPr>
        <w:tab/>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rPr>
          <w:snapToGrid w:val="0"/>
        </w:rPr>
      </w:pPr>
      <w:r>
        <w:rPr>
          <w:snapToGrid w:val="0"/>
        </w:rPr>
        <w:tab/>
        <w:t>(2)</w:t>
      </w:r>
      <w:r>
        <w:rPr>
          <w:snapToGrid w:val="0"/>
        </w:rPr>
        <w:tab/>
        <w:t>For the purposes of any proceedings under this Division — </w:t>
      </w:r>
    </w:p>
    <w:p>
      <w:pPr>
        <w:pStyle w:val="Indenta"/>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pPr>
      <w:r>
        <w:tab/>
        <w:t>(3)</w:t>
      </w:r>
      <w:r>
        <w:tab/>
        <w:t xml:space="preserve">In this </w:t>
      </w:r>
      <w:r>
        <w:rPr>
          <w:snapToGrid w:val="0"/>
        </w:rPr>
        <w:t>section</w:t>
      </w:r>
      <w:r>
        <w:t xml:space="preserve"> — </w:t>
      </w:r>
    </w:p>
    <w:p>
      <w:pPr>
        <w:pStyle w:val="Defstart"/>
      </w:pPr>
      <w:r>
        <w:tab/>
      </w:r>
      <w:r>
        <w:rPr>
          <w:rStyle w:val="CharDefText"/>
        </w:rPr>
        <w:t>member of the family</w:t>
      </w:r>
      <w:r>
        <w:t>, in relation to a person, includes a de facto partner of the person.</w:t>
      </w:r>
    </w:p>
    <w:p>
      <w:pPr>
        <w:pStyle w:val="Footnotesection"/>
        <w:ind w:left="890" w:hanging="890"/>
      </w:pPr>
      <w:r>
        <w:tab/>
        <w:t xml:space="preserve">[Section 125 amended by No. 12 of 1998 s. 84; No. 28 of 2003 s. 106; No. 84 of 2004 s. 80 and 82; No. 56 of 2010 s. 25.] </w:t>
      </w:r>
    </w:p>
    <w:p>
      <w:pPr>
        <w:pStyle w:val="Heading5"/>
        <w:keepNext w:val="0"/>
        <w:keepLines w:val="0"/>
        <w:rPr>
          <w:snapToGrid w:val="0"/>
        </w:rPr>
      </w:pPr>
      <w:bookmarkStart w:id="419" w:name="_Toc522197403"/>
      <w:r>
        <w:rPr>
          <w:rStyle w:val="CharSectno"/>
        </w:rPr>
        <w:t>126</w:t>
      </w:r>
      <w:r>
        <w:rPr>
          <w:snapToGrid w:val="0"/>
        </w:rPr>
        <w:t>.</w:t>
      </w:r>
      <w:r>
        <w:rPr>
          <w:snapToGrid w:val="0"/>
        </w:rPr>
        <w:tab/>
        <w:t>Suspected juveniles, authorised persons’ powers as to, offences by</w:t>
      </w:r>
      <w:bookmarkEnd w:id="419"/>
    </w:p>
    <w:p>
      <w:pPr>
        <w:pStyle w:val="Subsection"/>
        <w:spacing w:before="120"/>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rPr>
          <w:snapToGrid w:val="0"/>
        </w:rPr>
      </w:pPr>
      <w:r>
        <w:rPr>
          <w:snapToGrid w:val="0"/>
        </w:rPr>
        <w:tab/>
        <w:t>(a)</w:t>
      </w:r>
      <w:r>
        <w:rPr>
          <w:snapToGrid w:val="0"/>
        </w:rPr>
        <w:tab/>
        <w:t>may require the juvenile or suspected juvenile to state his or her age; and</w:t>
      </w:r>
    </w:p>
    <w:p>
      <w:pPr>
        <w:pStyle w:val="Indenta"/>
        <w:rPr>
          <w:snapToGrid w:val="0"/>
        </w:rPr>
      </w:pPr>
      <w:r>
        <w:rPr>
          <w:snapToGrid w:val="0"/>
        </w:rPr>
        <w:tab/>
        <w:t>(b)</w:t>
      </w:r>
      <w:r>
        <w:rPr>
          <w:snapToGrid w:val="0"/>
        </w:rPr>
        <w:tab/>
        <w:t>if the age stated is false, or appears to be false — </w:t>
      </w:r>
    </w:p>
    <w:p>
      <w:pPr>
        <w:pStyle w:val="Indenti"/>
        <w:rPr>
          <w:snapToGrid w:val="0"/>
        </w:rPr>
      </w:pPr>
      <w:r>
        <w:rPr>
          <w:snapToGrid w:val="0"/>
        </w:rPr>
        <w:tab/>
        <w:t>(i)</w:t>
      </w:r>
      <w:r>
        <w:rPr>
          <w:snapToGrid w:val="0"/>
        </w:rPr>
        <w:tab/>
        <w:t>may require the juvenile or suspected juvenile to produce as evidence of that age — </w:t>
      </w:r>
    </w:p>
    <w:p>
      <w:pPr>
        <w:pStyle w:val="IndentI0"/>
        <w:rPr>
          <w:snapToGrid w:val="0"/>
        </w:rPr>
      </w:pPr>
      <w:r>
        <w:rPr>
          <w:snapToGrid w:val="0"/>
        </w:rPr>
        <w:tab/>
        <w:t>(I)</w:t>
      </w:r>
      <w:r>
        <w:rPr>
          <w:snapToGrid w:val="0"/>
        </w:rPr>
        <w:tab/>
        <w:t>a current Australian driver’s licence with a photograph; or</w:t>
      </w:r>
    </w:p>
    <w:p>
      <w:pPr>
        <w:pStyle w:val="IndentI0"/>
        <w:rPr>
          <w:snapToGrid w:val="0"/>
        </w:rPr>
      </w:pPr>
      <w:r>
        <w:rPr>
          <w:snapToGrid w:val="0"/>
        </w:rPr>
        <w:tab/>
        <w:t>(II)</w:t>
      </w:r>
      <w:r>
        <w:rPr>
          <w:snapToGrid w:val="0"/>
        </w:rPr>
        <w:tab/>
        <w:t>a current passport; or</w:t>
      </w:r>
    </w:p>
    <w:p>
      <w:pPr>
        <w:pStyle w:val="IndentI0"/>
        <w:rPr>
          <w:snapToGrid w:val="0"/>
        </w:rPr>
      </w:pPr>
      <w:r>
        <w:rPr>
          <w:snapToGrid w:val="0"/>
        </w:rPr>
        <w:tab/>
        <w:t>(III)</w:t>
      </w:r>
      <w:r>
        <w:rPr>
          <w:snapToGrid w:val="0"/>
        </w:rPr>
        <w:tab/>
        <w:t xml:space="preserve">another prescribed document;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keepNext/>
        <w:spacing w:before="120"/>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fails, without reasonable excuse, to comply with a requirement under subsection (1); or</w:t>
      </w:r>
    </w:p>
    <w:p>
      <w:pPr>
        <w:pStyle w:val="Indenta"/>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rPr>
          <w:snapToGrid w:val="0"/>
        </w:rPr>
      </w:pPr>
      <w:r>
        <w:rPr>
          <w:snapToGrid w:val="0"/>
        </w:rPr>
        <w:tab/>
      </w:r>
      <w:r>
        <w:rPr>
          <w:snapToGrid w:val="0"/>
        </w:rPr>
        <w:tab/>
        <w:t>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Subsection"/>
        <w:spacing w:before="120"/>
      </w:pPr>
      <w:r>
        <w:tab/>
        <w:t>(2a)</w:t>
      </w:r>
      <w:r>
        <w:tab/>
        <w:t>If an authorised person suspects on reasonable grounds that a document produced by a juvenile under subsection (1)(b)(i)(I) or (III) is a forged, false or counterfeit document, the authorised person may confiscate the document.</w:t>
      </w:r>
    </w:p>
    <w:p>
      <w:pPr>
        <w:pStyle w:val="Subsection"/>
        <w:spacing w:before="120"/>
      </w:pPr>
      <w:r>
        <w:tab/>
        <w:t>(2b)</w:t>
      </w:r>
      <w:r>
        <w:tab/>
        <w:t>An authorised person who confiscates a document under subsection (2a) must deal with the document in accordance with the regulations.</w:t>
      </w:r>
    </w:p>
    <w:p>
      <w:pPr>
        <w:pStyle w:val="Subsection"/>
        <w:spacing w:before="120"/>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tab/>
        <w:t>(b)</w:t>
      </w:r>
      <w:r>
        <w:rPr>
          <w:snapToGrid w:val="0"/>
        </w:rPr>
        <w:tab/>
        <w:t xml:space="preserve">use such force as may be </w:t>
      </w:r>
      <w:r>
        <w:t xml:space="preserve">reasonably </w:t>
      </w:r>
      <w:r>
        <w:rPr>
          <w:snapToGrid w:val="0"/>
        </w:rPr>
        <w:t>necessary to ensure compliance with the requirement.</w:t>
      </w:r>
    </w:p>
    <w:p>
      <w:pPr>
        <w:pStyle w:val="Subsection"/>
        <w:spacing w:before="120"/>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spacing w:before="120"/>
      </w:pPr>
      <w:r>
        <w:tab/>
        <w:t>(5)</w:t>
      </w:r>
      <w:r>
        <w:tab/>
        <w:t xml:space="preserve">A person who — </w:t>
      </w:r>
    </w:p>
    <w:p>
      <w:pPr>
        <w:pStyle w:val="Indenta"/>
        <w:spacing w:before="60"/>
      </w:pPr>
      <w:r>
        <w:tab/>
        <w:t>(a)</w:t>
      </w:r>
      <w:r>
        <w:tab/>
        <w:t>has been required to leave and has left, or been removed from, licensed premises or regulated premises under this section; and</w:t>
      </w:r>
    </w:p>
    <w:p>
      <w:pPr>
        <w:pStyle w:val="Indenta"/>
        <w:spacing w:before="60"/>
      </w:pPr>
      <w:r>
        <w:tab/>
        <w:t>(b)</w:t>
      </w:r>
      <w:r>
        <w:tab/>
        <w:t xml:space="preserve">remains — </w:t>
      </w:r>
    </w:p>
    <w:p>
      <w:pPr>
        <w:pStyle w:val="Indenti"/>
        <w:spacing w:before="60"/>
      </w:pPr>
      <w:r>
        <w:tab/>
        <w:t>(i)</w:t>
      </w:r>
      <w:r>
        <w:tab/>
        <w:t>on any footpath; or</w:t>
      </w:r>
    </w:p>
    <w:p>
      <w:pPr>
        <w:pStyle w:val="Indenti"/>
        <w:keepNext/>
        <w:spacing w:before="60"/>
      </w:pPr>
      <w:r>
        <w:tab/>
        <w:t>(ii)</w:t>
      </w:r>
      <w:r>
        <w:tab/>
        <w:t>in any area subject to the control or management of the licensee or occupier of the regulated premises,</w:t>
      </w:r>
    </w:p>
    <w:p>
      <w:pPr>
        <w:pStyle w:val="Indenta"/>
        <w:spacing w:before="60"/>
      </w:pPr>
      <w:r>
        <w:tab/>
      </w:r>
      <w:r>
        <w:tab/>
        <w:t>that is adjacent to the licensed premises or regulated premises,</w:t>
      </w:r>
    </w:p>
    <w:p>
      <w:pPr>
        <w:pStyle w:val="Subsection"/>
        <w:spacing w:before="120"/>
      </w:pPr>
      <w:r>
        <w:tab/>
      </w:r>
      <w:r>
        <w:tab/>
        <w:t>commits an offence.</w:t>
      </w:r>
    </w:p>
    <w:p>
      <w:pPr>
        <w:pStyle w:val="Penstart"/>
      </w:pPr>
      <w:r>
        <w:tab/>
        <w:t>Penalty: a fine of $2 000.</w:t>
      </w:r>
    </w:p>
    <w:p>
      <w:pPr>
        <w:pStyle w:val="Subsection"/>
        <w:spacing w:before="120"/>
      </w:pPr>
      <w:r>
        <w:tab/>
        <w:t>(6)</w:t>
      </w:r>
      <w:r>
        <w:tab/>
        <w:t>This section does not limit any other right to remove a person from premises.</w:t>
      </w:r>
    </w:p>
    <w:p>
      <w:pPr>
        <w:pStyle w:val="Footnotesection"/>
      </w:pPr>
      <w:r>
        <w:tab/>
        <w:t xml:space="preserve">[Section 126 amended by No. 12 of 1998 s. 85; No. 73 of 2006 s. 91, 109 and 110; No. 56 of 2010 s. 69; No. 35 of 2015 s. 21.] </w:t>
      </w:r>
    </w:p>
    <w:p>
      <w:pPr>
        <w:pStyle w:val="Heading5"/>
        <w:spacing w:before="240"/>
      </w:pPr>
      <w:bookmarkStart w:id="420" w:name="_Toc522197404"/>
      <w:r>
        <w:rPr>
          <w:rStyle w:val="CharSectno"/>
        </w:rPr>
        <w:t>126A</w:t>
      </w:r>
      <w:r>
        <w:t>.</w:t>
      </w:r>
      <w:r>
        <w:tab/>
        <w:t>Entertainment for juveniles on licensed premises, application for approval of</w:t>
      </w:r>
      <w:bookmarkEnd w:id="420"/>
    </w:p>
    <w:p>
      <w:pPr>
        <w:pStyle w:val="Subsection"/>
      </w:pPr>
      <w:r>
        <w:tab/>
        <w:t>(1)</w:t>
      </w:r>
      <w:r>
        <w:tab/>
        <w:t>The licensee of any licensed premises may apply to the Director, in a form approved by the Director, for approval of the provision of entertainment solely for juveniles on the licensed premises or a part of the licensed premises.</w:t>
      </w:r>
    </w:p>
    <w:p>
      <w:pPr>
        <w:pStyle w:val="Subsection"/>
      </w:pPr>
      <w:r>
        <w:tab/>
        <w:t>(2)</w:t>
      </w:r>
      <w:r>
        <w:tab/>
        <w:t>The application is to be accompanied by the prescribed fee and is to be supported by any further or other documentation or information that the Director may require.</w:t>
      </w:r>
    </w:p>
    <w:p>
      <w:pPr>
        <w:pStyle w:val="Subsection"/>
      </w:pPr>
      <w:r>
        <w:tab/>
        <w:t>(3)</w:t>
      </w:r>
      <w:r>
        <w:tab/>
        <w:t>The application is to be lodged with the Director not later than 14 days before the day on which the entertainment that is the subject of the application is proposed to be provided.</w:t>
      </w:r>
    </w:p>
    <w:p>
      <w:pPr>
        <w:pStyle w:val="Subsection"/>
        <w:keepNext/>
      </w:pPr>
      <w:r>
        <w:tab/>
        <w:t>(4)</w:t>
      </w:r>
      <w:r>
        <w:tab/>
        <w:t>Part 3 Division 7 does not apply to an application under this section.</w:t>
      </w:r>
    </w:p>
    <w:p>
      <w:pPr>
        <w:pStyle w:val="Footnotesection"/>
        <w:ind w:left="890" w:hanging="890"/>
      </w:pPr>
      <w:r>
        <w:tab/>
        <w:t>[Section 126A inserted by No. 73 of 2006 s. 92(1).]</w:t>
      </w:r>
    </w:p>
    <w:p>
      <w:pPr>
        <w:pStyle w:val="Heading5"/>
      </w:pPr>
      <w:bookmarkStart w:id="421" w:name="_Toc522197405"/>
      <w:r>
        <w:rPr>
          <w:rStyle w:val="CharSectno"/>
        </w:rPr>
        <w:t>126B</w:t>
      </w:r>
      <w:r>
        <w:t>.</w:t>
      </w:r>
      <w:r>
        <w:tab/>
        <w:t>Entertainment for juveniles on licensed premises, approval of</w:t>
      </w:r>
      <w:bookmarkEnd w:id="421"/>
    </w:p>
    <w:p>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pPr>
        <w:pStyle w:val="Subsection"/>
      </w:pPr>
      <w:r>
        <w:tab/>
        <w:t>(2)</w:t>
      </w:r>
      <w:r>
        <w:tab/>
        <w:t>The Director may, by notice in writing given to the licensee at any time before the entertainment is provided, withdraw the approval if the Director is no longer satisfied in accordance with subsection (1).</w:t>
      </w:r>
    </w:p>
    <w:p>
      <w:pPr>
        <w:pStyle w:val="Subsection"/>
      </w:pPr>
      <w:r>
        <w:tab/>
        <w:t>(3)</w:t>
      </w:r>
      <w:r>
        <w:tab/>
        <w:t>The Director may make the approval subject to such terms and conditions as the Director thinks fit and specifies in the notice under subsection (1).</w:t>
      </w:r>
    </w:p>
    <w:p>
      <w:pPr>
        <w:pStyle w:val="Subsection"/>
      </w:pPr>
      <w:r>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pPr>
        <w:pStyle w:val="Indenta"/>
      </w:pPr>
      <w:r>
        <w:tab/>
        <w:t>(a)</w:t>
      </w:r>
      <w:r>
        <w:tab/>
        <w:t>details of the arrangement were set out in the relevant application under section 126A or otherwise provided under that section; and</w:t>
      </w:r>
    </w:p>
    <w:p>
      <w:pPr>
        <w:pStyle w:val="Indenta"/>
      </w:pPr>
      <w:r>
        <w:tab/>
        <w:t>(b)</w:t>
      </w:r>
      <w:r>
        <w:tab/>
        <w:t>the Director has granted approval under subsection (5).</w:t>
      </w:r>
    </w:p>
    <w:p>
      <w:pPr>
        <w:pStyle w:val="Subsection"/>
      </w:pPr>
      <w:r>
        <w:tab/>
        <w:t>(5)</w:t>
      </w:r>
      <w:r>
        <w:tab/>
        <w:t>The Director may, by notice in writing given to the licensee, approve an arrangement referred to in subsection (4).</w:t>
      </w:r>
    </w:p>
    <w:p>
      <w:pPr>
        <w:pStyle w:val="Footnotesection"/>
      </w:pPr>
      <w:r>
        <w:tab/>
        <w:t>[Section 126B inserted by No. 73 of 2006 s. 92(1).]</w:t>
      </w:r>
    </w:p>
    <w:p>
      <w:pPr>
        <w:pStyle w:val="Heading3"/>
      </w:pPr>
      <w:bookmarkStart w:id="422" w:name="_Toc471906881"/>
      <w:bookmarkStart w:id="423" w:name="_Toc472001798"/>
      <w:bookmarkStart w:id="424" w:name="_Toc472676826"/>
      <w:bookmarkStart w:id="425" w:name="_Toc472682211"/>
      <w:bookmarkStart w:id="426" w:name="_Toc473119352"/>
      <w:bookmarkStart w:id="427" w:name="_Toc522197406"/>
      <w:r>
        <w:rPr>
          <w:rStyle w:val="CharDivNo"/>
        </w:rPr>
        <w:t>Division 10</w:t>
      </w:r>
      <w:r>
        <w:t> — </w:t>
      </w:r>
      <w:r>
        <w:rPr>
          <w:rStyle w:val="CharDivText"/>
        </w:rPr>
        <w:t>Miscellaneous</w:t>
      </w:r>
      <w:bookmarkEnd w:id="422"/>
      <w:bookmarkEnd w:id="423"/>
      <w:bookmarkEnd w:id="424"/>
      <w:bookmarkEnd w:id="425"/>
      <w:bookmarkEnd w:id="426"/>
      <w:bookmarkEnd w:id="427"/>
    </w:p>
    <w:p>
      <w:pPr>
        <w:pStyle w:val="Footnoteheading"/>
      </w:pPr>
      <w:r>
        <w:tab/>
        <w:t>[Heading inserted by No. 73 of 2006 s. 93.]</w:t>
      </w:r>
    </w:p>
    <w:p>
      <w:pPr>
        <w:pStyle w:val="Heading5"/>
        <w:spacing w:before="240"/>
      </w:pPr>
      <w:bookmarkStart w:id="428" w:name="_Toc522197407"/>
      <w:r>
        <w:rPr>
          <w:rStyle w:val="CharSectno"/>
        </w:rPr>
        <w:t>126C</w:t>
      </w:r>
      <w:r>
        <w:t>.</w:t>
      </w:r>
      <w:r>
        <w:tab/>
        <w:t>Crowd controllers to be authorised when exercising powers of removal</w:t>
      </w:r>
      <w:bookmarkEnd w:id="428"/>
    </w:p>
    <w:p>
      <w:pPr>
        <w:pStyle w:val="Subsection"/>
      </w:pPr>
      <w:r>
        <w:tab/>
        <w:t>(1)</w:t>
      </w:r>
      <w:r>
        <w:tab/>
        <w:t xml:space="preserve">A person (the </w:t>
      </w:r>
      <w:r>
        <w:rPr>
          <w:rStyle w:val="CharDefText"/>
        </w:rPr>
        <w:t>crowd controller</w:t>
      </w:r>
      <w:r>
        <w:t xml:space="preserve">) who — </w:t>
      </w:r>
    </w:p>
    <w:p>
      <w:pPr>
        <w:pStyle w:val="Indenta"/>
      </w:pPr>
      <w:r>
        <w:tab/>
        <w:t>(a)</w:t>
      </w:r>
      <w:r>
        <w:tab/>
        <w:t>holds a crowd controller’s licence; and</w:t>
      </w:r>
    </w:p>
    <w:p>
      <w:pPr>
        <w:pStyle w:val="Indenta"/>
      </w:pPr>
      <w:r>
        <w:tab/>
        <w:t>(b)</w:t>
      </w:r>
      <w:r>
        <w:tab/>
        <w:t>is employed by a crowd control agent engaged under a contract for services by the licensee or occupier or a manager of licensed premises to supply the services of crowd controllers at those premises,</w:t>
      </w:r>
    </w:p>
    <w:p>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pPr>
        <w:pStyle w:val="Subsection"/>
      </w:pPr>
      <w:r>
        <w:tab/>
        <w:t>(2)</w:t>
      </w:r>
      <w:r>
        <w:tab/>
        <w:t>The licensee or occupier or a manager of licensed premises may authorise a crowd controller to exercise the powers referred to in subsection (1) in respect of those premises by written notice given to the crowd controller or the crowd control agent.</w:t>
      </w:r>
    </w:p>
    <w:p>
      <w:pPr>
        <w:pStyle w:val="Subsection"/>
      </w:pPr>
      <w:r>
        <w:tab/>
        <w:t>(3)</w:t>
      </w:r>
      <w:r>
        <w:tab/>
        <w:t>The licensee or occupier or a manager may withdraw the authority referred to in subsection (2) at any time by written notice given to the crowd controller or the crowd control agent.</w:t>
      </w:r>
    </w:p>
    <w:p>
      <w:pPr>
        <w:pStyle w:val="Footnotesection"/>
      </w:pPr>
      <w:r>
        <w:tab/>
        <w:t>[Section 126C inserted by No. 73 of 2006 s. 93; amended by No. 56 of 2010 s. 25.]</w:t>
      </w:r>
    </w:p>
    <w:p>
      <w:pPr>
        <w:pStyle w:val="Heading5"/>
        <w:keepNext w:val="0"/>
        <w:keepLines w:val="0"/>
        <w:spacing w:before="180"/>
      </w:pPr>
      <w:bookmarkStart w:id="429" w:name="_Toc522197408"/>
      <w:r>
        <w:rPr>
          <w:rStyle w:val="CharSectno"/>
        </w:rPr>
        <w:t>126D</w:t>
      </w:r>
      <w:r>
        <w:t>.</w:t>
      </w:r>
      <w:r>
        <w:tab/>
        <w:t>Undesirable liquor products, declaration of and offence as to</w:t>
      </w:r>
      <w:bookmarkEnd w:id="429"/>
    </w:p>
    <w:p>
      <w:pPr>
        <w:pStyle w:val="Subsection"/>
      </w:pPr>
      <w:r>
        <w:tab/>
        <w:t>(1)</w:t>
      </w:r>
      <w:r>
        <w:tab/>
        <w:t>The Governor, on the recommendation of the Minister, may make regulations under section 175 that declare liquor in the form of a specified product, or a product of a specified class, to be an undesirable liquor product.</w:t>
      </w:r>
    </w:p>
    <w:p>
      <w:pPr>
        <w:pStyle w:val="Subsection"/>
      </w:pPr>
      <w:r>
        <w:tab/>
        <w:t>(2)</w:t>
      </w:r>
      <w:r>
        <w:tab/>
        <w:t>Where a licensee, whether personally or by an employee or agent, sells or supplies any product declared to be an undesirable liquor product on or from the licensed premises,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keepNext/>
      </w:pPr>
      <w:r>
        <w:tab/>
        <w:t>(3)</w:t>
      </w:r>
      <w:r>
        <w:tab/>
        <w:t xml:space="preserve">The Minister may recommend the making of regulations for the purposes of subsection (1) only if — </w:t>
      </w:r>
    </w:p>
    <w:p>
      <w:pPr>
        <w:pStyle w:val="Indenta"/>
      </w:pPr>
      <w:r>
        <w:tab/>
        <w:t>(a)</w:t>
      </w:r>
      <w:r>
        <w:tab/>
        <w:t xml:space="preserve">the Minister considers that — </w:t>
      </w:r>
    </w:p>
    <w:p>
      <w:pPr>
        <w:pStyle w:val="Indenti"/>
      </w:pPr>
      <w:r>
        <w:tab/>
        <w:t>(i)</w:t>
      </w:r>
      <w:r>
        <w:tab/>
        <w:t>designs, motifs or characters on the packaging of the product concerned are of such a kind that the product is, or is likely to be, attractive to juveniles; or</w:t>
      </w:r>
    </w:p>
    <w:p>
      <w:pPr>
        <w:pStyle w:val="Indenti"/>
      </w:pPr>
      <w:r>
        <w:tab/>
        <w:t>(ii)</w:t>
      </w:r>
      <w:r>
        <w:tab/>
        <w:t>the product is likely, for any reason, to be confused with soft drinks or confectionery; or</w:t>
      </w:r>
    </w:p>
    <w:p>
      <w:pPr>
        <w:pStyle w:val="Indenti"/>
      </w:pPr>
      <w:r>
        <w:tab/>
        <w:t>(iii)</w:t>
      </w:r>
      <w:r>
        <w:tab/>
        <w:t>the product, for any other reason, has or is likely to have a special appeal to juveniles; or</w:t>
      </w:r>
    </w:p>
    <w:p>
      <w:pPr>
        <w:pStyle w:val="Indenti"/>
      </w:pPr>
      <w:r>
        <w:tab/>
        <w:t>(iv)</w:t>
      </w:r>
      <w:r>
        <w:tab/>
        <w:t>it is otherwise in the public interest to do so;</w:t>
      </w:r>
    </w:p>
    <w:p>
      <w:pPr>
        <w:pStyle w:val="Indenta"/>
      </w:pPr>
      <w:r>
        <w:tab/>
      </w:r>
      <w:r>
        <w:tab/>
        <w:t>and</w:t>
      </w:r>
    </w:p>
    <w:p>
      <w:pPr>
        <w:pStyle w:val="Indenta"/>
      </w:pPr>
      <w:r>
        <w:tab/>
        <w:t>(b)</w:t>
      </w:r>
      <w:r>
        <w:tab/>
        <w:t>the Minister has complied with subsection (4).</w:t>
      </w:r>
    </w:p>
    <w:p>
      <w:pPr>
        <w:pStyle w:val="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pPr>
        <w:pStyle w:val="Subsection"/>
      </w:pPr>
      <w:r>
        <w:tab/>
        <w:t>(5)</w:t>
      </w:r>
      <w:r>
        <w:tab/>
        <w:t>A failure to comply with subsection (3) does not affect the validity of the regulation concerned.</w:t>
      </w:r>
    </w:p>
    <w:p>
      <w:pPr>
        <w:pStyle w:val="Footnotesection"/>
        <w:spacing w:before="80"/>
        <w:ind w:left="890" w:hanging="890"/>
      </w:pPr>
      <w:r>
        <w:tab/>
        <w:t>[Section 126D inserted by No. 73 of 2006 s. 93; amended by No. 56 of 2010 s. 64.]</w:t>
      </w:r>
    </w:p>
    <w:p>
      <w:pPr>
        <w:pStyle w:val="Heading5"/>
      </w:pPr>
      <w:bookmarkStart w:id="430" w:name="_Toc522197409"/>
      <w:r>
        <w:rPr>
          <w:rStyle w:val="CharSectno"/>
        </w:rPr>
        <w:t>126E</w:t>
      </w:r>
      <w:r>
        <w:t>.</w:t>
      </w:r>
      <w:r>
        <w:tab/>
        <w:t>Special events, operation of Act may be modified for</w:t>
      </w:r>
      <w:bookmarkEnd w:id="430"/>
    </w:p>
    <w:p>
      <w:pPr>
        <w:pStyle w:val="Subsection"/>
      </w:pPr>
      <w:r>
        <w:tab/>
        <w:t>(1)</w:t>
      </w:r>
      <w:r>
        <w:tab/>
        <w:t xml:space="preserve">In this section — </w:t>
      </w:r>
    </w:p>
    <w:p>
      <w:pPr>
        <w:pStyle w:val="Defstart"/>
      </w:pPr>
      <w:r>
        <w:rPr>
          <w:b/>
        </w:rPr>
        <w:tab/>
      </w:r>
      <w:r>
        <w:rPr>
          <w:rStyle w:val="CharDefText"/>
        </w:rPr>
        <w:t>special event notice</w:t>
      </w:r>
      <w:r>
        <w:t xml:space="preserve"> means a notice under subsection (2);</w:t>
      </w:r>
    </w:p>
    <w:p>
      <w:pPr>
        <w:pStyle w:val="Defstart"/>
      </w:pPr>
      <w:r>
        <w:rPr>
          <w:b/>
        </w:rPr>
        <w:tab/>
      </w:r>
      <w:r>
        <w:rPr>
          <w:rStyle w:val="CharDefText"/>
        </w:rPr>
        <w:t>specified</w:t>
      </w:r>
      <w:r>
        <w:t xml:space="preserve"> means specified in a special event notice.</w:t>
      </w:r>
    </w:p>
    <w:p>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pPr>
        <w:pStyle w:val="Subsection"/>
      </w:pPr>
      <w:r>
        <w:tab/>
        <w:t>(3)</w:t>
      </w:r>
      <w:r>
        <w:tab/>
        <w:t xml:space="preserve">Subject to subsection (4), a special event notice may declare that, for the purposes of the special event, specified provisions of this Act have a specified modified operation — </w:t>
      </w:r>
    </w:p>
    <w:p>
      <w:pPr>
        <w:pStyle w:val="Indenta"/>
      </w:pPr>
      <w:r>
        <w:tab/>
        <w:t>(a)</w:t>
      </w:r>
      <w:r>
        <w:tab/>
        <w:t>during a specified period; and</w:t>
      </w:r>
    </w:p>
    <w:p>
      <w:pPr>
        <w:pStyle w:val="Indenta"/>
      </w:pPr>
      <w:r>
        <w:tab/>
        <w:t>(b)</w:t>
      </w:r>
      <w:r>
        <w:tab/>
        <w:t>in relation to a specified area of the State or the whole of the State.</w:t>
      </w:r>
    </w:p>
    <w:p>
      <w:pPr>
        <w:pStyle w:val="Subsection"/>
      </w:pPr>
      <w:r>
        <w:tab/>
        <w:t>(4)</w:t>
      </w:r>
      <w:r>
        <w:tab/>
        <w:t>A special event notice may make a declaration under subsection (3) only in relation to prescribed provisions of this Act.</w:t>
      </w:r>
    </w:p>
    <w:p>
      <w:pPr>
        <w:pStyle w:val="Subsection"/>
      </w:pPr>
      <w:r>
        <w:tab/>
        <w:t>(5)</w:t>
      </w:r>
      <w:r>
        <w:tab/>
        <w:t>For the purposes of the special event, provisions of this Act that are the subject of a declaration under subsection (3) have effect in accordance with any specified modified operation.</w:t>
      </w:r>
    </w:p>
    <w:p>
      <w:pPr>
        <w:pStyle w:val="Subsection"/>
      </w:pPr>
      <w:r>
        <w:tab/>
        <w:t>(6)</w:t>
      </w:r>
      <w:r>
        <w:tab/>
        <w:t xml:space="preserve">The Minister may, by notice published in the </w:t>
      </w:r>
      <w:r>
        <w:rPr>
          <w:i/>
        </w:rPr>
        <w:t>Gazette</w:t>
      </w:r>
      <w:r>
        <w:t>, vary or revoke a special event notice.</w:t>
      </w:r>
    </w:p>
    <w:p>
      <w:pPr>
        <w:pStyle w:val="Footnotesection"/>
      </w:pPr>
      <w:r>
        <w:tab/>
        <w:t>[Section 126E inserted by No. 73 of 2006 s. 93.]</w:t>
      </w:r>
    </w:p>
    <w:p>
      <w:pPr>
        <w:pStyle w:val="Heading2"/>
      </w:pPr>
      <w:bookmarkStart w:id="431" w:name="_Toc471906885"/>
      <w:bookmarkStart w:id="432" w:name="_Toc472001802"/>
      <w:bookmarkStart w:id="433" w:name="_Toc472676830"/>
      <w:bookmarkStart w:id="434" w:name="_Toc472682215"/>
      <w:bookmarkStart w:id="435" w:name="_Toc473119356"/>
      <w:bookmarkStart w:id="436" w:name="_Toc522197410"/>
      <w:r>
        <w:rPr>
          <w:rStyle w:val="CharPartNo"/>
        </w:rPr>
        <w:t>Part 5</w:t>
      </w:r>
      <w:r>
        <w:t> — </w:t>
      </w:r>
      <w:r>
        <w:rPr>
          <w:rStyle w:val="CharPartText"/>
        </w:rPr>
        <w:t>Financial provisions</w:t>
      </w:r>
      <w:bookmarkEnd w:id="431"/>
      <w:bookmarkEnd w:id="432"/>
      <w:bookmarkEnd w:id="433"/>
      <w:bookmarkEnd w:id="434"/>
      <w:bookmarkEnd w:id="435"/>
      <w:bookmarkEnd w:id="436"/>
      <w:r>
        <w:rPr>
          <w:rStyle w:val="CharPartText"/>
        </w:rPr>
        <w:t xml:space="preserve"> </w:t>
      </w:r>
    </w:p>
    <w:p>
      <w:pPr>
        <w:pStyle w:val="Heading3"/>
        <w:spacing w:before="220"/>
        <w:rPr>
          <w:snapToGrid w:val="0"/>
        </w:rPr>
      </w:pPr>
      <w:bookmarkStart w:id="437" w:name="_Toc471906886"/>
      <w:bookmarkStart w:id="438" w:name="_Toc472001803"/>
      <w:bookmarkStart w:id="439" w:name="_Toc472676831"/>
      <w:bookmarkStart w:id="440" w:name="_Toc472682216"/>
      <w:bookmarkStart w:id="441" w:name="_Toc473119357"/>
      <w:bookmarkStart w:id="442" w:name="_Toc522197411"/>
      <w:r>
        <w:rPr>
          <w:rStyle w:val="CharDivNo"/>
        </w:rPr>
        <w:t>Division 1</w:t>
      </w:r>
      <w:r>
        <w:rPr>
          <w:snapToGrid w:val="0"/>
        </w:rPr>
        <w:t> — </w:t>
      </w:r>
      <w:r>
        <w:rPr>
          <w:rStyle w:val="CharDivText"/>
        </w:rPr>
        <w:t>Licence fees</w:t>
      </w:r>
      <w:bookmarkEnd w:id="437"/>
      <w:bookmarkEnd w:id="438"/>
      <w:bookmarkEnd w:id="439"/>
      <w:bookmarkEnd w:id="440"/>
      <w:bookmarkEnd w:id="441"/>
      <w:bookmarkEnd w:id="442"/>
      <w:r>
        <w:rPr>
          <w:rStyle w:val="CharDivText"/>
        </w:rPr>
        <w:t xml:space="preserve"> </w:t>
      </w:r>
    </w:p>
    <w:p>
      <w:pPr>
        <w:pStyle w:val="Heading5"/>
        <w:rPr>
          <w:snapToGrid w:val="0"/>
        </w:rPr>
      </w:pPr>
      <w:bookmarkStart w:id="443" w:name="_Toc522197412"/>
      <w:r>
        <w:rPr>
          <w:rStyle w:val="CharSectno"/>
        </w:rPr>
        <w:t>127</w:t>
      </w:r>
      <w:r>
        <w:rPr>
          <w:snapToGrid w:val="0"/>
        </w:rPr>
        <w:t>.</w:t>
      </w:r>
      <w:r>
        <w:rPr>
          <w:snapToGrid w:val="0"/>
        </w:rPr>
        <w:tab/>
        <w:t>Payment of licence fees</w:t>
      </w:r>
      <w:bookmarkEnd w:id="443"/>
    </w:p>
    <w:p>
      <w:pPr>
        <w:pStyle w:val="Subsection"/>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pPr>
        <w:pStyle w:val="Subsection"/>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by No. 56 of 1997 s. 34; No. 73 of 2006 s. 94.] </w:t>
      </w:r>
    </w:p>
    <w:p>
      <w:pPr>
        <w:pStyle w:val="Heading5"/>
        <w:rPr>
          <w:snapToGrid w:val="0"/>
        </w:rPr>
      </w:pPr>
      <w:bookmarkStart w:id="444" w:name="_Toc522197413"/>
      <w:r>
        <w:rPr>
          <w:rStyle w:val="CharSectno"/>
        </w:rPr>
        <w:t>128</w:t>
      </w:r>
      <w:r>
        <w:rPr>
          <w:snapToGrid w:val="0"/>
        </w:rPr>
        <w:t>.</w:t>
      </w:r>
      <w:r>
        <w:rPr>
          <w:snapToGrid w:val="0"/>
        </w:rPr>
        <w:tab/>
        <w:t>Regulations about licence fees</w:t>
      </w:r>
      <w:bookmarkEnd w:id="444"/>
    </w:p>
    <w:p>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pPr>
        <w:pStyle w:val="Subsection"/>
      </w:pPr>
      <w:r>
        <w:tab/>
        <w:t>(2)</w:t>
      </w:r>
      <w:r>
        <w:tab/>
        <w:t xml:space="preserve">Without limiting subsection (1) or section 127, regulations may prescribe licence fees by reference to — </w:t>
      </w:r>
    </w:p>
    <w:p>
      <w:pPr>
        <w:pStyle w:val="Indenta"/>
      </w:pPr>
      <w:r>
        <w:tab/>
        <w:t>(a)</w:t>
      </w:r>
      <w:r>
        <w:tab/>
        <w:t xml:space="preserve">all or any of the following — </w:t>
      </w:r>
    </w:p>
    <w:p>
      <w:pPr>
        <w:pStyle w:val="Indenti"/>
      </w:pPr>
      <w:r>
        <w:tab/>
        <w:t>(i)</w:t>
      </w:r>
      <w:r>
        <w:tab/>
        <w:t>the class of licence;</w:t>
      </w:r>
    </w:p>
    <w:p>
      <w:pPr>
        <w:pStyle w:val="Indenti"/>
      </w:pPr>
      <w:r>
        <w:tab/>
        <w:t>(ii)</w:t>
      </w:r>
      <w:r>
        <w:tab/>
        <w:t>any restrictions or conditions imposed in relation to the licence;</w:t>
      </w:r>
    </w:p>
    <w:p>
      <w:pPr>
        <w:pStyle w:val="Indenti"/>
      </w:pPr>
      <w:r>
        <w:tab/>
        <w:t>(iii)</w:t>
      </w:r>
      <w:r>
        <w:tab/>
        <w:t>the type of premises;</w:t>
      </w:r>
    </w:p>
    <w:p>
      <w:pPr>
        <w:pStyle w:val="Indenti"/>
      </w:pPr>
      <w:r>
        <w:tab/>
        <w:t>(iv)</w:t>
      </w:r>
      <w:r>
        <w:tab/>
        <w:t>the location of the premises;</w:t>
      </w:r>
    </w:p>
    <w:p>
      <w:pPr>
        <w:pStyle w:val="Indenti"/>
      </w:pPr>
      <w:r>
        <w:tab/>
        <w:t>(v)</w:t>
      </w:r>
      <w:r>
        <w:tab/>
        <w:t>the capacity of the premises;</w:t>
      </w:r>
    </w:p>
    <w:p>
      <w:pPr>
        <w:pStyle w:val="Indenti"/>
      </w:pPr>
      <w:r>
        <w:tab/>
        <w:t>(vi)</w:t>
      </w:r>
      <w:r>
        <w:tab/>
        <w:t>the trading hours;</w:t>
      </w:r>
    </w:p>
    <w:p>
      <w:pPr>
        <w:pStyle w:val="Indenti"/>
      </w:pPr>
      <w:r>
        <w:tab/>
        <w:t>(vii)</w:t>
      </w:r>
      <w:r>
        <w:tab/>
        <w:t>the convictions for offences under this Act, if any, of the applicant for the licence;</w:t>
      </w:r>
    </w:p>
    <w:p>
      <w:pPr>
        <w:pStyle w:val="Indenti"/>
      </w:pPr>
      <w:r>
        <w:tab/>
        <w:t>(viii)</w:t>
      </w:r>
      <w:r>
        <w:tab/>
        <w:t>the disciplinary action under Part 3 Division 13, if any, taken against the applicant for the licence;</w:t>
      </w:r>
    </w:p>
    <w:p>
      <w:pPr>
        <w:pStyle w:val="Indenti"/>
      </w:pPr>
      <w:r>
        <w:tab/>
        <w:t>(ix)</w:t>
      </w:r>
      <w:r>
        <w:tab/>
        <w:t>any other criteria prescribed in the regulations;</w:t>
      </w:r>
    </w:p>
    <w:p>
      <w:pPr>
        <w:pStyle w:val="Indenta"/>
      </w:pPr>
      <w:r>
        <w:tab/>
      </w:r>
      <w:r>
        <w:tab/>
        <w:t>or</w:t>
      </w:r>
    </w:p>
    <w:p>
      <w:pPr>
        <w:pStyle w:val="Indenta"/>
      </w:pPr>
      <w:r>
        <w:tab/>
        <w:t>(b)</w:t>
      </w:r>
      <w:r>
        <w:tab/>
        <w:t>the extension of the operation of a licence by a permit; or</w:t>
      </w:r>
    </w:p>
    <w:p>
      <w:pPr>
        <w:pStyle w:val="Indenta"/>
      </w:pPr>
      <w:r>
        <w:tab/>
        <w:t>(c)</w:t>
      </w:r>
      <w:r>
        <w:tab/>
        <w:t>the purposes for which a permit is to be issued, or the period during which a permit is to have effect.</w:t>
      </w:r>
    </w:p>
    <w:p>
      <w:pPr>
        <w:pStyle w:val="Footnotesection"/>
        <w:spacing w:before="100"/>
        <w:ind w:left="890" w:hanging="890"/>
      </w:pPr>
      <w:r>
        <w:tab/>
        <w:t xml:space="preserve">[Section 128 inserted by No. 56 of 1997 s. 35; amended by No. 73 of 2006 s. 95; No. 56 of 2010 s. 31.] </w:t>
      </w:r>
    </w:p>
    <w:p>
      <w:pPr>
        <w:pStyle w:val="Heading3"/>
        <w:keepLines/>
        <w:spacing w:before="180"/>
        <w:rPr>
          <w:snapToGrid w:val="0"/>
        </w:rPr>
      </w:pPr>
      <w:bookmarkStart w:id="445" w:name="_Toc471906889"/>
      <w:bookmarkStart w:id="446" w:name="_Toc472001806"/>
      <w:bookmarkStart w:id="447" w:name="_Toc472676834"/>
      <w:bookmarkStart w:id="448" w:name="_Toc472682219"/>
      <w:bookmarkStart w:id="449" w:name="_Toc473119360"/>
      <w:bookmarkStart w:id="450" w:name="_Toc522197414"/>
      <w:r>
        <w:rPr>
          <w:rStyle w:val="CharDivNo"/>
        </w:rPr>
        <w:t>Division 2</w:t>
      </w:r>
      <w:r>
        <w:rPr>
          <w:snapToGrid w:val="0"/>
        </w:rPr>
        <w:t> — </w:t>
      </w:r>
      <w:r>
        <w:rPr>
          <w:rStyle w:val="CharDivText"/>
        </w:rPr>
        <w:t>Subsidies</w:t>
      </w:r>
      <w:bookmarkEnd w:id="445"/>
      <w:bookmarkEnd w:id="446"/>
      <w:bookmarkEnd w:id="447"/>
      <w:bookmarkEnd w:id="448"/>
      <w:bookmarkEnd w:id="449"/>
      <w:bookmarkEnd w:id="450"/>
      <w:r>
        <w:rPr>
          <w:rStyle w:val="CharDivText"/>
        </w:rPr>
        <w:t xml:space="preserve"> </w:t>
      </w:r>
    </w:p>
    <w:p>
      <w:pPr>
        <w:pStyle w:val="Footnoteheading"/>
        <w:keepNext/>
        <w:keepLines/>
        <w:tabs>
          <w:tab w:val="left" w:pos="924"/>
        </w:tabs>
        <w:rPr>
          <w:snapToGrid w:val="0"/>
        </w:rPr>
      </w:pPr>
      <w:r>
        <w:rPr>
          <w:snapToGrid w:val="0"/>
        </w:rPr>
        <w:tab/>
        <w:t xml:space="preserve">[Heading inserted by No. 56 of 1997 s. 36.] </w:t>
      </w:r>
    </w:p>
    <w:p>
      <w:pPr>
        <w:pStyle w:val="Heading5"/>
        <w:spacing w:before="180"/>
        <w:rPr>
          <w:snapToGrid w:val="0"/>
        </w:rPr>
      </w:pPr>
      <w:bookmarkStart w:id="451" w:name="_Toc522197415"/>
      <w:r>
        <w:rPr>
          <w:rStyle w:val="CharSectno"/>
        </w:rPr>
        <w:t>129</w:t>
      </w:r>
      <w:r>
        <w:rPr>
          <w:snapToGrid w:val="0"/>
        </w:rPr>
        <w:t>.</w:t>
      </w:r>
      <w:r>
        <w:rPr>
          <w:snapToGrid w:val="0"/>
        </w:rPr>
        <w:tab/>
        <w:t>Terms used</w:t>
      </w:r>
      <w:bookmarkEnd w:id="451"/>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producer</w:t>
      </w:r>
      <w:r>
        <w:t xml:space="preserve"> means the holder of a producer’s licence or a special facility licence;</w:t>
      </w:r>
    </w:p>
    <w:p>
      <w:pPr>
        <w:pStyle w:val="Defstart"/>
      </w:pPr>
      <w:r>
        <w:rPr>
          <w:b/>
        </w:rPr>
        <w:tab/>
      </w:r>
      <w:r>
        <w:rPr>
          <w:rStyle w:val="CharDefText"/>
        </w:rPr>
        <w:t>wholesaler</w:t>
      </w:r>
      <w:r>
        <w:t xml:space="preserve"> means the holder of a wholesaler’s licence, and such other persons as are prescribed.</w:t>
      </w:r>
    </w:p>
    <w:p>
      <w:pPr>
        <w:pStyle w:val="Footnotesection"/>
      </w:pPr>
      <w:r>
        <w:tab/>
        <w:t xml:space="preserve">[Section 129 inserted by No. 56 of 1997 s. 36; amended by No. 12 of 1998 s. 35(6).] </w:t>
      </w:r>
    </w:p>
    <w:p>
      <w:pPr>
        <w:pStyle w:val="Heading5"/>
        <w:spacing w:before="180"/>
        <w:rPr>
          <w:snapToGrid w:val="0"/>
        </w:rPr>
      </w:pPr>
      <w:bookmarkStart w:id="452" w:name="_Toc522197416"/>
      <w:r>
        <w:rPr>
          <w:rStyle w:val="CharSectno"/>
        </w:rPr>
        <w:t>130</w:t>
      </w:r>
      <w:r>
        <w:rPr>
          <w:snapToGrid w:val="0"/>
        </w:rPr>
        <w:t>.</w:t>
      </w:r>
      <w:r>
        <w:rPr>
          <w:snapToGrid w:val="0"/>
        </w:rPr>
        <w:tab/>
        <w:t>Subsidies for wholesalers and producers</w:t>
      </w:r>
      <w:bookmarkEnd w:id="452"/>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rPr>
          <w:snapToGrid w:val="0"/>
        </w:rPr>
      </w:pPr>
      <w:r>
        <w:rPr>
          <w:snapToGrid w:val="0"/>
        </w:rPr>
        <w:tab/>
        <w:t>(b)</w:t>
      </w:r>
      <w:r>
        <w:rPr>
          <w:snapToGrid w:val="0"/>
        </w:rPr>
        <w:tab/>
        <w:t>producers,</w:t>
      </w:r>
    </w:p>
    <w:p>
      <w:pPr>
        <w:pStyle w:val="Subsection"/>
        <w:rPr>
          <w:snapToGrid w:val="0"/>
        </w:rPr>
      </w:pPr>
      <w:r>
        <w:rPr>
          <w:snapToGrid w:val="0"/>
        </w:rPr>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spacing w:before="120"/>
        <w:rPr>
          <w:snapToGrid w:val="0"/>
        </w:rPr>
      </w:pPr>
      <w:r>
        <w:rPr>
          <w:snapToGrid w:val="0"/>
        </w:rPr>
        <w:tab/>
        <w:t>(3)</w:t>
      </w:r>
      <w:r>
        <w:rPr>
          <w:snapToGrid w:val="0"/>
        </w:rPr>
        <w:tab/>
        <w:t>A subsidy is to be calculated in accordance with the regulations.</w:t>
      </w:r>
    </w:p>
    <w:p>
      <w:pPr>
        <w:pStyle w:val="Footnotesection"/>
      </w:pPr>
      <w:r>
        <w:tab/>
        <w:t>[Section 130 inserted by No. 56 of 1997 s. 36.]</w:t>
      </w:r>
    </w:p>
    <w:p>
      <w:pPr>
        <w:pStyle w:val="Heading5"/>
        <w:spacing w:before="180"/>
        <w:rPr>
          <w:snapToGrid w:val="0"/>
        </w:rPr>
      </w:pPr>
      <w:bookmarkStart w:id="453" w:name="_Toc522197417"/>
      <w:r>
        <w:rPr>
          <w:rStyle w:val="CharSectno"/>
        </w:rPr>
        <w:t>131</w:t>
      </w:r>
      <w:r>
        <w:rPr>
          <w:snapToGrid w:val="0"/>
        </w:rPr>
        <w:t>.</w:t>
      </w:r>
      <w:r>
        <w:rPr>
          <w:snapToGrid w:val="0"/>
        </w:rPr>
        <w:tab/>
        <w:t>Application for subsidy</w:t>
      </w:r>
      <w:bookmarkEnd w:id="453"/>
      <w:r>
        <w:rPr>
          <w:snapToGrid w:val="0"/>
        </w:rPr>
        <w:t xml:space="preserve"> </w:t>
      </w:r>
    </w:p>
    <w:p>
      <w:pPr>
        <w:pStyle w:val="Subsection"/>
        <w:spacing w:before="120"/>
        <w:rPr>
          <w:snapToGrid w:val="0"/>
        </w:rPr>
      </w:pPr>
      <w:r>
        <w:rPr>
          <w:snapToGrid w:val="0"/>
        </w:rPr>
        <w:tab/>
        <w:t>(1)</w:t>
      </w:r>
      <w:r>
        <w:rPr>
          <w:snapToGrid w:val="0"/>
        </w:rPr>
        <w:tab/>
        <w:t>Application for a subsidy is to be made in accordance with the regulations.</w:t>
      </w:r>
    </w:p>
    <w:p>
      <w:pPr>
        <w:pStyle w:val="Subsection"/>
        <w:spacing w:before="120"/>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by No. 56 of 1997 s. 36.] </w:t>
      </w:r>
    </w:p>
    <w:p>
      <w:pPr>
        <w:pStyle w:val="Heading5"/>
        <w:spacing w:before="180"/>
        <w:rPr>
          <w:snapToGrid w:val="0"/>
        </w:rPr>
      </w:pPr>
      <w:bookmarkStart w:id="454" w:name="_Toc522197418"/>
      <w:r>
        <w:rPr>
          <w:rStyle w:val="CharSectno"/>
        </w:rPr>
        <w:t>132</w:t>
      </w:r>
      <w:r>
        <w:rPr>
          <w:snapToGrid w:val="0"/>
        </w:rPr>
        <w:t>.</w:t>
      </w:r>
      <w:r>
        <w:rPr>
          <w:snapToGrid w:val="0"/>
        </w:rPr>
        <w:tab/>
        <w:t>Director to pay subsidies</w:t>
      </w:r>
      <w:bookmarkEnd w:id="454"/>
      <w:r>
        <w:rPr>
          <w:snapToGrid w:val="0"/>
        </w:rPr>
        <w:t xml:space="preserve"> </w:t>
      </w:r>
    </w:p>
    <w:p>
      <w:pPr>
        <w:pStyle w:val="Subsection"/>
        <w:spacing w:before="120"/>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by No. 56 of 1997 s. 36.]</w:t>
      </w:r>
    </w:p>
    <w:p>
      <w:pPr>
        <w:pStyle w:val="Heading5"/>
        <w:spacing w:before="180"/>
        <w:rPr>
          <w:snapToGrid w:val="0"/>
        </w:rPr>
      </w:pPr>
      <w:bookmarkStart w:id="455" w:name="_Toc522197419"/>
      <w:r>
        <w:rPr>
          <w:rStyle w:val="CharSectno"/>
        </w:rPr>
        <w:t>133</w:t>
      </w:r>
      <w:r>
        <w:rPr>
          <w:snapToGrid w:val="0"/>
        </w:rPr>
        <w:t>.</w:t>
      </w:r>
      <w:r>
        <w:rPr>
          <w:snapToGrid w:val="0"/>
        </w:rPr>
        <w:tab/>
        <w:t>Consolidated Account appropriated</w:t>
      </w:r>
      <w:bookmarkEnd w:id="455"/>
    </w:p>
    <w:p>
      <w:pPr>
        <w:pStyle w:val="Subsection"/>
        <w:spacing w:before="120"/>
        <w:rPr>
          <w:snapToGrid w:val="0"/>
        </w:rPr>
      </w:pPr>
      <w:r>
        <w:rPr>
          <w:snapToGrid w:val="0"/>
        </w:rPr>
        <w:tab/>
      </w:r>
      <w:r>
        <w:rPr>
          <w:snapToGrid w:val="0"/>
        </w:rPr>
        <w:tab/>
        <w:t>The money required to pay subsidies is to be charged to the Consolidated Account which is appropriated accordingly.</w:t>
      </w:r>
    </w:p>
    <w:p>
      <w:pPr>
        <w:pStyle w:val="Footnotesection"/>
        <w:spacing w:before="80"/>
        <w:ind w:left="890" w:hanging="890"/>
      </w:pPr>
      <w:r>
        <w:tab/>
        <w:t>[Section 133 inserted by No. 56 of 1997 s. 36; amended by No. 77 of 2006 s. 4.]</w:t>
      </w:r>
    </w:p>
    <w:p>
      <w:pPr>
        <w:pStyle w:val="Heading5"/>
        <w:rPr>
          <w:snapToGrid w:val="0"/>
        </w:rPr>
      </w:pPr>
      <w:bookmarkStart w:id="456" w:name="_Toc522197420"/>
      <w:r>
        <w:rPr>
          <w:rStyle w:val="CharSectno"/>
        </w:rPr>
        <w:t>134</w:t>
      </w:r>
      <w:r>
        <w:rPr>
          <w:snapToGrid w:val="0"/>
        </w:rPr>
        <w:t>.</w:t>
      </w:r>
      <w:r>
        <w:rPr>
          <w:snapToGrid w:val="0"/>
        </w:rPr>
        <w:tab/>
        <w:t>Correcting incorrect subsidy payments</w:t>
      </w:r>
      <w:bookmarkEnd w:id="456"/>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ind w:left="890" w:hanging="890"/>
      </w:pPr>
      <w:r>
        <w:tab/>
        <w:t>[Section 134 inserted by No. 56 of 1997 s. 36.]</w:t>
      </w:r>
    </w:p>
    <w:p>
      <w:pPr>
        <w:pStyle w:val="Heading5"/>
        <w:rPr>
          <w:snapToGrid w:val="0"/>
        </w:rPr>
      </w:pPr>
      <w:bookmarkStart w:id="457" w:name="_Toc522197421"/>
      <w:r>
        <w:rPr>
          <w:rStyle w:val="CharSectno"/>
        </w:rPr>
        <w:t>135</w:t>
      </w:r>
      <w:r>
        <w:rPr>
          <w:snapToGrid w:val="0"/>
        </w:rPr>
        <w:t>.</w:t>
      </w:r>
      <w:r>
        <w:rPr>
          <w:snapToGrid w:val="0"/>
        </w:rPr>
        <w:tab/>
        <w:t>Failure to correct incorrect subsidy application</w:t>
      </w:r>
      <w:bookmarkEnd w:id="457"/>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keepNext/>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rPr>
          <w:snapToGrid w:val="0"/>
        </w:rPr>
      </w:pPr>
      <w:r>
        <w:rPr>
          <w:snapToGrid w:val="0"/>
        </w:rPr>
        <w:tab/>
      </w:r>
      <w:r>
        <w:rPr>
          <w:snapToGrid w:val="0"/>
        </w:rPr>
        <w:tab/>
        <w:t>and the Director may suspend the operation of any licence held by that person until the amount is paid.</w:t>
      </w:r>
    </w:p>
    <w:p>
      <w:pPr>
        <w:pStyle w:val="Subsection"/>
        <w:keepNext/>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by No. 56 of 1997 s. 36; amended by No. 56 of 2010 s. 69.]</w:t>
      </w:r>
    </w:p>
    <w:p>
      <w:pPr>
        <w:pStyle w:val="Heading5"/>
        <w:spacing w:before="180"/>
        <w:rPr>
          <w:snapToGrid w:val="0"/>
        </w:rPr>
      </w:pPr>
      <w:bookmarkStart w:id="458" w:name="_Toc522197422"/>
      <w:r>
        <w:rPr>
          <w:rStyle w:val="CharSectno"/>
        </w:rPr>
        <w:t>136</w:t>
      </w:r>
      <w:r>
        <w:rPr>
          <w:snapToGrid w:val="0"/>
        </w:rPr>
        <w:t>.</w:t>
      </w:r>
      <w:r>
        <w:rPr>
          <w:snapToGrid w:val="0"/>
        </w:rPr>
        <w:tab/>
        <w:t>Minister may order subsidies to cease</w:t>
      </w:r>
      <w:bookmarkEnd w:id="458"/>
      <w:r>
        <w:rPr>
          <w:snapToGrid w:val="0"/>
        </w:rPr>
        <w:t xml:space="preserve"> </w:t>
      </w:r>
    </w:p>
    <w:p>
      <w:pPr>
        <w:pStyle w:val="Subsection"/>
        <w:rPr>
          <w:snapToGrid w:val="0"/>
        </w:rPr>
      </w:pPr>
      <w:r>
        <w:rPr>
          <w:snapToGrid w:val="0"/>
        </w:rPr>
        <w:tab/>
        <w:t>(1)</w:t>
      </w:r>
      <w:r>
        <w:rPr>
          <w:snapToGrid w:val="0"/>
        </w:rPr>
        <w:tab/>
        <w:t>The Minister may at any time order that the subsidy to wholesalers or producers, or to both, is no longer to be paid.</w:t>
      </w:r>
    </w:p>
    <w:p>
      <w:pPr>
        <w:pStyle w:val="Subsection"/>
        <w:spacing w:before="180"/>
        <w:rPr>
          <w:snapToGrid w:val="0"/>
        </w:rPr>
      </w:pPr>
      <w:r>
        <w:rPr>
          <w:snapToGrid w:val="0"/>
        </w:rPr>
        <w:tab/>
        <w:t>(2)</w:t>
      </w:r>
      <w:r>
        <w:rPr>
          <w:snapToGrid w:val="0"/>
        </w:rPr>
        <w:tab/>
        <w:t>The Minister may by a subsequent order amend or cancel an order referred to in subsection (1).</w:t>
      </w:r>
    </w:p>
    <w:p>
      <w:pPr>
        <w:pStyle w:val="Subsection"/>
        <w:spacing w:before="180"/>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spacing w:before="180"/>
        <w:rPr>
          <w:snapToGrid w:val="0"/>
        </w:rPr>
      </w:pPr>
      <w:r>
        <w:rPr>
          <w:snapToGrid w:val="0"/>
        </w:rPr>
        <w:tab/>
        <w:t>(4)</w:t>
      </w:r>
      <w:r>
        <w:rPr>
          <w:snapToGrid w:val="0"/>
        </w:rPr>
        <w:tab/>
        <w:t>Without limiting subsection (3), directions may modify the operation of this Act in relation to subsidies.</w:t>
      </w:r>
    </w:p>
    <w:p>
      <w:pPr>
        <w:pStyle w:val="Subsection"/>
        <w:spacing w:before="180"/>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spacing w:before="180"/>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by No. 56 of 1997 s. 36.] </w:t>
      </w:r>
    </w:p>
    <w:p>
      <w:pPr>
        <w:pStyle w:val="Ednotesection"/>
        <w:spacing w:before="240"/>
        <w:ind w:left="890" w:hanging="890"/>
      </w:pPr>
      <w:r>
        <w:t>[</w:t>
      </w:r>
      <w:r>
        <w:rPr>
          <w:b/>
        </w:rPr>
        <w:t>137, 138.</w:t>
      </w:r>
      <w:r>
        <w:rPr>
          <w:b/>
        </w:rPr>
        <w:tab/>
      </w:r>
      <w:r>
        <w:t xml:space="preserve">Deleted by No. 56 of 1997 s. 36.] </w:t>
      </w:r>
    </w:p>
    <w:p>
      <w:pPr>
        <w:pStyle w:val="Heading3"/>
        <w:keepLines/>
        <w:spacing w:before="280"/>
        <w:rPr>
          <w:snapToGrid w:val="0"/>
        </w:rPr>
      </w:pPr>
      <w:bookmarkStart w:id="459" w:name="_Toc471906898"/>
      <w:bookmarkStart w:id="460" w:name="_Toc472001815"/>
      <w:bookmarkStart w:id="461" w:name="_Toc472676843"/>
      <w:bookmarkStart w:id="462" w:name="_Toc472682228"/>
      <w:bookmarkStart w:id="463" w:name="_Toc473119369"/>
      <w:bookmarkStart w:id="464" w:name="_Toc522197423"/>
      <w:r>
        <w:rPr>
          <w:rStyle w:val="CharDivNo"/>
        </w:rPr>
        <w:t>Division 3</w:t>
      </w:r>
      <w:r>
        <w:rPr>
          <w:snapToGrid w:val="0"/>
        </w:rPr>
        <w:t> — </w:t>
      </w:r>
      <w:r>
        <w:rPr>
          <w:rStyle w:val="CharDivText"/>
        </w:rPr>
        <w:t>Power of Commission with respect to moneys due</w:t>
      </w:r>
      <w:bookmarkEnd w:id="459"/>
      <w:bookmarkEnd w:id="460"/>
      <w:bookmarkEnd w:id="461"/>
      <w:bookmarkEnd w:id="462"/>
      <w:bookmarkEnd w:id="463"/>
      <w:bookmarkEnd w:id="464"/>
      <w:r>
        <w:rPr>
          <w:rStyle w:val="CharDivText"/>
        </w:rPr>
        <w:t xml:space="preserve"> </w:t>
      </w:r>
    </w:p>
    <w:p>
      <w:pPr>
        <w:pStyle w:val="Footnoteheading"/>
        <w:keepNext/>
        <w:keepLines/>
        <w:tabs>
          <w:tab w:val="left" w:pos="924"/>
        </w:tabs>
        <w:rPr>
          <w:snapToGrid w:val="0"/>
          <w:spacing w:val="-4"/>
        </w:rPr>
      </w:pPr>
      <w:r>
        <w:rPr>
          <w:snapToGrid w:val="0"/>
        </w:rPr>
        <w:tab/>
      </w:r>
      <w:r>
        <w:rPr>
          <w:snapToGrid w:val="0"/>
          <w:spacing w:val="-4"/>
        </w:rPr>
        <w:t>[Heading amended by No. 56 of 1997 s. 37; No. 73 of 2006 s. 96.]</w:t>
      </w:r>
    </w:p>
    <w:p>
      <w:pPr>
        <w:pStyle w:val="Ednotesection"/>
        <w:keepNext/>
        <w:keepLines/>
        <w:spacing w:before="240"/>
      </w:pPr>
      <w:r>
        <w:t>[</w:t>
      </w:r>
      <w:r>
        <w:rPr>
          <w:b/>
        </w:rPr>
        <w:t>139</w:t>
      </w:r>
      <w:r>
        <w:rPr>
          <w:b/>
        </w:rPr>
        <w:noBreakHyphen/>
        <w:t>142.</w:t>
      </w:r>
      <w:r>
        <w:rPr>
          <w:b/>
        </w:rPr>
        <w:tab/>
      </w:r>
      <w:r>
        <w:t xml:space="preserve">Deleted by No. 56 of 1997 s. 38.] </w:t>
      </w:r>
    </w:p>
    <w:p>
      <w:pPr>
        <w:pStyle w:val="Heading5"/>
        <w:spacing w:before="240"/>
        <w:rPr>
          <w:snapToGrid w:val="0"/>
        </w:rPr>
      </w:pPr>
      <w:bookmarkStart w:id="465" w:name="_Toc522197424"/>
      <w:r>
        <w:rPr>
          <w:rStyle w:val="CharSectno"/>
        </w:rPr>
        <w:t>143</w:t>
      </w:r>
      <w:r>
        <w:rPr>
          <w:snapToGrid w:val="0"/>
        </w:rPr>
        <w:t>.</w:t>
      </w:r>
      <w:r>
        <w:rPr>
          <w:snapToGrid w:val="0"/>
        </w:rPr>
        <w:tab/>
        <w:t>Order for payment of money</w:t>
      </w:r>
      <w:bookmarkEnd w:id="465"/>
      <w:r>
        <w:rPr>
          <w:snapToGrid w:val="0"/>
        </w:rPr>
        <w:t xml:space="preserve"> </w:t>
      </w:r>
    </w:p>
    <w:p>
      <w:pPr>
        <w:pStyle w:val="Subsection"/>
        <w:spacing w:before="180"/>
        <w:rPr>
          <w:snapToGrid w:val="0"/>
        </w:rPr>
      </w:pPr>
      <w:r>
        <w:rPr>
          <w:snapToGrid w:val="0"/>
        </w:rPr>
        <w:tab/>
        <w:t>(1)</w:t>
      </w:r>
      <w:r>
        <w:rPr>
          <w:snapToGrid w:val="0"/>
        </w:rPr>
        <w:tab/>
        <w:t xml:space="preserve">The </w:t>
      </w:r>
      <w:r>
        <w:t xml:space="preserve">Commission </w:t>
      </w:r>
      <w:r>
        <w:rPr>
          <w:snapToGrid w:val="0"/>
        </w:rPr>
        <w:t>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spacing w:before="180"/>
        <w:rPr>
          <w:snapToGrid w:val="0"/>
        </w:rPr>
      </w:pPr>
      <w:r>
        <w:rPr>
          <w:snapToGrid w:val="0"/>
        </w:rPr>
        <w:tab/>
        <w:t>(2)</w:t>
      </w:r>
      <w:r>
        <w:rPr>
          <w:snapToGrid w:val="0"/>
        </w:rPr>
        <w:tab/>
        <w:t>Where an order is made under subsection (1) against a body corporate and — </w:t>
      </w:r>
    </w:p>
    <w:p>
      <w:pPr>
        <w:pStyle w:val="Indenta"/>
        <w:rPr>
          <w:snapToGrid w:val="0"/>
        </w:rPr>
      </w:pPr>
      <w:r>
        <w:rPr>
          <w:snapToGrid w:val="0"/>
        </w:rPr>
        <w:tab/>
        <w:t>(a)</w:t>
      </w:r>
      <w:r>
        <w:rPr>
          <w:snapToGrid w:val="0"/>
        </w:rPr>
        <w:tab/>
        <w:t>the body corporate is dissolved; or</w:t>
      </w:r>
    </w:p>
    <w:p>
      <w:pPr>
        <w:pStyle w:val="Indenta"/>
        <w:keepNext/>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by No. 56 of 1997 s. 39; No. 59 of 2004 s. 141; No. 73 of 2006 s. 106.] </w:t>
      </w:r>
    </w:p>
    <w:p>
      <w:pPr>
        <w:pStyle w:val="Ednotesection"/>
        <w:ind w:left="890" w:hanging="890"/>
      </w:pPr>
      <w:r>
        <w:t>[</w:t>
      </w:r>
      <w:r>
        <w:rPr>
          <w:b/>
        </w:rPr>
        <w:t>144.</w:t>
      </w:r>
      <w:r>
        <w:rPr>
          <w:b/>
        </w:rPr>
        <w:tab/>
      </w:r>
      <w:r>
        <w:t xml:space="preserve">Deleted by No. 56 of 1997 s. 40.] </w:t>
      </w:r>
    </w:p>
    <w:p>
      <w:pPr>
        <w:pStyle w:val="Heading3"/>
        <w:keepNext w:val="0"/>
        <w:rPr>
          <w:snapToGrid w:val="0"/>
        </w:rPr>
      </w:pPr>
      <w:bookmarkStart w:id="466" w:name="_Toc471906900"/>
      <w:bookmarkStart w:id="467" w:name="_Toc472001817"/>
      <w:bookmarkStart w:id="468" w:name="_Toc472676845"/>
      <w:bookmarkStart w:id="469" w:name="_Toc472682230"/>
      <w:bookmarkStart w:id="470" w:name="_Toc473119371"/>
      <w:bookmarkStart w:id="471" w:name="_Toc522197425"/>
      <w:r>
        <w:rPr>
          <w:rStyle w:val="CharDivNo"/>
        </w:rPr>
        <w:t>Division 4</w:t>
      </w:r>
      <w:r>
        <w:rPr>
          <w:snapToGrid w:val="0"/>
        </w:rPr>
        <w:t> — </w:t>
      </w:r>
      <w:r>
        <w:rPr>
          <w:rStyle w:val="CharDivText"/>
        </w:rPr>
        <w:t>Records and returns</w:t>
      </w:r>
      <w:bookmarkEnd w:id="466"/>
      <w:bookmarkEnd w:id="467"/>
      <w:bookmarkEnd w:id="468"/>
      <w:bookmarkEnd w:id="469"/>
      <w:bookmarkEnd w:id="470"/>
      <w:bookmarkEnd w:id="471"/>
      <w:r>
        <w:rPr>
          <w:rStyle w:val="CharDivText"/>
        </w:rPr>
        <w:t xml:space="preserve"> </w:t>
      </w:r>
    </w:p>
    <w:p>
      <w:pPr>
        <w:pStyle w:val="Heading5"/>
        <w:keepNext w:val="0"/>
        <w:spacing w:before="160"/>
        <w:rPr>
          <w:snapToGrid w:val="0"/>
        </w:rPr>
      </w:pPr>
      <w:bookmarkStart w:id="472" w:name="_Toc522197426"/>
      <w:r>
        <w:rPr>
          <w:rStyle w:val="CharSectno"/>
        </w:rPr>
        <w:t>145</w:t>
      </w:r>
      <w:r>
        <w:rPr>
          <w:snapToGrid w:val="0"/>
        </w:rPr>
        <w:t>.</w:t>
      </w:r>
      <w:r>
        <w:rPr>
          <w:snapToGrid w:val="0"/>
        </w:rPr>
        <w:tab/>
        <w:t>Records of liquor transactions to be kept by licensees etc.</w:t>
      </w:r>
      <w:bookmarkEnd w:id="472"/>
    </w:p>
    <w:p>
      <w:pPr>
        <w:pStyle w:val="Subsection"/>
        <w:spacing w:before="120"/>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spacing w:before="200"/>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spacing w:before="200"/>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spacing w:before="200"/>
        <w:rPr>
          <w:snapToGrid w:val="0"/>
        </w:rPr>
      </w:pPr>
      <w:r>
        <w:rPr>
          <w:snapToGrid w:val="0"/>
        </w:rPr>
        <w:tab/>
        <w:t>(3)</w:t>
      </w:r>
      <w:r>
        <w:rPr>
          <w:snapToGrid w:val="0"/>
        </w:rPr>
        <w:tab/>
        <w:t>A person who is required by this section to make a record shall — </w:t>
      </w:r>
    </w:p>
    <w:p>
      <w:pPr>
        <w:pStyle w:val="Indenta"/>
        <w:spacing w:before="100"/>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spacing w:before="100"/>
        <w:rPr>
          <w:snapToGrid w:val="0"/>
        </w:rPr>
      </w:pPr>
      <w:r>
        <w:rPr>
          <w:snapToGrid w:val="0"/>
        </w:rPr>
        <w:tab/>
        <w:t>(b)</w:t>
      </w:r>
      <w:r>
        <w:rPr>
          <w:snapToGrid w:val="0"/>
        </w:rPr>
        <w:tab/>
        <w:t>make the record available for inspection by an authorised officer.</w:t>
      </w:r>
    </w:p>
    <w:p>
      <w:pPr>
        <w:pStyle w:val="Subsection"/>
        <w:spacing w:before="200"/>
        <w:rPr>
          <w:snapToGrid w:val="0"/>
        </w:rPr>
      </w:pPr>
      <w:r>
        <w:rPr>
          <w:snapToGrid w:val="0"/>
        </w:rPr>
        <w:tab/>
        <w:t>(4)</w:t>
      </w:r>
      <w:r>
        <w:rPr>
          <w:snapToGrid w:val="0"/>
        </w:rPr>
        <w:tab/>
        <w:t>A person who — </w:t>
      </w:r>
    </w:p>
    <w:p>
      <w:pPr>
        <w:pStyle w:val="Indenta"/>
        <w:spacing w:before="100"/>
        <w:rPr>
          <w:snapToGrid w:val="0"/>
        </w:rPr>
      </w:pPr>
      <w:r>
        <w:rPr>
          <w:snapToGrid w:val="0"/>
        </w:rPr>
        <w:tab/>
        <w:t>(a)</w:t>
      </w:r>
      <w:r>
        <w:rPr>
          <w:snapToGrid w:val="0"/>
        </w:rPr>
        <w:tab/>
        <w:t>fails to make, maintain, keep or retain a record, as required by this section; or</w:t>
      </w:r>
    </w:p>
    <w:p>
      <w:pPr>
        <w:pStyle w:val="Indenta"/>
        <w:spacing w:before="100"/>
        <w:rPr>
          <w:snapToGrid w:val="0"/>
        </w:rPr>
      </w:pPr>
      <w:r>
        <w:rPr>
          <w:snapToGrid w:val="0"/>
        </w:rPr>
        <w:tab/>
        <w:t>(b)</w:t>
      </w:r>
      <w:r>
        <w:rPr>
          <w:snapToGrid w:val="0"/>
        </w:rPr>
        <w:tab/>
        <w:t>fails to make the record available for inspection by an authorised officer; or</w:t>
      </w:r>
    </w:p>
    <w:p>
      <w:pPr>
        <w:pStyle w:val="Indenta"/>
        <w:spacing w:before="100"/>
        <w:rPr>
          <w:snapToGrid w:val="0"/>
        </w:rPr>
      </w:pPr>
      <w:r>
        <w:rPr>
          <w:snapToGrid w:val="0"/>
        </w:rPr>
        <w:tab/>
        <w:t>(c)</w:t>
      </w:r>
      <w:r>
        <w:rPr>
          <w:snapToGrid w:val="0"/>
        </w:rPr>
        <w:tab/>
        <w:t>includes in such a record information that is false or misleading in a material particular,</w:t>
      </w:r>
    </w:p>
    <w:p>
      <w:pPr>
        <w:pStyle w:val="Subsection"/>
        <w:spacing w:before="20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spacing w:before="60"/>
        <w:ind w:left="890" w:hanging="890"/>
      </w:pPr>
      <w:r>
        <w:tab/>
        <w:t xml:space="preserve">[Section 145 amended by No. 56 of 1997 s. 41; No. 12 of 1998 s. 86; No. 73 of 2006 s. 110; No. 56 of 2010 s. 69.] </w:t>
      </w:r>
    </w:p>
    <w:p>
      <w:pPr>
        <w:pStyle w:val="Heading5"/>
        <w:rPr>
          <w:snapToGrid w:val="0"/>
        </w:rPr>
      </w:pPr>
      <w:bookmarkStart w:id="473" w:name="_Toc522197427"/>
      <w:r>
        <w:rPr>
          <w:rStyle w:val="CharSectno"/>
        </w:rPr>
        <w:t>146</w:t>
      </w:r>
      <w:r>
        <w:rPr>
          <w:snapToGrid w:val="0"/>
        </w:rPr>
        <w:t>.</w:t>
      </w:r>
      <w:r>
        <w:rPr>
          <w:snapToGrid w:val="0"/>
        </w:rPr>
        <w:tab/>
        <w:t>Information to be given to Director in returns</w:t>
      </w:r>
      <w:bookmarkEnd w:id="473"/>
    </w:p>
    <w:p>
      <w:pPr>
        <w:pStyle w:val="Subsection"/>
        <w:spacing w:before="200"/>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spacing w:before="100"/>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relating to the assessment of a subsidy,</w:t>
      </w:r>
    </w:p>
    <w:p>
      <w:pPr>
        <w:pStyle w:val="Subsection"/>
        <w:spacing w:before="200"/>
        <w:rPr>
          <w:snapToGrid w:val="0"/>
        </w:rPr>
      </w:pPr>
      <w:r>
        <w:rPr>
          <w:snapToGrid w:val="0"/>
        </w:rPr>
        <w:tab/>
      </w:r>
      <w:r>
        <w:rPr>
          <w:snapToGrid w:val="0"/>
        </w:rPr>
        <w:tab/>
        <w:t>in respect of such period, or in relation to such circumstances, as the Director may require or as is prescribed.</w:t>
      </w:r>
    </w:p>
    <w:p>
      <w:pPr>
        <w:pStyle w:val="Penstart"/>
        <w:spacing w:before="100"/>
        <w:rPr>
          <w:snapToGrid w:val="0"/>
        </w:rPr>
      </w:pPr>
      <w:r>
        <w:rPr>
          <w:snapToGrid w:val="0"/>
        </w:rPr>
        <w:tab/>
        <w:t xml:space="preserve">Penalty: </w:t>
      </w:r>
      <w:r>
        <w:t>a fine of</w:t>
      </w:r>
      <w:r>
        <w:rPr>
          <w:snapToGrid w:val="0"/>
        </w:rPr>
        <w:t xml:space="preserve"> $10 000.</w:t>
      </w:r>
    </w:p>
    <w:p>
      <w:pPr>
        <w:pStyle w:val="Subsection"/>
        <w:keepNext/>
        <w:spacing w:before="200"/>
        <w:rPr>
          <w:snapToGrid w:val="0"/>
        </w:rPr>
      </w:pPr>
      <w:r>
        <w:rPr>
          <w:snapToGrid w:val="0"/>
        </w:rPr>
        <w:tab/>
        <w:t>(2)</w:t>
      </w:r>
      <w:r>
        <w:rPr>
          <w:snapToGrid w:val="0"/>
        </w:rPr>
        <w:tab/>
        <w:t>Returns required under this section shall — </w:t>
      </w:r>
    </w:p>
    <w:p>
      <w:pPr>
        <w:pStyle w:val="Indenta"/>
        <w:spacing w:before="100"/>
        <w:rPr>
          <w:snapToGrid w:val="0"/>
        </w:rPr>
      </w:pPr>
      <w:r>
        <w:rPr>
          <w:snapToGrid w:val="0"/>
        </w:rPr>
        <w:tab/>
        <w:t>(a)</w:t>
      </w:r>
      <w:r>
        <w:rPr>
          <w:snapToGrid w:val="0"/>
        </w:rPr>
        <w:tab/>
        <w:t>be lodged at such times, or periodic intervals, as are prescribed or as may be specified by the Director; and</w:t>
      </w:r>
    </w:p>
    <w:p>
      <w:pPr>
        <w:pStyle w:val="Indenta"/>
        <w:spacing w:before="100"/>
        <w:rPr>
          <w:snapToGrid w:val="0"/>
        </w:rPr>
      </w:pPr>
      <w:r>
        <w:rPr>
          <w:snapToGrid w:val="0"/>
        </w:rPr>
        <w:tab/>
        <w:t>(b)</w:t>
      </w:r>
      <w:r>
        <w:rPr>
          <w:snapToGrid w:val="0"/>
        </w:rPr>
        <w:tab/>
        <w:t>be prepared in a form acceptable to the Director; and</w:t>
      </w:r>
    </w:p>
    <w:p>
      <w:pPr>
        <w:pStyle w:val="Indenta"/>
        <w:spacing w:before="100"/>
        <w:rPr>
          <w:snapToGrid w:val="0"/>
        </w:rPr>
      </w:pPr>
      <w:r>
        <w:rPr>
          <w:snapToGrid w:val="0"/>
        </w:rPr>
        <w:tab/>
        <w:t>(c)</w:t>
      </w:r>
      <w:r>
        <w:rPr>
          <w:snapToGrid w:val="0"/>
        </w:rPr>
        <w:tab/>
        <w:t>be verified in such manner and by such a person as may be prescribed.</w:t>
      </w:r>
    </w:p>
    <w:p>
      <w:pPr>
        <w:pStyle w:val="Ednotesubsection"/>
        <w:spacing w:before="200"/>
      </w:pPr>
      <w:r>
        <w:tab/>
        <w:t>[(3)</w:t>
      </w:r>
      <w:r>
        <w:noBreakHyphen/>
        <w:t>(6)</w:t>
      </w:r>
      <w:r>
        <w:tab/>
        <w:t>deleted]</w:t>
      </w:r>
    </w:p>
    <w:p>
      <w:pPr>
        <w:pStyle w:val="Subsection"/>
        <w:spacing w:before="200"/>
        <w:rPr>
          <w:snapToGrid w:val="0"/>
        </w:rPr>
      </w:pPr>
      <w:r>
        <w:rPr>
          <w:snapToGrid w:val="0"/>
        </w:rPr>
        <w:tab/>
        <w:t>(7)</w:t>
      </w:r>
      <w:r>
        <w:rPr>
          <w:snapToGrid w:val="0"/>
        </w:rPr>
        <w:tab/>
        <w:t>The Director may, in writing — </w:t>
      </w:r>
    </w:p>
    <w:p>
      <w:pPr>
        <w:pStyle w:val="Indenta"/>
        <w:spacing w:before="100"/>
        <w:rPr>
          <w:snapToGrid w:val="0"/>
        </w:rPr>
      </w:pPr>
      <w:r>
        <w:rPr>
          <w:snapToGrid w:val="0"/>
        </w:rPr>
        <w:tab/>
        <w:t>(a)</w:t>
      </w:r>
      <w:r>
        <w:rPr>
          <w:snapToGrid w:val="0"/>
        </w:rPr>
        <w:tab/>
        <w:t>allow an extension of the time within which a return should be lodged; or</w:t>
      </w:r>
    </w:p>
    <w:p>
      <w:pPr>
        <w:pStyle w:val="Indenta"/>
        <w:spacing w:before="100"/>
        <w:rPr>
          <w:snapToGrid w:val="0"/>
        </w:rPr>
      </w:pPr>
      <w:r>
        <w:rPr>
          <w:snapToGrid w:val="0"/>
        </w:rPr>
        <w:tab/>
        <w:t>(b)</w:t>
      </w:r>
      <w:r>
        <w:rPr>
          <w:snapToGrid w:val="0"/>
        </w:rPr>
        <w:tab/>
        <w:t>direct that a requirement of this section shall not have effect in relation to a particular licence.</w:t>
      </w:r>
    </w:p>
    <w:p>
      <w:pPr>
        <w:pStyle w:val="Footnotesection"/>
        <w:spacing w:before="200"/>
        <w:ind w:left="890" w:hanging="890"/>
      </w:pPr>
      <w:r>
        <w:tab/>
        <w:t xml:space="preserve">[Section 146 amended by No. 56 of 1997 s. 42; No. 73 of 2006 s. 110; No. 56 of 2010 s. 69.] </w:t>
      </w:r>
    </w:p>
    <w:p>
      <w:pPr>
        <w:pStyle w:val="Heading3"/>
        <w:rPr>
          <w:snapToGrid w:val="0"/>
        </w:rPr>
      </w:pPr>
      <w:bookmarkStart w:id="474" w:name="_Toc471906903"/>
      <w:bookmarkStart w:id="475" w:name="_Toc472001820"/>
      <w:bookmarkStart w:id="476" w:name="_Toc472676848"/>
      <w:bookmarkStart w:id="477" w:name="_Toc472682233"/>
      <w:bookmarkStart w:id="478" w:name="_Toc473119374"/>
      <w:bookmarkStart w:id="479" w:name="_Toc522197428"/>
      <w:r>
        <w:rPr>
          <w:rStyle w:val="CharDivNo"/>
        </w:rPr>
        <w:t>Division 5</w:t>
      </w:r>
      <w:r>
        <w:rPr>
          <w:snapToGrid w:val="0"/>
        </w:rPr>
        <w:t> — </w:t>
      </w:r>
      <w:r>
        <w:rPr>
          <w:rStyle w:val="CharDivText"/>
        </w:rPr>
        <w:t>Recovery of illegal gains</w:t>
      </w:r>
      <w:bookmarkEnd w:id="474"/>
      <w:bookmarkEnd w:id="475"/>
      <w:bookmarkEnd w:id="476"/>
      <w:bookmarkEnd w:id="477"/>
      <w:bookmarkEnd w:id="478"/>
      <w:bookmarkEnd w:id="479"/>
      <w:r>
        <w:rPr>
          <w:rStyle w:val="CharDivText"/>
        </w:rPr>
        <w:t xml:space="preserve"> </w:t>
      </w:r>
    </w:p>
    <w:p>
      <w:pPr>
        <w:pStyle w:val="Footnoteheading"/>
        <w:keepNext/>
        <w:keepLines/>
        <w:tabs>
          <w:tab w:val="left" w:pos="924"/>
        </w:tabs>
        <w:rPr>
          <w:snapToGrid w:val="0"/>
        </w:rPr>
      </w:pPr>
      <w:r>
        <w:rPr>
          <w:snapToGrid w:val="0"/>
        </w:rPr>
        <w:tab/>
        <w:t>[Heading amended by No. 56 of 1997 s. 43.]</w:t>
      </w:r>
    </w:p>
    <w:p>
      <w:pPr>
        <w:pStyle w:val="Heading5"/>
        <w:rPr>
          <w:snapToGrid w:val="0"/>
        </w:rPr>
      </w:pPr>
      <w:bookmarkStart w:id="480" w:name="_Toc522197429"/>
      <w:r>
        <w:rPr>
          <w:rStyle w:val="CharSectno"/>
        </w:rPr>
        <w:t>147</w:t>
      </w:r>
      <w:r>
        <w:rPr>
          <w:snapToGrid w:val="0"/>
        </w:rPr>
        <w:t>.</w:t>
      </w:r>
      <w:r>
        <w:rPr>
          <w:snapToGrid w:val="0"/>
        </w:rPr>
        <w:tab/>
        <w:t>Illegal gains, estimation and recovery of</w:t>
      </w:r>
      <w:bookmarkEnd w:id="480"/>
    </w:p>
    <w:p>
      <w:pPr>
        <w:pStyle w:val="Subsection"/>
        <w:rPr>
          <w:snapToGrid w:val="0"/>
        </w:rPr>
      </w:pPr>
      <w:r>
        <w:rPr>
          <w:snapToGrid w:val="0"/>
        </w:rPr>
        <w:tab/>
        <w:t>(1)</w:t>
      </w:r>
      <w:r>
        <w:rPr>
          <w:snapToGrid w:val="0"/>
        </w:rPr>
        <w:tab/>
        <w:t xml:space="preserve">Where a person by contravention of this Act or of a condition of a licence or permit gains any financial advantage, the </w:t>
      </w:r>
      <w:r>
        <w:t xml:space="preserve">Commission </w:t>
      </w:r>
      <w:r>
        <w:rPr>
          <w:snapToGrid w:val="0"/>
        </w:rPr>
        <w:t>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tab/>
        <w:t xml:space="preserve">[Section 147 amended by No. 56 of 1997 s. 44; No. 73 of 2006 s. 106.] </w:t>
      </w:r>
    </w:p>
    <w:p>
      <w:pPr>
        <w:pStyle w:val="Heading3"/>
        <w:pageBreakBefore/>
        <w:spacing w:before="0"/>
        <w:rPr>
          <w:snapToGrid w:val="0"/>
        </w:rPr>
      </w:pPr>
      <w:bookmarkStart w:id="481" w:name="_Toc471906905"/>
      <w:bookmarkStart w:id="482" w:name="_Toc472001822"/>
      <w:bookmarkStart w:id="483" w:name="_Toc472676850"/>
      <w:bookmarkStart w:id="484" w:name="_Toc472682235"/>
      <w:bookmarkStart w:id="485" w:name="_Toc473119376"/>
      <w:bookmarkStart w:id="486" w:name="_Toc522197430"/>
      <w:r>
        <w:rPr>
          <w:rStyle w:val="CharDivNo"/>
        </w:rPr>
        <w:t>Division 6</w:t>
      </w:r>
      <w:r>
        <w:rPr>
          <w:snapToGrid w:val="0"/>
        </w:rPr>
        <w:t> — </w:t>
      </w:r>
      <w:r>
        <w:rPr>
          <w:rStyle w:val="CharDivText"/>
        </w:rPr>
        <w:t>Information</w:t>
      </w:r>
      <w:bookmarkEnd w:id="481"/>
      <w:bookmarkEnd w:id="482"/>
      <w:bookmarkEnd w:id="483"/>
      <w:bookmarkEnd w:id="484"/>
      <w:bookmarkEnd w:id="485"/>
      <w:bookmarkEnd w:id="486"/>
      <w:r>
        <w:rPr>
          <w:rStyle w:val="CharDivText"/>
        </w:rPr>
        <w:t xml:space="preserve"> </w:t>
      </w:r>
    </w:p>
    <w:p>
      <w:pPr>
        <w:pStyle w:val="Heading5"/>
        <w:rPr>
          <w:snapToGrid w:val="0"/>
        </w:rPr>
      </w:pPr>
      <w:bookmarkStart w:id="487" w:name="_Toc522197431"/>
      <w:r>
        <w:rPr>
          <w:rStyle w:val="CharSectno"/>
        </w:rPr>
        <w:t>148</w:t>
      </w:r>
      <w:r>
        <w:rPr>
          <w:snapToGrid w:val="0"/>
        </w:rPr>
        <w:t>.</w:t>
      </w:r>
      <w:r>
        <w:rPr>
          <w:snapToGrid w:val="0"/>
        </w:rPr>
        <w:tab/>
        <w:t>Information etc., Director’s powers to obtain</w:t>
      </w:r>
      <w:bookmarkEnd w:id="487"/>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by No. 56 of 1997 s. 45.] </w:t>
      </w:r>
    </w:p>
    <w:p>
      <w:pPr>
        <w:pStyle w:val="Heading5"/>
        <w:rPr>
          <w:snapToGrid w:val="0"/>
        </w:rPr>
      </w:pPr>
      <w:bookmarkStart w:id="488" w:name="_Toc522197432"/>
      <w:r>
        <w:rPr>
          <w:rStyle w:val="CharSectno"/>
        </w:rPr>
        <w:t>149</w:t>
      </w:r>
      <w:r>
        <w:rPr>
          <w:snapToGrid w:val="0"/>
        </w:rPr>
        <w:t>.</w:t>
      </w:r>
      <w:r>
        <w:rPr>
          <w:snapToGrid w:val="0"/>
        </w:rPr>
        <w:tab/>
        <w:t>Use of information, Director’s powers as to</w:t>
      </w:r>
      <w:bookmarkEnd w:id="488"/>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489" w:name="_Toc522197433"/>
      <w:r>
        <w:rPr>
          <w:rStyle w:val="CharSectno"/>
        </w:rPr>
        <w:t>150</w:t>
      </w:r>
      <w:r>
        <w:rPr>
          <w:snapToGrid w:val="0"/>
        </w:rPr>
        <w:t>.</w:t>
      </w:r>
      <w:r>
        <w:rPr>
          <w:snapToGrid w:val="0"/>
        </w:rPr>
        <w:tab/>
        <w:t>Premises and records, Director’s right of access to etc.</w:t>
      </w:r>
      <w:bookmarkEnd w:id="489"/>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150 amended by No. 56 of 1997 s. 46; No. 12 of 1998 s. 97(1); No. 73 of 2006 s. 110; No. 56 of 2010 s. 69.] </w:t>
      </w:r>
    </w:p>
    <w:p>
      <w:pPr>
        <w:pStyle w:val="Heading5"/>
        <w:rPr>
          <w:snapToGrid w:val="0"/>
        </w:rPr>
      </w:pPr>
      <w:bookmarkStart w:id="490" w:name="_Toc522197434"/>
      <w:r>
        <w:rPr>
          <w:rStyle w:val="CharSectno"/>
        </w:rPr>
        <w:t>151</w:t>
      </w:r>
      <w:r>
        <w:rPr>
          <w:snapToGrid w:val="0"/>
        </w:rPr>
        <w:t>.</w:t>
      </w:r>
      <w:r>
        <w:rPr>
          <w:snapToGrid w:val="0"/>
        </w:rPr>
        <w:tab/>
        <w:t>Licensing authority may assist other authorities</w:t>
      </w:r>
      <w:bookmarkEnd w:id="490"/>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491" w:name="_Toc522197435"/>
      <w:r>
        <w:rPr>
          <w:rStyle w:val="CharSectno"/>
        </w:rPr>
        <w:t>152</w:t>
      </w:r>
      <w:r>
        <w:rPr>
          <w:snapToGrid w:val="0"/>
        </w:rPr>
        <w:t>.</w:t>
      </w:r>
      <w:r>
        <w:rPr>
          <w:snapToGrid w:val="0"/>
        </w:rPr>
        <w:tab/>
        <w:t>Disclosure of information by officials</w:t>
      </w:r>
      <w:bookmarkEnd w:id="491"/>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[Section 152 amended by No. 73 of 2006 s. 110; No. 56 of 2010 s. 69.]</w:t>
      </w:r>
    </w:p>
    <w:p>
      <w:pPr>
        <w:pStyle w:val="Heading2"/>
      </w:pPr>
      <w:bookmarkStart w:id="492" w:name="_Toc471906911"/>
      <w:bookmarkStart w:id="493" w:name="_Toc472001828"/>
      <w:bookmarkStart w:id="494" w:name="_Toc472676856"/>
      <w:bookmarkStart w:id="495" w:name="_Toc472682241"/>
      <w:bookmarkStart w:id="496" w:name="_Toc473119382"/>
      <w:bookmarkStart w:id="497" w:name="_Toc522197436"/>
      <w:r>
        <w:rPr>
          <w:rStyle w:val="CharPartNo"/>
        </w:rPr>
        <w:t>Part 5A</w:t>
      </w:r>
      <w:r>
        <w:rPr>
          <w:rStyle w:val="CharDivNo"/>
        </w:rPr>
        <w:t> </w:t>
      </w:r>
      <w:r>
        <w:t>—</w:t>
      </w:r>
      <w:r>
        <w:rPr>
          <w:rStyle w:val="CharDivText"/>
        </w:rPr>
        <w:t> </w:t>
      </w:r>
      <w:r>
        <w:rPr>
          <w:rStyle w:val="CharPartText"/>
        </w:rPr>
        <w:t>Prohibition orders</w:t>
      </w:r>
      <w:bookmarkEnd w:id="492"/>
      <w:bookmarkEnd w:id="493"/>
      <w:bookmarkEnd w:id="494"/>
      <w:bookmarkEnd w:id="495"/>
      <w:bookmarkEnd w:id="496"/>
      <w:bookmarkEnd w:id="497"/>
    </w:p>
    <w:p>
      <w:pPr>
        <w:pStyle w:val="Footnoteheading"/>
      </w:pPr>
      <w:r>
        <w:tab/>
        <w:t>[Heading inserted by No. 73 of 2006 s. 97.]</w:t>
      </w:r>
    </w:p>
    <w:p>
      <w:pPr>
        <w:pStyle w:val="Heading5"/>
        <w:spacing w:before="240"/>
      </w:pPr>
      <w:bookmarkStart w:id="498" w:name="_Toc522197437"/>
      <w:r>
        <w:rPr>
          <w:rStyle w:val="CharSectno"/>
        </w:rPr>
        <w:t>152A</w:t>
      </w:r>
      <w:r>
        <w:t>.</w:t>
      </w:r>
      <w:r>
        <w:tab/>
        <w:t>Terms used</w:t>
      </w:r>
      <w:bookmarkEnd w:id="498"/>
    </w:p>
    <w:p>
      <w:pPr>
        <w:pStyle w:val="Subsection"/>
        <w:spacing w:before="180"/>
      </w:pPr>
      <w:r>
        <w:tab/>
      </w:r>
      <w:r>
        <w:tab/>
        <w:t xml:space="preserve">In this Part — </w:t>
      </w:r>
    </w:p>
    <w:p>
      <w:pPr>
        <w:pStyle w:val="Defstart"/>
        <w:spacing w:before="90"/>
      </w:pPr>
      <w:r>
        <w:rPr>
          <w:b/>
        </w:rPr>
        <w:tab/>
      </w:r>
      <w:r>
        <w:rPr>
          <w:rStyle w:val="CharDefText"/>
        </w:rPr>
        <w:t>employed</w:t>
      </w:r>
      <w:r>
        <w:t xml:space="preserve"> includes engaged under a contract for services;</w:t>
      </w:r>
    </w:p>
    <w:p>
      <w:pPr>
        <w:pStyle w:val="Defstart"/>
        <w:spacing w:before="90"/>
      </w:pPr>
      <w:r>
        <w:rPr>
          <w:b/>
        </w:rPr>
        <w:tab/>
      </w:r>
      <w:r>
        <w:rPr>
          <w:rStyle w:val="CharDefText"/>
        </w:rPr>
        <w:t>prohibition order</w:t>
      </w:r>
      <w:r>
        <w:t xml:space="preserve"> means an order made under section 152E;</w:t>
      </w:r>
    </w:p>
    <w:p>
      <w:pPr>
        <w:pStyle w:val="Defstart"/>
        <w:spacing w:before="90"/>
      </w:pPr>
      <w:r>
        <w:rPr>
          <w:b/>
        </w:rPr>
        <w:tab/>
      </w:r>
      <w:r>
        <w:rPr>
          <w:rStyle w:val="CharDefText"/>
        </w:rPr>
        <w:t>relevant person</w:t>
      </w:r>
      <w:r>
        <w:t xml:space="preserve"> means the person who, as the case requires, is the subject of — </w:t>
      </w:r>
    </w:p>
    <w:p>
      <w:pPr>
        <w:pStyle w:val="Defpara"/>
        <w:spacing w:before="90"/>
      </w:pPr>
      <w:r>
        <w:tab/>
        <w:t>(a)</w:t>
      </w:r>
      <w:r>
        <w:tab/>
        <w:t>an application under section 152B; or</w:t>
      </w:r>
    </w:p>
    <w:p>
      <w:pPr>
        <w:pStyle w:val="Defpara"/>
        <w:spacing w:before="90"/>
      </w:pPr>
      <w:r>
        <w:tab/>
        <w:t>(b)</w:t>
      </w:r>
      <w:r>
        <w:tab/>
        <w:t>a prohibition order;</w:t>
      </w:r>
    </w:p>
    <w:p>
      <w:pPr>
        <w:pStyle w:val="Defstart"/>
        <w:spacing w:before="90"/>
      </w:pPr>
      <w:r>
        <w:rPr>
          <w:b/>
        </w:rPr>
        <w:tab/>
      </w:r>
      <w:r>
        <w:rPr>
          <w:rStyle w:val="CharDefText"/>
        </w:rPr>
        <w:t>serious and organised crime</w:t>
      </w:r>
      <w:r>
        <w:t xml:space="preserve"> has the same meaning as it has in the </w:t>
      </w:r>
      <w:r>
        <w:rPr>
          <w:i/>
        </w:rPr>
        <w:t>Australian Crime Commission (</w:t>
      </w:r>
      <w:smartTag w:uri="urn:schemas-microsoft-com:office:smarttags" w:element="place">
        <w:smartTag w:uri="urn:schemas-microsoft-com:office:smarttags" w:element="State">
          <w:r>
            <w:rPr>
              <w:i/>
            </w:rPr>
            <w:t>Western Australia</w:t>
          </w:r>
        </w:smartTag>
      </w:smartTag>
      <w:r>
        <w:rPr>
          <w:i/>
        </w:rPr>
        <w:t>) Act 2004</w:t>
      </w:r>
      <w:r>
        <w:t>.</w:t>
      </w:r>
    </w:p>
    <w:p>
      <w:pPr>
        <w:pStyle w:val="Footnotesection"/>
      </w:pPr>
      <w:r>
        <w:tab/>
        <w:t>[Section 152A inserted by No. 73 of 2006 s. 97.]</w:t>
      </w:r>
    </w:p>
    <w:p>
      <w:pPr>
        <w:pStyle w:val="Heading5"/>
        <w:spacing w:before="240"/>
      </w:pPr>
      <w:bookmarkStart w:id="499" w:name="_Toc522197438"/>
      <w:r>
        <w:rPr>
          <w:rStyle w:val="CharSectno"/>
        </w:rPr>
        <w:t>152B</w:t>
      </w:r>
      <w:r>
        <w:t>.</w:t>
      </w:r>
      <w:r>
        <w:tab/>
        <w:t>Commissioner of Police may apply for prohibition orders</w:t>
      </w:r>
      <w:bookmarkEnd w:id="499"/>
    </w:p>
    <w:p>
      <w:pPr>
        <w:pStyle w:val="Subsection"/>
        <w:spacing w:before="180"/>
      </w:pPr>
      <w:r>
        <w:tab/>
        <w:t>(1)</w:t>
      </w:r>
      <w:r>
        <w:tab/>
        <w:t xml:space="preserve">The Commissioner of Police may apply in writing to the Director in a form approved by the Director for an order to be made in respect of a person that — </w:t>
      </w:r>
    </w:p>
    <w:p>
      <w:pPr>
        <w:pStyle w:val="Indenta"/>
        <w:spacing w:before="90"/>
      </w:pPr>
      <w:r>
        <w:tab/>
        <w:t>(a)</w:t>
      </w:r>
      <w:r>
        <w:tab/>
        <w:t>prohibits the relevant person from being employed by a licensee at specified licensed premises, licensed premises of a specified class or any licensed premises; or</w:t>
      </w:r>
    </w:p>
    <w:p>
      <w:pPr>
        <w:pStyle w:val="Indenta"/>
        <w:spacing w:before="90"/>
      </w:pPr>
      <w:r>
        <w:tab/>
        <w:t>(b)</w:t>
      </w:r>
      <w:r>
        <w:tab/>
        <w:t>prohibits the relevant person from entering specified licensed premises, licensed premises of a specified class or any licensed premises.</w:t>
      </w:r>
    </w:p>
    <w:p>
      <w:pPr>
        <w:pStyle w:val="Subsection"/>
      </w:pPr>
      <w:r>
        <w:tab/>
        <w:t>(2)</w:t>
      </w:r>
      <w:r>
        <w:tab/>
        <w:t>The Commissioner of Police must serve a copy of the application on the relevant person.</w:t>
      </w:r>
    </w:p>
    <w:p>
      <w:pPr>
        <w:pStyle w:val="Footnotesection"/>
      </w:pPr>
      <w:r>
        <w:tab/>
        <w:t>[Section 152B inserted by No. 73 of 2006 s. 97; amended by No. 9 of 2018 s. 61.]</w:t>
      </w:r>
    </w:p>
    <w:p>
      <w:pPr>
        <w:pStyle w:val="Heading5"/>
        <w:keepNext w:val="0"/>
        <w:keepLines w:val="0"/>
        <w:pageBreakBefore/>
        <w:spacing w:before="0"/>
      </w:pPr>
      <w:bookmarkStart w:id="500" w:name="_Toc522197439"/>
      <w:r>
        <w:rPr>
          <w:rStyle w:val="CharSectno"/>
        </w:rPr>
        <w:t>152C</w:t>
      </w:r>
      <w:r>
        <w:t>.</w:t>
      </w:r>
      <w:r>
        <w:tab/>
        <w:t>Evidence in support of s. 152B application</w:t>
      </w:r>
      <w:bookmarkEnd w:id="500"/>
    </w:p>
    <w:p>
      <w:pPr>
        <w:pStyle w:val="Subsection"/>
        <w:keepNext/>
        <w:keepLines/>
      </w:pPr>
      <w:r>
        <w:tab/>
        <w:t>(1)</w:t>
      </w:r>
      <w:r>
        <w:tab/>
        <w:t xml:space="preserve">An application under section 152B is to — </w:t>
      </w:r>
    </w:p>
    <w:p>
      <w:pPr>
        <w:pStyle w:val="Indenta"/>
      </w:pPr>
      <w:r>
        <w:tab/>
        <w:t>(a)</w:t>
      </w:r>
      <w:r>
        <w:tab/>
        <w:t>set out the reasons why the Commissioner of Police considers a prohibition order should be made in respect of the relevant person; and</w:t>
      </w:r>
    </w:p>
    <w:p>
      <w:pPr>
        <w:pStyle w:val="Indenta"/>
      </w:pPr>
      <w:r>
        <w:tab/>
        <w:t>(b)</w:t>
      </w:r>
      <w:r>
        <w:tab/>
        <w:t>set out any other information and be accompanied by any document that the Commissioner of Police considers relevant to the application.</w:t>
      </w:r>
    </w:p>
    <w:p>
      <w:pPr>
        <w:pStyle w:val="Subsection"/>
      </w:pPr>
      <w:r>
        <w:tab/>
        <w:t>(2)</w:t>
      </w:r>
      <w:r>
        <w:tab/>
        <w:t xml:space="preserve">Without limiting subsection (1), the Commissioner of Police is authorised to include in or with the application — </w:t>
      </w:r>
    </w:p>
    <w:p>
      <w:pPr>
        <w:pStyle w:val="Indenta"/>
      </w:pPr>
      <w:r>
        <w:tab/>
        <w:t>(a)</w:t>
      </w:r>
      <w:r>
        <w:tab/>
        <w:t>details of any criminal convictions of the relevant person for offences under the law of the Commonwealth or a State or Territory; and</w:t>
      </w:r>
    </w:p>
    <w:p>
      <w:pPr>
        <w:pStyle w:val="Indenta"/>
      </w:pPr>
      <w:r>
        <w:tab/>
        <w:t>(b)</w:t>
      </w:r>
      <w:r>
        <w:tab/>
        <w:t>any information that the Commissioner of Police has regarding any involvement, or suspected involvement, of the relevant person in serious and organised crime.</w:t>
      </w:r>
    </w:p>
    <w:p>
      <w:pPr>
        <w:pStyle w:val="Footnotesection"/>
      </w:pPr>
      <w:r>
        <w:tab/>
        <w:t>[Section 152C inserted by No. 73 of 2006 s. 97.]</w:t>
      </w:r>
    </w:p>
    <w:p>
      <w:pPr>
        <w:pStyle w:val="Heading5"/>
      </w:pPr>
      <w:bookmarkStart w:id="501" w:name="_Toc522197440"/>
      <w:r>
        <w:rPr>
          <w:rStyle w:val="CharSectno"/>
        </w:rPr>
        <w:t>152D</w:t>
      </w:r>
      <w:r>
        <w:t>.</w:t>
      </w:r>
      <w:r>
        <w:tab/>
        <w:t>Notice of s. 152B application etc. to be given to relevant person</w:t>
      </w:r>
      <w:bookmarkEnd w:id="501"/>
    </w:p>
    <w:p>
      <w:pPr>
        <w:pStyle w:val="Subsection"/>
      </w:pPr>
      <w:r>
        <w:tab/>
        <w:t>(1)</w:t>
      </w:r>
      <w:r>
        <w:tab/>
        <w:t xml:space="preserve">The Director is to give the relevant person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relevant person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152D inserted by No. 73 of 2006 s. 97.]</w:t>
      </w:r>
    </w:p>
    <w:p>
      <w:pPr>
        <w:pStyle w:val="Heading5"/>
      </w:pPr>
      <w:bookmarkStart w:id="502" w:name="_Toc522197441"/>
      <w:r>
        <w:rPr>
          <w:rStyle w:val="CharSectno"/>
        </w:rPr>
        <w:t>152E</w:t>
      </w:r>
      <w:r>
        <w:t>.</w:t>
      </w:r>
      <w:r>
        <w:tab/>
        <w:t>Director may make prohibition orders</w:t>
      </w:r>
      <w:bookmarkEnd w:id="502"/>
    </w:p>
    <w:p>
      <w:pPr>
        <w:pStyle w:val="Subsection"/>
      </w:pPr>
      <w:r>
        <w:tab/>
        <w:t>(1)</w:t>
      </w:r>
      <w:r>
        <w:tab/>
        <w:t xml:space="preserve">The Director may dispose of the application — </w:t>
      </w:r>
    </w:p>
    <w:p>
      <w:pPr>
        <w:pStyle w:val="Indenta"/>
      </w:pPr>
      <w:r>
        <w:tab/>
        <w:t>(a)</w:t>
      </w:r>
      <w:r>
        <w:tab/>
        <w:t>by making a prohibition order;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may make a prohibition order that — </w:t>
      </w:r>
    </w:p>
    <w:p>
      <w:pPr>
        <w:pStyle w:val="Indenta"/>
      </w:pPr>
      <w:r>
        <w:tab/>
        <w:t>(a)</w:t>
      </w:r>
      <w:r>
        <w:tab/>
        <w:t>prohibits the relevant person from being employed by a licensee at specified licensed premises, licensed premises of a specified class or any licensed premises; or</w:t>
      </w:r>
    </w:p>
    <w:p>
      <w:pPr>
        <w:pStyle w:val="Indenta"/>
      </w:pPr>
      <w:r>
        <w:tab/>
        <w:t>(b)</w:t>
      </w:r>
      <w:r>
        <w:tab/>
        <w:t>prohibits the relevant person from entering specified licensed premises, licensed premises of a specified class or any licensed premises.</w:t>
      </w:r>
    </w:p>
    <w:p>
      <w:pPr>
        <w:pStyle w:val="Subsection"/>
      </w:pPr>
      <w:r>
        <w:tab/>
        <w:t>(3)</w:t>
      </w:r>
      <w:r>
        <w:tab/>
        <w:t xml:space="preserve">The Director may make a prohibition order only if satisfied that it is in the public interest to do so after — </w:t>
      </w:r>
    </w:p>
    <w:p>
      <w:pPr>
        <w:pStyle w:val="Indenta"/>
      </w:pPr>
      <w:r>
        <w:tab/>
        <w:t>(a)</w:t>
      </w:r>
      <w:r>
        <w:tab/>
        <w:t>having given the relevant person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relevant person under paragraph (a).</w:t>
      </w:r>
    </w:p>
    <w:p>
      <w:pPr>
        <w:pStyle w:val="Subsection"/>
      </w:pPr>
      <w:r>
        <w:tab/>
        <w:t>(4)</w:t>
      </w:r>
      <w:r>
        <w:tab/>
        <w:t>A prohibition order has effect subject to such terms or conditions as the Director thinks fit and specifies in the order.</w:t>
      </w:r>
    </w:p>
    <w:p>
      <w:pPr>
        <w:pStyle w:val="Footnotesection"/>
      </w:pPr>
      <w:r>
        <w:tab/>
        <w:t>[Section 152E inserted by No. 73 of 2006 s. 97.]</w:t>
      </w:r>
    </w:p>
    <w:p>
      <w:pPr>
        <w:pStyle w:val="Heading5"/>
        <w:keepNext w:val="0"/>
        <w:keepLines w:val="0"/>
        <w:spacing w:before="180"/>
      </w:pPr>
      <w:bookmarkStart w:id="503" w:name="_Toc522197442"/>
      <w:r>
        <w:rPr>
          <w:rStyle w:val="CharSectno"/>
        </w:rPr>
        <w:t>152F</w:t>
      </w:r>
      <w:r>
        <w:t>.</w:t>
      </w:r>
      <w:r>
        <w:tab/>
        <w:t>Term of prohibition orders</w:t>
      </w:r>
      <w:bookmarkEnd w:id="503"/>
    </w:p>
    <w:p>
      <w:pPr>
        <w:pStyle w:val="Subsection"/>
        <w:spacing w:before="120"/>
      </w:pPr>
      <w:r>
        <w:tab/>
        <w:t>(1)</w:t>
      </w:r>
      <w:r>
        <w:tab/>
        <w:t>The Director is to specify in a prohibition order the term for which the prohibition order remains in force.</w:t>
      </w:r>
    </w:p>
    <w:p>
      <w:pPr>
        <w:pStyle w:val="Subsection"/>
      </w:pPr>
      <w:r>
        <w:tab/>
        <w:t>(2)</w:t>
      </w:r>
      <w:r>
        <w:tab/>
        <w:t>The term cannot be more than 5 years or, for a prohibition order in respect of a juvenile, more than 2 years, after it is made, but an application may be made for a further prohibition order.</w:t>
      </w:r>
    </w:p>
    <w:p>
      <w:pPr>
        <w:pStyle w:val="Footnotesection"/>
      </w:pPr>
      <w:r>
        <w:tab/>
        <w:t>[Section 152F inserted by No. 73 of 2006 s. 97.]</w:t>
      </w:r>
    </w:p>
    <w:p>
      <w:pPr>
        <w:pStyle w:val="Heading5"/>
      </w:pPr>
      <w:bookmarkStart w:id="504" w:name="_Toc522197443"/>
      <w:r>
        <w:rPr>
          <w:rStyle w:val="CharSectno"/>
        </w:rPr>
        <w:t>152G</w:t>
      </w:r>
      <w:r>
        <w:t>.</w:t>
      </w:r>
      <w:r>
        <w:tab/>
        <w:t>Applications to vary or revoke prohibition orders</w:t>
      </w:r>
      <w:bookmarkEnd w:id="504"/>
    </w:p>
    <w:p>
      <w:pPr>
        <w:pStyle w:val="Subsection"/>
      </w:pPr>
      <w:r>
        <w:tab/>
        <w:t>(1)</w:t>
      </w:r>
      <w:r>
        <w:tab/>
        <w:t>The Commissioner of Police or the relevant person may apply in writing to the Director in a form approved by the Director for an order varying or revoking a prohibition order.</w:t>
      </w:r>
    </w:p>
    <w:p>
      <w:pPr>
        <w:pStyle w:val="Subsection"/>
      </w:pPr>
      <w:r>
        <w:tab/>
        <w:t>(2)</w:t>
      </w:r>
      <w:r>
        <w:tab/>
        <w:t xml:space="preserve">If the application is made — </w:t>
      </w:r>
    </w:p>
    <w:p>
      <w:pPr>
        <w:pStyle w:val="Indenta"/>
      </w:pPr>
      <w:r>
        <w:tab/>
        <w:t>(a)</w:t>
      </w:r>
      <w:r>
        <w:tab/>
        <w:t>by the Commissioner of Police, the relevant person is the respondent; or</w:t>
      </w:r>
    </w:p>
    <w:p>
      <w:pPr>
        <w:pStyle w:val="Indenta"/>
      </w:pPr>
      <w:r>
        <w:tab/>
        <w:t>(b)</w:t>
      </w:r>
      <w:r>
        <w:tab/>
        <w:t>by the relevant person, the Commissioner of Police is the respondent.</w:t>
      </w:r>
    </w:p>
    <w:p>
      <w:pPr>
        <w:pStyle w:val="Footnotesection"/>
      </w:pPr>
      <w:r>
        <w:tab/>
        <w:t>[Section 152G inserted by No. 73 of 2006 s. 97.]</w:t>
      </w:r>
    </w:p>
    <w:p>
      <w:pPr>
        <w:pStyle w:val="Heading5"/>
      </w:pPr>
      <w:bookmarkStart w:id="505" w:name="_Toc522197444"/>
      <w:r>
        <w:rPr>
          <w:rStyle w:val="CharSectno"/>
        </w:rPr>
        <w:t>152H</w:t>
      </w:r>
      <w:r>
        <w:t>.</w:t>
      </w:r>
      <w:r>
        <w:tab/>
        <w:t>Evidence in support of s. 152G application</w:t>
      </w:r>
      <w:bookmarkEnd w:id="505"/>
    </w:p>
    <w:p>
      <w:pPr>
        <w:pStyle w:val="Subsection"/>
      </w:pPr>
      <w:r>
        <w:tab/>
      </w:r>
      <w:r>
        <w:tab/>
        <w:t xml:space="preserve">The application is to — </w:t>
      </w:r>
    </w:p>
    <w:p>
      <w:pPr>
        <w:pStyle w:val="Indenta"/>
      </w:pPr>
      <w:r>
        <w:tab/>
        <w:t>(a)</w:t>
      </w:r>
      <w:r>
        <w:tab/>
        <w:t>set out the reasons why the applicant considers a prohibition order should be varied or revoked; and</w:t>
      </w:r>
    </w:p>
    <w:p>
      <w:pPr>
        <w:pStyle w:val="Indenta"/>
      </w:pPr>
      <w:r>
        <w:tab/>
        <w:t>(b)</w:t>
      </w:r>
      <w:r>
        <w:tab/>
        <w:t>set out any other information and be accompanied by any document that the applicant considers relevant to the application.</w:t>
      </w:r>
    </w:p>
    <w:p>
      <w:pPr>
        <w:pStyle w:val="Footnotesection"/>
      </w:pPr>
      <w:r>
        <w:tab/>
        <w:t>[Section 152H inserted by No. 73 of 2006 s. 97.]</w:t>
      </w:r>
    </w:p>
    <w:p>
      <w:pPr>
        <w:pStyle w:val="Heading5"/>
      </w:pPr>
      <w:bookmarkStart w:id="506" w:name="_Toc522197445"/>
      <w:r>
        <w:rPr>
          <w:rStyle w:val="CharSectno"/>
        </w:rPr>
        <w:t>152I</w:t>
      </w:r>
      <w:r>
        <w:t>.</w:t>
      </w:r>
      <w:r>
        <w:tab/>
        <w:t>Notice of s. 152G application etc. to be given to respondent</w:t>
      </w:r>
      <w:bookmarkEnd w:id="506"/>
    </w:p>
    <w:p>
      <w:pPr>
        <w:pStyle w:val="Subsection"/>
        <w:keepNext/>
        <w:keepLines/>
      </w:pPr>
      <w:r>
        <w:tab/>
        <w:t>(1)</w:t>
      </w:r>
      <w:r>
        <w:tab/>
        <w:t xml:space="preserve">The Director is to give the respondent a written notice that — </w:t>
      </w:r>
    </w:p>
    <w:p>
      <w:pPr>
        <w:pStyle w:val="Indenta"/>
        <w:spacing w:before="70"/>
      </w:pPr>
      <w:r>
        <w:tab/>
        <w:t>(a)</w:t>
      </w:r>
      <w:r>
        <w:tab/>
        <w:t>states that the application has been made and explains the proposed effect of the order applied for; and</w:t>
      </w:r>
    </w:p>
    <w:p>
      <w:pPr>
        <w:pStyle w:val="Indenta"/>
        <w:spacing w:before="70"/>
      </w:pPr>
      <w:r>
        <w:tab/>
        <w:t>(b)</w:t>
      </w:r>
      <w:r>
        <w:tab/>
        <w:t>describes the information and documents provided in support of the application; and</w:t>
      </w:r>
    </w:p>
    <w:p>
      <w:pPr>
        <w:pStyle w:val="Indenta"/>
        <w:spacing w:before="70"/>
      </w:pPr>
      <w:r>
        <w:tab/>
        <w:t>(c)</w:t>
      </w:r>
      <w:r>
        <w:tab/>
        <w:t>informs the respondent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152I inserted by No. 73 of 2006 s. 97.]</w:t>
      </w:r>
    </w:p>
    <w:p>
      <w:pPr>
        <w:pStyle w:val="Heading5"/>
      </w:pPr>
      <w:bookmarkStart w:id="507" w:name="_Toc522197446"/>
      <w:r>
        <w:rPr>
          <w:rStyle w:val="CharSectno"/>
        </w:rPr>
        <w:t>152J</w:t>
      </w:r>
      <w:r>
        <w:t>.</w:t>
      </w:r>
      <w:r>
        <w:tab/>
        <w:t>Director may vary or revoke prohibition orders</w:t>
      </w:r>
      <w:bookmarkEnd w:id="507"/>
    </w:p>
    <w:p>
      <w:pPr>
        <w:pStyle w:val="Subsection"/>
      </w:pPr>
      <w:r>
        <w:tab/>
        <w:t>(1)</w:t>
      </w:r>
      <w:r>
        <w:tab/>
        <w:t xml:space="preserve">The Director may dispose of the application — </w:t>
      </w:r>
    </w:p>
    <w:p>
      <w:pPr>
        <w:pStyle w:val="Indenta"/>
        <w:spacing w:before="70"/>
      </w:pPr>
      <w:r>
        <w:tab/>
        <w:t>(a)</w:t>
      </w:r>
      <w:r>
        <w:tab/>
        <w:t>by making an order that varies or revokes a prohibition order; or</w:t>
      </w:r>
    </w:p>
    <w:p>
      <w:pPr>
        <w:pStyle w:val="Indenta"/>
        <w:spacing w:before="70"/>
      </w:pPr>
      <w:r>
        <w:tab/>
        <w:t>(b)</w:t>
      </w:r>
      <w:r>
        <w:tab/>
        <w:t>by dismissing the application; or</w:t>
      </w:r>
    </w:p>
    <w:p>
      <w:pPr>
        <w:pStyle w:val="Indenta"/>
        <w:spacing w:before="70"/>
      </w:pPr>
      <w:r>
        <w:tab/>
        <w:t>(c)</w:t>
      </w:r>
      <w:r>
        <w:tab/>
        <w:t>at the request of the applicant — by discontinuing the application.</w:t>
      </w:r>
    </w:p>
    <w:p>
      <w:pPr>
        <w:pStyle w:val="Subsection"/>
      </w:pPr>
      <w:r>
        <w:tab/>
        <w:t>(2)</w:t>
      </w:r>
      <w:r>
        <w:tab/>
        <w:t xml:space="preserve">The Director may make an order varying or revoking a prohibition order only if satisfied that it is in the public interest to do so — </w:t>
      </w:r>
    </w:p>
    <w:p>
      <w:pPr>
        <w:pStyle w:val="Indenta"/>
        <w:spacing w:before="70"/>
      </w:pPr>
      <w:r>
        <w:tab/>
        <w:t>(a)</w:t>
      </w:r>
      <w:r>
        <w:tab/>
        <w:t>having given the respondent a reasonable opportunity to make submissions or to be heard in relation to the application; and</w:t>
      </w:r>
    </w:p>
    <w:p>
      <w:pPr>
        <w:pStyle w:val="Indenta"/>
        <w:spacing w:before="70"/>
      </w:pPr>
      <w:r>
        <w:tab/>
        <w:t>(b)</w:t>
      </w:r>
      <w:r>
        <w:tab/>
        <w:t xml:space="preserve">having regard to — </w:t>
      </w:r>
    </w:p>
    <w:p>
      <w:pPr>
        <w:pStyle w:val="Indenti"/>
        <w:spacing w:before="70"/>
      </w:pPr>
      <w:r>
        <w:tab/>
        <w:t>(i)</w:t>
      </w:r>
      <w:r>
        <w:tab/>
        <w:t>any information or document provided by the applicant in or with the application; and</w:t>
      </w:r>
    </w:p>
    <w:p>
      <w:pPr>
        <w:pStyle w:val="Indenti"/>
        <w:spacing w:before="70"/>
      </w:pPr>
      <w:r>
        <w:tab/>
        <w:t>(ii)</w:t>
      </w:r>
      <w:r>
        <w:tab/>
        <w:t>any information or document provided by the respondent under paragraph (a).</w:t>
      </w:r>
    </w:p>
    <w:p>
      <w:pPr>
        <w:pStyle w:val="Footnotesection"/>
      </w:pPr>
      <w:r>
        <w:tab/>
        <w:t>[Section 152J inserted by No. 73 of 2006 s. 97.]</w:t>
      </w:r>
    </w:p>
    <w:p>
      <w:pPr>
        <w:pStyle w:val="Heading5"/>
      </w:pPr>
      <w:bookmarkStart w:id="508" w:name="_Toc522197447"/>
      <w:r>
        <w:rPr>
          <w:rStyle w:val="CharSectno"/>
        </w:rPr>
        <w:t>152K</w:t>
      </w:r>
      <w:r>
        <w:t>.</w:t>
      </w:r>
      <w:r>
        <w:tab/>
        <w:t>Service and publication of prohibition orders</w:t>
      </w:r>
      <w:bookmarkEnd w:id="508"/>
    </w:p>
    <w:p>
      <w:pPr>
        <w:pStyle w:val="Subsection"/>
      </w:pPr>
      <w:r>
        <w:tab/>
        <w:t>(1)</w:t>
      </w:r>
      <w:r>
        <w:tab/>
        <w:t xml:space="preserve">If the Director makes a prohibition order, the Director is to give a copy of the order — </w:t>
      </w:r>
    </w:p>
    <w:p>
      <w:pPr>
        <w:pStyle w:val="Indenta"/>
      </w:pPr>
      <w:r>
        <w:tab/>
        <w:t>(a)</w:t>
      </w:r>
      <w:r>
        <w:tab/>
        <w:t>to the relevant person; and</w:t>
      </w:r>
    </w:p>
    <w:p>
      <w:pPr>
        <w:pStyle w:val="Indenta"/>
      </w:pPr>
      <w:r>
        <w:tab/>
        <w:t>(b)</w:t>
      </w:r>
      <w:r>
        <w:tab/>
        <w:t>if the order is made under section 152E(2)(a) and the Director is aware that the relevant person is employed by a licensee at licensed premises to which the order applies — to the licensee.</w:t>
      </w:r>
    </w:p>
    <w:p>
      <w:pPr>
        <w:pStyle w:val="Subsection"/>
      </w:pPr>
      <w:r>
        <w:tab/>
        <w:t>(2A)</w:t>
      </w:r>
      <w:r>
        <w:tab/>
        <w:t xml:space="preserve">If the Director makes a prohibition order, the Director may publish all or any of the following information or material in relation to the relevant person if that information or material was provided with the application of the Commissioner of Police under section 152B — </w:t>
      </w:r>
    </w:p>
    <w:p>
      <w:pPr>
        <w:pStyle w:val="Indenta"/>
      </w:pPr>
      <w:r>
        <w:tab/>
        <w:t>(a)</w:t>
      </w:r>
      <w:r>
        <w:tab/>
        <w:t>the name of the relevant person;</w:t>
      </w:r>
    </w:p>
    <w:p>
      <w:pPr>
        <w:pStyle w:val="Indenta"/>
      </w:pPr>
      <w:r>
        <w:tab/>
        <w:t>(b)</w:t>
      </w:r>
      <w:r>
        <w:tab/>
        <w:t>a photograph of the relevant person;</w:t>
      </w:r>
    </w:p>
    <w:p>
      <w:pPr>
        <w:pStyle w:val="Indenta"/>
      </w:pPr>
      <w:r>
        <w:tab/>
        <w:t>(c)</w:t>
      </w:r>
      <w:r>
        <w:tab/>
        <w:t>the town or suburb where the relevant person lives;</w:t>
      </w:r>
    </w:p>
    <w:p>
      <w:pPr>
        <w:pStyle w:val="Indenta"/>
      </w:pPr>
      <w:r>
        <w:tab/>
        <w:t>(d)</w:t>
      </w:r>
      <w:r>
        <w:tab/>
        <w:t>the licensed premises, or class of licensed premises, in relation to which the order relates.</w:t>
      </w:r>
    </w:p>
    <w:p>
      <w:pPr>
        <w:pStyle w:val="Subsection"/>
      </w:pPr>
      <w:r>
        <w:tab/>
        <w:t>(2B)</w:t>
      </w:r>
      <w:r>
        <w:tab/>
        <w:t>Subsection (2A) does not permit the publication of anything that identifies, or is capable of identifying —</w:t>
      </w:r>
    </w:p>
    <w:p>
      <w:pPr>
        <w:pStyle w:val="Indenta"/>
      </w:pPr>
      <w:r>
        <w:tab/>
        <w:t>(a)</w:t>
      </w:r>
      <w:r>
        <w:tab/>
        <w:t>a child other than the relevant person; or</w:t>
      </w:r>
    </w:p>
    <w:p>
      <w:pPr>
        <w:pStyle w:val="Indenta"/>
      </w:pPr>
      <w:r>
        <w:tab/>
        <w:t>(c)</w:t>
      </w:r>
      <w:r>
        <w:tab/>
        <w:t>the details of any offence of which the relevant person was convicted in the Children’s Court.</w:t>
      </w:r>
    </w:p>
    <w:p>
      <w:pPr>
        <w:pStyle w:val="Subsection"/>
      </w:pPr>
      <w:r>
        <w:tab/>
        <w:t>(2C)</w:t>
      </w:r>
      <w:r>
        <w:tab/>
        <w:t>A person may republish in any manner something that has been published under subsection (2A).</w:t>
      </w:r>
    </w:p>
    <w:p>
      <w:pPr>
        <w:pStyle w:val="Subsection"/>
        <w:keepNext/>
      </w:pPr>
      <w:r>
        <w:tab/>
        <w:t>(2)</w:t>
      </w:r>
      <w:r>
        <w:tab/>
        <w:t>If the Director makes an order varying or revoking a prohibition order, the Director is to give a copy of the order to the applicant and the respondent.</w:t>
      </w:r>
    </w:p>
    <w:p>
      <w:pPr>
        <w:pStyle w:val="Footnotesection"/>
      </w:pPr>
      <w:r>
        <w:tab/>
        <w:t>[Section 152K inserted by No. 73 of 2006 s. 97; amended by No. 56 of 2010 s. 32.]</w:t>
      </w:r>
    </w:p>
    <w:p>
      <w:pPr>
        <w:pStyle w:val="Heading5"/>
      </w:pPr>
      <w:bookmarkStart w:id="509" w:name="_Toc522197448"/>
      <w:r>
        <w:rPr>
          <w:rStyle w:val="CharSectno"/>
        </w:rPr>
        <w:t>152L</w:t>
      </w:r>
      <w:r>
        <w:t>.</w:t>
      </w:r>
      <w:r>
        <w:tab/>
        <w:t>Failing to comply with prohibition orders</w:t>
      </w:r>
      <w:bookmarkEnd w:id="509"/>
    </w:p>
    <w:p>
      <w:pPr>
        <w:pStyle w:val="Subsection"/>
      </w:pPr>
      <w:r>
        <w:tab/>
        <w:t>(1)</w:t>
      </w:r>
      <w:r>
        <w:tab/>
        <w:t>A person given a copy of a prohibition order under section 152K(1)(a) who fails, without reasonable excuse, to comply with the order commits an offence.</w:t>
      </w:r>
    </w:p>
    <w:p>
      <w:pPr>
        <w:pStyle w:val="Penstart"/>
      </w:pPr>
      <w:r>
        <w:tab/>
        <w:t>Penalty: a fine of $10 000.</w:t>
      </w:r>
    </w:p>
    <w:p>
      <w:pPr>
        <w:pStyle w:val="Subsection"/>
      </w:pPr>
      <w:r>
        <w:tab/>
        <w:t>(2)</w:t>
      </w:r>
      <w:r>
        <w:tab/>
        <w:t>A person given a copy of a prohibition order under section 152K(1)(b) who continues, without reasonable excuse, to employ the relevant person, commits an offence.</w:t>
      </w:r>
    </w:p>
    <w:p>
      <w:pPr>
        <w:pStyle w:val="Penstart"/>
      </w:pPr>
      <w:r>
        <w:tab/>
        <w:t>Penalty: a fine of $10 000.</w:t>
      </w:r>
    </w:p>
    <w:p>
      <w:pPr>
        <w:pStyle w:val="Footnotesection"/>
      </w:pPr>
      <w:r>
        <w:tab/>
        <w:t>[Section 152L inserted by No. 73 of 2006 s. 97; amended by No. 56 of 2010 s. 69.]</w:t>
      </w:r>
    </w:p>
    <w:p>
      <w:pPr>
        <w:pStyle w:val="Heading5"/>
      </w:pPr>
      <w:bookmarkStart w:id="510" w:name="_Toc522197449"/>
      <w:r>
        <w:rPr>
          <w:rStyle w:val="CharSectno"/>
        </w:rPr>
        <w:t>152M</w:t>
      </w:r>
      <w:r>
        <w:t>.</w:t>
      </w:r>
      <w:r>
        <w:tab/>
        <w:t>Permitting entry to premises contrary to prohibition order</w:t>
      </w:r>
      <w:bookmarkEnd w:id="510"/>
    </w:p>
    <w:p>
      <w:pPr>
        <w:pStyle w:val="Subsection"/>
      </w:pPr>
      <w:r>
        <w:tab/>
      </w:r>
      <w:r>
        <w:tab/>
        <w:t xml:space="preserve">A responsible person in relation to licensed premises commits an offence if the responsible person — </w:t>
      </w:r>
    </w:p>
    <w:p>
      <w:pPr>
        <w:pStyle w:val="Indenta"/>
      </w:pPr>
      <w:r>
        <w:tab/>
        <w:t>(a)</w:t>
      </w:r>
      <w:r>
        <w:tab/>
        <w:t>knows that a prohibition order has been made against a person in respect of the premises; and</w:t>
      </w:r>
    </w:p>
    <w:p>
      <w:pPr>
        <w:pStyle w:val="Indenta"/>
      </w:pPr>
      <w:r>
        <w:tab/>
        <w:t>(b)</w:t>
      </w:r>
      <w:r>
        <w:tab/>
        <w:t>permits the person to enter or remain on the premises contrary to the order.</w:t>
      </w:r>
    </w:p>
    <w:p>
      <w:pPr>
        <w:pStyle w:val="Penstart"/>
      </w:pPr>
      <w:r>
        <w:tab/>
        <w:t>Penalty: a fine of $10 000.</w:t>
      </w:r>
    </w:p>
    <w:p>
      <w:pPr>
        <w:pStyle w:val="Footnotesection"/>
      </w:pPr>
      <w:r>
        <w:tab/>
        <w:t>[Section 152M inserted by No. 56 of 2010 s. 33.]</w:t>
      </w:r>
    </w:p>
    <w:p>
      <w:pPr>
        <w:pStyle w:val="Heading5"/>
      </w:pPr>
      <w:bookmarkStart w:id="511" w:name="_Toc522197450"/>
      <w:r>
        <w:rPr>
          <w:rStyle w:val="CharSectno"/>
        </w:rPr>
        <w:t>152NA</w:t>
      </w:r>
      <w:r>
        <w:t>.</w:t>
      </w:r>
      <w:r>
        <w:tab/>
        <w:t xml:space="preserve">Relationship with </w:t>
      </w:r>
      <w:r>
        <w:rPr>
          <w:i/>
        </w:rPr>
        <w:t>Criminal Organisations Control Act 2012</w:t>
      </w:r>
      <w:bookmarkEnd w:id="511"/>
    </w:p>
    <w:p>
      <w:pPr>
        <w:pStyle w:val="Subsection"/>
      </w:pPr>
      <w:r>
        <w:tab/>
      </w:r>
      <w:r>
        <w:tab/>
        <w:t xml:space="preserve">A prohibition order is of no effect to the extent that it conflicts with or duplicates a condition of an interim control order or a control order under the </w:t>
      </w:r>
      <w:r>
        <w:rPr>
          <w:i/>
        </w:rPr>
        <w:t>Criminal Organisations Control Act 2012</w:t>
      </w:r>
      <w:r>
        <w:t xml:space="preserve"> that applies to the relevant person.</w:t>
      </w:r>
    </w:p>
    <w:p>
      <w:pPr>
        <w:pStyle w:val="Footnotesection"/>
      </w:pPr>
      <w:r>
        <w:tab/>
        <w:t>[Section 152NA inserted by No. 49 of 2012 s. 178.]</w:t>
      </w:r>
    </w:p>
    <w:p>
      <w:pPr>
        <w:pStyle w:val="Heading2"/>
      </w:pPr>
      <w:bookmarkStart w:id="512" w:name="_Toc471906926"/>
      <w:bookmarkStart w:id="513" w:name="_Toc472001843"/>
      <w:bookmarkStart w:id="514" w:name="_Toc472676871"/>
      <w:bookmarkStart w:id="515" w:name="_Toc472682256"/>
      <w:bookmarkStart w:id="516" w:name="_Toc473119397"/>
      <w:bookmarkStart w:id="517" w:name="_Toc522197451"/>
      <w:r>
        <w:rPr>
          <w:rStyle w:val="CharPartNo"/>
        </w:rPr>
        <w:t>Part 5B</w:t>
      </w:r>
      <w:r>
        <w:rPr>
          <w:rStyle w:val="CharDivNo"/>
        </w:rPr>
        <w:t> </w:t>
      </w:r>
      <w:r>
        <w:t>—</w:t>
      </w:r>
      <w:r>
        <w:rPr>
          <w:rStyle w:val="CharDivText"/>
        </w:rPr>
        <w:t> </w:t>
      </w:r>
      <w:r>
        <w:rPr>
          <w:rStyle w:val="CharPartText"/>
        </w:rPr>
        <w:t>Liquor restricted premises</w:t>
      </w:r>
      <w:bookmarkEnd w:id="512"/>
      <w:bookmarkEnd w:id="513"/>
      <w:bookmarkEnd w:id="514"/>
      <w:bookmarkEnd w:id="515"/>
      <w:bookmarkEnd w:id="516"/>
      <w:bookmarkEnd w:id="517"/>
    </w:p>
    <w:p>
      <w:pPr>
        <w:pStyle w:val="Footnoteheading"/>
      </w:pPr>
      <w:r>
        <w:tab/>
        <w:t>[Heading inserted by No. 56 of 2010 s. 26.]</w:t>
      </w:r>
    </w:p>
    <w:p>
      <w:pPr>
        <w:pStyle w:val="Heading5"/>
      </w:pPr>
      <w:bookmarkStart w:id="518" w:name="_Toc522197452"/>
      <w:r>
        <w:rPr>
          <w:rStyle w:val="CharSectno"/>
        </w:rPr>
        <w:t>152N</w:t>
      </w:r>
      <w:r>
        <w:t>.</w:t>
      </w:r>
      <w:r>
        <w:tab/>
        <w:t>Terms used</w:t>
      </w:r>
      <w:bookmarkEnd w:id="518"/>
    </w:p>
    <w:p>
      <w:pPr>
        <w:pStyle w:val="Subsection"/>
      </w:pPr>
      <w:r>
        <w:tab/>
      </w:r>
      <w:r>
        <w:tab/>
        <w:t>In this Part —</w:t>
      </w:r>
    </w:p>
    <w:p>
      <w:pPr>
        <w:pStyle w:val="Defstart"/>
      </w:pPr>
      <w:r>
        <w:tab/>
      </w:r>
      <w:r>
        <w:rPr>
          <w:rStyle w:val="CharDefText"/>
        </w:rPr>
        <w:t>applicant</w:t>
      </w:r>
      <w:r>
        <w:t>, in relation to a liquor restriction declaration, means the person on whose application the declaration was granted;</w:t>
      </w:r>
    </w:p>
    <w:p>
      <w:pPr>
        <w:pStyle w:val="Defstart"/>
      </w:pPr>
      <w:r>
        <w:tab/>
      </w:r>
      <w:r>
        <w:rPr>
          <w:rStyle w:val="CharDefText"/>
        </w:rPr>
        <w:t>liquor restricted premises</w:t>
      </w:r>
      <w:r>
        <w:t xml:space="preserve"> means premises that are the subject of a liquor restriction declaration that is in force;</w:t>
      </w:r>
    </w:p>
    <w:p>
      <w:pPr>
        <w:pStyle w:val="Defstart"/>
      </w:pPr>
      <w:r>
        <w:tab/>
      </w:r>
      <w:r>
        <w:rPr>
          <w:rStyle w:val="CharDefText"/>
        </w:rPr>
        <w:t>liquor restriction declaration</w:t>
      </w:r>
      <w:r>
        <w:t xml:space="preserve"> means a declaration made under section 152P;</w:t>
      </w:r>
    </w:p>
    <w:p>
      <w:pPr>
        <w:pStyle w:val="Defstart"/>
      </w:pPr>
      <w:r>
        <w:tab/>
      </w:r>
      <w:r>
        <w:rPr>
          <w:rStyle w:val="CharDefText"/>
        </w:rPr>
        <w:t>occupier</w:t>
      </w:r>
      <w:r>
        <w:t>, in relation to premises, means a person who is, or is entitled to be, in occupation or control of the premises, whether exclusively or jointly or in common with other persons.</w:t>
      </w:r>
    </w:p>
    <w:p>
      <w:pPr>
        <w:pStyle w:val="Footnotesection"/>
      </w:pPr>
      <w:r>
        <w:tab/>
        <w:t>[Section 152N inserted by No. 56 of 2010 s. 26.]</w:t>
      </w:r>
    </w:p>
    <w:p>
      <w:pPr>
        <w:pStyle w:val="Heading5"/>
      </w:pPr>
      <w:bookmarkStart w:id="519" w:name="_Toc522197453"/>
      <w:r>
        <w:rPr>
          <w:rStyle w:val="CharSectno"/>
        </w:rPr>
        <w:t>152O</w:t>
      </w:r>
      <w:r>
        <w:t>.</w:t>
      </w:r>
      <w:r>
        <w:tab/>
        <w:t>Liquor on liquor restricted premises, offences as to</w:t>
      </w:r>
      <w:bookmarkEnd w:id="519"/>
    </w:p>
    <w:p>
      <w:pPr>
        <w:pStyle w:val="Subsection"/>
        <w:rPr>
          <w:snapToGrid w:val="0"/>
        </w:rPr>
      </w:pPr>
      <w:r>
        <w:tab/>
        <w:t>(1)</w:t>
      </w:r>
      <w:r>
        <w:tab/>
        <w:t>A</w:t>
      </w:r>
      <w:r>
        <w:rPr>
          <w:snapToGrid w:val="0"/>
        </w:rPr>
        <w:t xml:space="preserve"> person who —</w:t>
      </w:r>
    </w:p>
    <w:p>
      <w:pPr>
        <w:pStyle w:val="Indenta"/>
        <w:rPr>
          <w:snapToGrid w:val="0"/>
        </w:rPr>
      </w:pPr>
      <w:r>
        <w:rPr>
          <w:snapToGrid w:val="0"/>
        </w:rPr>
        <w:tab/>
        <w:t>(a)</w:t>
      </w:r>
      <w:r>
        <w:rPr>
          <w:snapToGrid w:val="0"/>
        </w:rPr>
        <w:tab/>
      </w:r>
      <w:r>
        <w:t xml:space="preserve">brings, or attempts to bring, </w:t>
      </w:r>
      <w:r>
        <w:rPr>
          <w:snapToGrid w:val="0"/>
        </w:rPr>
        <w:t>liquor onto; or</w:t>
      </w:r>
    </w:p>
    <w:p>
      <w:pPr>
        <w:pStyle w:val="Indenta"/>
        <w:rPr>
          <w:snapToGrid w:val="0"/>
        </w:rPr>
      </w:pPr>
      <w:r>
        <w:rPr>
          <w:snapToGrid w:val="0"/>
        </w:rPr>
        <w:tab/>
        <w:t>(b)</w:t>
      </w:r>
      <w:r>
        <w:rPr>
          <w:snapToGrid w:val="0"/>
        </w:rPr>
        <w:tab/>
      </w:r>
      <w:r>
        <w:t xml:space="preserve">causes, or attempts to cause, </w:t>
      </w:r>
      <w:r>
        <w:rPr>
          <w:snapToGrid w:val="0"/>
        </w:rPr>
        <w:t>liquor to be brought onto; or</w:t>
      </w:r>
    </w:p>
    <w:p>
      <w:pPr>
        <w:pStyle w:val="Indenta"/>
        <w:rPr>
          <w:snapToGrid w:val="0"/>
        </w:rPr>
      </w:pPr>
      <w:r>
        <w:rPr>
          <w:snapToGrid w:val="0"/>
        </w:rPr>
        <w:tab/>
        <w:t>(c)</w:t>
      </w:r>
      <w:r>
        <w:rPr>
          <w:snapToGrid w:val="0"/>
        </w:rPr>
        <w:tab/>
        <w:t>has in his or her possession or control any liquor on; or</w:t>
      </w:r>
    </w:p>
    <w:p>
      <w:pPr>
        <w:pStyle w:val="Indenta"/>
        <w:rPr>
          <w:snapToGrid w:val="0"/>
        </w:rPr>
      </w:pPr>
      <w:r>
        <w:rPr>
          <w:snapToGrid w:val="0"/>
        </w:rPr>
        <w:tab/>
        <w:t>(d)</w:t>
      </w:r>
      <w:r>
        <w:rPr>
          <w:snapToGrid w:val="0"/>
        </w:rPr>
        <w:tab/>
        <w:t>consumes liquor on,</w:t>
      </w:r>
    </w:p>
    <w:p>
      <w:pPr>
        <w:pStyle w:val="Subsection"/>
        <w:rPr>
          <w:snapToGrid w:val="0"/>
        </w:rPr>
      </w:pPr>
      <w:r>
        <w:rPr>
          <w:snapToGrid w:val="0"/>
        </w:rPr>
        <w:tab/>
      </w:r>
      <w:r>
        <w:rPr>
          <w:snapToGrid w:val="0"/>
        </w:rPr>
        <w:tab/>
        <w:t>liquor restricted premises commits an offence.</w:t>
      </w:r>
    </w:p>
    <w:p>
      <w:pPr>
        <w:pStyle w:val="Penstart"/>
        <w:rPr>
          <w:snapToGrid w:val="0"/>
        </w:rPr>
      </w:pPr>
      <w:r>
        <w:rPr>
          <w:snapToGrid w:val="0"/>
        </w:rPr>
        <w:tab/>
        <w:t>Penalty: a fine of $2 000.</w:t>
      </w:r>
    </w:p>
    <w:p>
      <w:pPr>
        <w:pStyle w:val="Subsection"/>
      </w:pPr>
      <w:r>
        <w:tab/>
        <w:t>(2)</w:t>
      </w:r>
      <w:r>
        <w:tab/>
        <w:t>Subsection (1)(a), (b) and (c) do not apply if —</w:t>
      </w:r>
    </w:p>
    <w:p>
      <w:pPr>
        <w:pStyle w:val="Indenta"/>
      </w:pPr>
      <w:r>
        <w:tab/>
        <w:t>(a)</w:t>
      </w:r>
      <w:r>
        <w:tab/>
        <w:t>the person in possession of the liquor is passing through a part of the liquor restricted premises that is open to the public or through which the person has a right of access; and</w:t>
      </w:r>
    </w:p>
    <w:p>
      <w:pPr>
        <w:pStyle w:val="Indenta"/>
        <w:keepNext/>
      </w:pPr>
      <w:r>
        <w:tab/>
        <w:t>(b)</w:t>
      </w:r>
      <w:r>
        <w:tab/>
        <w:t>the liquor —</w:t>
      </w:r>
    </w:p>
    <w:p>
      <w:pPr>
        <w:pStyle w:val="Indenti"/>
      </w:pPr>
      <w:r>
        <w:tab/>
        <w:t>(i)</w:t>
      </w:r>
      <w:r>
        <w:tab/>
        <w:t>is in an unopened container or a container that having been opened is securely re</w:t>
      </w:r>
      <w:r>
        <w:noBreakHyphen/>
        <w:t>closed; and</w:t>
      </w:r>
    </w:p>
    <w:p>
      <w:pPr>
        <w:pStyle w:val="Indenti"/>
      </w:pPr>
      <w:r>
        <w:tab/>
        <w:t>(ii)</w:t>
      </w:r>
      <w:r>
        <w:tab/>
        <w:t>is intended for consumption off the liquor restricted premises.</w:t>
      </w:r>
    </w:p>
    <w:p>
      <w:pPr>
        <w:pStyle w:val="Subsection"/>
      </w:pPr>
      <w:r>
        <w:tab/>
        <w:t>(3)</w:t>
      </w:r>
      <w:r>
        <w:tab/>
        <w:t>It is a defence to a charge of an offence against subsection (1) to show that the person charged —</w:t>
      </w:r>
    </w:p>
    <w:p>
      <w:pPr>
        <w:pStyle w:val="Indenta"/>
      </w:pPr>
      <w:r>
        <w:tab/>
        <w:t>(a)</w:t>
      </w:r>
      <w:r>
        <w:tab/>
        <w:t>did not know; and</w:t>
      </w:r>
    </w:p>
    <w:p>
      <w:pPr>
        <w:pStyle w:val="Indenta"/>
      </w:pPr>
      <w:r>
        <w:tab/>
        <w:t>(b)</w:t>
      </w:r>
      <w:r>
        <w:tab/>
        <w:t>could not reasonably have been expected to know,</w:t>
      </w:r>
    </w:p>
    <w:p>
      <w:pPr>
        <w:pStyle w:val="Subsection"/>
      </w:pPr>
      <w:r>
        <w:tab/>
      </w:r>
      <w:r>
        <w:tab/>
        <w:t>that the premises were liquor restricted premises.</w:t>
      </w:r>
    </w:p>
    <w:p>
      <w:pPr>
        <w:pStyle w:val="Footnotesection"/>
      </w:pPr>
      <w:r>
        <w:tab/>
        <w:t>[Section 152O inserted by No. 56 of 2010 s. 26; No. 35 of 2015 s. 22.]</w:t>
      </w:r>
    </w:p>
    <w:p>
      <w:pPr>
        <w:pStyle w:val="Heading5"/>
      </w:pPr>
      <w:bookmarkStart w:id="520" w:name="_Toc522197454"/>
      <w:r>
        <w:rPr>
          <w:rStyle w:val="CharSectno"/>
        </w:rPr>
        <w:t>152P</w:t>
      </w:r>
      <w:r>
        <w:t>.</w:t>
      </w:r>
      <w:r>
        <w:tab/>
        <w:t>Declaration of liquor restricted premises</w:t>
      </w:r>
      <w:bookmarkEnd w:id="520"/>
    </w:p>
    <w:p>
      <w:pPr>
        <w:pStyle w:val="Subsection"/>
      </w:pPr>
      <w:r>
        <w:tab/>
        <w:t>(1)</w:t>
      </w:r>
      <w:r>
        <w:tab/>
        <w:t>The Director may, by notice in writing, declare any of, or any part of, the following to be liquor restricted premises —</w:t>
      </w:r>
    </w:p>
    <w:p>
      <w:pPr>
        <w:pStyle w:val="Indenta"/>
      </w:pPr>
      <w:r>
        <w:tab/>
        <w:t>(a)</w:t>
      </w:r>
      <w:r>
        <w:tab/>
        <w:t>residential premises;</w:t>
      </w:r>
    </w:p>
    <w:p>
      <w:pPr>
        <w:pStyle w:val="Indenta"/>
      </w:pPr>
      <w:r>
        <w:tab/>
        <w:t>(b)</w:t>
      </w:r>
      <w:r>
        <w:tab/>
        <w:t>non</w:t>
      </w:r>
      <w:r>
        <w:noBreakHyphen/>
        <w:t>residential private premises, even if all or part of the premises is open to the public;</w:t>
      </w:r>
    </w:p>
    <w:p>
      <w:pPr>
        <w:pStyle w:val="Indenta"/>
      </w:pPr>
      <w:r>
        <w:tab/>
        <w:t>(c)</w:t>
      </w:r>
      <w:r>
        <w:tab/>
        <w:t>Crown land that is occupied by a person who has a right to exclusive possession of the land.</w:t>
      </w:r>
    </w:p>
    <w:p>
      <w:pPr>
        <w:pStyle w:val="Subsection"/>
      </w:pPr>
      <w:r>
        <w:tab/>
        <w:t>(2)</w:t>
      </w:r>
      <w:r>
        <w:tab/>
        <w:t>A declaration may be made so as to declare premises to be a liquor restricted premises —</w:t>
      </w:r>
    </w:p>
    <w:p>
      <w:pPr>
        <w:pStyle w:val="Indenta"/>
      </w:pPr>
      <w:r>
        <w:tab/>
        <w:t>(a)</w:t>
      </w:r>
      <w:r>
        <w:tab/>
        <w:t>at all times; or</w:t>
      </w:r>
    </w:p>
    <w:p>
      <w:pPr>
        <w:pStyle w:val="Indenta"/>
      </w:pPr>
      <w:r>
        <w:tab/>
        <w:t>(b)</w:t>
      </w:r>
      <w:r>
        <w:tab/>
        <w:t>only during such periods as are specified in the declaration.</w:t>
      </w:r>
    </w:p>
    <w:p>
      <w:pPr>
        <w:pStyle w:val="Subsection"/>
      </w:pPr>
      <w:r>
        <w:tab/>
        <w:t>(3)</w:t>
      </w:r>
      <w:r>
        <w:tab/>
        <w:t>A declaration may be made subject to any exemptions or conditions the Director thinks fit.</w:t>
      </w:r>
    </w:p>
    <w:p>
      <w:pPr>
        <w:pStyle w:val="Subsection"/>
        <w:keepNext/>
        <w:keepLines/>
      </w:pPr>
      <w:r>
        <w:tab/>
        <w:t>(4)</w:t>
      </w:r>
      <w:r>
        <w:tab/>
        <w:t>The Director may exercise a power under subsection (1) on the application of —</w:t>
      </w:r>
    </w:p>
    <w:p>
      <w:pPr>
        <w:pStyle w:val="Indenta"/>
        <w:keepNext/>
        <w:keepLines/>
      </w:pPr>
      <w:r>
        <w:tab/>
        <w:t>(a)</w:t>
      </w:r>
      <w:r>
        <w:tab/>
        <w:t>an owner or occupier of the premises; or</w:t>
      </w:r>
    </w:p>
    <w:p>
      <w:pPr>
        <w:pStyle w:val="Indenta"/>
      </w:pPr>
      <w:r>
        <w:tab/>
        <w:t>(b)</w:t>
      </w:r>
      <w:r>
        <w:tab/>
        <w:t>a person who is, in relation to the premises, in a prescribed class of persons.</w:t>
      </w:r>
    </w:p>
    <w:p>
      <w:pPr>
        <w:pStyle w:val="Footnotesection"/>
        <w:spacing w:before="100"/>
        <w:ind w:left="890" w:hanging="890"/>
      </w:pPr>
      <w:r>
        <w:tab/>
        <w:t>[Section 152P inserted by No. 56 of 2010 s. 26.]</w:t>
      </w:r>
    </w:p>
    <w:p>
      <w:pPr>
        <w:pStyle w:val="Heading5"/>
        <w:spacing w:before="240"/>
      </w:pPr>
      <w:bookmarkStart w:id="521" w:name="_Toc522197455"/>
      <w:r>
        <w:rPr>
          <w:rStyle w:val="CharSectno"/>
        </w:rPr>
        <w:t>152Q</w:t>
      </w:r>
      <w:r>
        <w:t>.</w:t>
      </w:r>
      <w:r>
        <w:tab/>
        <w:t>Liquor restriction declarations, power to make</w:t>
      </w:r>
      <w:bookmarkEnd w:id="521"/>
    </w:p>
    <w:p>
      <w:pPr>
        <w:pStyle w:val="Subsection"/>
      </w:pPr>
      <w:r>
        <w:tab/>
        <w:t>(1)</w:t>
      </w:r>
      <w:r>
        <w:tab/>
        <w:t>The Director may make a liquor restriction declaration if satisfied that making the declaration —</w:t>
      </w:r>
    </w:p>
    <w:p>
      <w:pPr>
        <w:pStyle w:val="Indenta"/>
      </w:pPr>
      <w:r>
        <w:tab/>
        <w:t>(a)</w:t>
      </w:r>
      <w:r>
        <w:tab/>
        <w:t>either —</w:t>
      </w:r>
    </w:p>
    <w:p>
      <w:pPr>
        <w:pStyle w:val="Indenti"/>
      </w:pPr>
      <w:r>
        <w:tab/>
        <w:t>(i)</w:t>
      </w:r>
      <w:r>
        <w:tab/>
        <w:t>reflects the wishes of the majority of the occupiers of the premises; or</w:t>
      </w:r>
    </w:p>
    <w:p>
      <w:pPr>
        <w:pStyle w:val="Indenti"/>
      </w:pPr>
      <w:r>
        <w:tab/>
        <w:t>(ii)</w:t>
      </w:r>
      <w:r>
        <w:tab/>
        <w:t>is in the public interest, despite not reflecting the wishes of the majority of the occupiers of the premises;</w:t>
      </w:r>
    </w:p>
    <w:p>
      <w:pPr>
        <w:pStyle w:val="Indenta"/>
      </w:pPr>
      <w:r>
        <w:tab/>
      </w:r>
      <w:r>
        <w:tab/>
        <w:t>and</w:t>
      </w:r>
    </w:p>
    <w:p>
      <w:pPr>
        <w:pStyle w:val="Indenta"/>
      </w:pPr>
      <w:r>
        <w:tab/>
        <w:t>(b)</w:t>
      </w:r>
      <w:r>
        <w:tab/>
        <w:t>is reasonable in the circumstances.</w:t>
      </w:r>
    </w:p>
    <w:p>
      <w:pPr>
        <w:pStyle w:val="Subsection"/>
      </w:pPr>
      <w:r>
        <w:tab/>
        <w:t>(2)</w:t>
      </w:r>
      <w:r>
        <w:tab/>
        <w:t>The Director may make a liquor restriction declaration in relation to all or part of the premises to which the application relates.</w:t>
      </w:r>
    </w:p>
    <w:p>
      <w:pPr>
        <w:pStyle w:val="Subsection"/>
      </w:pPr>
      <w:r>
        <w:tab/>
        <w:t>(3)</w:t>
      </w:r>
      <w:r>
        <w:tab/>
        <w:t>If the applicant is not the sole owner and occupier of premises to which an application relates the Director must not declare the premises to be liquor restricted premises unless the Director is satisfied that each other person who owns or occupies any part of the premises —</w:t>
      </w:r>
    </w:p>
    <w:p>
      <w:pPr>
        <w:pStyle w:val="Indenta"/>
      </w:pPr>
      <w:r>
        <w:tab/>
        <w:t>(a)</w:t>
      </w:r>
      <w:r>
        <w:tab/>
        <w:t>consents to the declaration being made; or</w:t>
      </w:r>
    </w:p>
    <w:p>
      <w:pPr>
        <w:pStyle w:val="Indenta"/>
      </w:pPr>
      <w:r>
        <w:tab/>
        <w:t>(b)</w:t>
      </w:r>
      <w:r>
        <w:tab/>
        <w:t>has —</w:t>
      </w:r>
    </w:p>
    <w:p>
      <w:pPr>
        <w:pStyle w:val="Indenti"/>
      </w:pPr>
      <w:r>
        <w:tab/>
        <w:t>(i)</w:t>
      </w:r>
      <w:r>
        <w:tab/>
        <w:t>been informed of the application; and</w:t>
      </w:r>
    </w:p>
    <w:p>
      <w:pPr>
        <w:pStyle w:val="Indenti"/>
      </w:pPr>
      <w:r>
        <w:tab/>
        <w:t>(ii)</w:t>
      </w:r>
      <w:r>
        <w:tab/>
        <w:t>had a reasonable opportunity to make submissions to the Director.</w:t>
      </w:r>
    </w:p>
    <w:p>
      <w:pPr>
        <w:pStyle w:val="Subsection"/>
      </w:pPr>
      <w:r>
        <w:tab/>
        <w:t>(4)</w:t>
      </w:r>
      <w:r>
        <w:tab/>
        <w:t>For the purposes of deciding whether to declare premises to be liquor restricted premises the Director may consult with all or any of the following persons —</w:t>
      </w:r>
    </w:p>
    <w:p>
      <w:pPr>
        <w:pStyle w:val="Indenta"/>
      </w:pPr>
      <w:r>
        <w:tab/>
        <w:t>(a)</w:t>
      </w:r>
      <w:r>
        <w:tab/>
        <w:t>owners or occupiers of the premises the subject of the application;</w:t>
      </w:r>
    </w:p>
    <w:p>
      <w:pPr>
        <w:pStyle w:val="Indenta"/>
      </w:pPr>
      <w:r>
        <w:tab/>
        <w:t>(b)</w:t>
      </w:r>
      <w:r>
        <w:tab/>
        <w:t>owners or occupiers of premises near the premises the subject of the application;</w:t>
      </w:r>
    </w:p>
    <w:p>
      <w:pPr>
        <w:pStyle w:val="Indenta"/>
      </w:pPr>
      <w:r>
        <w:tab/>
        <w:t>(c)</w:t>
      </w:r>
      <w:r>
        <w:tab/>
        <w:t>the Commissioner of Police;</w:t>
      </w:r>
    </w:p>
    <w:p>
      <w:pPr>
        <w:pStyle w:val="Indenta"/>
      </w:pPr>
      <w:r>
        <w:tab/>
        <w:t>(d)</w:t>
      </w:r>
      <w:r>
        <w:tab/>
        <w:t>the relevant local government;</w:t>
      </w:r>
    </w:p>
    <w:p>
      <w:pPr>
        <w:pStyle w:val="Indenta"/>
      </w:pPr>
      <w:r>
        <w:tab/>
        <w:t>(e)</w:t>
      </w:r>
      <w:r>
        <w:tab/>
        <w:t>any other person, body or authority the Director considers may be able to provide information relevant to the application.</w:t>
      </w:r>
    </w:p>
    <w:p>
      <w:pPr>
        <w:pStyle w:val="Subsection"/>
      </w:pPr>
      <w:r>
        <w:tab/>
        <w:t>(5)</w:t>
      </w:r>
      <w:r>
        <w:tab/>
        <w:t>If the Director refuses to make a liquor restriction declaration the Director must notify the applicant of the refusal and the grounds on which it was made.</w:t>
      </w:r>
    </w:p>
    <w:p>
      <w:pPr>
        <w:pStyle w:val="Footnotesection"/>
      </w:pPr>
      <w:r>
        <w:tab/>
        <w:t>[Section 152Q inserted by No. 56 of 2010 s. 26.]</w:t>
      </w:r>
    </w:p>
    <w:p>
      <w:pPr>
        <w:pStyle w:val="Heading5"/>
      </w:pPr>
      <w:bookmarkStart w:id="522" w:name="_Toc522197456"/>
      <w:r>
        <w:rPr>
          <w:rStyle w:val="CharSectno"/>
        </w:rPr>
        <w:t>152R</w:t>
      </w:r>
      <w:r>
        <w:t>.</w:t>
      </w:r>
      <w:r>
        <w:tab/>
        <w:t>Service etc. of liquor restriction declarations</w:t>
      </w:r>
      <w:bookmarkEnd w:id="522"/>
    </w:p>
    <w:p>
      <w:pPr>
        <w:pStyle w:val="Subsection"/>
      </w:pPr>
      <w:r>
        <w:tab/>
        <w:t>(1)</w:t>
      </w:r>
      <w:r>
        <w:tab/>
        <w:t>On making a liquor restriction declaration the Director must give a copy of the declaration to —</w:t>
      </w:r>
    </w:p>
    <w:p>
      <w:pPr>
        <w:pStyle w:val="Indenta"/>
      </w:pPr>
      <w:r>
        <w:tab/>
        <w:t>(a)</w:t>
      </w:r>
      <w:r>
        <w:tab/>
        <w:t>the applicant; and</w:t>
      </w:r>
    </w:p>
    <w:p>
      <w:pPr>
        <w:pStyle w:val="Indenta"/>
      </w:pPr>
      <w:r>
        <w:tab/>
        <w:t>(b)</w:t>
      </w:r>
      <w:r>
        <w:tab/>
        <w:t>the Commissioner of Police.</w:t>
      </w:r>
    </w:p>
    <w:p>
      <w:pPr>
        <w:pStyle w:val="Subsection"/>
      </w:pPr>
      <w:r>
        <w:tab/>
        <w:t>(2)</w:t>
      </w:r>
      <w:r>
        <w:tab/>
        <w:t>On making a liquor restriction declaration the Director must give notice of the declaration to each other person who owns or occupies any part of the liquor restricted premises.</w:t>
      </w:r>
    </w:p>
    <w:p>
      <w:pPr>
        <w:pStyle w:val="Subsection"/>
      </w:pPr>
      <w:r>
        <w:tab/>
        <w:t>(3)</w:t>
      </w:r>
      <w:r>
        <w:tab/>
        <w:t>A notice under subsection (2) —</w:t>
      </w:r>
    </w:p>
    <w:p>
      <w:pPr>
        <w:pStyle w:val="Indenta"/>
      </w:pPr>
      <w:r>
        <w:tab/>
        <w:t>(a)</w:t>
      </w:r>
      <w:r>
        <w:tab/>
        <w:t>must comply with section 152S(3)(a); and</w:t>
      </w:r>
    </w:p>
    <w:p>
      <w:pPr>
        <w:pStyle w:val="Indenta"/>
      </w:pPr>
      <w:r>
        <w:tab/>
        <w:t>(b)</w:t>
      </w:r>
      <w:r>
        <w:tab/>
        <w:t>may be given in person or by post.</w:t>
      </w:r>
    </w:p>
    <w:p>
      <w:pPr>
        <w:pStyle w:val="Subsection"/>
      </w:pPr>
      <w:r>
        <w:tab/>
        <w:t>(4)</w:t>
      </w:r>
      <w:r>
        <w:tab/>
        <w:t>A failure to give notice as required by subsection (2) does not affect the validity of the declaration.</w:t>
      </w:r>
    </w:p>
    <w:p>
      <w:pPr>
        <w:pStyle w:val="Footnotesection"/>
      </w:pPr>
      <w:r>
        <w:tab/>
        <w:t>[Section 152R inserted by No. 56 of 2010 s. 26.]</w:t>
      </w:r>
    </w:p>
    <w:p>
      <w:pPr>
        <w:pStyle w:val="Heading5"/>
      </w:pPr>
      <w:bookmarkStart w:id="523" w:name="_Toc522197457"/>
      <w:r>
        <w:rPr>
          <w:rStyle w:val="CharSectno"/>
        </w:rPr>
        <w:t>152S</w:t>
      </w:r>
      <w:r>
        <w:t>.</w:t>
      </w:r>
      <w:r>
        <w:tab/>
        <w:t>Notice of liquor restriction declaration to be displayed at premises</w:t>
      </w:r>
      <w:bookmarkEnd w:id="523"/>
    </w:p>
    <w:p>
      <w:pPr>
        <w:pStyle w:val="Subsection"/>
        <w:keepNext/>
        <w:keepLines/>
      </w:pPr>
      <w:r>
        <w:tab/>
        <w:t>(1)</w:t>
      </w:r>
      <w:r>
        <w:tab/>
        <w:t>As soon as practicable after a liquor restriction declaration is made the applicant must cause a notice about the declaration to be displayed at the liquor restricted premises.</w:t>
      </w:r>
    </w:p>
    <w:p>
      <w:pPr>
        <w:pStyle w:val="Penstart"/>
      </w:pPr>
      <w:r>
        <w:tab/>
        <w:t>Penalty: a fine of $2 000.</w:t>
      </w:r>
    </w:p>
    <w:p>
      <w:pPr>
        <w:pStyle w:val="Subsection"/>
      </w:pPr>
      <w:r>
        <w:tab/>
        <w:t>(2)</w:t>
      </w:r>
      <w:r>
        <w:tab/>
        <w:t>The applicant must ensure that the notice remains on display at all times while the declaration is in force.</w:t>
      </w:r>
    </w:p>
    <w:p>
      <w:pPr>
        <w:pStyle w:val="Penstart"/>
      </w:pPr>
      <w:r>
        <w:tab/>
        <w:t>Penalty: a fine of $2 000.</w:t>
      </w:r>
    </w:p>
    <w:p>
      <w:pPr>
        <w:pStyle w:val="Subsection"/>
      </w:pPr>
      <w:r>
        <w:tab/>
        <w:t>(3A)</w:t>
      </w:r>
      <w:r>
        <w:tab/>
        <w:t>Subsections (1) and (2) do not apply to any person, or class of person, prescribed for the purposes of this section.</w:t>
      </w:r>
    </w:p>
    <w:p>
      <w:pPr>
        <w:pStyle w:val="Subsection"/>
      </w:pPr>
      <w:r>
        <w:tab/>
        <w:t>(3)</w:t>
      </w:r>
      <w:r>
        <w:tab/>
        <w:t>The notice must —</w:t>
      </w:r>
    </w:p>
    <w:p>
      <w:pPr>
        <w:pStyle w:val="Indenta"/>
      </w:pPr>
      <w:r>
        <w:tab/>
        <w:t>(a)</w:t>
      </w:r>
      <w:r>
        <w:tab/>
        <w:t>include —</w:t>
      </w:r>
    </w:p>
    <w:p>
      <w:pPr>
        <w:pStyle w:val="Indenti"/>
      </w:pPr>
      <w:r>
        <w:tab/>
        <w:t>(i)</w:t>
      </w:r>
      <w:r>
        <w:tab/>
        <w:t>a statement that the premises are liquor restricted premises; and</w:t>
      </w:r>
    </w:p>
    <w:p>
      <w:pPr>
        <w:pStyle w:val="Indenti"/>
      </w:pPr>
      <w:r>
        <w:tab/>
        <w:t>(ii)</w:t>
      </w:r>
      <w:r>
        <w:tab/>
        <w:t>a description or diagram of the area that is subject to the declaration in sufficient detail for it to be clearly identified; and</w:t>
      </w:r>
    </w:p>
    <w:p>
      <w:pPr>
        <w:pStyle w:val="Indenti"/>
      </w:pPr>
      <w:r>
        <w:tab/>
        <w:t>(iii)</w:t>
      </w:r>
      <w:r>
        <w:tab/>
        <w:t>a copy of the declaration; and</w:t>
      </w:r>
    </w:p>
    <w:p>
      <w:pPr>
        <w:pStyle w:val="Indenti"/>
      </w:pPr>
      <w:r>
        <w:tab/>
        <w:t>(iv)</w:t>
      </w:r>
      <w:r>
        <w:tab/>
        <w:t>a statement as to the effect of section 152O;</w:t>
      </w:r>
    </w:p>
    <w:p>
      <w:pPr>
        <w:pStyle w:val="Indenta"/>
      </w:pPr>
      <w:r>
        <w:tab/>
      </w:r>
      <w:r>
        <w:tab/>
        <w:t>and</w:t>
      </w:r>
    </w:p>
    <w:p>
      <w:pPr>
        <w:pStyle w:val="Indenta"/>
      </w:pPr>
      <w:r>
        <w:tab/>
        <w:t>(b)</w:t>
      </w:r>
      <w:r>
        <w:tab/>
        <w:t>be displayed in a conspicuous position on the premises; and</w:t>
      </w:r>
    </w:p>
    <w:p>
      <w:pPr>
        <w:pStyle w:val="Indenta"/>
      </w:pPr>
      <w:r>
        <w:tab/>
        <w:t>(c)</w:t>
      </w:r>
      <w:r>
        <w:tab/>
        <w:t>be in a readily legible condition; and</w:t>
      </w:r>
    </w:p>
    <w:p>
      <w:pPr>
        <w:pStyle w:val="Indenta"/>
      </w:pPr>
      <w:r>
        <w:tab/>
        <w:t>(d)</w:t>
      </w:r>
      <w:r>
        <w:tab/>
        <w:t>comply with any requirements prescribed in the regulations.</w:t>
      </w:r>
    </w:p>
    <w:p>
      <w:pPr>
        <w:pStyle w:val="Subsection"/>
      </w:pPr>
      <w:r>
        <w:tab/>
        <w:t>(4)</w:t>
      </w:r>
      <w:r>
        <w:tab/>
        <w:t>If the declaration is varied under section 152U, the notice must be changed accordingly.</w:t>
      </w:r>
    </w:p>
    <w:p>
      <w:pPr>
        <w:pStyle w:val="Subsection"/>
        <w:keepNext/>
      </w:pPr>
      <w:r>
        <w:tab/>
        <w:t>(5)</w:t>
      </w:r>
      <w:r>
        <w:tab/>
        <w:t>A person must not remove, deface or otherwise interfere with a notice displayed as required by this section.</w:t>
      </w:r>
    </w:p>
    <w:p>
      <w:pPr>
        <w:pStyle w:val="Penstart"/>
      </w:pPr>
      <w:r>
        <w:tab/>
        <w:t>Penalty: a fine of $2 000.</w:t>
      </w:r>
    </w:p>
    <w:p>
      <w:pPr>
        <w:pStyle w:val="Footnotesection"/>
      </w:pPr>
      <w:r>
        <w:tab/>
        <w:t>[Section 152S inserted by No. 56 of 2010 s. 26; amended by No. 35 of 2015 s. 23.]</w:t>
      </w:r>
    </w:p>
    <w:p>
      <w:pPr>
        <w:pStyle w:val="Heading5"/>
        <w:spacing w:before="180"/>
      </w:pPr>
      <w:bookmarkStart w:id="524" w:name="_Toc522197458"/>
      <w:r>
        <w:rPr>
          <w:rStyle w:val="CharSectno"/>
        </w:rPr>
        <w:t>152T</w:t>
      </w:r>
      <w:r>
        <w:t>.</w:t>
      </w:r>
      <w:r>
        <w:tab/>
        <w:t>Duration of liquor restriction declarations</w:t>
      </w:r>
      <w:bookmarkEnd w:id="524"/>
    </w:p>
    <w:p>
      <w:pPr>
        <w:pStyle w:val="Subsection"/>
        <w:spacing w:before="120"/>
      </w:pPr>
      <w:r>
        <w:tab/>
        <w:t>(1)</w:t>
      </w:r>
      <w:r>
        <w:tab/>
        <w:t>A liquor restriction declaration comes into force when it is made or at any later time specified in the declaration.</w:t>
      </w:r>
    </w:p>
    <w:p>
      <w:pPr>
        <w:pStyle w:val="Subsection"/>
        <w:spacing w:before="120"/>
      </w:pPr>
      <w:r>
        <w:tab/>
        <w:t>(2)</w:t>
      </w:r>
      <w:r>
        <w:tab/>
        <w:t>A liquor restriction declaration ceases to be in force when the first of the following occurs —</w:t>
      </w:r>
    </w:p>
    <w:p>
      <w:pPr>
        <w:pStyle w:val="Indenta"/>
      </w:pPr>
      <w:r>
        <w:tab/>
        <w:t>(a)</w:t>
      </w:r>
      <w:r>
        <w:tab/>
        <w:t>if the declaration was granted for a specified period — that period expires;</w:t>
      </w:r>
    </w:p>
    <w:p>
      <w:pPr>
        <w:pStyle w:val="Indenta"/>
      </w:pPr>
      <w:r>
        <w:tab/>
        <w:t>(b)</w:t>
      </w:r>
      <w:r>
        <w:tab/>
        <w:t>the Director revokes the declaration;</w:t>
      </w:r>
    </w:p>
    <w:p>
      <w:pPr>
        <w:pStyle w:val="Indenta"/>
      </w:pPr>
      <w:r>
        <w:tab/>
        <w:t>(c)</w:t>
      </w:r>
      <w:r>
        <w:tab/>
        <w:t>the applicant ceases to be a person who could apply for the declaration.</w:t>
      </w:r>
    </w:p>
    <w:p>
      <w:pPr>
        <w:pStyle w:val="Subsection"/>
        <w:spacing w:before="120"/>
      </w:pPr>
      <w:r>
        <w:tab/>
        <w:t>(3)</w:t>
      </w:r>
      <w:r>
        <w:tab/>
        <w:t>The applicant for a declaration must give written notice to the Director if the person ceases to be a person who could apply for the declaration, unless the declaration has already ceased to be in force under subsection (2)(a) or (b).</w:t>
      </w:r>
    </w:p>
    <w:p>
      <w:pPr>
        <w:pStyle w:val="Penstart"/>
      </w:pPr>
      <w:r>
        <w:tab/>
        <w:t>Penalty: a fine of $2 000.</w:t>
      </w:r>
    </w:p>
    <w:p>
      <w:pPr>
        <w:pStyle w:val="Footnotesection"/>
      </w:pPr>
      <w:r>
        <w:tab/>
        <w:t>[Section 152T inserted by No. 56 of 2010 s. 26.]</w:t>
      </w:r>
    </w:p>
    <w:p>
      <w:pPr>
        <w:pStyle w:val="Heading5"/>
        <w:spacing w:before="180"/>
      </w:pPr>
      <w:bookmarkStart w:id="525" w:name="_Toc522197459"/>
      <w:r>
        <w:rPr>
          <w:rStyle w:val="CharSectno"/>
        </w:rPr>
        <w:t>152U</w:t>
      </w:r>
      <w:r>
        <w:t>.</w:t>
      </w:r>
      <w:r>
        <w:tab/>
        <w:t>Varying liquor restriction declarations</w:t>
      </w:r>
      <w:bookmarkEnd w:id="525"/>
    </w:p>
    <w:p>
      <w:pPr>
        <w:pStyle w:val="Subsection"/>
        <w:spacing w:before="120"/>
      </w:pPr>
      <w:r>
        <w:tab/>
        <w:t>(1)</w:t>
      </w:r>
      <w:r>
        <w:tab/>
        <w:t>The Director may vary a liquor restriction declaration if the Director is satisfied that varying the declaration —</w:t>
      </w:r>
    </w:p>
    <w:p>
      <w:pPr>
        <w:pStyle w:val="Indenta"/>
      </w:pPr>
      <w:r>
        <w:tab/>
        <w:t>(a)</w:t>
      </w:r>
      <w:r>
        <w:tab/>
        <w:t>either —</w:t>
      </w:r>
    </w:p>
    <w:p>
      <w:pPr>
        <w:pStyle w:val="Indenti"/>
      </w:pPr>
      <w:r>
        <w:tab/>
        <w:t>(i)</w:t>
      </w:r>
      <w:r>
        <w:tab/>
        <w:t>reflects the wishes of the majority of the occupiers of the premises; or</w:t>
      </w:r>
    </w:p>
    <w:p>
      <w:pPr>
        <w:pStyle w:val="Indenti"/>
      </w:pPr>
      <w:r>
        <w:tab/>
        <w:t>(ii)</w:t>
      </w:r>
      <w:r>
        <w:tab/>
        <w:t>is in the public interest, despite not reflecting the wishes of the majority of the occupiers of the premises;</w:t>
      </w:r>
    </w:p>
    <w:p>
      <w:pPr>
        <w:pStyle w:val="Indenta"/>
      </w:pPr>
      <w:r>
        <w:tab/>
      </w:r>
      <w:r>
        <w:tab/>
        <w:t>and</w:t>
      </w:r>
    </w:p>
    <w:p>
      <w:pPr>
        <w:pStyle w:val="Indenta"/>
      </w:pPr>
      <w:r>
        <w:tab/>
        <w:t>(b)</w:t>
      </w:r>
      <w:r>
        <w:tab/>
        <w:t>is reasonable in the circumstances.</w:t>
      </w:r>
    </w:p>
    <w:p>
      <w:pPr>
        <w:pStyle w:val="Subsection"/>
        <w:spacing w:before="120"/>
      </w:pPr>
      <w:r>
        <w:tab/>
        <w:t>(2)</w:t>
      </w:r>
      <w:r>
        <w:tab/>
        <w:t>Without limiting the variations that may be made under subsection (1) a declaration may be varied to do any or all of following —</w:t>
      </w:r>
    </w:p>
    <w:p>
      <w:pPr>
        <w:pStyle w:val="Indenta"/>
      </w:pPr>
      <w:r>
        <w:tab/>
        <w:t>(a)</w:t>
      </w:r>
      <w:r>
        <w:tab/>
        <w:t>change the area to which the declaration relates;</w:t>
      </w:r>
    </w:p>
    <w:p>
      <w:pPr>
        <w:pStyle w:val="Indenta"/>
      </w:pPr>
      <w:r>
        <w:tab/>
        <w:t>(b)</w:t>
      </w:r>
      <w:r>
        <w:tab/>
        <w:t>change the periods during which the premises is a liquor restricted premises;</w:t>
      </w:r>
    </w:p>
    <w:p>
      <w:pPr>
        <w:pStyle w:val="Indenta"/>
      </w:pPr>
      <w:r>
        <w:tab/>
        <w:t>(c)</w:t>
      </w:r>
      <w:r>
        <w:tab/>
        <w:t>create or change exemptions to, or conditions on, the declaration;</w:t>
      </w:r>
    </w:p>
    <w:p>
      <w:pPr>
        <w:pStyle w:val="Indenta"/>
      </w:pPr>
      <w:r>
        <w:tab/>
        <w:t>(d)</w:t>
      </w:r>
      <w:r>
        <w:tab/>
        <w:t>change the duration of the declaration.</w:t>
      </w:r>
    </w:p>
    <w:p>
      <w:pPr>
        <w:pStyle w:val="Subsection"/>
      </w:pPr>
      <w:r>
        <w:tab/>
        <w:t>(3)</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(4)</w:t>
      </w:r>
      <w:r>
        <w:tab/>
        <w:t>The Director must not vary a liquor restriction declaration unless the Director is satisfied that each person who owns or occupies any part of the premises —</w:t>
      </w:r>
    </w:p>
    <w:p>
      <w:pPr>
        <w:pStyle w:val="Indenta"/>
      </w:pPr>
      <w:r>
        <w:tab/>
        <w:t>(a)</w:t>
      </w:r>
      <w:r>
        <w:tab/>
        <w:t>consents to the variation being made; or</w:t>
      </w:r>
    </w:p>
    <w:p>
      <w:pPr>
        <w:pStyle w:val="Indenta"/>
      </w:pPr>
      <w:r>
        <w:tab/>
        <w:t>(b)</w:t>
      </w:r>
      <w:r>
        <w:tab/>
        <w:t>has —</w:t>
      </w:r>
    </w:p>
    <w:p>
      <w:pPr>
        <w:pStyle w:val="Indenti"/>
      </w:pPr>
      <w:r>
        <w:tab/>
        <w:t>(i)</w:t>
      </w:r>
      <w:r>
        <w:tab/>
        <w:t>been informed of the proposed variation; and</w:t>
      </w:r>
    </w:p>
    <w:p>
      <w:pPr>
        <w:pStyle w:val="Indenti"/>
      </w:pPr>
      <w:r>
        <w:tab/>
        <w:t>(ii)</w:t>
      </w:r>
      <w:r>
        <w:tab/>
        <w:t>had a reasonable opportunity to make submissions to the Director.</w:t>
      </w:r>
    </w:p>
    <w:p>
      <w:pPr>
        <w:pStyle w:val="Subsection"/>
      </w:pPr>
      <w:r>
        <w:tab/>
        <w:t>(5)</w:t>
      </w:r>
      <w:r>
        <w:tab/>
        <w:t>Section 152Q(4) and (5) apply, with any necessary modifications, to the exercise by the Director of a power under subsection (1).</w:t>
      </w:r>
    </w:p>
    <w:p>
      <w:pPr>
        <w:pStyle w:val="Footnotesection"/>
      </w:pPr>
      <w:r>
        <w:tab/>
        <w:t>[Section 152U inserted by No. 56 of 2010 s. 26.]</w:t>
      </w:r>
    </w:p>
    <w:p>
      <w:pPr>
        <w:pStyle w:val="Heading5"/>
      </w:pPr>
      <w:bookmarkStart w:id="526" w:name="_Toc522197460"/>
      <w:r>
        <w:rPr>
          <w:rStyle w:val="CharSectno"/>
        </w:rPr>
        <w:t>152V</w:t>
      </w:r>
      <w:r>
        <w:t>.</w:t>
      </w:r>
      <w:r>
        <w:tab/>
        <w:t>Revoking liquor restriction declarations</w:t>
      </w:r>
      <w:bookmarkEnd w:id="526"/>
    </w:p>
    <w:p>
      <w:pPr>
        <w:pStyle w:val="Subsection"/>
      </w:pPr>
      <w:r>
        <w:tab/>
        <w:t>(1)</w:t>
      </w:r>
      <w:r>
        <w:tab/>
        <w:t>The Director may revoke a liquor restriction declaration if the Director is satisfied that the continuation of the declaration —</w:t>
      </w:r>
    </w:p>
    <w:p>
      <w:pPr>
        <w:pStyle w:val="Indenta"/>
      </w:pPr>
      <w:r>
        <w:tab/>
        <w:t>(a)</w:t>
      </w:r>
      <w:r>
        <w:tab/>
        <w:t>does not reflect the wishes of the majority of the occupiers of the premises; or</w:t>
      </w:r>
    </w:p>
    <w:p>
      <w:pPr>
        <w:pStyle w:val="Indenta"/>
      </w:pPr>
      <w:r>
        <w:tab/>
        <w:t>(b)</w:t>
      </w:r>
      <w:r>
        <w:tab/>
        <w:t>is not in the public interest; or</w:t>
      </w:r>
    </w:p>
    <w:p>
      <w:pPr>
        <w:pStyle w:val="Indenta"/>
      </w:pPr>
      <w:r>
        <w:tab/>
        <w:t>(c)</w:t>
      </w:r>
      <w:r>
        <w:tab/>
        <w:t>is not reasonable in the circumstances.</w:t>
      </w:r>
    </w:p>
    <w:p>
      <w:pPr>
        <w:pStyle w:val="Subsection"/>
      </w:pPr>
      <w:r>
        <w:tab/>
        <w:t>(2)</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(3)</w:t>
      </w:r>
      <w:r>
        <w:tab/>
        <w:t>The Director must not revoke a liquor restriction declaration unless the Director is satisfied that each person who owns or occupies any part of the premises —</w:t>
      </w:r>
    </w:p>
    <w:p>
      <w:pPr>
        <w:pStyle w:val="Indenta"/>
      </w:pPr>
      <w:r>
        <w:tab/>
        <w:t>(a)</w:t>
      </w:r>
      <w:r>
        <w:tab/>
        <w:t>consents to the revocation being made; or</w:t>
      </w:r>
    </w:p>
    <w:p>
      <w:pPr>
        <w:pStyle w:val="Indenta"/>
      </w:pPr>
      <w:r>
        <w:tab/>
        <w:t>(b)</w:t>
      </w:r>
      <w:r>
        <w:tab/>
        <w:t>has —</w:t>
      </w:r>
    </w:p>
    <w:p>
      <w:pPr>
        <w:pStyle w:val="Indenti"/>
      </w:pPr>
      <w:r>
        <w:tab/>
        <w:t>(i)</w:t>
      </w:r>
      <w:r>
        <w:tab/>
        <w:t>been informed of the proposed revocation; and</w:t>
      </w:r>
    </w:p>
    <w:p>
      <w:pPr>
        <w:pStyle w:val="Indenti"/>
      </w:pPr>
      <w:r>
        <w:tab/>
        <w:t>(ii)</w:t>
      </w:r>
      <w:r>
        <w:tab/>
        <w:t>had a reasonable opportunity to make submissions to the Director.</w:t>
      </w:r>
    </w:p>
    <w:p>
      <w:pPr>
        <w:pStyle w:val="Subsection"/>
      </w:pPr>
      <w:r>
        <w:tab/>
        <w:t>(4)</w:t>
      </w:r>
      <w:r>
        <w:tab/>
        <w:t>Section 152Q(4) and (5) apply, with any necessary modifications, to the exercise by the Director of a power under subsection (1).</w:t>
      </w:r>
    </w:p>
    <w:p>
      <w:pPr>
        <w:pStyle w:val="Footnotesection"/>
      </w:pPr>
      <w:r>
        <w:tab/>
        <w:t>[Section 152V inserted by No. 56 of 2010 s. 26.]</w:t>
      </w:r>
    </w:p>
    <w:p>
      <w:pPr>
        <w:pStyle w:val="Heading5"/>
      </w:pPr>
      <w:bookmarkStart w:id="527" w:name="_Toc522197461"/>
      <w:r>
        <w:rPr>
          <w:rStyle w:val="CharSectno"/>
        </w:rPr>
        <w:t>152W</w:t>
      </w:r>
      <w:r>
        <w:t>.</w:t>
      </w:r>
      <w:r>
        <w:tab/>
        <w:t>Applications generally</w:t>
      </w:r>
      <w:bookmarkEnd w:id="527"/>
    </w:p>
    <w:p>
      <w:pPr>
        <w:pStyle w:val="Subsection"/>
      </w:pPr>
      <w:r>
        <w:tab/>
        <w:t>(1)</w:t>
      </w:r>
      <w:r>
        <w:tab/>
        <w:t>In this section —</w:t>
      </w:r>
    </w:p>
    <w:p>
      <w:pPr>
        <w:pStyle w:val="Defstart"/>
      </w:pPr>
      <w:r>
        <w:tab/>
      </w:r>
      <w:r>
        <w:rPr>
          <w:rStyle w:val="CharDefText"/>
        </w:rPr>
        <w:t>application</w:t>
      </w:r>
      <w:r>
        <w:t xml:space="preserve"> means any application for the purposes of this Part.</w:t>
      </w:r>
    </w:p>
    <w:p>
      <w:pPr>
        <w:pStyle w:val="Subsection"/>
      </w:pPr>
      <w:r>
        <w:rPr>
          <w:snapToGrid w:val="0"/>
        </w:rPr>
        <w:tab/>
        <w:t>(2)</w:t>
      </w:r>
      <w:r>
        <w:rPr>
          <w:snapToGrid w:val="0"/>
        </w:rPr>
        <w:tab/>
      </w:r>
      <w:r>
        <w:t xml:space="preserve">An </w:t>
      </w:r>
      <w:r>
        <w:rPr>
          <w:snapToGrid w:val="0"/>
        </w:rPr>
        <w:t>application must be made to the Director in</w:t>
      </w:r>
      <w:r>
        <w:t xml:space="preserve"> the form and manner approved by the Director.</w:t>
      </w:r>
    </w:p>
    <w:p>
      <w:pPr>
        <w:pStyle w:val="Subsection"/>
      </w:pPr>
      <w:r>
        <w:tab/>
        <w:t>(3)</w:t>
      </w:r>
      <w:r>
        <w:tab/>
        <w:t>An application must be accompanied by the prescribed fee.</w:t>
      </w:r>
    </w:p>
    <w:p>
      <w:pPr>
        <w:pStyle w:val="Subsection"/>
      </w:pPr>
      <w:r>
        <w:tab/>
        <w:t>(4)</w:t>
      </w:r>
      <w:r>
        <w:tab/>
        <w:t>An applicant must provide the Director with any information or document that the Director reasonably requires.</w:t>
      </w:r>
    </w:p>
    <w:p>
      <w:pPr>
        <w:pStyle w:val="Subsection"/>
      </w:pPr>
      <w:r>
        <w:tab/>
        <w:t>(5)</w:t>
      </w:r>
      <w:r>
        <w:tab/>
        <w:t>If an applicant does not comply with the requirements of this Part for the making of the application the Director —</w:t>
      </w:r>
    </w:p>
    <w:p>
      <w:pPr>
        <w:pStyle w:val="Indenta"/>
      </w:pPr>
      <w:r>
        <w:tab/>
        <w:t>(a)</w:t>
      </w:r>
      <w:r>
        <w:tab/>
        <w:t>may accept the application if the Director considers it appropriate to do so; or</w:t>
      </w:r>
    </w:p>
    <w:p>
      <w:pPr>
        <w:pStyle w:val="Indenta"/>
      </w:pPr>
      <w:r>
        <w:tab/>
        <w:t>(b)</w:t>
      </w:r>
      <w:r>
        <w:tab/>
        <w:t>may decline to deal with the application and, if so, must advise the applicant accordingly.</w:t>
      </w:r>
    </w:p>
    <w:p>
      <w:pPr>
        <w:pStyle w:val="Footnotesection"/>
      </w:pPr>
      <w:r>
        <w:tab/>
        <w:t>[Section 152W inserted by No. 56 of 2010 s. 26.]</w:t>
      </w:r>
    </w:p>
    <w:p>
      <w:pPr>
        <w:pStyle w:val="Heading5"/>
      </w:pPr>
      <w:bookmarkStart w:id="528" w:name="_Toc522197462"/>
      <w:r>
        <w:rPr>
          <w:rStyle w:val="CharSectno"/>
        </w:rPr>
        <w:t>152X</w:t>
      </w:r>
      <w:r>
        <w:t>.</w:t>
      </w:r>
      <w:r>
        <w:tab/>
        <w:t>Decisions under Part 5B not subject to review under s. 25</w:t>
      </w:r>
      <w:bookmarkEnd w:id="528"/>
    </w:p>
    <w:p>
      <w:pPr>
        <w:pStyle w:val="Subsection"/>
      </w:pPr>
      <w:r>
        <w:tab/>
      </w:r>
      <w:r>
        <w:tab/>
        <w:t>A decision made by the Director under this Part is not subject to review under section 25.</w:t>
      </w:r>
    </w:p>
    <w:p>
      <w:pPr>
        <w:pStyle w:val="Footnotesection"/>
      </w:pPr>
      <w:r>
        <w:tab/>
        <w:t>[Section 152X inserted by No. 56 of 2010 s. 26.]</w:t>
      </w:r>
    </w:p>
    <w:p>
      <w:pPr>
        <w:pStyle w:val="Heading2"/>
      </w:pPr>
      <w:bookmarkStart w:id="529" w:name="_Toc471906938"/>
      <w:bookmarkStart w:id="530" w:name="_Toc472001855"/>
      <w:bookmarkStart w:id="531" w:name="_Toc472676883"/>
      <w:bookmarkStart w:id="532" w:name="_Toc472682268"/>
      <w:bookmarkStart w:id="533" w:name="_Toc473119409"/>
      <w:bookmarkStart w:id="534" w:name="_Toc522197463"/>
      <w:r>
        <w:rPr>
          <w:rStyle w:val="CharPartNo"/>
        </w:rPr>
        <w:t>Part 6</w:t>
      </w:r>
      <w:r>
        <w:rPr>
          <w:rStyle w:val="CharDivNo"/>
        </w:rPr>
        <w:t> </w:t>
      </w:r>
      <w:r>
        <w:t>—</w:t>
      </w:r>
      <w:r>
        <w:rPr>
          <w:rStyle w:val="CharDivText"/>
        </w:rPr>
        <w:t> </w:t>
      </w:r>
      <w:r>
        <w:rPr>
          <w:rStyle w:val="CharPartText"/>
        </w:rPr>
        <w:t>Enforcement</w:t>
      </w:r>
      <w:bookmarkEnd w:id="529"/>
      <w:bookmarkEnd w:id="530"/>
      <w:bookmarkEnd w:id="531"/>
      <w:bookmarkEnd w:id="532"/>
      <w:bookmarkEnd w:id="533"/>
      <w:bookmarkEnd w:id="534"/>
      <w:r>
        <w:rPr>
          <w:rStyle w:val="CharPartText"/>
        </w:rPr>
        <w:t xml:space="preserve"> </w:t>
      </w:r>
    </w:p>
    <w:p>
      <w:pPr>
        <w:pStyle w:val="Heading5"/>
        <w:rPr>
          <w:snapToGrid w:val="0"/>
        </w:rPr>
      </w:pPr>
      <w:bookmarkStart w:id="535" w:name="_Toc522197464"/>
      <w:r>
        <w:rPr>
          <w:rStyle w:val="CharSectno"/>
        </w:rPr>
        <w:t>153</w:t>
      </w:r>
      <w:r>
        <w:rPr>
          <w:snapToGrid w:val="0"/>
        </w:rPr>
        <w:t>.</w:t>
      </w:r>
      <w:r>
        <w:rPr>
          <w:snapToGrid w:val="0"/>
        </w:rPr>
        <w:tab/>
        <w:t>Authorised officers etc., functions and reports of</w:t>
      </w:r>
      <w:bookmarkEnd w:id="535"/>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 and</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w:t>
      </w:r>
      <w:r>
        <w:t xml:space="preserve"> Commission</w:t>
      </w:r>
      <w:r>
        <w:rPr>
          <w:snapToGrid w:val="0"/>
        </w:rPr>
        <w: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tab/>
        <w:t>(3)</w:t>
      </w:r>
      <w:r>
        <w:rPr>
          <w:snapToGrid w:val="0"/>
        </w:rPr>
        <w:tab/>
        <w:t xml:space="preserve">In this section </w:t>
      </w:r>
      <w:r>
        <w:rPr>
          <w:rStyle w:val="CharDefText"/>
        </w:rPr>
        <w:t>licensed premises</w:t>
      </w:r>
      <w:r>
        <w:rPr>
          <w:snapToGrid w:val="0"/>
        </w:rPr>
        <w:t xml:space="preserve"> includes premises in respect of which an application has been made, under this Act.</w:t>
      </w:r>
    </w:p>
    <w:p>
      <w:pPr>
        <w:pStyle w:val="Footnotesection"/>
      </w:pPr>
      <w:r>
        <w:tab/>
        <w:t xml:space="preserve">[Section 153 amended by No. 14 of 1996 s. 4; No. 73 of 2006 s. 106.] </w:t>
      </w:r>
    </w:p>
    <w:p>
      <w:pPr>
        <w:pStyle w:val="Heading5"/>
        <w:rPr>
          <w:snapToGrid w:val="0"/>
        </w:rPr>
      </w:pPr>
      <w:bookmarkStart w:id="536" w:name="_Toc522197465"/>
      <w:r>
        <w:rPr>
          <w:rStyle w:val="CharSectno"/>
        </w:rPr>
        <w:t>154</w:t>
      </w:r>
      <w:r>
        <w:rPr>
          <w:snapToGrid w:val="0"/>
        </w:rPr>
        <w:t>.</w:t>
      </w:r>
      <w:r>
        <w:rPr>
          <w:snapToGrid w:val="0"/>
        </w:rPr>
        <w:tab/>
        <w:t>Authorised officers, powers of entry etc., offences as to</w:t>
      </w:r>
      <w:bookmarkEnd w:id="536"/>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 and</w:t>
      </w:r>
    </w:p>
    <w:p>
      <w:pPr>
        <w:pStyle w:val="Indenta"/>
        <w:rPr>
          <w:snapToGrid w:val="0"/>
        </w:rPr>
      </w:pPr>
      <w:r>
        <w:rPr>
          <w:snapToGrid w:val="0"/>
        </w:rPr>
        <w:tab/>
        <w:t>(b)</w:t>
      </w:r>
      <w:r>
        <w:rPr>
          <w:snapToGrid w:val="0"/>
        </w:rPr>
        <w:tab/>
        <w:t>inspect licensed premises or regulated premises; and</w:t>
      </w:r>
    </w:p>
    <w:p>
      <w:pPr>
        <w:pStyle w:val="Indenta"/>
        <w:rPr>
          <w:snapToGrid w:val="0"/>
        </w:rPr>
      </w:pPr>
      <w:r>
        <w:rPr>
          <w:snapToGrid w:val="0"/>
        </w:rPr>
        <w:tab/>
        <w:t>(c)</w:t>
      </w:r>
      <w:r>
        <w:rPr>
          <w:snapToGrid w:val="0"/>
        </w:rPr>
        <w:tab/>
        <w:t>examine each room and part of the premises; and</w:t>
      </w:r>
    </w:p>
    <w:p>
      <w:pPr>
        <w:pStyle w:val="Indenta"/>
        <w:rPr>
          <w:snapToGrid w:val="0"/>
        </w:rPr>
      </w:pPr>
      <w:r>
        <w:rPr>
          <w:snapToGrid w:val="0"/>
        </w:rPr>
        <w:tab/>
        <w:t>(d)</w:t>
      </w:r>
      <w:r>
        <w:rPr>
          <w:snapToGrid w:val="0"/>
        </w:rPr>
        <w:tab/>
        <w:t>take an account of any or all liquor that is on the premises; and</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(f)</w:t>
      </w:r>
      <w:r>
        <w:rPr>
          <w:snapToGrid w:val="0"/>
        </w:rPr>
        <w:tab/>
        <w:t xml:space="preserve">require the licensee </w:t>
      </w:r>
      <w:r>
        <w:t>or a manager of the premises to</w:t>
      </w:r>
      <w:r>
        <w:rPr>
          <w:snapToGrid w:val="0"/>
        </w:rPr>
        <w:t xml:space="preserve"> provide any information or assistance reasonably required by the authorised officer relating to any matter within the duties of the licensee or manager; and</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require any person who is in a position to provide information relating to a subsidy, or to the sale, purchase 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 and</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 xml:space="preserve">hinders an authorised officer in the exercise of powers conferred by this Act; or </w:t>
      </w:r>
    </w:p>
    <w:p>
      <w:pPr>
        <w:pStyle w:val="Indenta"/>
        <w:rPr>
          <w:snapToGrid w:val="0"/>
        </w:rPr>
      </w:pPr>
      <w:r>
        <w:rPr>
          <w:snapToGrid w:val="0"/>
        </w:rPr>
        <w:tab/>
        <w:t>(b)</w:t>
      </w:r>
      <w:r>
        <w:rPr>
          <w:snapToGrid w:val="0"/>
        </w:rPr>
        <w:tab/>
        <w:t>fails, without reasonable excuse, to comply with a requirement of an authorised officer, under this Act; or</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(4)</w:t>
      </w:r>
      <w:r>
        <w:rPr>
          <w:snapToGrid w:val="0"/>
        </w:rPr>
        <w:tab/>
        <w:t xml:space="preserve">In this section </w:t>
      </w:r>
      <w:r>
        <w:rPr>
          <w:rStyle w:val="CharDefText"/>
        </w:rPr>
        <w:t>licensed premises</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 xml:space="preserve">[Section 154 amended by No. 56 of 1997 s. 47; No. 12 of 1998 s. 97(1) and (3); No. 73 of 2006 s. 110; No. 56 of 2010 s. 25 and 69.] </w:t>
      </w:r>
    </w:p>
    <w:p>
      <w:pPr>
        <w:pStyle w:val="Heading5"/>
        <w:rPr>
          <w:snapToGrid w:val="0"/>
        </w:rPr>
      </w:pPr>
      <w:bookmarkStart w:id="537" w:name="_Toc522197466"/>
      <w:r>
        <w:rPr>
          <w:rStyle w:val="CharSectno"/>
        </w:rPr>
        <w:t>155</w:t>
      </w:r>
      <w:r>
        <w:rPr>
          <w:snapToGrid w:val="0"/>
        </w:rPr>
        <w:t>.</w:t>
      </w:r>
      <w:r>
        <w:rPr>
          <w:snapToGrid w:val="0"/>
        </w:rPr>
        <w:tab/>
      </w:r>
      <w:smartTag w:uri="urn:schemas-microsoft-com:office:smarttags" w:element="place">
        <w:r>
          <w:rPr>
            <w:snapToGrid w:val="0"/>
          </w:rPr>
          <w:t>Po</w:t>
        </w:r>
      </w:smartTag>
      <w:r>
        <w:rPr>
          <w:snapToGrid w:val="0"/>
        </w:rPr>
        <w:t>lice, powers of to enter, seize liquor etc.</w:t>
      </w:r>
      <w:bookmarkEnd w:id="537"/>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 and</w:t>
      </w:r>
    </w:p>
    <w:p>
      <w:pPr>
        <w:pStyle w:val="Indenta"/>
        <w:rPr>
          <w:snapToGrid w:val="0"/>
        </w:rPr>
      </w:pPr>
      <w:r>
        <w:rPr>
          <w:snapToGrid w:val="0"/>
        </w:rPr>
        <w:tab/>
        <w:t>(b)</w:t>
      </w:r>
      <w:r>
        <w:rPr>
          <w:snapToGrid w:val="0"/>
        </w:rPr>
        <w:tab/>
        <w:t>ensure the proper and lawful exercise of any licence granted or permit issued under this Act; and</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provide for the making of such reports to, and the bringing of such applications, complaints and objections 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spacing w:before="180"/>
        <w:rPr>
          <w:snapToGrid w:val="0"/>
        </w:rPr>
      </w:pPr>
      <w:r>
        <w:rPr>
          <w:snapToGrid w:val="0"/>
        </w:rPr>
        <w:tab/>
      </w:r>
      <w:r>
        <w:rPr>
          <w:snapToGrid w:val="0"/>
        </w:rPr>
        <w:tab/>
        <w:t>that member of the Police Force may, without warrant other than this subsection, enter and search the premises, using such force as may be</w:t>
      </w:r>
      <w:r>
        <w:t xml:space="preserve"> reasonably</w:t>
      </w:r>
      <w:r>
        <w:rPr>
          <w:snapToGrid w:val="0"/>
        </w:rPr>
        <w:t xml:space="preserve"> necessary for the purpose.</w:t>
      </w:r>
    </w:p>
    <w:p>
      <w:pPr>
        <w:pStyle w:val="Subsection"/>
        <w:spacing w:before="180"/>
        <w:rPr>
          <w:snapToGrid w:val="0"/>
        </w:rPr>
      </w:pPr>
      <w:r>
        <w:rPr>
          <w:snapToGrid w:val="0"/>
        </w:rPr>
        <w:tab/>
        <w:t>(4)</w:t>
      </w:r>
      <w:r>
        <w:rPr>
          <w:snapToGrid w:val="0"/>
        </w:rPr>
        <w:tab/>
        <w:t>A member of the Police Force may seize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this Act.</w:t>
      </w:r>
    </w:p>
    <w:p>
      <w:pPr>
        <w:pStyle w:val="Subsection"/>
        <w:spacing w:before="180"/>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pPr>
        <w:pStyle w:val="Subsection"/>
        <w:spacing w:before="180"/>
      </w:pPr>
      <w:r>
        <w:tab/>
        <w:t>(6)</w:t>
      </w:r>
      <w:r>
        <w:tab/>
        <w:t>If a person is contravening section 110(4A) a member of the Police Force may seize an opened or unopened container of liquor involved in the contravention.</w:t>
      </w:r>
    </w:p>
    <w:p>
      <w:pPr>
        <w:pStyle w:val="Subsection"/>
        <w:spacing w:before="180"/>
      </w:pPr>
      <w:r>
        <w:tab/>
        <w:t>(7)</w:t>
      </w:r>
      <w:r>
        <w:tab/>
        <w:t>If a person is contravening section 119 a member of the Police Force may seize a container of liquor in the person’s possession if —</w:t>
      </w:r>
    </w:p>
    <w:p>
      <w:pPr>
        <w:pStyle w:val="Indenta"/>
      </w:pPr>
      <w:r>
        <w:tab/>
        <w:t>(a)</w:t>
      </w:r>
      <w:r>
        <w:tab/>
        <w:t>the container is opened; or</w:t>
      </w:r>
    </w:p>
    <w:p>
      <w:pPr>
        <w:pStyle w:val="Indenta"/>
      </w:pPr>
      <w:r>
        <w:tab/>
        <w:t>(b)</w:t>
      </w:r>
      <w:r>
        <w:tab/>
        <w:t>the container is unopened and either —</w:t>
      </w:r>
    </w:p>
    <w:p>
      <w:pPr>
        <w:pStyle w:val="Indenti"/>
      </w:pPr>
      <w:r>
        <w:tab/>
        <w:t>(i)</w:t>
      </w:r>
      <w:r>
        <w:tab/>
        <w:t>the person is consuming liquor during a period, and in an area, specified in a special event notice under section 126E; or</w:t>
      </w:r>
    </w:p>
    <w:p>
      <w:pPr>
        <w:pStyle w:val="Indenti"/>
      </w:pPr>
      <w:r>
        <w:tab/>
        <w:t>(ii)</w:t>
      </w:r>
      <w:r>
        <w:tab/>
        <w:t>the member of the Police Force believes on reasonable grounds that the person has caused, is causing or is likely to cause, undue offence, annoyance, disturbance or inconvenience to other persons in the vicinity.</w:t>
      </w:r>
    </w:p>
    <w:p>
      <w:pPr>
        <w:pStyle w:val="Subsection"/>
      </w:pPr>
      <w:r>
        <w:tab/>
        <w:t>(8)</w:t>
      </w:r>
      <w:r>
        <w:tab/>
        <w:t>If a person is contravening section 152O(1) a member of the Police Force may seize an opened or unopened container of liquor involved in the contravention.</w:t>
      </w:r>
    </w:p>
    <w:p>
      <w:pPr>
        <w:pStyle w:val="Subsection"/>
      </w:pPr>
      <w:r>
        <w:tab/>
        <w:t>(9A)</w:t>
      </w:r>
      <w:r>
        <w:tab/>
        <w:t>If a member of the Police Force suspects on reasonable grounds that a juvenile is contravening a provision of this Act, the member may seize any opened or unopened container that the member suspects on reasonable grounds relates to that contravention.</w:t>
      </w:r>
    </w:p>
    <w:p>
      <w:pPr>
        <w:pStyle w:val="Subsection"/>
      </w:pPr>
      <w:r>
        <w:tab/>
        <w:t>(9)</w:t>
      </w:r>
      <w:r>
        <w:tab/>
        <w:t>Despite subsection (5), a member of the Police Force who seizes a container of liquor under subsection (6), (7), (8) or (9A) must dispose of it as soon as is practicable after it is seized.</w:t>
      </w:r>
    </w:p>
    <w:p>
      <w:pPr>
        <w:pStyle w:val="Footnotesection"/>
      </w:pPr>
      <w:r>
        <w:tab/>
        <w:t>[Section 155 amended by No. 70 of 2004 s. 82; No. 59 of 2006 s. 55; No. 73 of 2006 s. 98 and 109; No. 56 of 2010 s. 65; No. 35 of 2015 s. 24.]</w:t>
      </w:r>
    </w:p>
    <w:p>
      <w:pPr>
        <w:pStyle w:val="Heading5"/>
        <w:rPr>
          <w:snapToGrid w:val="0"/>
        </w:rPr>
      </w:pPr>
      <w:bookmarkStart w:id="538" w:name="_Toc522197467"/>
      <w:r>
        <w:rPr>
          <w:rStyle w:val="CharSectno"/>
        </w:rPr>
        <w:t>156</w:t>
      </w:r>
      <w:r>
        <w:rPr>
          <w:snapToGrid w:val="0"/>
        </w:rPr>
        <w:t>.</w:t>
      </w:r>
      <w:r>
        <w:rPr>
          <w:snapToGrid w:val="0"/>
        </w:rPr>
        <w:tab/>
        <w:t>Local governments, functions of</w:t>
      </w:r>
      <w:bookmarkEnd w:id="538"/>
    </w:p>
    <w:p>
      <w:pPr>
        <w:pStyle w:val="Subsection"/>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spacing w:before="120"/>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ind w:left="890" w:hanging="890"/>
      </w:pPr>
      <w:r>
        <w:tab/>
        <w:t xml:space="preserve">[Section 156 amended by No. 14 of 1996 s. 4; No. 84 of 2004 s. 80.] </w:t>
      </w:r>
    </w:p>
    <w:p>
      <w:pPr>
        <w:pStyle w:val="Heading5"/>
        <w:rPr>
          <w:snapToGrid w:val="0"/>
        </w:rPr>
      </w:pPr>
      <w:bookmarkStart w:id="539" w:name="_Toc522197468"/>
      <w:r>
        <w:rPr>
          <w:rStyle w:val="CharSectno"/>
        </w:rPr>
        <w:t>157</w:t>
      </w:r>
      <w:r>
        <w:rPr>
          <w:snapToGrid w:val="0"/>
        </w:rPr>
        <w:t>.</w:t>
      </w:r>
      <w:r>
        <w:rPr>
          <w:snapToGrid w:val="0"/>
        </w:rPr>
        <w:tab/>
        <w:t>Evasion of fees due etc., offence</w:t>
      </w:r>
      <w:bookmarkEnd w:id="539"/>
    </w:p>
    <w:p>
      <w:pPr>
        <w:pStyle w:val="Subsection"/>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rPr>
          <w:snapToGrid w:val="0"/>
        </w:rPr>
      </w:pPr>
      <w:r>
        <w:rPr>
          <w:snapToGrid w:val="0"/>
        </w:rPr>
        <w:tab/>
        <w:t xml:space="preserve">Penalty: </w:t>
      </w:r>
      <w:r>
        <w:t>a fine of</w:t>
      </w:r>
      <w:r>
        <w:rPr>
          <w:snapToGrid w:val="0"/>
        </w:rPr>
        <w:t xml:space="preserve"> $10 000 and treble the amount of any licence fee or other money attempted to be evaded.</w:t>
      </w:r>
    </w:p>
    <w:p>
      <w:pPr>
        <w:pStyle w:val="Footnotesection"/>
        <w:keepLines w:val="0"/>
        <w:spacing w:before="80"/>
        <w:ind w:left="890" w:hanging="890"/>
      </w:pPr>
      <w:r>
        <w:tab/>
        <w:t xml:space="preserve">[Section 157 amended by No. 12 of 1998 s. 87; No. 84 of 2004 s. 80; No. 56 of 2010 s. 69.] </w:t>
      </w:r>
    </w:p>
    <w:p>
      <w:pPr>
        <w:pStyle w:val="Heading5"/>
        <w:rPr>
          <w:snapToGrid w:val="0"/>
        </w:rPr>
      </w:pPr>
      <w:bookmarkStart w:id="540" w:name="_Toc522197469"/>
      <w:r>
        <w:rPr>
          <w:rStyle w:val="CharSectno"/>
        </w:rPr>
        <w:t>158</w:t>
      </w:r>
      <w:r>
        <w:rPr>
          <w:snapToGrid w:val="0"/>
        </w:rPr>
        <w:t>.</w:t>
      </w:r>
      <w:r>
        <w:rPr>
          <w:snapToGrid w:val="0"/>
        </w:rPr>
        <w:tab/>
        <w:t>Failing to comply with licensing authority’s requirements etc., offence</w:t>
      </w:r>
      <w:bookmarkEnd w:id="540"/>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Footnotesection"/>
      </w:pPr>
      <w:r>
        <w:tab/>
        <w:t>[Section 158 amended by No. 73 of 2006 s. 110; No. 56 of 2010 s. 69.]</w:t>
      </w:r>
    </w:p>
    <w:p>
      <w:pPr>
        <w:pStyle w:val="Heading5"/>
        <w:rPr>
          <w:snapToGrid w:val="0"/>
        </w:rPr>
      </w:pPr>
      <w:bookmarkStart w:id="541" w:name="_Toc522197470"/>
      <w:r>
        <w:rPr>
          <w:rStyle w:val="CharSectno"/>
        </w:rPr>
        <w:t>159</w:t>
      </w:r>
      <w:r>
        <w:rPr>
          <w:snapToGrid w:val="0"/>
        </w:rPr>
        <w:t>.</w:t>
      </w:r>
      <w:r>
        <w:rPr>
          <w:snapToGrid w:val="0"/>
        </w:rPr>
        <w:tab/>
        <w:t>False or misleading statements and records, offence</w:t>
      </w:r>
      <w:bookmarkEnd w:id="541"/>
    </w:p>
    <w:p>
      <w:pPr>
        <w:pStyle w:val="Subsection"/>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objection or matter to be determined by the licensing authority; or</w:t>
      </w:r>
    </w:p>
    <w:p>
      <w:pPr>
        <w:pStyle w:val="Indenta"/>
        <w:spacing w:before="60"/>
        <w:rPr>
          <w:snapToGrid w:val="0"/>
        </w:rPr>
      </w:pPr>
      <w:r>
        <w:rPr>
          <w:snapToGrid w:val="0"/>
        </w:rPr>
        <w:tab/>
        <w:t>(b)</w:t>
      </w:r>
      <w:r>
        <w:rPr>
          <w:snapToGrid w:val="0"/>
        </w:rPr>
        <w:tab/>
        <w:t>return or other record required, kept, provided or produced under or for the purposes of this Act,</w:t>
      </w:r>
    </w:p>
    <w:p>
      <w:pPr>
        <w:pStyle w:val="Subsection"/>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keepNext/>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159 amended by No. 73 of 2006 s. 110; No. 56 of 2010 s. 69.]</w:t>
      </w:r>
    </w:p>
    <w:p>
      <w:pPr>
        <w:pStyle w:val="Heading5"/>
        <w:rPr>
          <w:snapToGrid w:val="0"/>
        </w:rPr>
      </w:pPr>
      <w:bookmarkStart w:id="542" w:name="_Toc522197471"/>
      <w:r>
        <w:rPr>
          <w:rStyle w:val="CharSectno"/>
        </w:rPr>
        <w:t>160</w:t>
      </w:r>
      <w:r>
        <w:rPr>
          <w:snapToGrid w:val="0"/>
        </w:rPr>
        <w:t>.</w:t>
      </w:r>
      <w:r>
        <w:rPr>
          <w:snapToGrid w:val="0"/>
        </w:rPr>
        <w:tab/>
        <w:t>Information about offences, power to obtain</w:t>
      </w:r>
      <w:bookmarkEnd w:id="542"/>
    </w:p>
    <w:p>
      <w:pPr>
        <w:pStyle w:val="Subsection"/>
        <w:rPr>
          <w:snapToGrid w:val="0"/>
        </w:rPr>
      </w:pPr>
      <w:r>
        <w:rPr>
          <w:snapToGrid w:val="0"/>
        </w:rPr>
        <w:tab/>
        <w:t>(1)</w:t>
      </w:r>
      <w:r>
        <w:rPr>
          <w:snapToGrid w:val="0"/>
        </w:rPr>
        <w:tab/>
        <w:t xml:space="preserve">Where any person is found on, or is seen leaving, any licensed premises at a time other than during permitted hours, or an authorised officer has reasonable cause to suspect that any person is committing or is attempting to commit any offence against this Act, the authorised officer may </w:t>
      </w:r>
      <w:r>
        <w:t>require</w:t>
      </w:r>
      <w:r>
        <w:rPr>
          <w:snapToGrid w:val="0"/>
        </w:rPr>
        <w:t xml:space="preserve">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 xml:space="preserve">If any person, without reasonable excuse, refuses or fails to supply any particulars or evidence when required to do so by any authorised officer under this section, and persists in the refusal or </w:t>
      </w:r>
      <w:r>
        <w:t xml:space="preserve">failure, </w:t>
      </w:r>
      <w:r>
        <w:rPr>
          <w:snapToGrid w:val="0"/>
        </w:rPr>
        <w:t>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 xml:space="preserve">[Section 160 amended by No. 12 of 1998 s. 88; No. 73 of 2006 s. 110; No. 56 of 2010 s. 69; No. 35 of 2015 s. 25.] </w:t>
      </w:r>
    </w:p>
    <w:p>
      <w:pPr>
        <w:pStyle w:val="Heading5"/>
        <w:spacing w:before="180"/>
        <w:rPr>
          <w:snapToGrid w:val="0"/>
        </w:rPr>
      </w:pPr>
      <w:bookmarkStart w:id="543" w:name="_Toc522197472"/>
      <w:r>
        <w:rPr>
          <w:rStyle w:val="CharSectno"/>
        </w:rPr>
        <w:t>161</w:t>
      </w:r>
      <w:r>
        <w:rPr>
          <w:snapToGrid w:val="0"/>
        </w:rPr>
        <w:t>.</w:t>
      </w:r>
      <w:r>
        <w:rPr>
          <w:snapToGrid w:val="0"/>
        </w:rPr>
        <w:tab/>
        <w:t>Search warrants, issue and execution of</w:t>
      </w:r>
      <w:bookmarkEnd w:id="543"/>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that there is reason to suspect that liquor is kept on any premises for purposes contravening section 109, 110 or 111 or that there are on the premises records which are 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 and</w:t>
      </w:r>
    </w:p>
    <w:p>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 and</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 and</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spacing w:before="180"/>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spacing w:before="180"/>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may be directed to an authorised officer by name or to every authorised officer, but in either case may be executed by any member of the Police Force; and</w:t>
      </w:r>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spacing w:before="180"/>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spacing w:before="180"/>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spacing w:before="180"/>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 and</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161 amended by No. 56 of 1997 s. 48; No. 84 of 2004 s. 80; No. 73 of 2006 s. 109 and 110; No. 56 of 2010 s. 69.] </w:t>
      </w:r>
    </w:p>
    <w:p>
      <w:pPr>
        <w:pStyle w:val="Heading5"/>
        <w:rPr>
          <w:snapToGrid w:val="0"/>
        </w:rPr>
      </w:pPr>
      <w:bookmarkStart w:id="544" w:name="_Toc522197473"/>
      <w:r>
        <w:rPr>
          <w:rStyle w:val="CharSectno"/>
        </w:rPr>
        <w:t>162</w:t>
      </w:r>
      <w:r>
        <w:rPr>
          <w:snapToGrid w:val="0"/>
        </w:rPr>
        <w:t>.</w:t>
      </w:r>
      <w:r>
        <w:rPr>
          <w:snapToGrid w:val="0"/>
        </w:rPr>
        <w:tab/>
        <w:t>Separate offences and continuing offences</w:t>
      </w:r>
      <w:bookmarkEnd w:id="544"/>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r>
        <w:tab/>
        <w:t xml:space="preserve">[Section 162 amended by No. 84 of 2004 s. 80.] </w:t>
      </w:r>
    </w:p>
    <w:p>
      <w:pPr>
        <w:pStyle w:val="Heading5"/>
        <w:rPr>
          <w:snapToGrid w:val="0"/>
        </w:rPr>
      </w:pPr>
      <w:bookmarkStart w:id="545" w:name="_Toc522197474"/>
      <w:r>
        <w:rPr>
          <w:rStyle w:val="CharSectno"/>
        </w:rPr>
        <w:t>163</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liquor, presumption of in some cases</w:t>
      </w:r>
      <w:bookmarkEnd w:id="545"/>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 or</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546" w:name="_Toc522197475"/>
      <w:r>
        <w:rPr>
          <w:rStyle w:val="CharSectno"/>
        </w:rPr>
        <w:t>164</w:t>
      </w:r>
      <w:r>
        <w:rPr>
          <w:snapToGrid w:val="0"/>
        </w:rPr>
        <w:t>.</w:t>
      </w:r>
      <w:r>
        <w:rPr>
          <w:snapToGrid w:val="0"/>
        </w:rPr>
        <w:tab/>
        <w:t>Bodies corporate and partnerships, offences by</w:t>
      </w:r>
      <w:bookmarkEnd w:id="546"/>
    </w:p>
    <w:p>
      <w:pPr>
        <w:pStyle w:val="Subsection"/>
        <w:rPr>
          <w:snapToGrid w:val="0"/>
        </w:rPr>
      </w:pPr>
      <w:r>
        <w:rPr>
          <w:snapToGrid w:val="0"/>
        </w:rPr>
        <w:tab/>
        <w:t>(1)</w:t>
      </w:r>
      <w:r>
        <w:rPr>
          <w:snapToGrid w:val="0"/>
        </w:rPr>
        <w:tab/>
        <w:t>Where an offence under this Act is found to have been committed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shall be deemed to have committed an offence; and</w:t>
      </w:r>
    </w:p>
    <w:p>
      <w:pPr>
        <w:pStyle w:val="Indenta"/>
      </w:pPr>
      <w:r>
        <w:tab/>
        <w:t>(b)</w:t>
      </w:r>
      <w:r>
        <w:tab/>
        <w:t>if the offence was committed in respect of licensed premises, any manager who was supervising and managing the premises at the time the offence was committed shall also be deemed to have committed an offence unless it is proved that —</w:t>
      </w:r>
    </w:p>
    <w:p>
      <w:pPr>
        <w:pStyle w:val="Indenti"/>
      </w:pPr>
      <w:r>
        <w:tab/>
        <w:t>(i)</w:t>
      </w:r>
      <w:r>
        <w:tab/>
        <w:t>such direction had been given; and</w:t>
      </w:r>
    </w:p>
    <w:p>
      <w:pPr>
        <w:pStyle w:val="Indenti"/>
      </w:pPr>
      <w:r>
        <w:tab/>
        <w:t>(ii)</w:t>
      </w:r>
      <w:r>
        <w:tab/>
        <w:t>such supervision had been exercised or caused to be exercised,</w:t>
      </w:r>
    </w:p>
    <w:p>
      <w:pPr>
        <w:pStyle w:val="Indenta"/>
      </w:pPr>
      <w:r>
        <w:tab/>
      </w:r>
      <w:r>
        <w:tab/>
        <w:t>by that manager as were reasonably necessary to ensure that an offence against this Act would not be committed,</w:t>
      </w:r>
    </w:p>
    <w:p>
      <w:pPr>
        <w:pStyle w:val="Subsection"/>
        <w:rPr>
          <w:snapToGrid w:val="0"/>
        </w:rPr>
      </w:pPr>
      <w:r>
        <w:rPr>
          <w:snapToGrid w:val="0"/>
        </w:rPr>
        <w:tab/>
      </w:r>
      <w:r>
        <w:rPr>
          <w:snapToGrid w:val="0"/>
        </w:rPr>
        <w:tab/>
        <w:t>and each shall be liable to the same penalty as is prescribed for the principal offence.</w:t>
      </w:r>
    </w:p>
    <w:p>
      <w:pPr>
        <w:pStyle w:val="Subsection"/>
        <w:rPr>
          <w:snapToGrid w:val="0"/>
        </w:rPr>
      </w:pPr>
      <w:r>
        <w:rPr>
          <w:snapToGrid w:val="0"/>
        </w:rPr>
        <w:tab/>
        <w:t>(1a)</w:t>
      </w:r>
      <w:r>
        <w:rPr>
          <w:snapToGrid w:val="0"/>
        </w:rPr>
        <w:tab/>
        <w:t xml:space="preserve">Where the ground upon which a complaint under section 95 is made out and the </w:t>
      </w:r>
      <w:r>
        <w:t xml:space="preserve">Commission </w:t>
      </w:r>
      <w:r>
        <w:rPr>
          <w:snapToGrid w:val="0"/>
        </w:rPr>
        <w:t>imposes, or is empowered to impose, a penalty on a licensee who is a body corporate, then —</w:t>
      </w:r>
    </w:p>
    <w:p>
      <w:pPr>
        <w:pStyle w:val="Indenta"/>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r>
        <w:t xml:space="preserve">Commission </w:t>
      </w:r>
      <w:r>
        <w:rPr>
          <w:snapToGrid w:val="0"/>
        </w:rPr>
        <w:t>may impose a penalty under section 96 on that person as well as a penalty on the body corporate; and</w:t>
      </w:r>
    </w:p>
    <w:p>
      <w:pPr>
        <w:pStyle w:val="Indenta"/>
      </w:pPr>
      <w:r>
        <w:tab/>
        <w:t>(b)</w:t>
      </w:r>
      <w:r>
        <w:tab/>
        <w:t xml:space="preserve">the Commission may impose a penalty under section 96 on any manager who was supervising and managing the premises at the time </w:t>
      </w:r>
      <w:r>
        <w:rPr>
          <w:snapToGrid w:val="0"/>
        </w:rPr>
        <w:t>the grounds upon which the complaint was made occurred</w:t>
      </w:r>
      <w:r>
        <w:t>, as well as on the licensee, unless it is proved that —</w:t>
      </w:r>
    </w:p>
    <w:p>
      <w:pPr>
        <w:pStyle w:val="Indenti"/>
      </w:pPr>
      <w:r>
        <w:tab/>
        <w:t>(i)</w:t>
      </w:r>
      <w:r>
        <w:tab/>
        <w:t>such direction had been given; and</w:t>
      </w:r>
    </w:p>
    <w:p>
      <w:pPr>
        <w:pStyle w:val="Indenti"/>
        <w:keepNext/>
      </w:pPr>
      <w:r>
        <w:tab/>
        <w:t>(ii)</w:t>
      </w:r>
      <w:r>
        <w:tab/>
        <w:t>such supervision had been exercised or caused to be exercised,</w:t>
      </w:r>
    </w:p>
    <w:p>
      <w:pPr>
        <w:pStyle w:val="Indenta"/>
      </w:pPr>
      <w:r>
        <w:tab/>
      </w:r>
      <w:r>
        <w:tab/>
        <w:t>by that manager as were reasonably necessary to ensure that the grounds upon which the complaint was made would not occur.</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spacing w:before="100"/>
        <w:ind w:left="890" w:hanging="890"/>
      </w:pPr>
      <w:r>
        <w:tab/>
        <w:t xml:space="preserve">[Section 164 amended by No. 12 of 1998 s. 89; No. 10 of 2001 s. 220; No. 84 of 2004 s. 80; No. 73 of 2006 s. 106; No. 56 of 2010 s. 20.] </w:t>
      </w:r>
    </w:p>
    <w:p>
      <w:pPr>
        <w:pStyle w:val="Heading5"/>
        <w:rPr>
          <w:snapToGrid w:val="0"/>
        </w:rPr>
      </w:pPr>
      <w:bookmarkStart w:id="547" w:name="_Toc522197476"/>
      <w:r>
        <w:rPr>
          <w:rStyle w:val="CharSectno"/>
        </w:rPr>
        <w:t>165</w:t>
      </w:r>
      <w:r>
        <w:rPr>
          <w:snapToGrid w:val="0"/>
        </w:rPr>
        <w:t>.</w:t>
      </w:r>
      <w:r>
        <w:rPr>
          <w:snapToGrid w:val="0"/>
        </w:rPr>
        <w:tab/>
        <w:t>Licensee liable for act of employee etc.</w:t>
      </w:r>
      <w:bookmarkEnd w:id="547"/>
      <w:r>
        <w:rPr>
          <w:snapToGrid w:val="0"/>
        </w:rPr>
        <w:t xml:space="preserve"> </w:t>
      </w:r>
    </w:p>
    <w:p>
      <w:pPr>
        <w:pStyle w:val="Subsection"/>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Subsection"/>
      </w:pPr>
      <w:r>
        <w:tab/>
        <w:t>(4)</w:t>
      </w:r>
      <w:r>
        <w:tab/>
        <w:t xml:space="preserve">In this section — </w:t>
      </w:r>
    </w:p>
    <w:p>
      <w:pPr>
        <w:pStyle w:val="Defstart"/>
      </w:pPr>
      <w:r>
        <w:rPr>
          <w:b/>
        </w:rPr>
        <w:tab/>
      </w:r>
      <w:r>
        <w:rPr>
          <w:rStyle w:val="CharDefText"/>
        </w:rPr>
        <w:t>employee</w:t>
      </w:r>
      <w:r>
        <w:t xml:space="preserve">, of the licensee, includes — </w:t>
      </w:r>
    </w:p>
    <w:p>
      <w:pPr>
        <w:pStyle w:val="Defpara"/>
      </w:pPr>
      <w:r>
        <w:tab/>
        <w:t>(a)</w:t>
      </w:r>
      <w:r>
        <w:tab/>
        <w:t>a person engaged under a contract for services by the licensee; and</w:t>
      </w:r>
    </w:p>
    <w:p>
      <w:pPr>
        <w:pStyle w:val="Defpara"/>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pPr>
        <w:pStyle w:val="Footnotesection"/>
        <w:keepLines w:val="0"/>
        <w:spacing w:before="60"/>
        <w:ind w:left="890" w:hanging="890"/>
      </w:pPr>
      <w:r>
        <w:tab/>
        <w:t xml:space="preserve">[Section 165 amended by No. 84 of 2004 s. 80; No. 73 of 2006 s. 99.] </w:t>
      </w:r>
    </w:p>
    <w:p>
      <w:pPr>
        <w:pStyle w:val="Heading5"/>
        <w:rPr>
          <w:snapToGrid w:val="0"/>
        </w:rPr>
      </w:pPr>
      <w:bookmarkStart w:id="548" w:name="_Toc522197477"/>
      <w:r>
        <w:rPr>
          <w:rStyle w:val="CharSectno"/>
        </w:rPr>
        <w:t>166</w:t>
      </w:r>
      <w:r>
        <w:rPr>
          <w:snapToGrid w:val="0"/>
        </w:rPr>
        <w:t>.</w:t>
      </w:r>
      <w:r>
        <w:rPr>
          <w:snapToGrid w:val="0"/>
        </w:rPr>
        <w:tab/>
        <w:t>General penalty</w:t>
      </w:r>
      <w:bookmarkEnd w:id="548"/>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penalty is specifically provided is liable to a penalty</w:t>
      </w:r>
      <w:r>
        <w:t xml:space="preserve"> of a fine</w:t>
      </w:r>
      <w:r>
        <w:rPr>
          <w:snapToGrid w:val="0"/>
        </w:rPr>
        <w:t xml:space="preserve"> not exceeding $2 000.</w:t>
      </w:r>
    </w:p>
    <w:p>
      <w:pPr>
        <w:pStyle w:val="Footnotesection"/>
      </w:pPr>
      <w:r>
        <w:tab/>
        <w:t>[Section 166 amended by No. 73 of 2006 s. 110; No. 56 of 2010 s. 66.]</w:t>
      </w:r>
    </w:p>
    <w:p>
      <w:pPr>
        <w:pStyle w:val="Heading5"/>
        <w:rPr>
          <w:snapToGrid w:val="0"/>
        </w:rPr>
      </w:pPr>
      <w:bookmarkStart w:id="549" w:name="_Toc522197478"/>
      <w:r>
        <w:rPr>
          <w:rStyle w:val="CharSectno"/>
        </w:rPr>
        <w:t>167</w:t>
      </w:r>
      <w:r>
        <w:rPr>
          <w:snapToGrid w:val="0"/>
        </w:rPr>
        <w:t>.</w:t>
      </w:r>
      <w:r>
        <w:rPr>
          <w:snapToGrid w:val="0"/>
        </w:rPr>
        <w:tab/>
        <w:t>Infringement notices</w:t>
      </w:r>
      <w:bookmarkEnd w:id="549"/>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alleged offence</w:t>
      </w:r>
      <w:r>
        <w:t>, in relation to an infringement notice, means the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Subsection"/>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rPr>
          <w:snapToGrid w:val="0"/>
        </w:rPr>
      </w:pPr>
      <w:r>
        <w:rPr>
          <w:snapToGrid w:val="0"/>
        </w:rPr>
        <w:tab/>
        <w:t>(b)</w:t>
      </w:r>
      <w:r>
        <w:rPr>
          <w:snapToGrid w:val="0"/>
        </w:rPr>
        <w:tab/>
        <w:t>is guilty of an offence by virtue of section 101, 164 or 165 in relation to any such offence,</w:t>
      </w:r>
    </w:p>
    <w:p>
      <w:pPr>
        <w:pStyle w:val="Subsection"/>
        <w:rPr>
          <w:snapToGrid w:val="0"/>
        </w:rPr>
      </w:pPr>
      <w:r>
        <w:rPr>
          <w:snapToGrid w:val="0"/>
        </w:rPr>
        <w:tab/>
      </w:r>
      <w:r>
        <w:rPr>
          <w:snapToGrid w:val="0"/>
        </w:rPr>
        <w:tab/>
        <w:t xml:space="preserve">may give to that person a notice in the prescribed form informing the person that a </w:t>
      </w:r>
      <w:r>
        <w:t>prosecution for the alleged offence may be commenced in</w:t>
      </w:r>
      <w:r>
        <w:rPr>
          <w:snapToGrid w:val="0"/>
        </w:rPr>
        <w:t xml:space="preserve"> a court, unless the alleged offender, within a period of 28 days after the giving of the notice, pays the modified penalty to the Director in the manner specified in the notice.</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The Director may, whether or not the modified penalty has been paid, withdraw an infringement notice within 2 years after it was given by sending to the alleged offender a notice in the prescribed form, stating that the infringement notice has been withdrawn.</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keepLines/>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by No. 84 of 2004 s. 80; No. 73 of 2006 s. 100.] </w:t>
      </w:r>
    </w:p>
    <w:p>
      <w:pPr>
        <w:pStyle w:val="Heading5"/>
        <w:spacing w:before="180"/>
        <w:rPr>
          <w:snapToGrid w:val="0"/>
        </w:rPr>
      </w:pPr>
      <w:bookmarkStart w:id="550" w:name="_Toc522197479"/>
      <w:r>
        <w:rPr>
          <w:rStyle w:val="CharSectno"/>
        </w:rPr>
        <w:t>168</w:t>
      </w:r>
      <w:r>
        <w:rPr>
          <w:snapToGrid w:val="0"/>
        </w:rPr>
        <w:t>.</w:t>
      </w:r>
      <w:r>
        <w:rPr>
          <w:snapToGrid w:val="0"/>
        </w:rPr>
        <w:tab/>
        <w:t>Prosecutions, institution of</w:t>
      </w:r>
      <w:bookmarkEnd w:id="550"/>
    </w:p>
    <w:p>
      <w:pPr>
        <w:pStyle w:val="Subsection"/>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r>
        <w:tab/>
        <w:t xml:space="preserve">[Section 168 amended by No. 84 of 2004 s. 80.] </w:t>
      </w:r>
    </w:p>
    <w:p>
      <w:pPr>
        <w:pStyle w:val="Heading5"/>
        <w:spacing w:before="180"/>
        <w:rPr>
          <w:snapToGrid w:val="0"/>
        </w:rPr>
      </w:pPr>
      <w:bookmarkStart w:id="551" w:name="_Toc522197480"/>
      <w:r>
        <w:rPr>
          <w:rStyle w:val="CharSectno"/>
        </w:rPr>
        <w:t>169</w:t>
      </w:r>
      <w:r>
        <w:rPr>
          <w:snapToGrid w:val="0"/>
        </w:rPr>
        <w:t>.</w:t>
      </w:r>
      <w:r>
        <w:rPr>
          <w:snapToGrid w:val="0"/>
        </w:rPr>
        <w:tab/>
        <w:t>Prosecutions, hearing of and limitation periods for</w:t>
      </w:r>
      <w:bookmarkEnd w:id="551"/>
    </w:p>
    <w:p>
      <w:pPr>
        <w:pStyle w:val="Subsection"/>
      </w:pPr>
      <w:r>
        <w:tab/>
        <w:t>(1)</w:t>
      </w:r>
      <w:r>
        <w:tab/>
        <w:t xml:space="preserve">A court of summary jurisdiction hearing and determining a charge of an offence under this Act is to be constituted by a magistrate if — </w:t>
      </w:r>
    </w:p>
    <w:p>
      <w:pPr>
        <w:pStyle w:val="Indenta"/>
      </w:pPr>
      <w:r>
        <w:tab/>
        <w:t>(a)</w:t>
      </w:r>
      <w:r>
        <w:tab/>
        <w:t>the penalty for the offence is a fine of more than $2 000; or</w:t>
      </w:r>
    </w:p>
    <w:p>
      <w:pPr>
        <w:pStyle w:val="Indenta"/>
      </w:pPr>
      <w:r>
        <w:tab/>
        <w:t>(b)</w:t>
      </w:r>
      <w:r>
        <w:tab/>
        <w:t>the person charged with the offence is a licensee, a manager or an employee or agent of a licensee.</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 xml:space="preserve">[Section 169 amended by No. 56 of 1997 s. 26(4); No. 12 of 1998 s. 91; No. 59 of 2004 s. 141; No. 84 of 2004 s. 82; No. 56 of 2010 s. 67.] </w:t>
      </w:r>
    </w:p>
    <w:p>
      <w:pPr>
        <w:pStyle w:val="Heading5"/>
        <w:rPr>
          <w:snapToGrid w:val="0"/>
        </w:rPr>
      </w:pPr>
      <w:bookmarkStart w:id="552" w:name="_Toc522197481"/>
      <w:r>
        <w:rPr>
          <w:rStyle w:val="CharSectno"/>
        </w:rPr>
        <w:t>170</w:t>
      </w:r>
      <w:r>
        <w:rPr>
          <w:snapToGrid w:val="0"/>
        </w:rPr>
        <w:t>.</w:t>
      </w:r>
      <w:r>
        <w:rPr>
          <w:snapToGrid w:val="0"/>
        </w:rPr>
        <w:tab/>
        <w:t>Evidentiary provisions as to proof of certain facts</w:t>
      </w:r>
      <w:bookmarkEnd w:id="552"/>
    </w:p>
    <w:p>
      <w:pPr>
        <w:pStyle w:val="Subsection"/>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 xml:space="preserve">where the offence alleged is a contravention of section 100(2)(c), </w:t>
      </w:r>
      <w:r>
        <w:t xml:space="preserve">a person is taken not to have been appointed </w:t>
      </w:r>
      <w:r>
        <w:rPr>
          <w:snapToGrid w:val="0"/>
        </w:rPr>
        <w:t>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rPr>
          <w:snapToGrid w:val="0"/>
        </w:rPr>
      </w:pPr>
      <w:r>
        <w:rPr>
          <w:snapToGrid w:val="0"/>
        </w:rPr>
        <w:tab/>
        <w:t>(ii)</w:t>
      </w:r>
      <w:r>
        <w:rPr>
          <w:snapToGrid w:val="0"/>
        </w:rPr>
        <w:tab/>
        <w:t>the sale or consumption of liquor on unlicensed premises,</w:t>
      </w:r>
    </w:p>
    <w:p>
      <w:pPr>
        <w:pStyle w:val="Subsection"/>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by No. 12 of 1998 s. 92; No. 84 of 2004 s. 82; No. 9 of 2018 s. 64.] </w:t>
      </w:r>
    </w:p>
    <w:p>
      <w:pPr>
        <w:pStyle w:val="Heading5"/>
        <w:rPr>
          <w:snapToGrid w:val="0"/>
        </w:rPr>
      </w:pPr>
      <w:bookmarkStart w:id="553" w:name="_Toc522197482"/>
      <w:r>
        <w:rPr>
          <w:rStyle w:val="CharSectno"/>
        </w:rPr>
        <w:t>171</w:t>
      </w:r>
      <w:r>
        <w:rPr>
          <w:snapToGrid w:val="0"/>
        </w:rPr>
        <w:t>.</w:t>
      </w:r>
      <w:r>
        <w:rPr>
          <w:snapToGrid w:val="0"/>
        </w:rPr>
        <w:tab/>
        <w:t>Accomplices, who are not, evidence of</w:t>
      </w:r>
      <w:bookmarkEnd w:id="553"/>
    </w:p>
    <w:p>
      <w:pPr>
        <w:pStyle w:val="Subsection"/>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rPr>
          <w:snapToGrid w:val="0"/>
        </w:rPr>
      </w:pPr>
      <w:r>
        <w:rPr>
          <w:snapToGrid w:val="0"/>
        </w:rPr>
        <w:tab/>
      </w:r>
      <w:r>
        <w:rPr>
          <w:snapToGrid w:val="0"/>
        </w:rPr>
        <w:tab/>
        <w:t>unless the court suspects the truth of that evidence.</w:t>
      </w:r>
    </w:p>
    <w:p>
      <w:pPr>
        <w:pStyle w:val="Subsection"/>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by No. 84 of 2004 s. 80 and 82.] </w:t>
      </w:r>
    </w:p>
    <w:p>
      <w:pPr>
        <w:pStyle w:val="Heading5"/>
        <w:spacing w:before="260"/>
        <w:rPr>
          <w:snapToGrid w:val="0"/>
        </w:rPr>
      </w:pPr>
      <w:bookmarkStart w:id="554" w:name="_Toc522197483"/>
      <w:r>
        <w:rPr>
          <w:rStyle w:val="CharSectno"/>
        </w:rPr>
        <w:t>172</w:t>
      </w:r>
      <w:r>
        <w:rPr>
          <w:snapToGrid w:val="0"/>
        </w:rPr>
        <w:t>.</w:t>
      </w:r>
      <w:r>
        <w:rPr>
          <w:snapToGrid w:val="0"/>
        </w:rPr>
        <w:tab/>
        <w:t>Averments in charges, proof of certain documents and facts</w:t>
      </w:r>
      <w:bookmarkEnd w:id="554"/>
    </w:p>
    <w:p>
      <w:pPr>
        <w:pStyle w:val="Subsection"/>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 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 or</w:t>
      </w:r>
    </w:p>
    <w:p>
      <w:pPr>
        <w:pStyle w:val="Indenti"/>
        <w:rPr>
          <w:snapToGrid w:val="0"/>
        </w:rPr>
      </w:pPr>
      <w:r>
        <w:rPr>
          <w:snapToGrid w:val="0"/>
        </w:rPr>
        <w:tab/>
        <w:t>(ii)</w:t>
      </w:r>
      <w:r>
        <w:rPr>
          <w:snapToGrid w:val="0"/>
        </w:rPr>
        <w:tab/>
        <w:t>licensed in respect of any specified premises; or</w:t>
      </w:r>
    </w:p>
    <w:p>
      <w:pPr>
        <w:pStyle w:val="Indenti"/>
        <w:rPr>
          <w:snapToGrid w:val="0"/>
        </w:rPr>
      </w:pPr>
      <w:r>
        <w:rPr>
          <w:snapToGrid w:val="0"/>
        </w:rPr>
        <w:tab/>
        <w:t>(iii)</w:t>
      </w:r>
      <w:r>
        <w:rPr>
          <w:snapToGrid w:val="0"/>
        </w:rPr>
        <w:tab/>
        <w:t>the holder of a specified permit; or</w:t>
      </w:r>
    </w:p>
    <w:p>
      <w:pPr>
        <w:pStyle w:val="Indenti"/>
        <w:keepNext/>
      </w:pPr>
      <w:r>
        <w:tab/>
        <w:t>(iv)</w:t>
      </w:r>
      <w:r>
        <w:tab/>
        <w:t>an approved unrestricted manager or an approved restricted manager;</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 or</w:t>
      </w:r>
    </w:p>
    <w:p>
      <w:pPr>
        <w:pStyle w:val="Indenta"/>
        <w:rPr>
          <w:snapToGrid w:val="0"/>
        </w:rPr>
      </w:pPr>
      <w:r>
        <w:rPr>
          <w:snapToGrid w:val="0"/>
        </w:rPr>
        <w:tab/>
        <w:t>(d)</w:t>
      </w:r>
      <w:r>
        <w:rPr>
          <w:snapToGrid w:val="0"/>
        </w:rPr>
        <w:tab/>
        <w:t>that a part of any premises specified was a reception area, or declared to be out of bounds to juveniles; or</w:t>
      </w:r>
    </w:p>
    <w:p>
      <w:pPr>
        <w:pStyle w:val="Indenta"/>
        <w:rPr>
          <w:snapToGrid w:val="0"/>
        </w:rPr>
      </w:pPr>
      <w:r>
        <w:rPr>
          <w:snapToGrid w:val="0"/>
        </w:rPr>
        <w:tab/>
        <w:t>(e)</w:t>
      </w:r>
      <w:r>
        <w:rPr>
          <w:snapToGrid w:val="0"/>
        </w:rPr>
        <w:tab/>
        <w:t>that a person named in the charge is, or was on a specified date, a juvenile; or</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 or</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 or</w:t>
      </w:r>
    </w:p>
    <w:p>
      <w:pPr>
        <w:pStyle w:val="Indenta"/>
        <w:rPr>
          <w:snapToGrid w:val="0"/>
        </w:rPr>
      </w:pPr>
      <w:r>
        <w:rPr>
          <w:snapToGrid w:val="0"/>
        </w:rPr>
        <w:tab/>
        <w:t>(h)</w:t>
      </w:r>
      <w:r>
        <w:rPr>
          <w:snapToGrid w:val="0"/>
        </w:rPr>
        <w:tab/>
        <w:t>that a person named in the charge is, or was on a specified date, an authorised officer or an officer of the licensing authority; or</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 or</w:t>
      </w:r>
    </w:p>
    <w:p>
      <w:pPr>
        <w:pStyle w:val="Indenta"/>
        <w:rPr>
          <w:snapToGrid w:val="0"/>
        </w:rPr>
      </w:pPr>
      <w:r>
        <w:rPr>
          <w:snapToGrid w:val="0"/>
        </w:rPr>
        <w:tab/>
        <w:t>(k)</w:t>
      </w:r>
      <w:r>
        <w:rPr>
          <w:snapToGrid w:val="0"/>
        </w:rPr>
        <w:tab/>
        <w:t>that a delegation by the Director under this Act is, or was on a specified date, subject to specified conditions; or</w:t>
      </w:r>
    </w:p>
    <w:p>
      <w:pPr>
        <w:pStyle w:val="Indenta"/>
        <w:rPr>
          <w:snapToGrid w:val="0"/>
        </w:rPr>
      </w:pPr>
      <w:r>
        <w:rPr>
          <w:snapToGrid w:val="0"/>
        </w:rPr>
        <w:tab/>
        <w:t>(m)</w:t>
      </w:r>
      <w:r>
        <w:rPr>
          <w:snapToGrid w:val="0"/>
        </w:rPr>
        <w:tab/>
        <w:t>that a person named in the charge is (or is not), or was (or was not) on a specified date — </w:t>
      </w:r>
    </w:p>
    <w:p>
      <w:pPr>
        <w:pStyle w:val="Indenti"/>
        <w:spacing w:before="60"/>
        <w:rPr>
          <w:snapToGrid w:val="0"/>
        </w:rPr>
      </w:pPr>
      <w:r>
        <w:rPr>
          <w:snapToGrid w:val="0"/>
        </w:rPr>
        <w:tab/>
        <w:t>(i)</w:t>
      </w:r>
      <w:r>
        <w:rPr>
          <w:snapToGrid w:val="0"/>
        </w:rPr>
        <w:tab/>
        <w:t>a lodger of specified licensed premises; or</w:t>
      </w:r>
    </w:p>
    <w:p>
      <w:pPr>
        <w:pStyle w:val="Indenti"/>
        <w:spacing w:before="60"/>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spacing w:before="40"/>
        <w:rPr>
          <w:snapToGrid w:val="0"/>
        </w:rPr>
      </w:pPr>
      <w:r>
        <w:rPr>
          <w:snapToGrid w:val="0"/>
        </w:rPr>
        <w:tab/>
      </w:r>
      <w:r>
        <w:rPr>
          <w:snapToGrid w:val="0"/>
        </w:rPr>
        <w:tab/>
        <w:t>or</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 or</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 or</w:t>
      </w:r>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w:t>
      </w:r>
      <w:r>
        <w:t xml:space="preserve"> Commission</w:t>
      </w:r>
      <w:r>
        <w:rPr>
          <w:snapToGrid w:val="0"/>
        </w:rPr>
        <w: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the </w:t>
      </w:r>
      <w:r>
        <w:t xml:space="preserve">chairperson or any other member of the Commission, </w:t>
      </w:r>
      <w:r>
        <w:rPr>
          <w:snapToGrid w:val="0"/>
        </w:rPr>
        <w:t>the Director or any other authorised officer, shall be taken to be the signature of the person whose signature it purports to be in the absence of proof to the contrary; and</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keepNext/>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spacing w:before="70"/>
        <w:rPr>
          <w:snapToGrid w:val="0"/>
        </w:rPr>
      </w:pPr>
      <w:r>
        <w:rPr>
          <w:snapToGrid w:val="0"/>
        </w:rPr>
        <w:tab/>
        <w:t>(a)</w:t>
      </w:r>
      <w:r>
        <w:rPr>
          <w:snapToGrid w:val="0"/>
        </w:rPr>
        <w:tab/>
        <w:t>that a specified person is liable for the payment of a specified licence fee or penalty in respect of a specified period; or</w:t>
      </w:r>
    </w:p>
    <w:p>
      <w:pPr>
        <w:pStyle w:val="Indenta"/>
        <w:spacing w:before="70"/>
        <w:rPr>
          <w:snapToGrid w:val="0"/>
        </w:rPr>
      </w:pPr>
      <w:r>
        <w:rPr>
          <w:snapToGrid w:val="0"/>
        </w:rPr>
        <w:tab/>
        <w:t>(b)</w:t>
      </w:r>
      <w:r>
        <w:rPr>
          <w:snapToGrid w:val="0"/>
        </w:rPr>
        <w:tab/>
        <w:t>that a specified person held a specified licence at a specified time or during a specified period; or</w:t>
      </w:r>
    </w:p>
    <w:p>
      <w:pPr>
        <w:pStyle w:val="Indenta"/>
        <w:spacing w:before="70"/>
        <w:rPr>
          <w:snapToGrid w:val="0"/>
        </w:rPr>
      </w:pPr>
      <w:r>
        <w:rPr>
          <w:snapToGrid w:val="0"/>
        </w:rPr>
        <w:tab/>
        <w:t>(c)</w:t>
      </w:r>
      <w:r>
        <w:rPr>
          <w:snapToGrid w:val="0"/>
        </w:rPr>
        <w:tab/>
        <w:t>that a return required by section 145 to be lodged by a specified person had not been lodged in accordance with that section; or</w:t>
      </w:r>
    </w:p>
    <w:p>
      <w:pPr>
        <w:pStyle w:val="Indenta"/>
        <w:spacing w:before="70"/>
        <w:rPr>
          <w:snapToGrid w:val="0"/>
        </w:rPr>
      </w:pPr>
      <w:r>
        <w:rPr>
          <w:snapToGrid w:val="0"/>
        </w:rPr>
        <w:tab/>
        <w:t>(d)</w:t>
      </w:r>
      <w:r>
        <w:rPr>
          <w:snapToGrid w:val="0"/>
        </w:rPr>
        <w:tab/>
        <w:t>that a subsidy of a specified amount was paid to a specified person on a specified day in relation to a specified period; or</w:t>
      </w:r>
    </w:p>
    <w:p>
      <w:pPr>
        <w:pStyle w:val="Indenta"/>
        <w:spacing w:before="70"/>
        <w:rPr>
          <w:snapToGrid w:val="0"/>
        </w:rPr>
      </w:pPr>
      <w:r>
        <w:rPr>
          <w:snapToGrid w:val="0"/>
        </w:rPr>
        <w:tab/>
        <w:t>(e)</w:t>
      </w:r>
      <w:r>
        <w:rPr>
          <w:snapToGrid w:val="0"/>
        </w:rPr>
        <w:tab/>
        <w:t>that specified conditions were imposed on a specified person by the Director under section 130(2); or</w:t>
      </w:r>
    </w:p>
    <w:p>
      <w:pPr>
        <w:pStyle w:val="Indenta"/>
        <w:spacing w:before="70"/>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spacing w:before="70"/>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spacing w:before="120"/>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rPr>
          <w:snapToGrid w:val="0"/>
        </w:rPr>
      </w:pPr>
      <w:r>
        <w:rPr>
          <w:snapToGrid w:val="0"/>
        </w:rPr>
        <w:tab/>
        <w:t>(12)</w:t>
      </w:r>
      <w:r>
        <w:rPr>
          <w:snapToGrid w:val="0"/>
        </w:rPr>
        <w:tab/>
        <w:t xml:space="preserve">In subsection (11), </w:t>
      </w:r>
      <w:r>
        <w:rPr>
          <w:rStyle w:val="CharDefText"/>
        </w:rPr>
        <w:t>specified</w:t>
      </w:r>
      <w:r>
        <w:rPr>
          <w:snapToGrid w:val="0"/>
        </w:rPr>
        <w:t xml:space="preserve"> means specified in the certificate.</w:t>
      </w:r>
    </w:p>
    <w:p>
      <w:pPr>
        <w:pStyle w:val="Subsection"/>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spacing w:before="140"/>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spacing w:before="60"/>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spacing w:before="60"/>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by No. 56 of 1997 s. 49; No. 12 of 1998 s. 10(12) and 93; No. 84 of 2004 s. 80 and 82; No. 73 of 2006 s. 101 and 106; No. 56 of 2010 s. 21.] </w:t>
      </w:r>
    </w:p>
    <w:p>
      <w:pPr>
        <w:pStyle w:val="Heading5"/>
      </w:pPr>
      <w:bookmarkStart w:id="555" w:name="_Toc522197484"/>
      <w:r>
        <w:rPr>
          <w:rStyle w:val="CharSectno"/>
        </w:rPr>
        <w:t>172A</w:t>
      </w:r>
      <w:r>
        <w:t>.</w:t>
      </w:r>
      <w:r>
        <w:tab/>
        <w:t>Forfeiture of liquor etc. on conviction or payment of modified penalty</w:t>
      </w:r>
      <w:bookmarkEnd w:id="555"/>
    </w:p>
    <w:p>
      <w:pPr>
        <w:pStyle w:val="Subsection"/>
        <w:spacing w:before="140"/>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pPr>
        <w:pStyle w:val="Subsection"/>
        <w:spacing w:before="140"/>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pPr>
        <w:pStyle w:val="Footnotesection"/>
        <w:spacing w:before="60"/>
        <w:ind w:left="890" w:hanging="890"/>
      </w:pPr>
      <w:r>
        <w:tab/>
        <w:t>[Section 172A inserted by No. 59 of 2006 s. 56.]</w:t>
      </w:r>
    </w:p>
    <w:p>
      <w:pPr>
        <w:pStyle w:val="Heading2"/>
      </w:pPr>
      <w:bookmarkStart w:id="556" w:name="_Toc471906960"/>
      <w:bookmarkStart w:id="557" w:name="_Toc472001877"/>
      <w:bookmarkStart w:id="558" w:name="_Toc472676905"/>
      <w:bookmarkStart w:id="559" w:name="_Toc472682290"/>
      <w:bookmarkStart w:id="560" w:name="_Toc473119431"/>
      <w:bookmarkStart w:id="561" w:name="_Toc522197485"/>
      <w:r>
        <w:rPr>
          <w:rStyle w:val="CharPartNo"/>
        </w:rPr>
        <w:t>Part 7</w:t>
      </w:r>
      <w:r>
        <w:rPr>
          <w:rStyle w:val="CharDivNo"/>
        </w:rPr>
        <w:t> </w:t>
      </w:r>
      <w:r>
        <w:t>—</w:t>
      </w:r>
      <w:r>
        <w:rPr>
          <w:rStyle w:val="CharDivText"/>
        </w:rPr>
        <w:t> </w:t>
      </w:r>
      <w:r>
        <w:rPr>
          <w:rStyle w:val="CharPartText"/>
        </w:rPr>
        <w:t>General</w:t>
      </w:r>
      <w:bookmarkEnd w:id="556"/>
      <w:bookmarkEnd w:id="557"/>
      <w:bookmarkEnd w:id="558"/>
      <w:bookmarkEnd w:id="559"/>
      <w:bookmarkEnd w:id="560"/>
      <w:bookmarkEnd w:id="561"/>
      <w:r>
        <w:rPr>
          <w:rStyle w:val="CharPartText"/>
        </w:rPr>
        <w:t xml:space="preserve"> </w:t>
      </w:r>
    </w:p>
    <w:p>
      <w:pPr>
        <w:pStyle w:val="Heading5"/>
        <w:rPr>
          <w:snapToGrid w:val="0"/>
        </w:rPr>
      </w:pPr>
      <w:bookmarkStart w:id="562" w:name="_Toc522197486"/>
      <w:r>
        <w:rPr>
          <w:rStyle w:val="CharSectno"/>
        </w:rPr>
        <w:t>173</w:t>
      </w:r>
      <w:r>
        <w:rPr>
          <w:snapToGrid w:val="0"/>
        </w:rPr>
        <w:t>.</w:t>
      </w:r>
      <w:r>
        <w:rPr>
          <w:snapToGrid w:val="0"/>
        </w:rPr>
        <w:tab/>
        <w:t>Pending review etc. not to affect liability</w:t>
      </w:r>
      <w:bookmarkEnd w:id="562"/>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563" w:name="_Toc522197487"/>
      <w:r>
        <w:rPr>
          <w:rStyle w:val="CharSectno"/>
        </w:rPr>
        <w:t>174</w:t>
      </w:r>
      <w:r>
        <w:rPr>
          <w:snapToGrid w:val="0"/>
        </w:rPr>
        <w:t>.</w:t>
      </w:r>
      <w:r>
        <w:rPr>
          <w:snapToGrid w:val="0"/>
        </w:rPr>
        <w:tab/>
        <w:t>Service of documents</w:t>
      </w:r>
      <w:bookmarkEnd w:id="563"/>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pPr>
      <w:bookmarkStart w:id="564" w:name="_Toc522197488"/>
      <w:r>
        <w:rPr>
          <w:rStyle w:val="CharSectno"/>
        </w:rPr>
        <w:t>174A</w:t>
      </w:r>
      <w:r>
        <w:t>.</w:t>
      </w:r>
      <w:r>
        <w:tab/>
      </w:r>
      <w:r>
        <w:rPr>
          <w:i/>
          <w:iCs/>
        </w:rPr>
        <w:t>Criminal and Found Property Disposal Act 2006</w:t>
      </w:r>
      <w:r>
        <w:rPr>
          <w:iCs/>
        </w:rPr>
        <w:t xml:space="preserve">, </w:t>
      </w:r>
      <w:r>
        <w:t>application of</w:t>
      </w:r>
      <w:bookmarkEnd w:id="564"/>
    </w:p>
    <w:p>
      <w:pPr>
        <w:pStyle w:val="Subsection"/>
        <w:spacing w:before="120"/>
      </w:pPr>
      <w:r>
        <w:tab/>
        <w:t>(1)</w:t>
      </w:r>
      <w:r>
        <w:tab/>
        <w:t xml:space="preserve">The </w:t>
      </w:r>
      <w:r>
        <w:rPr>
          <w:i/>
          <w:iCs/>
        </w:rPr>
        <w:t xml:space="preserve">Criminal and Found Property Disposal Act 2006 </w:t>
      </w:r>
      <w:r>
        <w:t>applies to and in respect of any thing that is seized or forfeited under this Act except any thing that is seized and disposed of in accordance with section 155(9).</w:t>
      </w:r>
    </w:p>
    <w:p>
      <w:pPr>
        <w:pStyle w:val="Subsection"/>
        <w:spacing w:before="120"/>
      </w:pPr>
      <w:r>
        <w:tab/>
        <w:t>(2)</w:t>
      </w:r>
      <w:r>
        <w:tab/>
        <w:t xml:space="preserve">For the purposes of the </w:t>
      </w:r>
      <w:r>
        <w:rPr>
          <w:i/>
          <w:iCs/>
        </w:rPr>
        <w:t>Criminal and Found Property Disposal Act 2006</w:t>
      </w:r>
      <w:r>
        <w:t xml:space="preserve"> the Department is a prescribed agency.</w:t>
      </w:r>
    </w:p>
    <w:p>
      <w:pPr>
        <w:pStyle w:val="Footnotesection"/>
      </w:pPr>
      <w:r>
        <w:tab/>
        <w:t>[Section 174A inserted by No. 59 of 2006 s. 57; amended by No. 56 of 2010 s. 68; No. 9 of 2018 s. 65.]</w:t>
      </w:r>
    </w:p>
    <w:p>
      <w:pPr>
        <w:pStyle w:val="Heading5"/>
      </w:pPr>
      <w:bookmarkStart w:id="565" w:name="_Toc522197489"/>
      <w:r>
        <w:rPr>
          <w:rStyle w:val="CharSectno"/>
        </w:rPr>
        <w:t>174B</w:t>
      </w:r>
      <w:r>
        <w:t>.</w:t>
      </w:r>
      <w:r>
        <w:tab/>
        <w:t xml:space="preserve">Liquor accords: authorisation for purposes of </w:t>
      </w:r>
      <w:r>
        <w:rPr>
          <w:i/>
        </w:rPr>
        <w:t>Competition and Consumer Act 2010</w:t>
      </w:r>
      <w:r>
        <w:t xml:space="preserve"> and Competition Code</w:t>
      </w:r>
      <w:bookmarkEnd w:id="565"/>
    </w:p>
    <w:p>
      <w:pPr>
        <w:pStyle w:val="Subsection"/>
      </w:pPr>
      <w:r>
        <w:tab/>
        <w:t>(1)</w:t>
      </w:r>
      <w:r>
        <w:tab/>
        <w:t xml:space="preserve">In this section — </w:t>
      </w:r>
    </w:p>
    <w:p>
      <w:pPr>
        <w:pStyle w:val="Defstart"/>
      </w:pPr>
      <w:r>
        <w:tab/>
      </w:r>
      <w:r>
        <w:rPr>
          <w:rStyle w:val="CharDefText"/>
        </w:rPr>
        <w:t>liquor accord</w:t>
      </w:r>
      <w:r>
        <w:t xml:space="preserve"> has the meaning given in section 64(1b).</w:t>
      </w:r>
    </w:p>
    <w:p>
      <w:pPr>
        <w:pStyle w:val="Subsection"/>
      </w:pPr>
      <w:r>
        <w:tab/>
        <w:t>(2)</w:t>
      </w:r>
      <w:r>
        <w:tab/>
        <w:t xml:space="preserve">For the purposes of the </w:t>
      </w:r>
      <w:r>
        <w:rPr>
          <w:i/>
        </w:rPr>
        <w:t>Competition and Consumer Act 2010</w:t>
      </w:r>
      <w:r>
        <w:t xml:space="preserve"> (Commonwealth) and the Competition Code, the following conduct is authorised by this Act, to the extent that it would otherwise contravene that Act or that Code — </w:t>
      </w:r>
    </w:p>
    <w:p>
      <w:pPr>
        <w:pStyle w:val="Indenta"/>
      </w:pPr>
      <w:r>
        <w:tab/>
        <w:t>(a)</w:t>
      </w:r>
      <w:r>
        <w:tab/>
        <w:t>the entry by any person into a liquor accord;</w:t>
      </w:r>
    </w:p>
    <w:p>
      <w:pPr>
        <w:pStyle w:val="Indenta"/>
      </w:pPr>
      <w:r>
        <w:tab/>
        <w:t>(b)</w:t>
      </w:r>
      <w:r>
        <w:tab/>
        <w:t>conduct engaged in by any person for the purpose of promoting or giving effect to the terms of a liquor accord.</w:t>
      </w:r>
    </w:p>
    <w:p>
      <w:pPr>
        <w:pStyle w:val="Footnotesection"/>
      </w:pPr>
      <w:r>
        <w:tab/>
        <w:t>[Section 174B inserted by No. 9 of 2018 s. 66.]</w:t>
      </w:r>
    </w:p>
    <w:p>
      <w:pPr>
        <w:pStyle w:val="Heading5"/>
        <w:spacing w:before="180"/>
        <w:rPr>
          <w:snapToGrid w:val="0"/>
        </w:rPr>
      </w:pPr>
      <w:bookmarkStart w:id="566" w:name="_Toc522197490"/>
      <w:r>
        <w:rPr>
          <w:rStyle w:val="CharSectno"/>
        </w:rPr>
        <w:t>175</w:t>
      </w:r>
      <w:r>
        <w:rPr>
          <w:snapToGrid w:val="0"/>
        </w:rPr>
        <w:t>.</w:t>
      </w:r>
      <w:r>
        <w:rPr>
          <w:snapToGrid w:val="0"/>
        </w:rPr>
        <w:tab/>
        <w:t>Regulations</w:t>
      </w:r>
      <w:bookmarkEnd w:id="566"/>
      <w:r>
        <w:rPr>
          <w:snapToGrid w:val="0"/>
        </w:rPr>
        <w:t xml:space="preserve"> </w:t>
      </w:r>
    </w:p>
    <w:p>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 and</w:t>
      </w:r>
    </w:p>
    <w:p>
      <w:pPr>
        <w:pStyle w:val="Indenta"/>
        <w:rPr>
          <w:snapToGrid w:val="0"/>
        </w:rPr>
      </w:pPr>
      <w:r>
        <w:rPr>
          <w:snapToGrid w:val="0"/>
        </w:rPr>
        <w:tab/>
        <w:t>(b)</w:t>
      </w:r>
      <w:r>
        <w:rPr>
          <w:snapToGrid w:val="0"/>
        </w:rPr>
        <w:tab/>
        <w:t>other fees payable to the licensing authority; and</w:t>
      </w:r>
    </w:p>
    <w:p>
      <w:pPr>
        <w:pStyle w:val="Indenta"/>
        <w:rPr>
          <w:snapToGrid w:val="0"/>
        </w:rPr>
      </w:pPr>
      <w:r>
        <w:rPr>
          <w:snapToGrid w:val="0"/>
        </w:rPr>
        <w:tab/>
        <w:t>(c)</w:t>
      </w:r>
      <w:r>
        <w:rPr>
          <w:snapToGrid w:val="0"/>
        </w:rPr>
        <w:tab/>
      </w:r>
      <w:r>
        <w:t xml:space="preserve">Commission </w:t>
      </w:r>
      <w:r>
        <w:rPr>
          <w:snapToGrid w:val="0"/>
        </w:rPr>
        <w:t>fees, and the expenses allowable to witnesses; and</w:t>
      </w:r>
    </w:p>
    <w:p>
      <w:pPr>
        <w:pStyle w:val="Indenta"/>
        <w:rPr>
          <w:snapToGrid w:val="0"/>
        </w:rPr>
      </w:pPr>
      <w:r>
        <w:rPr>
          <w:snapToGrid w:val="0"/>
        </w:rPr>
        <w:tab/>
        <w:t>(ca)</w:t>
      </w:r>
      <w:r>
        <w:rPr>
          <w:snapToGrid w:val="0"/>
        </w:rPr>
        <w:tab/>
        <w:t>conditions for the granting of special facility licences; and</w:t>
      </w:r>
    </w:p>
    <w:p>
      <w:pPr>
        <w:pStyle w:val="Indenta"/>
        <w:rPr>
          <w:snapToGrid w:val="0"/>
        </w:rPr>
      </w:pPr>
      <w:r>
        <w:rPr>
          <w:snapToGrid w:val="0"/>
        </w:rPr>
        <w:tab/>
        <w:t>(cb)</w:t>
      </w:r>
      <w:r>
        <w:rPr>
          <w:snapToGrid w:val="0"/>
        </w:rPr>
        <w:tab/>
        <w:t>conditions for the granting of producers’ licences; and</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 and</w:t>
      </w:r>
    </w:p>
    <w:p>
      <w:pPr>
        <w:pStyle w:val="Indenta"/>
      </w:pPr>
      <w:r>
        <w:tab/>
        <w:t>(cd)</w:t>
      </w:r>
      <w:r>
        <w:tab/>
        <w:t>limiting the permitted opening hours that may be authorised by an extended trading permit issued for the purpose referred to in section 60(4)(g); and</w:t>
      </w:r>
    </w:p>
    <w:p>
      <w:pPr>
        <w:pStyle w:val="Indenta"/>
      </w:pPr>
      <w:r>
        <w:tab/>
        <w:t>(ce)</w:t>
      </w:r>
      <w:r>
        <w:tab/>
        <w:t>regulating entry to licensed premises after a time of the day or night specified in the regulations; and</w:t>
      </w:r>
    </w:p>
    <w:p>
      <w:pPr>
        <w:pStyle w:val="Indenta"/>
      </w:pPr>
      <w:r>
        <w:tab/>
        <w:t>(d)</w:t>
      </w:r>
      <w:r>
        <w:tab/>
        <w:t>advertising, websites maintained by licensees, and the content of notices; and</w:t>
      </w:r>
    </w:p>
    <w:p>
      <w:pPr>
        <w:pStyle w:val="Indenta"/>
      </w:pPr>
      <w:r>
        <w:tab/>
        <w:t>(e)</w:t>
      </w:r>
      <w:r>
        <w:tab/>
        <w:t>the endorsement, production and display of licences; and</w:t>
      </w:r>
    </w:p>
    <w:p>
      <w:pPr>
        <w:pStyle w:val="Indenta"/>
        <w:rPr>
          <w:snapToGrid w:val="0"/>
        </w:rPr>
      </w:pPr>
      <w:r>
        <w:rPr>
          <w:snapToGrid w:val="0"/>
        </w:rPr>
        <w:tab/>
        <w:t>(f)</w:t>
      </w:r>
      <w:r>
        <w:rPr>
          <w:snapToGrid w:val="0"/>
        </w:rPr>
        <w:tab/>
        <w:t>procedural matters, including the forms to be</w:t>
      </w:r>
      <w:r>
        <w:t xml:space="preserve"> used; and</w:t>
      </w:r>
    </w:p>
    <w:p>
      <w:pPr>
        <w:pStyle w:val="Indenta"/>
        <w:rPr>
          <w:snapToGrid w:val="0"/>
        </w:rPr>
      </w:pPr>
      <w:r>
        <w:tab/>
        <w:t>(g)</w:t>
      </w:r>
      <w:r>
        <w:tab/>
      </w:r>
      <w:r>
        <w:rPr>
          <w:snapToGrid w:val="0"/>
        </w:rPr>
        <w:t>the approval and conduct of managers.</w:t>
      </w:r>
    </w:p>
    <w:p>
      <w:pPr>
        <w:pStyle w:val="Subsection"/>
      </w:pPr>
      <w:r>
        <w:tab/>
        <w:t>(1a)</w:t>
      </w:r>
      <w:r>
        <w:tab/>
        <w:t xml:space="preserve">The Governor, on the recommendation of the Minister, may make regulations for any or all of the following purposes — </w:t>
      </w:r>
    </w:p>
    <w:p>
      <w:pPr>
        <w:pStyle w:val="Indenta"/>
      </w:pPr>
      <w:r>
        <w:tab/>
        <w:t>(a)</w:t>
      </w:r>
      <w:r>
        <w:tab/>
        <w:t>declaring an area of the State specified in the regulations to be a restricted area;</w:t>
      </w:r>
    </w:p>
    <w:p>
      <w:pPr>
        <w:pStyle w:val="Indenta"/>
      </w:pPr>
      <w:r>
        <w:tab/>
        <w:t>(b)</w:t>
      </w:r>
      <w:r>
        <w:tab/>
        <w:t xml:space="preserve">restricting or prohibiting — </w:t>
      </w:r>
    </w:p>
    <w:p>
      <w:pPr>
        <w:pStyle w:val="Indenti"/>
      </w:pPr>
      <w:r>
        <w:tab/>
        <w:t>(i)</w:t>
      </w:r>
      <w:r>
        <w:tab/>
        <w:t>the bringing of liquor into the restricted area; or</w:t>
      </w:r>
    </w:p>
    <w:p>
      <w:pPr>
        <w:pStyle w:val="Indenti"/>
      </w:pPr>
      <w:r>
        <w:tab/>
        <w:t>(ii)</w:t>
      </w:r>
      <w:r>
        <w:tab/>
        <w:t>the possession of liquor in the restricted area; or</w:t>
      </w:r>
    </w:p>
    <w:p>
      <w:pPr>
        <w:pStyle w:val="Indenti"/>
      </w:pPr>
      <w:r>
        <w:tab/>
        <w:t>(iii)</w:t>
      </w:r>
      <w:r>
        <w:tab/>
        <w:t>the consumption of liquor in the restricted area;</w:t>
      </w:r>
    </w:p>
    <w:p>
      <w:pPr>
        <w:pStyle w:val="Indenta"/>
      </w:pPr>
      <w:r>
        <w:tab/>
        <w:t>(c)</w:t>
      </w:r>
      <w:r>
        <w:tab/>
        <w:t>in relation to any offence in the regulations of failing to comply with restrictions or prohibitions referred to in paragraph (b) and without limiting any other power of a member of the Police Force under this Act — conferring powers on members of the Police Force in relation to the seizure and disposal of opened or unopened containers of liquor.</w:t>
      </w:r>
    </w:p>
    <w:p>
      <w:pPr>
        <w:pStyle w:val="Subsection"/>
      </w:pPr>
      <w:r>
        <w:tab/>
        <w:t>(1b)</w:t>
      </w:r>
      <w:r>
        <w:tab/>
        <w:t xml:space="preserve">The Minister may recommend the making of regulations under subsection (1a) only if, after consultation with — </w:t>
      </w:r>
    </w:p>
    <w:p>
      <w:pPr>
        <w:pStyle w:val="Indenta"/>
      </w:pPr>
      <w:r>
        <w:tab/>
        <w:t>(a)</w:t>
      </w:r>
      <w:r>
        <w:tab/>
        <w:t>the Commissioner of Police; and</w:t>
      </w:r>
    </w:p>
    <w:p>
      <w:pPr>
        <w:pStyle w:val="Indenta"/>
      </w:pPr>
      <w:r>
        <w:tab/>
        <w:t>(b)</w:t>
      </w:r>
      <w:r>
        <w:tab/>
        <w:t>each local government in the district of which any part of the proposed restricted area would be situated; and</w:t>
      </w:r>
    </w:p>
    <w:p>
      <w:pPr>
        <w:pStyle w:val="Indenta"/>
        <w:keepNext/>
      </w:pPr>
      <w:r>
        <w:tab/>
        <w:t>(c)</w:t>
      </w:r>
      <w:r>
        <w:tab/>
        <w:t>any other person the Minister considers it appropriate to consult,</w:t>
      </w:r>
    </w:p>
    <w:p>
      <w:pPr>
        <w:pStyle w:val="Subsection"/>
      </w:pPr>
      <w:r>
        <w:tab/>
      </w:r>
      <w:r>
        <w:tab/>
        <w:t>the Minister is satisfied that the regulations are in the public interest.</w:t>
      </w:r>
    </w:p>
    <w:p>
      <w:pPr>
        <w:pStyle w:val="Subsection"/>
      </w:pPr>
      <w:r>
        <w:tab/>
        <w:t>(1c)</w:t>
      </w:r>
      <w:r>
        <w:tab/>
        <w:t>Regulations made under subsection (1a) must state the period during which the regulations are to have effect.</w:t>
      </w:r>
    </w:p>
    <w:p>
      <w:pPr>
        <w:pStyle w:val="Subsection"/>
      </w:pPr>
      <w:r>
        <w:tab/>
        <w:t>(1d)</w:t>
      </w:r>
      <w:r>
        <w:tab/>
        <w:t>Regulations made under subsection (1a) expire at the end of the period referred to in subsection (1c).</w:t>
      </w:r>
    </w:p>
    <w:p>
      <w:pPr>
        <w:pStyle w:val="Subsection"/>
        <w:keepNext/>
        <w:keepLines/>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$5 000; and</w:t>
      </w:r>
    </w:p>
    <w:p>
      <w:pPr>
        <w:pStyle w:val="Indenta"/>
        <w:rPr>
          <w:snapToGrid w:val="0"/>
        </w:rPr>
      </w:pPr>
      <w:r>
        <w:rPr>
          <w:snapToGrid w:val="0"/>
        </w:rPr>
        <w:tab/>
        <w:t>(b)</w:t>
      </w:r>
      <w:r>
        <w:rPr>
          <w:snapToGrid w:val="0"/>
        </w:rPr>
        <w:tab/>
        <w:t>in any other case — </w:t>
      </w:r>
      <w:r>
        <w:t>$2 000.</w:t>
      </w:r>
    </w:p>
    <w:p>
      <w:pPr>
        <w:pStyle w:val="Footnotesection"/>
      </w:pPr>
      <w:r>
        <w:tab/>
        <w:t xml:space="preserve">[Section 175 amended by No. 56 of 1997 s. 50; No. 12 of 1998 s. 94; No. 73 of 2006 s. 102 and 106; No. 56 of 2010 s. 22 and 34; No. 9 of 2018 s. 67.] </w:t>
      </w:r>
    </w:p>
    <w:p>
      <w:pPr>
        <w:pStyle w:val="Ednotesection"/>
      </w:pPr>
      <w:r>
        <w:t>[</w:t>
      </w:r>
      <w:r>
        <w:rPr>
          <w:b/>
          <w:bCs/>
        </w:rPr>
        <w:t>176.</w:t>
      </w:r>
      <w:r>
        <w:tab/>
        <w:t>Omitted under the Reprints Act 1984 s. 7(4)(f).]</w:t>
      </w:r>
    </w:p>
    <w:p>
      <w:pPr>
        <w:pStyle w:val="Heading5"/>
        <w:rPr>
          <w:snapToGrid w:val="0"/>
        </w:rPr>
      </w:pPr>
      <w:bookmarkStart w:id="567" w:name="_Toc522197491"/>
      <w:r>
        <w:rPr>
          <w:rStyle w:val="CharSectno"/>
        </w:rPr>
        <w:t>177</w:t>
      </w:r>
      <w:r>
        <w:rPr>
          <w:snapToGrid w:val="0"/>
        </w:rPr>
        <w:t>.</w:t>
      </w:r>
      <w:r>
        <w:rPr>
          <w:snapToGrid w:val="0"/>
        </w:rPr>
        <w:tab/>
        <w:t>Transitional provisions (Sch. 1)</w:t>
      </w:r>
      <w:bookmarkEnd w:id="567"/>
    </w:p>
    <w:p>
      <w:pPr>
        <w:pStyle w:val="Subsection"/>
        <w:rPr>
          <w:snapToGrid w:val="0"/>
        </w:rPr>
      </w:pPr>
      <w:r>
        <w:rPr>
          <w:snapToGrid w:val="0"/>
        </w:rPr>
        <w:tab/>
      </w:r>
      <w:r>
        <w:rPr>
          <w:snapToGrid w:val="0"/>
        </w:rPr>
        <w:tab/>
        <w:t>Schedule 1, which contains transitional provisions, has effect.</w:t>
      </w:r>
    </w:p>
    <w:p>
      <w:pPr>
        <w:pStyle w:val="Heading5"/>
      </w:pPr>
      <w:bookmarkStart w:id="568" w:name="_Toc522197492"/>
      <w:r>
        <w:rPr>
          <w:rStyle w:val="CharSectno"/>
        </w:rPr>
        <w:t>177A</w:t>
      </w:r>
      <w:r>
        <w:t>.</w:t>
      </w:r>
      <w:r>
        <w:tab/>
        <w:t xml:space="preserve">Transitional provisions for </w:t>
      </w:r>
      <w:r>
        <w:rPr>
          <w:i/>
        </w:rPr>
        <w:t>Liquor and Gaming Legislation Amendment Act 2006</w:t>
      </w:r>
      <w:r>
        <w:t xml:space="preserve"> </w:t>
      </w:r>
      <w:r>
        <w:rPr>
          <w:snapToGrid w:val="0"/>
        </w:rPr>
        <w:t>(Sch. 1A)</w:t>
      </w:r>
      <w:bookmarkEnd w:id="568"/>
    </w:p>
    <w:p>
      <w:pPr>
        <w:pStyle w:val="Subsection"/>
      </w:pPr>
      <w:r>
        <w:tab/>
      </w:r>
      <w:r>
        <w:tab/>
        <w:t xml:space="preserve">Schedule 1A sets out transitional provisions relating to amendments made to this Act by the </w:t>
      </w:r>
      <w:r>
        <w:rPr>
          <w:i/>
        </w:rPr>
        <w:t>Liquor and Gaming Legislation Amendment Act 2006</w:t>
      </w:r>
      <w:r>
        <w:t>.</w:t>
      </w:r>
    </w:p>
    <w:p>
      <w:pPr>
        <w:pStyle w:val="Footnotesection"/>
      </w:pPr>
      <w:r>
        <w:tab/>
        <w:t>[Section 177A inserted by No. 73 of 2006 s. 103.]</w:t>
      </w:r>
    </w:p>
    <w:p>
      <w:pPr>
        <w:pStyle w:val="Heading5"/>
      </w:pPr>
      <w:bookmarkStart w:id="569" w:name="_Toc522197493"/>
      <w:r>
        <w:rPr>
          <w:rStyle w:val="CharSectno"/>
        </w:rPr>
        <w:t>177B</w:t>
      </w:r>
      <w:r>
        <w:t>.</w:t>
      </w:r>
      <w:r>
        <w:tab/>
        <w:t xml:space="preserve">Transitional provisions for </w:t>
      </w:r>
      <w:r>
        <w:rPr>
          <w:i/>
          <w:iCs/>
        </w:rPr>
        <w:t>Liquor Control Amendment Act 2010</w:t>
      </w:r>
      <w:r>
        <w:rPr>
          <w:iCs/>
        </w:rPr>
        <w:t xml:space="preserve"> </w:t>
      </w:r>
      <w:r>
        <w:rPr>
          <w:snapToGrid w:val="0"/>
        </w:rPr>
        <w:t>(Sch. 1B)</w:t>
      </w:r>
      <w:bookmarkEnd w:id="569"/>
    </w:p>
    <w:p>
      <w:pPr>
        <w:pStyle w:val="Subsection"/>
      </w:pPr>
      <w:r>
        <w:tab/>
      </w:r>
      <w:r>
        <w:tab/>
        <w:t xml:space="preserve">Schedule 1B sets out transitional provisions relating to amendments made to this Act by the </w:t>
      </w:r>
      <w:r>
        <w:rPr>
          <w:i/>
        </w:rPr>
        <w:t>Liquor Control Amendment Act 2010</w:t>
      </w:r>
      <w:r>
        <w:t>.</w:t>
      </w:r>
    </w:p>
    <w:p>
      <w:pPr>
        <w:pStyle w:val="Footnotesection"/>
      </w:pPr>
      <w:r>
        <w:tab/>
        <w:t xml:space="preserve">[Section 177B inserted by No. 56 of 2010 s. 23.] </w:t>
      </w:r>
    </w:p>
    <w:p>
      <w:pPr>
        <w:pStyle w:val="Heading5"/>
      </w:pPr>
      <w:bookmarkStart w:id="570" w:name="_Toc522197494"/>
      <w:r>
        <w:rPr>
          <w:rStyle w:val="CharSectno"/>
        </w:rPr>
        <w:t>177C</w:t>
      </w:r>
      <w:r>
        <w:t>.</w:t>
      </w:r>
      <w:r>
        <w:tab/>
        <w:t xml:space="preserve">Transitional provisions for </w:t>
      </w:r>
      <w:r>
        <w:rPr>
          <w:i/>
        </w:rPr>
        <w:t>Liquor Control Amendment Act 2018</w:t>
      </w:r>
      <w:r>
        <w:t xml:space="preserve"> (Sch. 1C)</w:t>
      </w:r>
      <w:bookmarkEnd w:id="570"/>
    </w:p>
    <w:p>
      <w:pPr>
        <w:pStyle w:val="Subsection"/>
      </w:pPr>
      <w:r>
        <w:tab/>
      </w:r>
      <w:r>
        <w:tab/>
        <w:t xml:space="preserve">Schedule 1C sets out transitional provisions relating to amendments made to this Act by the </w:t>
      </w:r>
      <w:r>
        <w:rPr>
          <w:i/>
        </w:rPr>
        <w:t>Liquor Control Amendment Act 2018</w:t>
      </w:r>
      <w:r>
        <w:t>.</w:t>
      </w:r>
    </w:p>
    <w:p>
      <w:pPr>
        <w:pStyle w:val="Footnotesection"/>
      </w:pPr>
      <w:r>
        <w:tab/>
        <w:t xml:space="preserve">[Section 177C inserted by No. 9 of 2018 s. 68.] </w:t>
      </w:r>
    </w:p>
    <w:p>
      <w:pPr>
        <w:pStyle w:val="Heading5"/>
        <w:rPr>
          <w:snapToGrid w:val="0"/>
        </w:rPr>
      </w:pPr>
      <w:bookmarkStart w:id="571" w:name="_Toc522197495"/>
      <w:r>
        <w:rPr>
          <w:rStyle w:val="CharSectno"/>
        </w:rPr>
        <w:t>178</w:t>
      </w:r>
      <w:r>
        <w:rPr>
          <w:snapToGrid w:val="0"/>
        </w:rPr>
        <w:t>.</w:t>
      </w:r>
      <w:r>
        <w:rPr>
          <w:snapToGrid w:val="0"/>
        </w:rPr>
        <w:tab/>
        <w:t>Review of Act</w:t>
      </w:r>
      <w:bookmarkEnd w:id="571"/>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is practicable after the expiration of 5 years from the commencement of </w:t>
      </w:r>
      <w:r>
        <w:t xml:space="preserve">the </w:t>
      </w:r>
      <w:r>
        <w:rPr>
          <w:i/>
        </w:rPr>
        <w:t>Liquor Control Amendment Act 2018</w:t>
      </w:r>
      <w:r>
        <w:t xml:space="preserve"> section 68, </w:t>
      </w:r>
      <w:r>
        <w:rPr>
          <w:snapToGrid w:val="0"/>
        </w:rPr>
        <w:t>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[Section 178 amended by No. 12 of 1998 s. 95; No. 9 of 2018 s. 69.]</w:t>
      </w:r>
    </w:p>
    <w:p>
      <w:pPr>
        <w:pStyle w:val="Footnotesection"/>
      </w:pPr>
    </w:p>
    <w:p>
      <w:pPr>
        <w:pStyle w:val="Footnotesection"/>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573" w:name="_Toc471906969"/>
      <w:bookmarkStart w:id="574" w:name="_Toc472001886"/>
      <w:bookmarkStart w:id="575" w:name="_Toc472676914"/>
      <w:bookmarkStart w:id="576" w:name="_Toc472682299"/>
      <w:bookmarkStart w:id="577" w:name="_Toc473119440"/>
      <w:bookmarkStart w:id="578" w:name="_Toc522197496"/>
      <w:r>
        <w:rPr>
          <w:rStyle w:val="CharSchNo"/>
        </w:rPr>
        <w:t>Schedule 1</w:t>
      </w:r>
      <w:r>
        <w:rPr>
          <w:rStyle w:val="CharSDivNo"/>
        </w:rPr>
        <w:t> </w:t>
      </w:r>
      <w:r>
        <w:t>—</w:t>
      </w:r>
      <w:r>
        <w:rPr>
          <w:rStyle w:val="CharSDivText"/>
        </w:rPr>
        <w:t> </w:t>
      </w:r>
      <w:r>
        <w:rPr>
          <w:rStyle w:val="CharSchText"/>
        </w:rPr>
        <w:t>Transitional provisions</w:t>
      </w:r>
      <w:bookmarkEnd w:id="573"/>
      <w:bookmarkEnd w:id="574"/>
      <w:bookmarkEnd w:id="575"/>
      <w:bookmarkEnd w:id="576"/>
      <w:bookmarkEnd w:id="577"/>
      <w:bookmarkEnd w:id="578"/>
    </w:p>
    <w:p>
      <w:pPr>
        <w:pStyle w:val="yShoulderClause"/>
        <w:rPr>
          <w:snapToGrid w:val="0"/>
        </w:rPr>
      </w:pPr>
      <w:r>
        <w:rPr>
          <w:snapToGrid w:val="0"/>
        </w:rPr>
        <w:t>[s. 177]</w:t>
      </w:r>
    </w:p>
    <w:p>
      <w:pPr>
        <w:pStyle w:val="yFootnoteheading"/>
      </w:pPr>
      <w:r>
        <w:tab/>
        <w:t>[Heading amended by No. 19 of 2010 s. 4.]</w:t>
      </w:r>
    </w:p>
    <w:p>
      <w:pPr>
        <w:pStyle w:val="yHeading5"/>
        <w:rPr>
          <w:snapToGrid w:val="0"/>
        </w:rPr>
      </w:pPr>
      <w:bookmarkStart w:id="579" w:name="_Toc522197497"/>
      <w:r>
        <w:rPr>
          <w:rStyle w:val="CharSClsNo"/>
        </w:rPr>
        <w:t>1</w:t>
      </w:r>
      <w:r>
        <w:rPr>
          <w:snapToGrid w:val="0"/>
        </w:rPr>
        <w:t>.</w:t>
      </w:r>
      <w:r>
        <w:rPr>
          <w:snapToGrid w:val="0"/>
        </w:rPr>
        <w:tab/>
        <w:t>Terms used</w:t>
      </w:r>
      <w:bookmarkEnd w:id="579"/>
    </w:p>
    <w:p>
      <w:pPr>
        <w:pStyle w:val="ySubsection"/>
        <w:rPr>
          <w:snapToGrid w:val="0"/>
        </w:rPr>
      </w:pPr>
      <w:r>
        <w:rPr>
          <w:snapToGrid w:val="0"/>
        </w:rPr>
        <w:tab/>
        <w:t>(1)</w:t>
      </w:r>
      <w:r>
        <w:rPr>
          <w:snapToGrid w:val="0"/>
        </w:rPr>
        <w:tab/>
        <w:t>In this Schedule, unless the context otherwise requires — </w:t>
      </w:r>
    </w:p>
    <w:p>
      <w:pPr>
        <w:pStyle w:val="yDefstart"/>
      </w:pPr>
      <w:r>
        <w:rPr>
          <w:b/>
        </w:rPr>
        <w:tab/>
      </w:r>
      <w:r>
        <w:rPr>
          <w:rStyle w:val="CharDefText"/>
        </w:rPr>
        <w:t>Act</w:t>
      </w:r>
      <w:r>
        <w:t xml:space="preserve"> includes subsidiary legislation made under that Act;</w:t>
      </w:r>
    </w:p>
    <w:p>
      <w:pPr>
        <w:pStyle w:val="yDefstart"/>
      </w:pPr>
      <w:r>
        <w:rPr>
          <w:b/>
        </w:rPr>
        <w:tab/>
      </w:r>
      <w:r>
        <w:rPr>
          <w:rStyle w:val="CharDefText"/>
        </w:rPr>
        <w:t>application</w:t>
      </w:r>
      <w:r>
        <w:t xml:space="preserve"> includes notice of an application;</w:t>
      </w:r>
    </w:p>
    <w:p>
      <w:pPr>
        <w:pStyle w:val="yDefstart"/>
      </w:pPr>
      <w:r>
        <w:rPr>
          <w:b/>
        </w:rPr>
        <w:tab/>
      </w:r>
      <w:r>
        <w:rPr>
          <w:rStyle w:val="CharDefText"/>
        </w:rPr>
        <w:t>appointed day</w:t>
      </w:r>
      <w:r>
        <w:t xml:space="preserve"> means the day on which the </w:t>
      </w:r>
      <w:r>
        <w:rPr>
          <w:i/>
        </w:rPr>
        <w:t>Liquor Act 1970</w:t>
      </w:r>
      <w:r>
        <w:rPr>
          <w:vertAlign w:val="superscript"/>
        </w:rPr>
        <w:t> 2</w:t>
      </w:r>
      <w:r>
        <w:t xml:space="preserve"> is repealed by this Act;</w:t>
      </w:r>
    </w:p>
    <w:p>
      <w:pPr>
        <w:pStyle w:val="yDefstart"/>
      </w:pPr>
      <w:r>
        <w:tab/>
      </w:r>
      <w:r>
        <w:rPr>
          <w:rStyle w:val="CharDefText"/>
        </w:rPr>
        <w:t>licence</w:t>
      </w:r>
      <w:r>
        <w:t xml:space="preserve"> includes a licence within the meaning of the repealed Act;</w:t>
      </w:r>
    </w:p>
    <w:p>
      <w:pPr>
        <w:pStyle w:val="yDefstart"/>
      </w:pPr>
      <w:r>
        <w:rPr>
          <w:b/>
        </w:rPr>
        <w:tab/>
      </w:r>
      <w:r>
        <w:rPr>
          <w:rStyle w:val="CharDefText"/>
        </w:rPr>
        <w:t>licensed premises</w:t>
      </w:r>
      <w:r>
        <w:t xml:space="preserve"> includes licensed premises within the meaning of the repealed Act;</w:t>
      </w:r>
    </w:p>
    <w:p>
      <w:pPr>
        <w:pStyle w:val="yDefstart"/>
      </w:pPr>
      <w:r>
        <w:rPr>
          <w:b/>
        </w:rPr>
        <w:tab/>
      </w:r>
      <w:r>
        <w:rPr>
          <w:rStyle w:val="CharDefText"/>
        </w:rPr>
        <w:t>licensee</w:t>
      </w:r>
      <w:r>
        <w:t xml:space="preserve"> includes a licensee within the meaning of the repealed Act;</w:t>
      </w:r>
    </w:p>
    <w:p>
      <w:pPr>
        <w:pStyle w:val="yDefstart"/>
      </w:pPr>
      <w:r>
        <w:rPr>
          <w:b/>
        </w:rPr>
        <w:tab/>
      </w:r>
      <w:r>
        <w:rPr>
          <w:rStyle w:val="CharDefText"/>
        </w:rPr>
        <w:t>permit</w:t>
      </w:r>
      <w:r>
        <w:t xml:space="preserve"> includes a permit granted under the repealed Act;</w:t>
      </w:r>
    </w:p>
    <w:p>
      <w:pPr>
        <w:pStyle w:val="yDefstart"/>
      </w:pPr>
      <w:r>
        <w:rPr>
          <w:b/>
        </w:rPr>
        <w:tab/>
      </w:r>
      <w:r>
        <w:rPr>
          <w:rStyle w:val="CharDefText"/>
        </w:rPr>
        <w:t>repealed Act</w:t>
      </w:r>
      <w:r>
        <w:t xml:space="preserve"> means the </w:t>
      </w:r>
      <w:r>
        <w:rPr>
          <w:i/>
        </w:rPr>
        <w:t>Liquor Act 1970</w:t>
      </w:r>
      <w:r>
        <w:rPr>
          <w:vertAlign w:val="superscript"/>
        </w:rPr>
        <w:t> 2</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outlineLvl w:val="5"/>
        <w:rPr>
          <w:snapToGrid w:val="0"/>
        </w:rPr>
      </w:pPr>
      <w:bookmarkStart w:id="580" w:name="_Toc522197498"/>
      <w:r>
        <w:rPr>
          <w:rStyle w:val="CharSClsNo"/>
        </w:rPr>
        <w:t>2</w:t>
      </w:r>
      <w:r>
        <w:rPr>
          <w:snapToGrid w:val="0"/>
        </w:rPr>
        <w:t>.</w:t>
      </w:r>
      <w:r>
        <w:rPr>
          <w:snapToGrid w:val="0"/>
        </w:rPr>
        <w:tab/>
        <w:t>Continuing effect of convictions, forfeitures etc.</w:t>
      </w:r>
      <w:bookmarkEnd w:id="580"/>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outlineLvl w:val="5"/>
        <w:rPr>
          <w:snapToGrid w:val="0"/>
        </w:rPr>
      </w:pPr>
      <w:bookmarkStart w:id="581" w:name="_Toc522197499"/>
      <w:r>
        <w:rPr>
          <w:rStyle w:val="CharSClsNo"/>
        </w:rPr>
        <w:t>3</w:t>
      </w:r>
      <w:r>
        <w:rPr>
          <w:snapToGrid w:val="0"/>
        </w:rPr>
        <w:t>.</w:t>
      </w:r>
      <w:r>
        <w:rPr>
          <w:snapToGrid w:val="0"/>
        </w:rPr>
        <w:tab/>
        <w:t>Proceedings part heard, rules of court, and appointments under repealed Act</w:t>
      </w:r>
      <w:bookmarkEnd w:id="581"/>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subject to any direction or requirement made by the Director, where no corresponding provision appears in this Act as 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 xml:space="preserve">as the judge under section 9 of the repealed Act, is deemed to have been appointed as the </w:t>
      </w:r>
      <w:smartTag w:uri="urn:schemas-microsoft-com:office:smarttags" w:element="Street">
        <w:smartTag w:uri="urn:schemas-microsoft-com:office:smarttags" w:element="address">
          <w:r>
            <w:rPr>
              <w:snapToGrid w:val="0"/>
            </w:rPr>
            <w:t>Liquor Licensing Court</w:t>
          </w:r>
        </w:smartTag>
      </w:smartTag>
      <w:r>
        <w:rPr>
          <w:snapToGrid w:val="0"/>
        </w:rPr>
        <w:t xml:space="preserve"> judge; or</w:t>
      </w:r>
    </w:p>
    <w:p>
      <w:pPr>
        <w:pStyle w:val="yIndenta"/>
        <w:keepNext/>
        <w:rPr>
          <w:snapToGrid w:val="0"/>
        </w:rPr>
      </w:pPr>
      <w:r>
        <w:rPr>
          <w:snapToGrid w:val="0"/>
        </w:rPr>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 xml:space="preserve">On the appointed day, the person who, immediately before that day, held office as Registrar of the </w:t>
      </w:r>
      <w:smartTag w:uri="urn:schemas-microsoft-com:office:smarttags" w:element="Street">
        <w:smartTag w:uri="urn:schemas-microsoft-com:office:smarttags" w:element="address">
          <w:r>
            <w:rPr>
              <w:snapToGrid w:val="0"/>
            </w:rPr>
            <w:t>Liquor Licensing Court</w:t>
          </w:r>
        </w:smartTag>
      </w:smartTag>
      <w:r>
        <w:rPr>
          <w:snapToGrid w:val="0"/>
        </w:rPr>
        <w: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Registrar for the purposes of this Act,</w:t>
      </w:r>
    </w:p>
    <w:p>
      <w:pPr>
        <w:pStyle w:val="ySubsection"/>
        <w:rPr>
          <w:snapToGrid w:val="0"/>
        </w:rPr>
      </w:pPr>
      <w:r>
        <w:rPr>
          <w:snapToGrid w:val="0"/>
        </w:rPr>
        <w:tab/>
      </w:r>
      <w:r>
        <w:rPr>
          <w:snapToGrid w:val="0"/>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4</w:t>
      </w:r>
      <w:r>
        <w:rPr>
          <w:snapToGrid w:val="0"/>
        </w:rPr>
        <w:t xml:space="preserve"> to hold a like office for the time being under section 14 for the purposes of this Act.</w:t>
      </w:r>
    </w:p>
    <w:p>
      <w:pPr>
        <w:pStyle w:val="yHeading5"/>
        <w:outlineLvl w:val="5"/>
        <w:rPr>
          <w:snapToGrid w:val="0"/>
        </w:rPr>
      </w:pPr>
      <w:bookmarkStart w:id="582" w:name="_Toc522197500"/>
      <w:r>
        <w:rPr>
          <w:rStyle w:val="CharSClsNo"/>
        </w:rPr>
        <w:t>4</w:t>
      </w:r>
      <w:r>
        <w:rPr>
          <w:snapToGrid w:val="0"/>
        </w:rPr>
        <w:t>.</w:t>
      </w:r>
      <w:r>
        <w:rPr>
          <w:snapToGrid w:val="0"/>
        </w:rPr>
        <w:tab/>
        <w:t>Fees</w:t>
      </w:r>
      <w:bookmarkEnd w:id="582"/>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 and</w:t>
      </w:r>
    </w:p>
    <w:p>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outlineLvl w:val="5"/>
        <w:rPr>
          <w:snapToGrid w:val="0"/>
        </w:rPr>
      </w:pPr>
      <w:bookmarkStart w:id="583" w:name="_Toc522197501"/>
      <w:r>
        <w:rPr>
          <w:rStyle w:val="CharSClsNo"/>
        </w:rPr>
        <w:t>5</w:t>
      </w:r>
      <w:r>
        <w:rPr>
          <w:snapToGrid w:val="0"/>
        </w:rPr>
        <w:t>.</w:t>
      </w:r>
      <w:r>
        <w:rPr>
          <w:snapToGrid w:val="0"/>
        </w:rPr>
        <w:tab/>
        <w:t>Continuing effect of conditions, delineated or designated areas, approvals etc.</w:t>
      </w:r>
      <w:bookmarkEnd w:id="583"/>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 or</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outlineLvl w:val="5"/>
        <w:rPr>
          <w:snapToGrid w:val="0"/>
        </w:rPr>
      </w:pPr>
      <w:bookmarkStart w:id="584" w:name="_Toc522197502"/>
      <w:r>
        <w:rPr>
          <w:rStyle w:val="CharSClsNo"/>
        </w:rPr>
        <w:t>6</w:t>
      </w:r>
      <w:r>
        <w:rPr>
          <w:snapToGrid w:val="0"/>
        </w:rPr>
        <w:t>.</w:t>
      </w:r>
      <w:r>
        <w:rPr>
          <w:snapToGrid w:val="0"/>
        </w:rPr>
        <w:tab/>
        <w:t>Conversion of licences generally</w:t>
      </w:r>
      <w:bookmarkEnd w:id="584"/>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tab/>
        <w:t>(a)</w:t>
      </w:r>
      <w:r>
        <w:rPr>
          <w:snapToGrid w:val="0"/>
        </w:rPr>
        <w:tab/>
        <w:t>where a permit was issued for a specified period or would otherwise have expired under the repealed Act, that permit expires; or</w:t>
      </w:r>
    </w:p>
    <w:p>
      <w:pPr>
        <w:pStyle w:val="yIndenta"/>
        <w:rPr>
          <w:snapToGrid w:val="0"/>
        </w:rPr>
      </w:pPr>
      <w:r>
        <w:rPr>
          <w:snapToGrid w:val="0"/>
        </w:rPr>
        <w:tab/>
        <w:t>(b)</w:t>
      </w:r>
      <w:r>
        <w:rPr>
          <w:snapToGrid w:val="0"/>
        </w:rPr>
        <w:tab/>
        <w:t>a licence is granted or a permit is issued to that person in accordance with subclause (2) in respect to those premises; or</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outlineLvl w:val="5"/>
        <w:rPr>
          <w:snapToGrid w:val="0"/>
        </w:rPr>
      </w:pPr>
      <w:bookmarkStart w:id="585" w:name="_Toc522197503"/>
      <w:r>
        <w:rPr>
          <w:rStyle w:val="CharSClsNo"/>
        </w:rPr>
        <w:t>7</w:t>
      </w:r>
      <w:r>
        <w:rPr>
          <w:snapToGrid w:val="0"/>
        </w:rPr>
        <w:t>.</w:t>
      </w:r>
      <w:r>
        <w:rPr>
          <w:snapToGrid w:val="0"/>
        </w:rPr>
        <w:tab/>
        <w:t>Hotel licences</w:t>
      </w:r>
      <w:bookmarkEnd w:id="585"/>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outlineLvl w:val="5"/>
        <w:rPr>
          <w:snapToGrid w:val="0"/>
        </w:rPr>
      </w:pPr>
      <w:bookmarkStart w:id="586" w:name="_Toc522197504"/>
      <w:r>
        <w:rPr>
          <w:rStyle w:val="CharSClsNo"/>
        </w:rPr>
        <w:t>8</w:t>
      </w:r>
      <w:r>
        <w:rPr>
          <w:snapToGrid w:val="0"/>
        </w:rPr>
        <w:t>.</w:t>
      </w:r>
      <w:r>
        <w:rPr>
          <w:snapToGrid w:val="0"/>
        </w:rPr>
        <w:tab/>
        <w:t>Limited hotel licences</w:t>
      </w:r>
      <w:bookmarkEnd w:id="586"/>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outlineLvl w:val="5"/>
        <w:rPr>
          <w:snapToGrid w:val="0"/>
        </w:rPr>
      </w:pPr>
      <w:bookmarkStart w:id="587" w:name="_Toc522197505"/>
      <w:r>
        <w:rPr>
          <w:rStyle w:val="CharSClsNo"/>
        </w:rPr>
        <w:t>9</w:t>
      </w:r>
      <w:r>
        <w:rPr>
          <w:snapToGrid w:val="0"/>
        </w:rPr>
        <w:t>.</w:t>
      </w:r>
      <w:r>
        <w:rPr>
          <w:snapToGrid w:val="0"/>
        </w:rPr>
        <w:tab/>
        <w:t>Tavern licences</w:t>
      </w:r>
      <w:bookmarkEnd w:id="587"/>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outlineLvl w:val="5"/>
        <w:rPr>
          <w:snapToGrid w:val="0"/>
        </w:rPr>
      </w:pPr>
      <w:bookmarkStart w:id="588" w:name="_Toc522197506"/>
      <w:r>
        <w:rPr>
          <w:rStyle w:val="CharSClsNo"/>
        </w:rPr>
        <w:t>10</w:t>
      </w:r>
      <w:r>
        <w:rPr>
          <w:snapToGrid w:val="0"/>
        </w:rPr>
        <w:t>.</w:t>
      </w:r>
      <w:r>
        <w:rPr>
          <w:snapToGrid w:val="0"/>
        </w:rPr>
        <w:tab/>
        <w:t>Obligatory trading hours relating to hotel licences</w:t>
      </w:r>
      <w:bookmarkEnd w:id="588"/>
      <w:r>
        <w:rPr>
          <w:snapToGrid w:val="0"/>
        </w:rPr>
        <w:t xml:space="preserve"> </w:t>
      </w:r>
    </w:p>
    <w:p>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outlineLvl w:val="5"/>
        <w:rPr>
          <w:snapToGrid w:val="0"/>
        </w:rPr>
      </w:pPr>
      <w:bookmarkStart w:id="589" w:name="_Toc522197507"/>
      <w:r>
        <w:rPr>
          <w:rStyle w:val="CharSClsNo"/>
        </w:rPr>
        <w:t>11</w:t>
      </w:r>
      <w:r>
        <w:rPr>
          <w:snapToGrid w:val="0"/>
        </w:rPr>
        <w:t>.</w:t>
      </w:r>
      <w:r>
        <w:rPr>
          <w:snapToGrid w:val="0"/>
        </w:rPr>
        <w:tab/>
        <w:t>Winehouse licences and Australian wine licences</w:t>
      </w:r>
      <w:bookmarkEnd w:id="589"/>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r>
      <w:r>
        <w:rPr>
          <w:snapToGrid w:val="0"/>
        </w:rPr>
        <w:tab/>
        <w:t>or</w:t>
      </w:r>
      <w:r>
        <w:rPr>
          <w:snapToGrid w:val="0"/>
        </w:rPr>
        <w:tab/>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outlineLvl w:val="5"/>
        <w:rPr>
          <w:snapToGrid w:val="0"/>
        </w:rPr>
      </w:pPr>
      <w:bookmarkStart w:id="590" w:name="_Toc522197508"/>
      <w:r>
        <w:rPr>
          <w:rStyle w:val="CharSClsNo"/>
        </w:rPr>
        <w:t>12</w:t>
      </w:r>
      <w:r>
        <w:rPr>
          <w:snapToGrid w:val="0"/>
        </w:rPr>
        <w:t>.</w:t>
      </w:r>
      <w:r>
        <w:rPr>
          <w:snapToGrid w:val="0"/>
        </w:rPr>
        <w:tab/>
        <w:t>Casino liquor licences</w:t>
      </w:r>
      <w:bookmarkEnd w:id="590"/>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outlineLvl w:val="5"/>
        <w:rPr>
          <w:snapToGrid w:val="0"/>
        </w:rPr>
      </w:pPr>
      <w:bookmarkStart w:id="591" w:name="_Toc522197509"/>
      <w:r>
        <w:rPr>
          <w:rStyle w:val="CharSClsNo"/>
        </w:rPr>
        <w:t>13</w:t>
      </w:r>
      <w:r>
        <w:rPr>
          <w:snapToGrid w:val="0"/>
        </w:rPr>
        <w:t>.</w:t>
      </w:r>
      <w:r>
        <w:rPr>
          <w:snapToGrid w:val="0"/>
        </w:rPr>
        <w:tab/>
        <w:t>Cabaret licences</w:t>
      </w:r>
      <w:bookmarkEnd w:id="591"/>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outlineLvl w:val="5"/>
        <w:rPr>
          <w:snapToGrid w:val="0"/>
        </w:rPr>
      </w:pPr>
      <w:bookmarkStart w:id="592" w:name="_Toc522197510"/>
      <w:r>
        <w:rPr>
          <w:rStyle w:val="CharSClsNo"/>
        </w:rPr>
        <w:t>14</w:t>
      </w:r>
      <w:r>
        <w:rPr>
          <w:snapToGrid w:val="0"/>
        </w:rPr>
        <w:t>.</w:t>
      </w:r>
      <w:r>
        <w:rPr>
          <w:snapToGrid w:val="0"/>
        </w:rPr>
        <w:tab/>
        <w:t>Restaurant licences</w:t>
      </w:r>
      <w:bookmarkEnd w:id="592"/>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outlineLvl w:val="5"/>
        <w:rPr>
          <w:snapToGrid w:val="0"/>
        </w:rPr>
      </w:pPr>
      <w:bookmarkStart w:id="593" w:name="_Toc522197511"/>
      <w:r>
        <w:rPr>
          <w:rStyle w:val="CharSClsNo"/>
        </w:rPr>
        <w:t>15</w:t>
      </w:r>
      <w:r>
        <w:rPr>
          <w:snapToGrid w:val="0"/>
        </w:rPr>
        <w:t>.</w:t>
      </w:r>
      <w:r>
        <w:rPr>
          <w:snapToGrid w:val="0"/>
        </w:rPr>
        <w:tab/>
        <w:t>Restaurant facilities on premises formerly licensed as a hotel, tavern, limited hotel, or winehouse</w:t>
      </w:r>
      <w:bookmarkEnd w:id="593"/>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 or</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outlineLvl w:val="5"/>
        <w:rPr>
          <w:snapToGrid w:val="0"/>
        </w:rPr>
      </w:pPr>
      <w:bookmarkStart w:id="594" w:name="_Toc522197512"/>
      <w:r>
        <w:rPr>
          <w:rStyle w:val="CharSClsNo"/>
        </w:rPr>
        <w:t>16</w:t>
      </w:r>
      <w:r>
        <w:rPr>
          <w:snapToGrid w:val="0"/>
        </w:rPr>
        <w:t>.</w:t>
      </w:r>
      <w:r>
        <w:rPr>
          <w:snapToGrid w:val="0"/>
        </w:rPr>
        <w:tab/>
        <w:t>Store licences</w:t>
      </w:r>
      <w:bookmarkEnd w:id="594"/>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outlineLvl w:val="5"/>
        <w:rPr>
          <w:snapToGrid w:val="0"/>
        </w:rPr>
      </w:pPr>
      <w:bookmarkStart w:id="595" w:name="_Toc522197513"/>
      <w:r>
        <w:rPr>
          <w:rStyle w:val="CharSClsNo"/>
        </w:rPr>
        <w:t>17</w:t>
      </w:r>
      <w:r>
        <w:rPr>
          <w:snapToGrid w:val="0"/>
        </w:rPr>
        <w:t>.</w:t>
      </w:r>
      <w:r>
        <w:rPr>
          <w:snapToGrid w:val="0"/>
        </w:rPr>
        <w:tab/>
        <w:t>Vigneron’s licences and brewer’s licences</w:t>
      </w:r>
      <w:bookmarkEnd w:id="595"/>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 xml:space="preserve">The brewer’s licence that was, immediately before the appointed day, held by </w:t>
      </w:r>
      <w:smartTag w:uri="urn:schemas-microsoft-com:office:smarttags" w:element="place">
        <w:smartTag w:uri="urn:schemas-microsoft-com:office:smarttags" w:element="City">
          <w:r>
            <w:rPr>
              <w:snapToGrid w:val="0"/>
            </w:rPr>
            <w:t>Carlton</w:t>
          </w:r>
        </w:smartTag>
      </w:smartTag>
      <w:r>
        <w:rPr>
          <w:snapToGrid w:val="0"/>
        </w:rPr>
        <w:t xml:space="preserve">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outlineLvl w:val="5"/>
        <w:rPr>
          <w:snapToGrid w:val="0"/>
        </w:rPr>
      </w:pPr>
      <w:bookmarkStart w:id="596" w:name="_Toc522197514"/>
      <w:r>
        <w:rPr>
          <w:rStyle w:val="CharSClsNo"/>
        </w:rPr>
        <w:t>18</w:t>
      </w:r>
      <w:r>
        <w:rPr>
          <w:snapToGrid w:val="0"/>
        </w:rPr>
        <w:t>.</w:t>
      </w:r>
      <w:r>
        <w:rPr>
          <w:snapToGrid w:val="0"/>
        </w:rPr>
        <w:tab/>
        <w:t>Wholesale licences</w:t>
      </w:r>
      <w:bookmarkEnd w:id="596"/>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outlineLvl w:val="5"/>
        <w:rPr>
          <w:snapToGrid w:val="0"/>
        </w:rPr>
      </w:pPr>
      <w:bookmarkStart w:id="597" w:name="_Toc522197515"/>
      <w:r>
        <w:rPr>
          <w:rStyle w:val="CharSClsNo"/>
        </w:rPr>
        <w:t>19</w:t>
      </w:r>
      <w:r>
        <w:rPr>
          <w:snapToGrid w:val="0"/>
        </w:rPr>
        <w:t>.</w:t>
      </w:r>
      <w:r>
        <w:rPr>
          <w:snapToGrid w:val="0"/>
        </w:rPr>
        <w:tab/>
        <w:t>Club licences and unlicensed club permits</w:t>
      </w:r>
      <w:bookmarkEnd w:id="597"/>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 or</w:t>
      </w:r>
    </w:p>
    <w:p>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outlineLvl w:val="5"/>
        <w:rPr>
          <w:snapToGrid w:val="0"/>
        </w:rPr>
      </w:pPr>
      <w:bookmarkStart w:id="598" w:name="_Toc522197516"/>
      <w:r>
        <w:rPr>
          <w:rStyle w:val="CharSClsNo"/>
        </w:rPr>
        <w:t>20</w:t>
      </w:r>
      <w:r>
        <w:rPr>
          <w:snapToGrid w:val="0"/>
        </w:rPr>
        <w:t>.</w:t>
      </w:r>
      <w:r>
        <w:rPr>
          <w:snapToGrid w:val="0"/>
        </w:rPr>
        <w:tab/>
        <w:t>Certain licences to become special facility licences</w:t>
      </w:r>
      <w:bookmarkEnd w:id="598"/>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outlineLvl w:val="5"/>
        <w:rPr>
          <w:snapToGrid w:val="0"/>
        </w:rPr>
      </w:pPr>
      <w:bookmarkStart w:id="599" w:name="_Toc522197517"/>
      <w:r>
        <w:rPr>
          <w:rStyle w:val="CharSClsNo"/>
        </w:rPr>
        <w:t>21</w:t>
      </w:r>
      <w:r>
        <w:rPr>
          <w:snapToGrid w:val="0"/>
        </w:rPr>
        <w:t>.</w:t>
      </w:r>
      <w:r>
        <w:rPr>
          <w:snapToGrid w:val="0"/>
        </w:rPr>
        <w:tab/>
        <w:t>Caterer’s permit</w:t>
      </w:r>
      <w:bookmarkEnd w:id="599"/>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outlineLvl w:val="5"/>
        <w:rPr>
          <w:snapToGrid w:val="0"/>
        </w:rPr>
      </w:pPr>
      <w:bookmarkStart w:id="600" w:name="_Toc522197518"/>
      <w:r>
        <w:rPr>
          <w:rStyle w:val="CharSClsNo"/>
        </w:rPr>
        <w:t>22</w:t>
      </w:r>
      <w:r>
        <w:rPr>
          <w:snapToGrid w:val="0"/>
        </w:rPr>
        <w:t>.</w:t>
      </w:r>
      <w:r>
        <w:rPr>
          <w:snapToGrid w:val="0"/>
        </w:rPr>
        <w:tab/>
        <w:t>Exempted producers etc.</w:t>
      </w:r>
      <w:bookmarkEnd w:id="600"/>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outlineLvl w:val="5"/>
        <w:rPr>
          <w:snapToGrid w:val="0"/>
        </w:rPr>
      </w:pPr>
      <w:bookmarkStart w:id="601" w:name="_Toc522197519"/>
      <w:r>
        <w:rPr>
          <w:rStyle w:val="CharSClsNo"/>
        </w:rPr>
        <w:t>23</w:t>
      </w:r>
      <w:r>
        <w:rPr>
          <w:snapToGrid w:val="0"/>
        </w:rPr>
        <w:t>.</w:t>
      </w:r>
      <w:r>
        <w:rPr>
          <w:snapToGrid w:val="0"/>
        </w:rPr>
        <w:tab/>
        <w:t>Certain licences may become special facility licences</w:t>
      </w:r>
      <w:bookmarkEnd w:id="601"/>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outlineLvl w:val="5"/>
        <w:rPr>
          <w:snapToGrid w:val="0"/>
        </w:rPr>
      </w:pPr>
      <w:bookmarkStart w:id="602" w:name="_Toc522197520"/>
      <w:r>
        <w:rPr>
          <w:rStyle w:val="CharSClsNo"/>
        </w:rPr>
        <w:t>24</w:t>
      </w:r>
      <w:r>
        <w:rPr>
          <w:snapToGrid w:val="0"/>
        </w:rPr>
        <w:t>.</w:t>
      </w:r>
      <w:r>
        <w:rPr>
          <w:snapToGrid w:val="0"/>
        </w:rPr>
        <w:tab/>
        <w:t>References in other written laws</w:t>
      </w:r>
      <w:bookmarkEnd w:id="602"/>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vertAlign w:val="superscript"/>
        </w:rPr>
        <w:t> 5</w:t>
      </w:r>
      <w:r>
        <w:rPr>
          <w:snapToGrid w:val="0"/>
        </w:rPr>
        <w:t xml:space="preserve"> to the Licensing Court of Western Australia shall be read and construed as references to the </w:t>
      </w:r>
      <w:smartTag w:uri="urn:schemas-microsoft-com:office:smarttags" w:element="Street">
        <w:smartTag w:uri="urn:schemas-microsoft-com:office:smarttags" w:element="address">
          <w:r>
            <w:rPr>
              <w:snapToGrid w:val="0"/>
            </w:rPr>
            <w:t>Liquor Licensing Court</w:t>
          </w:r>
        </w:smartTag>
      </w:smartTag>
      <w:r>
        <w:rPr>
          <w:snapToGrid w:val="0"/>
        </w:rPr>
        <w: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rPr>
        <w:t xml:space="preserve"> </w:t>
      </w:r>
      <w:r>
        <w:rPr>
          <w:snapToGrid w:val="0"/>
          <w:vertAlign w:val="superscript"/>
        </w:rPr>
        <w:t>6</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pPr>
      <w:bookmarkStart w:id="603" w:name="_Toc471906994"/>
      <w:bookmarkStart w:id="604" w:name="_Toc472001911"/>
      <w:bookmarkStart w:id="605" w:name="_Toc472676939"/>
      <w:bookmarkStart w:id="606" w:name="_Toc472682324"/>
      <w:bookmarkStart w:id="607" w:name="_Toc473119465"/>
      <w:bookmarkStart w:id="608" w:name="_Toc522197521"/>
      <w:r>
        <w:rPr>
          <w:rStyle w:val="CharSchNo"/>
        </w:rPr>
        <w:t>Schedule 1A</w:t>
      </w:r>
      <w:r>
        <w:rPr>
          <w:rStyle w:val="CharSDivNo"/>
        </w:rPr>
        <w:t> </w:t>
      </w:r>
      <w:r>
        <w:t>—</w:t>
      </w:r>
      <w:r>
        <w:rPr>
          <w:rStyle w:val="CharSDivText"/>
        </w:rPr>
        <w:t> </w:t>
      </w:r>
      <w:r>
        <w:rPr>
          <w:rStyle w:val="CharSchText"/>
        </w:rPr>
        <w:t xml:space="preserve">Transitional provisions relating to the </w:t>
      </w:r>
      <w:r>
        <w:rPr>
          <w:rStyle w:val="CharSchText"/>
          <w:i/>
        </w:rPr>
        <w:t>Liquor and Gaming Legislation Amendment Act 2006</w:t>
      </w:r>
      <w:bookmarkEnd w:id="603"/>
      <w:bookmarkEnd w:id="604"/>
      <w:bookmarkEnd w:id="605"/>
      <w:bookmarkEnd w:id="606"/>
      <w:bookmarkEnd w:id="607"/>
      <w:bookmarkEnd w:id="608"/>
    </w:p>
    <w:p>
      <w:pPr>
        <w:pStyle w:val="yShoulderClause"/>
      </w:pPr>
      <w:r>
        <w:t>[s. 177A]</w:t>
      </w:r>
    </w:p>
    <w:p>
      <w:pPr>
        <w:pStyle w:val="yFootnoteheading"/>
      </w:pPr>
      <w:r>
        <w:tab/>
        <w:t>[Heading inserted by No. 73 of 2006 s. 104.]</w:t>
      </w:r>
    </w:p>
    <w:p>
      <w:pPr>
        <w:pStyle w:val="yHeading5"/>
        <w:outlineLvl w:val="5"/>
      </w:pPr>
      <w:bookmarkStart w:id="609" w:name="_Toc522197522"/>
      <w:r>
        <w:rPr>
          <w:rStyle w:val="CharSClsNo"/>
        </w:rPr>
        <w:t>1</w:t>
      </w:r>
      <w:r>
        <w:t>.</w:t>
      </w:r>
      <w:r>
        <w:rPr>
          <w:b w:val="0"/>
        </w:rPr>
        <w:tab/>
      </w:r>
      <w:r>
        <w:t>Terms used</w:t>
      </w:r>
      <w:bookmarkEnd w:id="609"/>
    </w:p>
    <w:p>
      <w:pPr>
        <w:pStyle w:val="ySubsection"/>
      </w:pPr>
      <w:r>
        <w:tab/>
      </w:r>
      <w:r>
        <w:tab/>
        <w:t xml:space="preserve">In this Schedule, unless the context otherwise requires — </w:t>
      </w:r>
    </w:p>
    <w:p>
      <w:pPr>
        <w:pStyle w:val="yDefstart"/>
      </w:pPr>
      <w:r>
        <w:tab/>
      </w:r>
      <w:r>
        <w:rPr>
          <w:rStyle w:val="CharDefText"/>
        </w:rPr>
        <w:t>commencement day</w:t>
      </w:r>
      <w:r>
        <w:t xml:space="preserve"> means the day on which the </w:t>
      </w:r>
      <w:r>
        <w:rPr>
          <w:i/>
        </w:rPr>
        <w:t>Liquor and Gaming Legislation Amendment Act 2006</w:t>
      </w:r>
      <w:r>
        <w:t xml:space="preserve"> section 103 comes into operation;</w:t>
      </w:r>
    </w:p>
    <w:p>
      <w:pPr>
        <w:pStyle w:val="yDefstart"/>
      </w:pPr>
      <w:r>
        <w:tab/>
      </w:r>
      <w:r>
        <w:rPr>
          <w:rStyle w:val="CharDefText"/>
        </w:rPr>
        <w:t>Court</w:t>
      </w:r>
      <w:r>
        <w:t xml:space="preserve"> means the </w:t>
      </w:r>
      <w:smartTag w:uri="urn:schemas-microsoft-com:office:smarttags" w:element="Street">
        <w:smartTag w:uri="urn:schemas-microsoft-com:office:smarttags" w:element="address">
          <w:r>
            <w:t>Liquor Licensing Court</w:t>
          </w:r>
        </w:smartTag>
      </w:smartTag>
      <w:r>
        <w:t xml:space="preserve"> preserved and continued under section 8 of the former Act;</w:t>
      </w:r>
    </w:p>
    <w:p>
      <w:pPr>
        <w:pStyle w:val="yDefstart"/>
      </w:pPr>
      <w:r>
        <w:tab/>
      </w:r>
      <w:r>
        <w:rPr>
          <w:rStyle w:val="CharDefText"/>
        </w:rPr>
        <w:t>former Act</w:t>
      </w:r>
      <w:r>
        <w:t xml:space="preserve"> means this Act as in force immediately before the commencement day;</w:t>
      </w:r>
    </w:p>
    <w:p>
      <w:pPr>
        <w:pStyle w:val="yDefstart"/>
      </w:pPr>
      <w:r>
        <w:tab/>
      </w:r>
      <w:r>
        <w:rPr>
          <w:rStyle w:val="CharDefText"/>
        </w:rPr>
        <w:t>new Act</w:t>
      </w:r>
      <w:r>
        <w:t xml:space="preserve"> means this Act as in force on the commencement day.</w:t>
      </w:r>
    </w:p>
    <w:p>
      <w:pPr>
        <w:pStyle w:val="yFootnotesection"/>
      </w:pPr>
      <w:r>
        <w:tab/>
        <w:t>[Clause 1 inserted by No. 73 of 2006 s. 104.]</w:t>
      </w:r>
    </w:p>
    <w:p>
      <w:pPr>
        <w:pStyle w:val="yHeading5"/>
        <w:outlineLvl w:val="5"/>
      </w:pPr>
      <w:bookmarkStart w:id="610" w:name="_Toc522197523"/>
      <w:r>
        <w:rPr>
          <w:rStyle w:val="CharSClsNo"/>
        </w:rPr>
        <w:t>2</w:t>
      </w:r>
      <w:r>
        <w:t>.</w:t>
      </w:r>
      <w:r>
        <w:rPr>
          <w:b w:val="0"/>
        </w:rPr>
        <w:tab/>
      </w:r>
      <w:r>
        <w:t>Liquor Licensing Court</w:t>
      </w:r>
      <w:bookmarkEnd w:id="610"/>
      <w:r>
        <w:t xml:space="preserve"> </w:t>
      </w:r>
    </w:p>
    <w:p>
      <w:pPr>
        <w:pStyle w:val="ySubsection"/>
      </w:pPr>
      <w:r>
        <w:tab/>
        <w:t>(1)</w:t>
      </w:r>
      <w:r>
        <w:tab/>
        <w:t xml:space="preserve">The Court is abolished — </w:t>
      </w:r>
    </w:p>
    <w:p>
      <w:pPr>
        <w:pStyle w:val="yIndenta"/>
      </w:pPr>
      <w:r>
        <w:tab/>
        <w:t>(a)</w:t>
      </w:r>
      <w:r>
        <w:tab/>
        <w:t>on the commencement day; or</w:t>
      </w:r>
    </w:p>
    <w:p>
      <w:pPr>
        <w:pStyle w:val="yIndenta"/>
      </w:pPr>
      <w:r>
        <w:tab/>
        <w:t>(b)</w:t>
      </w:r>
      <w:r>
        <w:tab/>
        <w:t>if subclause (2) applies — on the date specified in the notice under subclause (3).</w:t>
      </w:r>
    </w:p>
    <w:p>
      <w:pPr>
        <w:pStyle w:val="y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pPr>
        <w:pStyle w:val="y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pPr>
        <w:pStyle w:val="yFootnotesection"/>
      </w:pPr>
      <w:r>
        <w:tab/>
        <w:t>[Clause 2 inserted by No. 73 of 2006 s. 104.]</w:t>
      </w:r>
    </w:p>
    <w:p>
      <w:pPr>
        <w:pStyle w:val="yHeading5"/>
        <w:outlineLvl w:val="5"/>
      </w:pPr>
      <w:bookmarkStart w:id="611" w:name="_Toc522197524"/>
      <w:smartTag w:uri="urn:schemas-microsoft-com:office:smarttags" w:element="Street">
        <w:smartTag w:uri="urn:schemas-microsoft-com:office:smarttags" w:element="address">
          <w:r>
            <w:rPr>
              <w:rStyle w:val="CharSClsNo"/>
            </w:rPr>
            <w:t>3</w:t>
          </w:r>
          <w:r>
            <w:t>.</w:t>
          </w:r>
          <w:r>
            <w:rPr>
              <w:b w:val="0"/>
            </w:rPr>
            <w:tab/>
          </w:r>
          <w:r>
            <w:t>Liquor Licensing Court</w:t>
          </w:r>
        </w:smartTag>
      </w:smartTag>
      <w:r>
        <w:t xml:space="preserve"> judge</w:t>
      </w:r>
      <w:bookmarkEnd w:id="611"/>
    </w:p>
    <w:p>
      <w:pPr>
        <w:pStyle w:val="ySubsection"/>
      </w:pPr>
      <w:r>
        <w:tab/>
      </w:r>
      <w:r>
        <w:tab/>
        <w:t xml:space="preserve">The person holding office, immediately before the commencement day, as the </w:t>
      </w:r>
      <w:smartTag w:uri="urn:schemas-microsoft-com:office:smarttags" w:element="Street">
        <w:smartTag w:uri="urn:schemas-microsoft-com:office:smarttags" w:element="address">
          <w:r>
            <w:t>Liquor Licensing Court</w:t>
          </w:r>
        </w:smartTag>
      </w:smartTag>
      <w:r>
        <w:t xml:space="preserve"> judge referred to in section 9 of the former Act ceases to hold that office on the abolition of the Court under clause 2.</w:t>
      </w:r>
    </w:p>
    <w:p>
      <w:pPr>
        <w:pStyle w:val="yFootnotesection"/>
      </w:pPr>
      <w:r>
        <w:tab/>
        <w:t>[Clause 3 inserted by No. 73 of 2006 s. 104.]</w:t>
      </w:r>
    </w:p>
    <w:p>
      <w:pPr>
        <w:pStyle w:val="yHeading5"/>
        <w:outlineLvl w:val="5"/>
      </w:pPr>
      <w:bookmarkStart w:id="612" w:name="_Toc522197525"/>
      <w:r>
        <w:rPr>
          <w:rStyle w:val="CharSClsNo"/>
        </w:rPr>
        <w:t>4</w:t>
      </w:r>
      <w:r>
        <w:t>.</w:t>
      </w:r>
      <w:r>
        <w:rPr>
          <w:b w:val="0"/>
        </w:rPr>
        <w:tab/>
      </w:r>
      <w:r>
        <w:t>Pending cases stated and appeals to Supreme Court</w:t>
      </w:r>
      <w:bookmarkEnd w:id="612"/>
    </w:p>
    <w:p>
      <w:pPr>
        <w:pStyle w:val="y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pPr>
        <w:pStyle w:val="y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pPr>
        <w:pStyle w:val="yFootnotesection"/>
      </w:pPr>
      <w:r>
        <w:tab/>
        <w:t>[Clause 4 inserted by No. 73 of 2006 s. 104.]</w:t>
      </w:r>
    </w:p>
    <w:p>
      <w:pPr>
        <w:pStyle w:val="yHeading5"/>
        <w:outlineLvl w:val="5"/>
      </w:pPr>
      <w:bookmarkStart w:id="613" w:name="_Toc522197526"/>
      <w:r>
        <w:rPr>
          <w:rStyle w:val="CharSClsNo"/>
        </w:rPr>
        <w:t>5</w:t>
      </w:r>
      <w:r>
        <w:t>.</w:t>
      </w:r>
      <w:r>
        <w:rPr>
          <w:b w:val="0"/>
        </w:rPr>
        <w:tab/>
      </w:r>
      <w:r>
        <w:t>Pending applications and matters</w:t>
      </w:r>
      <w:bookmarkEnd w:id="613"/>
    </w:p>
    <w:p>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pPr>
        <w:pStyle w:val="ySubsection"/>
      </w:pPr>
      <w:r>
        <w:tab/>
        <w:t>(3)</w:t>
      </w:r>
      <w:r>
        <w:tab/>
        <w:t xml:space="preserve">If — </w:t>
      </w:r>
    </w:p>
    <w:p>
      <w:pPr>
        <w:pStyle w:val="yIndenta"/>
      </w:pPr>
      <w:r>
        <w:tab/>
        <w:t>(a)</w:t>
      </w:r>
      <w:r>
        <w:tab/>
        <w:t>an application or matter was before the licensing authority under the former Act; but</w:t>
      </w:r>
    </w:p>
    <w:p>
      <w:pPr>
        <w:pStyle w:val="yIndenta"/>
      </w:pPr>
      <w:r>
        <w:tab/>
        <w:t>(b)</w:t>
      </w:r>
      <w:r>
        <w:tab/>
        <w:t>the licensing authority has not begun to hear or determine the application or matter immediately before the commencement day,</w:t>
      </w:r>
    </w:p>
    <w:p>
      <w:pPr>
        <w:pStyle w:val="ySubsection"/>
      </w:pPr>
      <w:r>
        <w:tab/>
      </w:r>
      <w:r>
        <w:tab/>
        <w:t>the application or matter is to be dealt with on or after that day in accordance with the relevant provisions of the new Act.</w:t>
      </w:r>
    </w:p>
    <w:p>
      <w:pPr>
        <w:pStyle w:val="ySubsection"/>
      </w:pPr>
      <w:r>
        <w:tab/>
        <w:t>(4)</w:t>
      </w:r>
      <w:r>
        <w:tab/>
        <w:t xml:space="preserve">If — </w:t>
      </w:r>
    </w:p>
    <w:p>
      <w:pPr>
        <w:pStyle w:val="yIndenta"/>
      </w:pPr>
      <w:r>
        <w:tab/>
        <w:t>(a)</w:t>
      </w:r>
      <w:r>
        <w:tab/>
        <w:t>the Court determined under the former Act that an application or matter is to be referred to or further considered by the Court; and</w:t>
      </w:r>
    </w:p>
    <w:p>
      <w:pPr>
        <w:pStyle w:val="yIndenta"/>
      </w:pPr>
      <w:r>
        <w:tab/>
        <w:t>(b)</w:t>
      </w:r>
      <w:r>
        <w:tab/>
        <w:t>the application or matter has not been referred to or further considered by the Court immediately before the commencement day,</w:t>
      </w:r>
    </w:p>
    <w:p>
      <w:pPr>
        <w:pStyle w:val="ySubsection"/>
      </w:pPr>
      <w:r>
        <w:tab/>
      </w:r>
      <w:r>
        <w:tab/>
        <w:t>then, on or after that day, the application or matter may be referred to or further considered by either the Director or the Commission under the new Act.</w:t>
      </w:r>
    </w:p>
    <w:p>
      <w:pPr>
        <w:pStyle w:val="yFootnotesection"/>
      </w:pPr>
      <w:r>
        <w:tab/>
        <w:t>[Clause 5 inserted by No. 73 of 2006 s. 104.]</w:t>
      </w:r>
    </w:p>
    <w:p>
      <w:pPr>
        <w:pStyle w:val="yHeading5"/>
        <w:outlineLvl w:val="5"/>
      </w:pPr>
      <w:bookmarkStart w:id="614" w:name="_Toc522197527"/>
      <w:r>
        <w:rPr>
          <w:rStyle w:val="CharSClsNo"/>
        </w:rPr>
        <w:t>6</w:t>
      </w:r>
      <w:r>
        <w:t>.</w:t>
      </w:r>
      <w:r>
        <w:rPr>
          <w:b w:val="0"/>
        </w:rPr>
        <w:tab/>
      </w:r>
      <w:r>
        <w:t xml:space="preserve">Licences granted and permits issued by </w:t>
      </w:r>
      <w:smartTag w:uri="urn:schemas-microsoft-com:office:smarttags" w:element="Street">
        <w:smartTag w:uri="urn:schemas-microsoft-com:office:smarttags" w:element="address">
          <w:r>
            <w:t>Liquor Licensing Court</w:t>
          </w:r>
        </w:smartTag>
      </w:smartTag>
      <w:bookmarkEnd w:id="614"/>
    </w:p>
    <w:p>
      <w:pPr>
        <w:pStyle w:val="ySubsection"/>
      </w:pPr>
      <w:r>
        <w:tab/>
      </w:r>
      <w:r>
        <w:tab/>
        <w:t>A licence granted or a permit issued by the Court that has effect immediately before the commencement day continues to have effect, on and after that day, as if it had been granted or issued by the Commission.</w:t>
      </w:r>
    </w:p>
    <w:p>
      <w:pPr>
        <w:pStyle w:val="yFootnotesection"/>
      </w:pPr>
      <w:r>
        <w:tab/>
        <w:t>[Clause 6 inserted by No. 73 of 2006 s. 104.]</w:t>
      </w:r>
    </w:p>
    <w:p>
      <w:pPr>
        <w:pStyle w:val="yHeading5"/>
        <w:spacing w:before="180"/>
        <w:outlineLvl w:val="5"/>
      </w:pPr>
      <w:bookmarkStart w:id="615" w:name="_Toc522197528"/>
      <w:r>
        <w:rPr>
          <w:rStyle w:val="CharSClsNo"/>
        </w:rPr>
        <w:t>7</w:t>
      </w:r>
      <w:r>
        <w:t>.</w:t>
      </w:r>
      <w:r>
        <w:rPr>
          <w:b w:val="0"/>
        </w:rPr>
        <w:tab/>
      </w:r>
      <w:r>
        <w:t>Cabaret licences</w:t>
      </w:r>
      <w:bookmarkEnd w:id="615"/>
    </w:p>
    <w:p>
      <w:pPr>
        <w:pStyle w:val="y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pPr>
        <w:pStyle w:val="ySubsection"/>
      </w:pPr>
      <w:r>
        <w:tab/>
        <w:t>(2)</w:t>
      </w:r>
      <w:r>
        <w:tab/>
        <w:t>A reference in a written law or other document or instrument to a cabaret licence may, where the context so requires, be read as if it had been amended to be a reference to a nightclub licence.</w:t>
      </w:r>
    </w:p>
    <w:p>
      <w:pPr>
        <w:pStyle w:val="yFootnotesection"/>
      </w:pPr>
      <w:r>
        <w:tab/>
        <w:t>[Clause 7 inserted by No. 73 of 2006 s. 104.]</w:t>
      </w:r>
    </w:p>
    <w:p>
      <w:pPr>
        <w:pStyle w:val="yHeading5"/>
        <w:spacing w:before="180"/>
        <w:outlineLvl w:val="5"/>
      </w:pPr>
      <w:bookmarkStart w:id="616" w:name="_Toc522197529"/>
      <w:r>
        <w:rPr>
          <w:rStyle w:val="CharSClsNo"/>
        </w:rPr>
        <w:t>8</w:t>
      </w:r>
      <w:r>
        <w:t>.</w:t>
      </w:r>
      <w:r>
        <w:rPr>
          <w:b w:val="0"/>
        </w:rPr>
        <w:tab/>
      </w:r>
      <w:r>
        <w:t>Courses of training and assessments</w:t>
      </w:r>
      <w:bookmarkEnd w:id="616"/>
    </w:p>
    <w:p>
      <w:pPr>
        <w:pStyle w:val="ySubsection"/>
      </w:pPr>
      <w:r>
        <w:tab/>
      </w:r>
      <w:r>
        <w:tab/>
        <w:t>For the purposes of the application of paragraph (c) of section 35B(3) of the new Act to a person who was employed as a manager immediately before the commencement day, the period referred to in that paragraph is to be taken to be the period of 12 months after that day.</w:t>
      </w:r>
    </w:p>
    <w:p>
      <w:pPr>
        <w:pStyle w:val="yFootnotesection"/>
      </w:pPr>
      <w:r>
        <w:tab/>
        <w:t>[Clause 8 inserted by No. 73 of 2006 s. 104.]</w:t>
      </w:r>
    </w:p>
    <w:p>
      <w:pPr>
        <w:pStyle w:val="yHeading5"/>
        <w:outlineLvl w:val="5"/>
      </w:pPr>
      <w:bookmarkStart w:id="617" w:name="_Toc522197530"/>
      <w:r>
        <w:rPr>
          <w:rStyle w:val="CharSClsNo"/>
        </w:rPr>
        <w:t>9</w:t>
      </w:r>
      <w:r>
        <w:t>.</w:t>
      </w:r>
      <w:r>
        <w:rPr>
          <w:b w:val="0"/>
        </w:rPr>
        <w:tab/>
      </w:r>
      <w:r>
        <w:t xml:space="preserve">References to </w:t>
      </w:r>
      <w:smartTag w:uri="urn:schemas-microsoft-com:office:smarttags" w:element="Street">
        <w:smartTag w:uri="urn:schemas-microsoft-com:office:smarttags" w:element="address">
          <w:r>
            <w:t>Liquor Licensing Court</w:t>
          </w:r>
        </w:smartTag>
      </w:smartTag>
      <w:r>
        <w:t xml:space="preserve"> and </w:t>
      </w:r>
      <w:smartTag w:uri="urn:schemas-microsoft-com:office:smarttags" w:element="Street">
        <w:smartTag w:uri="urn:schemas-microsoft-com:office:smarttags" w:element="address">
          <w:r>
            <w:t>Liquor Licensing Court</w:t>
          </w:r>
        </w:smartTag>
      </w:smartTag>
      <w:r>
        <w:t xml:space="preserve"> judge</w:t>
      </w:r>
      <w:bookmarkEnd w:id="617"/>
    </w:p>
    <w:p>
      <w:pPr>
        <w:pStyle w:val="ySubsection"/>
      </w:pPr>
      <w:r>
        <w:tab/>
        <w:t>(1)</w:t>
      </w:r>
      <w:r>
        <w:tab/>
        <w:t>A reference in a written law or other document or instrument to the Court may, where the context so requires, be read as if it had been amended to be a reference to the Commission.</w:t>
      </w:r>
    </w:p>
    <w:p>
      <w:pPr>
        <w:pStyle w:val="ySubsection"/>
      </w:pPr>
      <w:r>
        <w:tab/>
        <w:t>(2)</w:t>
      </w:r>
      <w:r>
        <w:tab/>
        <w:t xml:space="preserve">A reference in a written law or other document or instrument to the </w:t>
      </w:r>
      <w:smartTag w:uri="urn:schemas-microsoft-com:office:smarttags" w:element="Street">
        <w:smartTag w:uri="urn:schemas-microsoft-com:office:smarttags" w:element="address">
          <w:r>
            <w:t>Liquor Licensing Court</w:t>
          </w:r>
        </w:smartTag>
      </w:smartTag>
      <w:r>
        <w:t xml:space="preserve"> judge, or a </w:t>
      </w:r>
      <w:smartTag w:uri="urn:schemas-microsoft-com:office:smarttags" w:element="Street">
        <w:smartTag w:uri="urn:schemas-microsoft-com:office:smarttags" w:element="address">
          <w:r>
            <w:t>Liquor Licensing Court</w:t>
          </w:r>
        </w:smartTag>
      </w:smartTag>
      <w:r>
        <w:t xml:space="preserve"> judge, may, where the context so requires, be read as if it had been amended to be a reference to the Commission.</w:t>
      </w:r>
    </w:p>
    <w:p>
      <w:pPr>
        <w:pStyle w:val="yFootnotesection"/>
      </w:pPr>
      <w:r>
        <w:tab/>
        <w:t>[Clause 9 inserted by No. 73 of 2006 s. 104.]</w:t>
      </w:r>
    </w:p>
    <w:p>
      <w:pPr>
        <w:pStyle w:val="yHeading5"/>
        <w:outlineLvl w:val="5"/>
      </w:pPr>
      <w:bookmarkStart w:id="618" w:name="_Toc522197531"/>
      <w:r>
        <w:rPr>
          <w:rStyle w:val="CharSClsNo"/>
        </w:rPr>
        <w:t>10</w:t>
      </w:r>
      <w:r>
        <w:t>.</w:t>
      </w:r>
      <w:r>
        <w:rPr>
          <w:b w:val="0"/>
        </w:rPr>
        <w:tab/>
      </w:r>
      <w:r>
        <w:t>Transitional regulations</w:t>
      </w:r>
      <w:bookmarkEnd w:id="618"/>
    </w:p>
    <w:p>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rStyle w:val="CharDefText"/>
        </w:rPr>
        <w:t>transitional regulations</w:t>
      </w:r>
      <w:r>
        <w:t>)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keepNext/>
        <w:keepLines/>
      </w:pPr>
      <w:r>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10 inserted by No. 73 of 2006 s. 104.]</w:t>
      </w:r>
    </w:p>
    <w:p>
      <w:pPr>
        <w:pStyle w:val="yScheduleHeading"/>
      </w:pPr>
      <w:bookmarkStart w:id="619" w:name="_Toc471907005"/>
      <w:bookmarkStart w:id="620" w:name="_Toc472001922"/>
      <w:bookmarkStart w:id="621" w:name="_Toc472676950"/>
      <w:bookmarkStart w:id="622" w:name="_Toc472682335"/>
      <w:bookmarkStart w:id="623" w:name="_Toc473119476"/>
      <w:bookmarkStart w:id="624" w:name="_Toc522197532"/>
      <w:r>
        <w:rPr>
          <w:rStyle w:val="CharSchNo"/>
        </w:rPr>
        <w:t>Schedule 1B</w:t>
      </w:r>
      <w:r>
        <w:rPr>
          <w:rStyle w:val="CharSDivNo"/>
        </w:rPr>
        <w:t> </w:t>
      </w:r>
      <w:r>
        <w:t>—</w:t>
      </w:r>
      <w:r>
        <w:rPr>
          <w:rStyle w:val="CharSDivText"/>
        </w:rPr>
        <w:t> </w:t>
      </w:r>
      <w:r>
        <w:rPr>
          <w:rStyle w:val="CharSchText"/>
        </w:rPr>
        <w:t xml:space="preserve">Transitional provisions relating to the </w:t>
      </w:r>
      <w:r>
        <w:rPr>
          <w:rStyle w:val="CharSchText"/>
          <w:i/>
        </w:rPr>
        <w:t>Liquor Control Amendment Act 2010</w:t>
      </w:r>
      <w:bookmarkEnd w:id="619"/>
      <w:bookmarkEnd w:id="620"/>
      <w:bookmarkEnd w:id="621"/>
      <w:bookmarkEnd w:id="622"/>
      <w:bookmarkEnd w:id="623"/>
      <w:bookmarkEnd w:id="624"/>
    </w:p>
    <w:p>
      <w:pPr>
        <w:pStyle w:val="yShoulderClause"/>
      </w:pPr>
      <w:r>
        <w:t>[s. 177B]</w:t>
      </w:r>
    </w:p>
    <w:p>
      <w:pPr>
        <w:pStyle w:val="yFootnoteheading"/>
      </w:pPr>
      <w:r>
        <w:tab/>
        <w:t>[Heading inserted by No. 56 of 2010 s. 24.]</w:t>
      </w:r>
    </w:p>
    <w:p>
      <w:pPr>
        <w:pStyle w:val="yHeading5"/>
      </w:pPr>
      <w:bookmarkStart w:id="625" w:name="_Toc522197533"/>
      <w:r>
        <w:rPr>
          <w:rStyle w:val="CharSClsNo"/>
        </w:rPr>
        <w:t>1</w:t>
      </w:r>
      <w:r>
        <w:t>.</w:t>
      </w:r>
      <w:r>
        <w:tab/>
        <w:t>Terms used</w:t>
      </w:r>
      <w:bookmarkEnd w:id="625"/>
    </w:p>
    <w:p>
      <w:pPr>
        <w:pStyle w:val="ySubsection"/>
      </w:pPr>
      <w:r>
        <w:tab/>
      </w:r>
      <w:r>
        <w:tab/>
        <w:t>In this Schedule —</w:t>
      </w:r>
    </w:p>
    <w:p>
      <w:pPr>
        <w:pStyle w:val="yDefstart"/>
      </w:pPr>
      <w:r>
        <w:tab/>
      </w:r>
      <w:r>
        <w:rPr>
          <w:rStyle w:val="CharDefText"/>
        </w:rPr>
        <w:t>approved manager</w:t>
      </w:r>
      <w:r>
        <w:t xml:space="preserve"> means an approved unrestricted manager or an approved restricted manager;</w:t>
      </w:r>
    </w:p>
    <w:p>
      <w:pPr>
        <w:pStyle w:val="yDefstart"/>
      </w:pPr>
      <w:r>
        <w:tab/>
      </w:r>
      <w:r>
        <w:rPr>
          <w:rStyle w:val="CharDefText"/>
        </w:rPr>
        <w:t>commencement day</w:t>
      </w:r>
      <w:r>
        <w:t xml:space="preserve"> means the day on which the </w:t>
      </w:r>
      <w:r>
        <w:rPr>
          <w:i/>
          <w:iCs/>
        </w:rPr>
        <w:t xml:space="preserve">Liquor Control Amendment Act 2010 </w:t>
      </w:r>
      <w:r>
        <w:t>Part 2 comes into operation;</w:t>
      </w:r>
    </w:p>
    <w:p>
      <w:pPr>
        <w:pStyle w:val="yDefstart"/>
      </w:pPr>
      <w:r>
        <w:tab/>
      </w:r>
      <w:r>
        <w:rPr>
          <w:rStyle w:val="CharDefText"/>
        </w:rPr>
        <w:t>old section 35B</w:t>
      </w:r>
      <w:r>
        <w:t xml:space="preserve"> means section 35B as in force immediately before the commencement day.</w:t>
      </w:r>
    </w:p>
    <w:p>
      <w:pPr>
        <w:pStyle w:val="yFootnotesection"/>
      </w:pPr>
      <w:r>
        <w:tab/>
        <w:t>[Clause 1 inserted by No. 56 of 2010 s. 24.]</w:t>
      </w:r>
    </w:p>
    <w:p>
      <w:pPr>
        <w:pStyle w:val="yHeading5"/>
      </w:pPr>
      <w:bookmarkStart w:id="626" w:name="_Toc522197534"/>
      <w:r>
        <w:rPr>
          <w:rStyle w:val="CharSClsNo"/>
        </w:rPr>
        <w:t>2</w:t>
      </w:r>
      <w:r>
        <w:t>.</w:t>
      </w:r>
      <w:r>
        <w:tab/>
        <w:t>Current managers taken to be licensed</w:t>
      </w:r>
      <w:bookmarkEnd w:id="626"/>
    </w:p>
    <w:p>
      <w:pPr>
        <w:pStyle w:val="ySubsection"/>
      </w:pPr>
      <w:r>
        <w:tab/>
      </w:r>
      <w:r>
        <w:tab/>
        <w:t>On the commencement day a person who was, immediately before the commencement day, approved as a manager of licensed premises under the old section 35B becomes —</w:t>
      </w:r>
    </w:p>
    <w:p>
      <w:pPr>
        <w:pStyle w:val="yIndenta"/>
      </w:pPr>
      <w:r>
        <w:tab/>
        <w:t>(a)</w:t>
      </w:r>
      <w:r>
        <w:tab/>
        <w:t>if the person had, before the commencement day, completed a course of training or an assessment of the kind described in the old section 35B(3)(c)(i) — an approved unrestricted manager; or</w:t>
      </w:r>
    </w:p>
    <w:p>
      <w:pPr>
        <w:pStyle w:val="yIndenta"/>
      </w:pPr>
      <w:r>
        <w:tab/>
        <w:t>(b)</w:t>
      </w:r>
      <w:r>
        <w:tab/>
        <w:t>otherwise — an approved restricted manager.</w:t>
      </w:r>
    </w:p>
    <w:p>
      <w:pPr>
        <w:pStyle w:val="yFootnotesection"/>
      </w:pPr>
      <w:r>
        <w:tab/>
        <w:t>[Clause 2 inserted by No. 56 of 2010 s. 24.]</w:t>
      </w:r>
    </w:p>
    <w:p>
      <w:pPr>
        <w:pStyle w:val="yHeading5"/>
      </w:pPr>
      <w:bookmarkStart w:id="627" w:name="_Toc522197535"/>
      <w:r>
        <w:t>3.</w:t>
      </w:r>
      <w:r>
        <w:rPr>
          <w:b w:val="0"/>
        </w:rPr>
        <w:tab/>
      </w:r>
      <w:r>
        <w:t>Duration of transitioned approvals</w:t>
      </w:r>
      <w:bookmarkEnd w:id="627"/>
    </w:p>
    <w:p>
      <w:pPr>
        <w:pStyle w:val="ySubsection"/>
      </w:pPr>
      <w:r>
        <w:tab/>
        <w:t>(1)</w:t>
      </w:r>
      <w:r>
        <w:tab/>
        <w:t xml:space="preserve">For the purposes of section 102D, an approval effected by clause 2 (a </w:t>
      </w:r>
      <w:r>
        <w:rPr>
          <w:rStyle w:val="CharDefText"/>
        </w:rPr>
        <w:t>transitioned approval</w:t>
      </w:r>
      <w:r>
        <w:t>) is taken to have been granted on the commencement day.</w:t>
      </w:r>
    </w:p>
    <w:p>
      <w:pPr>
        <w:pStyle w:val="ySubsection"/>
      </w:pPr>
      <w:r>
        <w:tab/>
        <w:t>(2)</w:t>
      </w:r>
      <w:r>
        <w:tab/>
        <w:t>The regulations may modify the operation of section 102D in relation to transitioned approvals.</w:t>
      </w:r>
    </w:p>
    <w:p>
      <w:pPr>
        <w:pStyle w:val="ySubsection"/>
      </w:pPr>
      <w:r>
        <w:tab/>
        <w:t>(3)</w:t>
      </w:r>
      <w:r>
        <w:tab/>
        <w:t>Regulations for the purposes of subclause (2) cannot reduce the duration of a transitioned approval unless the approved manager agrees to the reduction.</w:t>
      </w:r>
    </w:p>
    <w:p>
      <w:pPr>
        <w:pStyle w:val="ySubsection"/>
      </w:pPr>
      <w:r>
        <w:tab/>
        <w:t>(4)</w:t>
      </w:r>
      <w:r>
        <w:tab/>
        <w:t>Regulations for the purposes of subclause (2) may make different provision for different classes of approvals or different classes of persons.</w:t>
      </w:r>
    </w:p>
    <w:p>
      <w:pPr>
        <w:pStyle w:val="yFootnotesection"/>
      </w:pPr>
      <w:r>
        <w:tab/>
        <w:t>[Clause 3 inserted by No. 56 of 2010 s. 24.]</w:t>
      </w:r>
    </w:p>
    <w:p>
      <w:pPr>
        <w:pStyle w:val="yHeading5"/>
      </w:pPr>
      <w:bookmarkStart w:id="628" w:name="_Toc522197536"/>
      <w:r>
        <w:rPr>
          <w:rStyle w:val="CharSClsNo"/>
        </w:rPr>
        <w:t>4</w:t>
      </w:r>
      <w:r>
        <w:t>.</w:t>
      </w:r>
      <w:r>
        <w:tab/>
        <w:t>Current applications</w:t>
      </w:r>
      <w:bookmarkEnd w:id="628"/>
    </w:p>
    <w:p>
      <w:pPr>
        <w:pStyle w:val="ySubsection"/>
      </w:pPr>
      <w:r>
        <w:tab/>
        <w:t>(1)</w:t>
      </w:r>
      <w:r>
        <w:tab/>
        <w:t>If —</w:t>
      </w:r>
    </w:p>
    <w:p>
      <w:pPr>
        <w:pStyle w:val="yIndenta"/>
      </w:pPr>
      <w:r>
        <w:tab/>
        <w:t>(a)</w:t>
      </w:r>
      <w:r>
        <w:tab/>
        <w:t xml:space="preserve">an application was made before the commencement day for a person (the </w:t>
      </w:r>
      <w:r>
        <w:rPr>
          <w:rStyle w:val="CharDefText"/>
        </w:rPr>
        <w:t>applicant</w:t>
      </w:r>
      <w:r>
        <w:t>) to be approved as a manager under the old section 35B; and</w:t>
      </w:r>
    </w:p>
    <w:p>
      <w:pPr>
        <w:pStyle w:val="yIndenta"/>
      </w:pPr>
      <w:r>
        <w:tab/>
        <w:t>(b)</w:t>
      </w:r>
      <w:r>
        <w:tab/>
        <w:t>as at the commencement day the application had not been finally dealt with,</w:t>
      </w:r>
    </w:p>
    <w:p>
      <w:pPr>
        <w:pStyle w:val="ySubsection"/>
      </w:pPr>
      <w:r>
        <w:tab/>
      </w:r>
      <w:r>
        <w:tab/>
        <w:t>then on the commencement day the application becomes an application under section 102B for approval of the applicant as an approved unrestricted manager.</w:t>
      </w:r>
    </w:p>
    <w:p>
      <w:pPr>
        <w:pStyle w:val="ySubsection"/>
      </w:pPr>
      <w:r>
        <w:tab/>
        <w:t>(2)</w:t>
      </w:r>
      <w:r>
        <w:tab/>
        <w:t>If an applicant to whom subclause (1) applies does not satisfy the criteria for approval as an approved unrestricted manager but does satisfy the criteria for approval as an approved restricted manager, the Director may approve the person as an approved restricted manager.</w:t>
      </w:r>
    </w:p>
    <w:p>
      <w:pPr>
        <w:pStyle w:val="yFootnotesection"/>
      </w:pPr>
      <w:r>
        <w:tab/>
        <w:t>[Clause 4 inserted by No. 56 of 2010 s. 24.]</w:t>
      </w:r>
    </w:p>
    <w:p>
      <w:pPr>
        <w:pStyle w:val="yScheduleHeading"/>
      </w:pPr>
      <w:bookmarkStart w:id="629" w:name="_Toc522197537"/>
      <w:bookmarkStart w:id="630" w:name="_Toc471907010"/>
      <w:bookmarkStart w:id="631" w:name="_Toc472001927"/>
      <w:bookmarkStart w:id="632" w:name="_Toc472676955"/>
      <w:bookmarkStart w:id="633" w:name="_Toc472682340"/>
      <w:bookmarkStart w:id="634" w:name="_Toc473119481"/>
      <w:r>
        <w:rPr>
          <w:rStyle w:val="CharSchNo"/>
        </w:rPr>
        <w:t>Schedule 1C</w:t>
      </w:r>
      <w:r>
        <w:rPr>
          <w:rStyle w:val="CharDivNo"/>
        </w:rPr>
        <w:t> </w:t>
      </w:r>
      <w:r>
        <w:t>—</w:t>
      </w:r>
      <w:r>
        <w:rPr>
          <w:rStyle w:val="CharSDivText"/>
        </w:rPr>
        <w:t> </w:t>
      </w:r>
      <w:r>
        <w:rPr>
          <w:rStyle w:val="CharSchText"/>
        </w:rPr>
        <w:t xml:space="preserve">Transitional provisions relating to the </w:t>
      </w:r>
      <w:r>
        <w:rPr>
          <w:rStyle w:val="CharSchText"/>
          <w:i/>
        </w:rPr>
        <w:t>Liquor Control Amendment Act 2018</w:t>
      </w:r>
      <w:bookmarkEnd w:id="629"/>
    </w:p>
    <w:p>
      <w:pPr>
        <w:pStyle w:val="yShoulderClause"/>
      </w:pPr>
      <w:r>
        <w:t>[s. 177C]</w:t>
      </w:r>
    </w:p>
    <w:p>
      <w:pPr>
        <w:pStyle w:val="yFootnoteheading"/>
      </w:pPr>
      <w:r>
        <w:tab/>
        <w:t>[Heading inserted by No. 9 of 2018 s. 70.]</w:t>
      </w:r>
    </w:p>
    <w:p>
      <w:pPr>
        <w:pStyle w:val="yHeading5"/>
      </w:pPr>
      <w:bookmarkStart w:id="635" w:name="_Toc522197538"/>
      <w:r>
        <w:rPr>
          <w:rStyle w:val="CharSClsNo"/>
        </w:rPr>
        <w:t>1</w:t>
      </w:r>
      <w:r>
        <w:t>.</w:t>
      </w:r>
      <w:r>
        <w:tab/>
        <w:t>Application of s. 36B to existing applications for grant or removal of licence</w:t>
      </w:r>
      <w:bookmarkEnd w:id="635"/>
    </w:p>
    <w:p>
      <w:pPr>
        <w:pStyle w:val="ySubsection"/>
      </w:pPr>
      <w:r>
        <w:tab/>
      </w:r>
      <w:r>
        <w:tab/>
        <w:t xml:space="preserve">Section 36B applies to an application for the grant or removal of a licence referred to in section 36B(2) that was made, but not determined by the licensing authority, before the day on which the </w:t>
      </w:r>
      <w:r>
        <w:rPr>
          <w:i/>
        </w:rPr>
        <w:t xml:space="preserve">Liquor Control Amendment Act 2018 </w:t>
      </w:r>
      <w:r>
        <w:t>section 18 comes into operation.</w:t>
      </w:r>
    </w:p>
    <w:p>
      <w:pPr>
        <w:pStyle w:val="yFootnotesection"/>
      </w:pPr>
      <w:r>
        <w:tab/>
        <w:t>[Clause 1 inserted by No. 9 of 2018 s. 70.]</w:t>
      </w:r>
    </w:p>
    <w:p>
      <w:pPr>
        <w:pStyle w:val="yHeading5"/>
      </w:pPr>
      <w:bookmarkStart w:id="636" w:name="_Toc522197539"/>
      <w:r>
        <w:rPr>
          <w:rStyle w:val="CharSClsNo"/>
        </w:rPr>
        <w:t>2</w:t>
      </w:r>
      <w:r>
        <w:t>.</w:t>
      </w:r>
      <w:r>
        <w:tab/>
        <w:t>Small bar licences</w:t>
      </w:r>
      <w:bookmarkEnd w:id="636"/>
    </w:p>
    <w:p>
      <w:pPr>
        <w:pStyle w:val="ySubsection"/>
      </w:pPr>
      <w:r>
        <w:tab/>
        <w:t>(1)</w:t>
      </w:r>
      <w:r>
        <w:tab/>
        <w:t>In this clause —</w:t>
      </w:r>
    </w:p>
    <w:p>
      <w:pPr>
        <w:pStyle w:val="yDefstart"/>
      </w:pPr>
      <w:r>
        <w:tab/>
      </w:r>
      <w:r>
        <w:rPr>
          <w:rStyle w:val="CharDefText"/>
        </w:rPr>
        <w:t>commencement day</w:t>
      </w:r>
      <w:r>
        <w:t xml:space="preserve"> means the day on which the </w:t>
      </w:r>
      <w:r>
        <w:rPr>
          <w:i/>
        </w:rPr>
        <w:t xml:space="preserve">Liquor Control Amendment Act 2018 </w:t>
      </w:r>
      <w:r>
        <w:t>section 21 comes into operation;</w:t>
      </w:r>
    </w:p>
    <w:p>
      <w:pPr>
        <w:pStyle w:val="yDefstart"/>
      </w:pPr>
      <w:r>
        <w:tab/>
      </w:r>
      <w:r>
        <w:rPr>
          <w:rStyle w:val="CharDefText"/>
        </w:rPr>
        <w:t xml:space="preserve">old licence </w:t>
      </w:r>
      <w:r>
        <w:t>means a hotel licence of the kind referred to in section 41(1aa) as in force immediately before commencement day.</w:t>
      </w:r>
    </w:p>
    <w:p>
      <w:pPr>
        <w:pStyle w:val="ySubsection"/>
      </w:pPr>
      <w:r>
        <w:tab/>
        <w:t>(2)</w:t>
      </w:r>
      <w:r>
        <w:tab/>
        <w:t>An old licence that was in effect immediately before commencement day is taken to be a small bar licence under section 41A, subject to the conditions that applied to the old licence immediately before commencement day.</w:t>
      </w:r>
    </w:p>
    <w:p>
      <w:pPr>
        <w:pStyle w:val="ySubsection"/>
        <w:rPr>
          <w:b/>
        </w:rPr>
      </w:pPr>
      <w:r>
        <w:tab/>
        <w:t>(3)</w:t>
      </w:r>
      <w:r>
        <w:tab/>
        <w:t>An application for an old licence that was made, but not determined by the licensing authority, before commencement day is taken to be an application for a small bar licence under section 41A.</w:t>
      </w:r>
    </w:p>
    <w:p>
      <w:pPr>
        <w:pStyle w:val="yFootnotesection"/>
      </w:pPr>
      <w:r>
        <w:tab/>
        <w:t>[Clause 2 inserted by No. 9 of 2018 s. 70.]</w:t>
      </w:r>
    </w:p>
    <w:p>
      <w:pPr>
        <w:pStyle w:val="yHeading5"/>
      </w:pPr>
      <w:bookmarkStart w:id="637" w:name="_Toc522197540"/>
      <w:r>
        <w:rPr>
          <w:rStyle w:val="CharSClsNo"/>
        </w:rPr>
        <w:t>3</w:t>
      </w:r>
      <w:r>
        <w:t>.</w:t>
      </w:r>
      <w:r>
        <w:tab/>
        <w:t>Certain restaurant licences: no fee for application for extended trading permit under section 60(4)(ca)</w:t>
      </w:r>
      <w:bookmarkEnd w:id="637"/>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Liquor Control Amendment Act 2018 </w:t>
      </w:r>
      <w:r>
        <w:t>section 27 comes into operation;</w:t>
      </w:r>
    </w:p>
    <w:p>
      <w:pPr>
        <w:pStyle w:val="yDefstart"/>
      </w:pPr>
      <w:r>
        <w:tab/>
      </w:r>
      <w:r>
        <w:rPr>
          <w:rStyle w:val="CharDefText"/>
        </w:rPr>
        <w:t>small restaurant licence</w:t>
      </w:r>
      <w:r>
        <w:t xml:space="preserve"> means a restaurant licence that, immediately before commencement day, was subject to a condition limiting the maximum number of persons (excluding responsible persons and authorised officers) who may be on the licensed premises to 120.</w:t>
      </w:r>
    </w:p>
    <w:p>
      <w:pPr>
        <w:pStyle w:val="ySubsection"/>
      </w:pPr>
      <w:r>
        <w:tab/>
        <w:t>(2)</w:t>
      </w:r>
      <w:r>
        <w:tab/>
        <w:t>If, in the period of 12 months beginning on commencement day, the licensee of a small restaurant licence makes an application for an extended trading permit under section 60(4)(ca), then, despite section 68(1)(b), the notice of application is not required to be accompanied by any prescribed fee.</w:t>
      </w:r>
    </w:p>
    <w:p>
      <w:pPr>
        <w:pStyle w:val="yFootnotesection"/>
      </w:pPr>
      <w:r>
        <w:tab/>
        <w:t>[Clause 3 inserted by No. 9 of 2018 s. 70.]</w:t>
      </w:r>
    </w:p>
    <w:p>
      <w:pPr>
        <w:pStyle w:val="yHeading5"/>
      </w:pPr>
      <w:bookmarkStart w:id="638" w:name="_Toc522197541"/>
      <w:r>
        <w:rPr>
          <w:rStyle w:val="CharSClsNo"/>
        </w:rPr>
        <w:t>4</w:t>
      </w:r>
      <w:r>
        <w:t>.</w:t>
      </w:r>
      <w:r>
        <w:tab/>
        <w:t>Application of s. 77A to existing applications for alteration or redefinition of licensed premises</w:t>
      </w:r>
      <w:bookmarkEnd w:id="638"/>
    </w:p>
    <w:p>
      <w:pPr>
        <w:pStyle w:val="ySubsection"/>
      </w:pPr>
      <w:r>
        <w:tab/>
      </w:r>
      <w:r>
        <w:tab/>
        <w:t xml:space="preserve">Section 77A applies to an application under section 77(4) that was made, but not determined by the licensing authority, before the day on which the </w:t>
      </w:r>
      <w:r>
        <w:rPr>
          <w:i/>
        </w:rPr>
        <w:t xml:space="preserve">Liquor Control Amendment Act 2018 </w:t>
      </w:r>
      <w:r>
        <w:t>section 45 comes into operation.</w:t>
      </w:r>
    </w:p>
    <w:p>
      <w:pPr>
        <w:pStyle w:val="yFootnotesection"/>
      </w:pPr>
      <w:r>
        <w:tab/>
        <w:t>[Clause 4 inserted by No. 9 of 2018 s. 70.]</w:t>
      </w:r>
    </w:p>
    <w:p>
      <w:pPr>
        <w:pStyle w:val="yScheduleHeading"/>
      </w:pPr>
      <w:bookmarkStart w:id="639" w:name="_Toc522197542"/>
      <w:r>
        <w:rPr>
          <w:rStyle w:val="CharSchNo"/>
        </w:rPr>
        <w:t>Schedule 2</w:t>
      </w:r>
      <w:r>
        <w:t> — </w:t>
      </w:r>
      <w:r>
        <w:rPr>
          <w:rStyle w:val="CharSchText"/>
        </w:rPr>
        <w:t>Unincorporated clubs</w:t>
      </w:r>
      <w:bookmarkEnd w:id="630"/>
      <w:bookmarkEnd w:id="631"/>
      <w:bookmarkEnd w:id="632"/>
      <w:bookmarkEnd w:id="633"/>
      <w:bookmarkEnd w:id="634"/>
      <w:bookmarkEnd w:id="639"/>
    </w:p>
    <w:p>
      <w:pPr>
        <w:pStyle w:val="yShoulderClause"/>
        <w:rPr>
          <w:snapToGrid w:val="0"/>
        </w:rPr>
      </w:pPr>
      <w:r>
        <w:rPr>
          <w:snapToGrid w:val="0"/>
        </w:rPr>
        <w:t>[s. 49(1)(a)]</w:t>
      </w:r>
    </w:p>
    <w:p>
      <w:pPr>
        <w:pStyle w:val="yFootnoteheading"/>
      </w:pPr>
      <w:r>
        <w:tab/>
        <w:t>[Heading amended by No. 19 of 2010 s. 4.]</w:t>
      </w:r>
    </w:p>
    <w:p>
      <w:pPr>
        <w:pStyle w:val="yHeading3"/>
      </w:pPr>
      <w:bookmarkStart w:id="640" w:name="_Toc471907011"/>
      <w:bookmarkStart w:id="641" w:name="_Toc472001928"/>
      <w:bookmarkStart w:id="642" w:name="_Toc472676956"/>
      <w:bookmarkStart w:id="643" w:name="_Toc472682341"/>
      <w:bookmarkStart w:id="644" w:name="_Toc473119482"/>
      <w:bookmarkStart w:id="645" w:name="_Toc522197543"/>
      <w:r>
        <w:rPr>
          <w:rStyle w:val="CharSDivNo"/>
        </w:rPr>
        <w:t>Division 1</w:t>
      </w:r>
      <w:r>
        <w:rPr>
          <w:snapToGrid w:val="0"/>
        </w:rPr>
        <w:t> — </w:t>
      </w:r>
      <w:r>
        <w:rPr>
          <w:rStyle w:val="CharSDivText"/>
        </w:rPr>
        <w:t>The Anzac Club</w:t>
      </w:r>
      <w:bookmarkEnd w:id="640"/>
      <w:bookmarkEnd w:id="641"/>
      <w:bookmarkEnd w:id="642"/>
      <w:bookmarkEnd w:id="643"/>
      <w:bookmarkEnd w:id="644"/>
      <w:bookmarkEnd w:id="645"/>
      <w:r>
        <w:rPr>
          <w:snapToGrid w:val="0"/>
        </w:rPr>
        <w:t xml:space="preserve"> </w:t>
      </w:r>
    </w:p>
    <w:p>
      <w:pPr>
        <w:pStyle w:val="yHeading5"/>
        <w:outlineLvl w:val="5"/>
        <w:rPr>
          <w:snapToGrid w:val="0"/>
        </w:rPr>
      </w:pPr>
      <w:bookmarkStart w:id="646" w:name="_Toc522197544"/>
      <w:r>
        <w:rPr>
          <w:rStyle w:val="CharSClsNo"/>
        </w:rPr>
        <w:t>1</w:t>
      </w:r>
      <w:r>
        <w:rPr>
          <w:snapToGrid w:val="0"/>
        </w:rPr>
        <w:t>.</w:t>
      </w:r>
      <w:r>
        <w:rPr>
          <w:snapToGrid w:val="0"/>
        </w:rPr>
        <w:tab/>
        <w:t>Terms used</w:t>
      </w:r>
      <w:bookmarkEnd w:id="646"/>
    </w:p>
    <w:p>
      <w:pPr>
        <w:pStyle w:val="ySubsection"/>
        <w:rPr>
          <w:snapToGrid w:val="0"/>
        </w:rPr>
      </w:pPr>
      <w:r>
        <w:rPr>
          <w:snapToGrid w:val="0"/>
        </w:rPr>
        <w:tab/>
      </w:r>
      <w:r>
        <w:rPr>
          <w:snapToGrid w:val="0"/>
        </w:rPr>
        <w:tab/>
        <w:t>In this Division — </w:t>
      </w:r>
    </w:p>
    <w:p>
      <w:pPr>
        <w:pStyle w:val="yDefstart"/>
      </w:pPr>
      <w:r>
        <w:rPr>
          <w:b/>
        </w:rPr>
        <w:tab/>
      </w:r>
      <w:r>
        <w:rPr>
          <w:rStyle w:val="CharDefText"/>
        </w:rPr>
        <w:t>club</w:t>
      </w:r>
      <w:r>
        <w:t xml:space="preserve"> means the club known as the Anzac Club, which was registered as such under the </w:t>
      </w:r>
      <w:r>
        <w:rPr>
          <w:i/>
        </w:rPr>
        <w:t>Licensing Act 1911</w:t>
      </w:r>
      <w:r>
        <w:t> </w:t>
      </w:r>
      <w:r>
        <w:rPr>
          <w:vertAlign w:val="superscript"/>
        </w:rPr>
        <w:t>7</w:t>
      </w:r>
      <w:r>
        <w:t>;</w:t>
      </w:r>
    </w:p>
    <w:p>
      <w:pPr>
        <w:pStyle w:val="yDefstart"/>
      </w:pPr>
      <w:r>
        <w:rPr>
          <w:b/>
        </w:rPr>
        <w:tab/>
      </w:r>
      <w:r>
        <w:rPr>
          <w:rStyle w:val="CharDefText"/>
        </w:rPr>
        <w:t>League</w:t>
      </w:r>
      <w:r>
        <w:t xml:space="preserve"> means the body deemed to be incorporated under the </w:t>
      </w:r>
      <w:r>
        <w:rPr>
          <w:i/>
        </w:rPr>
        <w:t>Associations Incorporation Act 2015</w:t>
      </w:r>
      <w:r>
        <w:t xml:space="preserve"> as The Returned and Services League of </w:t>
      </w:r>
      <w:smartTag w:uri="urn:schemas-microsoft-com:office:smarttags" w:element="place">
        <w:smartTag w:uri="urn:schemas-microsoft-com:office:smarttags" w:element="country-region">
          <w:r>
            <w:t>Australia</w:t>
          </w:r>
        </w:smartTag>
      </w:smartTag>
      <w:r>
        <w:t xml:space="preserve"> WA Branch Incorporated;</w:t>
      </w:r>
    </w:p>
    <w:p>
      <w:pPr>
        <w:pStyle w:val="yDefstart"/>
      </w:pPr>
      <w:r>
        <w:rPr>
          <w:b/>
        </w:rPr>
        <w:tab/>
      </w:r>
      <w:r>
        <w:rPr>
          <w:rStyle w:val="CharDefText"/>
        </w:rPr>
        <w:t>State Branch Headquarters</w:t>
      </w:r>
      <w:r>
        <w:t xml:space="preserve"> means the premises of the League in </w:t>
      </w:r>
      <w:smartTag w:uri="urn:schemas-microsoft-com:office:smarttags" w:element="City">
        <w:r>
          <w:t>Perth</w:t>
        </w:r>
      </w:smartTag>
      <w:r>
        <w:t xml:space="preserve">, known as Anzac House, and situate at 28 (formerly 30A) </w:t>
      </w:r>
      <w:smartTag w:uri="urn:schemas-microsoft-com:office:smarttags" w:element="place">
        <w:smartTag w:uri="urn:schemas-microsoft-com:office:smarttags" w:element="City">
          <w:r>
            <w:t>St George’s</w:t>
          </w:r>
        </w:smartTag>
      </w:smartTag>
      <w:r>
        <w:t xml:space="preserve"> Terrace;</w:t>
      </w:r>
    </w:p>
    <w:p>
      <w:pPr>
        <w:pStyle w:val="yDefstart"/>
      </w:pPr>
      <w:r>
        <w:tab/>
      </w:r>
      <w:r>
        <w:rPr>
          <w:rStyle w:val="CharDefText"/>
        </w:rPr>
        <w:t>State Executive</w:t>
      </w:r>
      <w:r>
        <w:t xml:space="preserve"> means the State Executive of the League as from time to time constituted under, and elected or appointed in accordance with, the rules of the League.</w:t>
      </w:r>
    </w:p>
    <w:p>
      <w:pPr>
        <w:pStyle w:val="yFootnotesection"/>
      </w:pPr>
      <w:r>
        <w:tab/>
        <w:t>[Clause 1 amended by No. 14 of 1996 s. 4</w:t>
      </w:r>
      <w:r>
        <w:rPr>
          <w:spacing w:val="-4"/>
        </w:rPr>
        <w:t>; No. 47 of 2011 s.</w:t>
      </w:r>
      <w:r>
        <w:t> 17; No. 30 of 2015 s. 232.]</w:t>
      </w:r>
    </w:p>
    <w:p>
      <w:pPr>
        <w:pStyle w:val="yHeading5"/>
        <w:outlineLvl w:val="5"/>
        <w:rPr>
          <w:snapToGrid w:val="0"/>
        </w:rPr>
      </w:pPr>
      <w:bookmarkStart w:id="647" w:name="_Toc522197545"/>
      <w:r>
        <w:rPr>
          <w:rStyle w:val="CharSClsNo"/>
        </w:rPr>
        <w:t>2</w:t>
      </w:r>
      <w:r>
        <w:rPr>
          <w:snapToGrid w:val="0"/>
        </w:rPr>
        <w:t>.</w:t>
      </w:r>
      <w:r>
        <w:rPr>
          <w:snapToGrid w:val="0"/>
        </w:rPr>
        <w:tab/>
        <w:t>Anzac Club</w:t>
      </w:r>
      <w:bookmarkEnd w:id="647"/>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 and</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keepLines/>
        <w:rPr>
          <w:snapToGrid w:val="0"/>
        </w:rPr>
      </w:pPr>
      <w:bookmarkStart w:id="648" w:name="_Toc471907014"/>
      <w:bookmarkStart w:id="649" w:name="_Toc472001931"/>
      <w:bookmarkStart w:id="650" w:name="_Toc472676959"/>
      <w:bookmarkStart w:id="651" w:name="_Toc472682344"/>
      <w:bookmarkStart w:id="652" w:name="_Toc473119485"/>
      <w:bookmarkStart w:id="653" w:name="_Toc522197546"/>
      <w:r>
        <w:rPr>
          <w:rStyle w:val="CharSDivNo"/>
        </w:rPr>
        <w:t>Division 2</w:t>
      </w:r>
      <w:r>
        <w:rPr>
          <w:snapToGrid w:val="0"/>
        </w:rPr>
        <w:t> — </w:t>
      </w:r>
      <w:r>
        <w:rPr>
          <w:rStyle w:val="CharSDivText"/>
        </w:rPr>
        <w:t>The Air Force Association Club</w:t>
      </w:r>
      <w:bookmarkEnd w:id="648"/>
      <w:bookmarkEnd w:id="649"/>
      <w:bookmarkEnd w:id="650"/>
      <w:bookmarkEnd w:id="651"/>
      <w:bookmarkEnd w:id="652"/>
      <w:bookmarkEnd w:id="653"/>
      <w:r>
        <w:rPr>
          <w:snapToGrid w:val="0"/>
        </w:rPr>
        <w:t xml:space="preserve"> </w:t>
      </w:r>
    </w:p>
    <w:p>
      <w:pPr>
        <w:pStyle w:val="yHeading5"/>
        <w:outlineLvl w:val="5"/>
        <w:rPr>
          <w:snapToGrid w:val="0"/>
        </w:rPr>
      </w:pPr>
      <w:bookmarkStart w:id="654" w:name="_Toc522197547"/>
      <w:r>
        <w:rPr>
          <w:rStyle w:val="CharSClsNo"/>
        </w:rPr>
        <w:t>1</w:t>
      </w:r>
      <w:r>
        <w:rPr>
          <w:snapToGrid w:val="0"/>
        </w:rPr>
        <w:t>.</w:t>
      </w:r>
      <w:r>
        <w:rPr>
          <w:snapToGrid w:val="0"/>
        </w:rPr>
        <w:tab/>
        <w:t>Terms used</w:t>
      </w:r>
      <w:bookmarkEnd w:id="654"/>
    </w:p>
    <w:p>
      <w:pPr>
        <w:pStyle w:val="ySubsection"/>
        <w:keepNext/>
        <w:keepLines/>
        <w:rPr>
          <w:snapToGrid w:val="0"/>
        </w:rPr>
      </w:pPr>
      <w:r>
        <w:rPr>
          <w:snapToGrid w:val="0"/>
        </w:rPr>
        <w:tab/>
      </w:r>
      <w:r>
        <w:rPr>
          <w:snapToGrid w:val="0"/>
        </w:rPr>
        <w:tab/>
        <w:t>In this Division — </w:t>
      </w:r>
    </w:p>
    <w:p>
      <w:pPr>
        <w:pStyle w:val="yDefstart"/>
      </w:pPr>
      <w:r>
        <w:rPr>
          <w:b/>
        </w:rPr>
        <w:tab/>
      </w:r>
      <w:r>
        <w:rPr>
          <w:rStyle w:val="CharDefText"/>
        </w:rPr>
        <w:t>Association</w:t>
      </w:r>
      <w:r>
        <w:t xml:space="preserve"> means the body deemed to be incorporated under the </w:t>
      </w:r>
      <w:r>
        <w:rPr>
          <w:i/>
        </w:rPr>
        <w:t>Associations Incorporation Act 2015</w:t>
      </w:r>
      <w:r>
        <w:t xml:space="preserve"> as the Australian Flying Corps and Royal Australian Air Force Association (Western Australia Division);</w:t>
      </w:r>
    </w:p>
    <w:p>
      <w:pPr>
        <w:pStyle w:val="yDefstart"/>
      </w:pPr>
      <w:r>
        <w:rPr>
          <w:b/>
        </w:rPr>
        <w:tab/>
      </w:r>
      <w:r>
        <w:rPr>
          <w:rStyle w:val="CharDefText"/>
        </w:rPr>
        <w:t>club</w:t>
      </w:r>
      <w:r>
        <w:t xml:space="preserve"> means the club known as the Air Force Association (Western Australia Division) Club;</w:t>
      </w:r>
    </w:p>
    <w:p>
      <w:pPr>
        <w:pStyle w:val="yDefstart"/>
      </w:pPr>
      <w:r>
        <w:tab/>
      </w:r>
      <w:r>
        <w:rPr>
          <w:rStyle w:val="CharDefText"/>
        </w:rPr>
        <w:t>Committee of Management</w:t>
      </w:r>
      <w:r>
        <w:t xml:space="preserve"> means the Division Committee of the Association as from time to time constituted under, and elected or appointed in accordance with, the rules of the Association.</w:t>
      </w:r>
    </w:p>
    <w:p>
      <w:pPr>
        <w:pStyle w:val="yFootnotesection"/>
      </w:pPr>
      <w:r>
        <w:tab/>
        <w:t>[Clause 1 amended by No. 30 of 2015 s. 232.]</w:t>
      </w:r>
    </w:p>
    <w:p>
      <w:pPr>
        <w:pStyle w:val="yHeading5"/>
        <w:outlineLvl w:val="5"/>
        <w:rPr>
          <w:snapToGrid w:val="0"/>
        </w:rPr>
      </w:pPr>
      <w:bookmarkStart w:id="655" w:name="_Toc522197548"/>
      <w:r>
        <w:rPr>
          <w:rStyle w:val="CharSClsNo"/>
        </w:rPr>
        <w:t>2</w:t>
      </w:r>
      <w:r>
        <w:rPr>
          <w:snapToGrid w:val="0"/>
        </w:rPr>
        <w:t>.</w:t>
      </w:r>
      <w:r>
        <w:rPr>
          <w:snapToGrid w:val="0"/>
        </w:rPr>
        <w:tab/>
        <w:t>Air Force Association (</w:t>
      </w:r>
      <w:smartTag w:uri="urn:schemas-microsoft-com:office:smarttags" w:element="place">
        <w:smartTag w:uri="urn:schemas-microsoft-com:office:smarttags" w:element="State">
          <w:r>
            <w:rPr>
              <w:snapToGrid w:val="0"/>
            </w:rPr>
            <w:t>Western Australia</w:t>
          </w:r>
        </w:smartTag>
      </w:smartTag>
      <w:r>
        <w:rPr>
          <w:snapToGrid w:val="0"/>
        </w:rPr>
        <w:t xml:space="preserve"> Division) Club</w:t>
      </w:r>
      <w:bookmarkEnd w:id="655"/>
    </w:p>
    <w:p>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 and</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r>
      <w:r>
        <w:rPr>
          <w:snapToGrid w:val="0"/>
        </w:rPr>
        <w:tab/>
        <w:t>and</w:t>
      </w:r>
    </w:p>
    <w:p>
      <w:pPr>
        <w:pStyle w:val="yIndenta"/>
        <w:rPr>
          <w:snapToGrid w:val="0"/>
        </w:rPr>
      </w:pPr>
      <w:r>
        <w:rPr>
          <w:snapToGrid w:val="0"/>
        </w:rPr>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by No. 12 of 1998 s. 96; No. 73 of 2006 s. 105.] </w:t>
      </w:r>
    </w:p>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pPr>
      <w:bookmarkStart w:id="656" w:name="_Toc471907017"/>
      <w:bookmarkStart w:id="657" w:name="_Toc472001934"/>
      <w:bookmarkStart w:id="658" w:name="_Toc472676962"/>
      <w:bookmarkStart w:id="659" w:name="_Toc472682347"/>
      <w:bookmarkStart w:id="660" w:name="_Toc473119488"/>
      <w:bookmarkStart w:id="661" w:name="_Toc522197549"/>
      <w:bookmarkStart w:id="662" w:name="_Toc473119491"/>
      <w:r>
        <w:t>Notes</w:t>
      </w:r>
      <w:bookmarkEnd w:id="656"/>
      <w:bookmarkEnd w:id="657"/>
      <w:bookmarkEnd w:id="658"/>
      <w:bookmarkEnd w:id="659"/>
      <w:bookmarkEnd w:id="660"/>
      <w:bookmarkEnd w:id="661"/>
    </w:p>
    <w:p>
      <w:pPr>
        <w:pStyle w:val="nSubsection"/>
      </w:pPr>
      <w:r>
        <w:rPr>
          <w:vertAlign w:val="superscript"/>
        </w:rPr>
        <w:t>1</w:t>
      </w:r>
      <w:r>
        <w:tab/>
        <w:t xml:space="preserve">This is a compilation of the </w:t>
      </w:r>
      <w:r>
        <w:rPr>
          <w:i/>
          <w:noProof/>
        </w:rPr>
        <w:t>Liquor Control Act 1988</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663" w:name="_Toc522197550"/>
      <w:r>
        <w:rPr>
          <w:snapToGrid w:val="0"/>
        </w:rPr>
        <w:t>Compilation table</w:t>
      </w:r>
      <w:bookmarkEnd w:id="663"/>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240"/>
        <w:gridCol w:w="14"/>
        <w:gridCol w:w="14"/>
        <w:gridCol w:w="1106"/>
        <w:gridCol w:w="14"/>
        <w:gridCol w:w="14"/>
        <w:gridCol w:w="1108"/>
        <w:gridCol w:w="14"/>
        <w:gridCol w:w="12"/>
        <w:gridCol w:w="2529"/>
        <w:gridCol w:w="16"/>
        <w:gridCol w:w="15"/>
      </w:tblGrid>
      <w:tr>
        <w:trPr>
          <w:gridAfter w:val="2"/>
          <w:wAfter w:w="26" w:type="dxa"/>
          <w:cantSplit/>
          <w:tblHeader/>
        </w:trPr>
        <w:tc>
          <w:tcPr>
            <w:tcW w:w="2268" w:type="dxa"/>
            <w:gridSpan w:val="3"/>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55"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2"/>
          <w:wAfter w:w="26" w:type="dxa"/>
          <w:cantSplit/>
        </w:trPr>
        <w:tc>
          <w:tcPr>
            <w:tcW w:w="2268" w:type="dxa"/>
            <w:gridSpan w:val="3"/>
          </w:tcPr>
          <w:p>
            <w:pPr>
              <w:pStyle w:val="nTable"/>
              <w:spacing w:after="40"/>
              <w:ind w:right="113"/>
            </w:pPr>
            <w:r>
              <w:rPr>
                <w:i/>
              </w:rPr>
              <w:t>Liquor Licensing Act 1988 </w:t>
            </w:r>
            <w:r>
              <w:rPr>
                <w:vertAlign w:val="superscript"/>
              </w:rPr>
              <w:t>8</w:t>
            </w:r>
          </w:p>
        </w:tc>
        <w:tc>
          <w:tcPr>
            <w:tcW w:w="1134" w:type="dxa"/>
            <w:gridSpan w:val="3"/>
          </w:tcPr>
          <w:p>
            <w:pPr>
              <w:pStyle w:val="nTable"/>
              <w:spacing w:after="40"/>
            </w:pPr>
            <w:r>
              <w:t>54 of 1988</w:t>
            </w:r>
          </w:p>
        </w:tc>
        <w:tc>
          <w:tcPr>
            <w:tcW w:w="1136" w:type="dxa"/>
            <w:gridSpan w:val="3"/>
          </w:tcPr>
          <w:p>
            <w:pPr>
              <w:pStyle w:val="nTable"/>
              <w:spacing w:after="40"/>
            </w:pPr>
            <w:r>
              <w:t>9 Dec 1988</w:t>
            </w:r>
          </w:p>
        </w:tc>
        <w:tc>
          <w:tcPr>
            <w:tcW w:w="2555" w:type="dxa"/>
            <w:gridSpan w:val="3"/>
          </w:tcPr>
          <w:p>
            <w:pPr>
              <w:pStyle w:val="nTable"/>
              <w:spacing w:after="40"/>
            </w:pPr>
            <w:r>
              <w:t>s. 1 and 2: 9 Dec 1988;</w:t>
            </w:r>
            <w:r>
              <w:br/>
              <w:t xml:space="preserve">Act other than s. 1 and 2: 1 Feb 1989 (see s. 2 and </w:t>
            </w:r>
            <w:r>
              <w:rPr>
                <w:i/>
              </w:rPr>
              <w:t>Gazette</w:t>
            </w:r>
            <w:r>
              <w:t xml:space="preserve"> 27 Jan 1989 p. 263)</w:t>
            </w:r>
          </w:p>
        </w:tc>
      </w:tr>
      <w:tr>
        <w:trPr>
          <w:gridAfter w:val="2"/>
          <w:wAfter w:w="26" w:type="dxa"/>
          <w:cantSplit/>
        </w:trPr>
        <w:tc>
          <w:tcPr>
            <w:tcW w:w="2268" w:type="dxa"/>
            <w:gridSpan w:val="3"/>
          </w:tcPr>
          <w:p>
            <w:pPr>
              <w:pStyle w:val="nTable"/>
              <w:spacing w:after="40"/>
              <w:ind w:right="113"/>
            </w:pPr>
            <w:r>
              <w:rPr>
                <w:i/>
              </w:rPr>
              <w:t xml:space="preserve">Financial Administration Legislation Amendment Act 1993 </w:t>
            </w:r>
            <w:r>
              <w:t>s. 11</w:t>
            </w:r>
          </w:p>
        </w:tc>
        <w:tc>
          <w:tcPr>
            <w:tcW w:w="1134" w:type="dxa"/>
            <w:gridSpan w:val="3"/>
          </w:tcPr>
          <w:p>
            <w:pPr>
              <w:pStyle w:val="nTable"/>
              <w:spacing w:after="40"/>
            </w:pPr>
            <w:r>
              <w:t>6 of 1993</w:t>
            </w:r>
          </w:p>
        </w:tc>
        <w:tc>
          <w:tcPr>
            <w:tcW w:w="1136" w:type="dxa"/>
            <w:gridSpan w:val="3"/>
          </w:tcPr>
          <w:p>
            <w:pPr>
              <w:pStyle w:val="nTable"/>
              <w:spacing w:after="40"/>
            </w:pPr>
            <w:r>
              <w:t>27 Aug 1993</w:t>
            </w:r>
          </w:p>
        </w:tc>
        <w:tc>
          <w:tcPr>
            <w:tcW w:w="2555" w:type="dxa"/>
            <w:gridSpan w:val="3"/>
          </w:tcPr>
          <w:p>
            <w:pPr>
              <w:pStyle w:val="nTable"/>
              <w:spacing w:after="40"/>
            </w:pPr>
            <w:r>
              <w:t>1 Jul 1993 (see s. 2(1))</w:t>
            </w:r>
          </w:p>
        </w:tc>
      </w:tr>
      <w:tr>
        <w:trPr>
          <w:gridAfter w:val="2"/>
          <w:wAfter w:w="26" w:type="dxa"/>
          <w:cantSplit/>
        </w:trPr>
        <w:tc>
          <w:tcPr>
            <w:tcW w:w="2268" w:type="dxa"/>
            <w:gridSpan w:val="3"/>
          </w:tcPr>
          <w:p>
            <w:pPr>
              <w:pStyle w:val="nTable"/>
              <w:spacing w:after="40"/>
              <w:ind w:right="113"/>
            </w:pPr>
            <w:r>
              <w:rPr>
                <w:i/>
              </w:rPr>
              <w:t xml:space="preserve">Acts Amendment (Public Sector Management) Act 1994 </w:t>
            </w:r>
            <w:r>
              <w:t>s. 3(2)</w:t>
            </w:r>
          </w:p>
        </w:tc>
        <w:tc>
          <w:tcPr>
            <w:tcW w:w="1134" w:type="dxa"/>
            <w:gridSpan w:val="3"/>
          </w:tcPr>
          <w:p>
            <w:pPr>
              <w:pStyle w:val="nTable"/>
              <w:spacing w:after="40"/>
            </w:pPr>
            <w:r>
              <w:t>32 of 1994</w:t>
            </w:r>
          </w:p>
        </w:tc>
        <w:tc>
          <w:tcPr>
            <w:tcW w:w="1136" w:type="dxa"/>
            <w:gridSpan w:val="3"/>
          </w:tcPr>
          <w:p>
            <w:pPr>
              <w:pStyle w:val="nTable"/>
              <w:spacing w:after="40"/>
            </w:pPr>
            <w:r>
              <w:t>29 Jun 1994</w:t>
            </w:r>
          </w:p>
        </w:tc>
        <w:tc>
          <w:tcPr>
            <w:tcW w:w="2555" w:type="dxa"/>
            <w:gridSpan w:val="3"/>
          </w:tcPr>
          <w:p>
            <w:pPr>
              <w:pStyle w:val="nTable"/>
              <w:spacing w:after="40"/>
            </w:pPr>
            <w:r>
              <w:t xml:space="preserve">1 Oct 1994 (see s. 2 and </w:t>
            </w:r>
            <w:r>
              <w:rPr>
                <w:i/>
              </w:rPr>
              <w:t>Gazette</w:t>
            </w:r>
            <w:r>
              <w:t xml:space="preserve"> 30 Sep 1994 p. 4948)</w:t>
            </w:r>
          </w:p>
        </w:tc>
      </w:tr>
      <w:tr>
        <w:trPr>
          <w:gridAfter w:val="2"/>
          <w:wAfter w:w="26" w:type="dxa"/>
          <w:cantSplit/>
        </w:trPr>
        <w:tc>
          <w:tcPr>
            <w:tcW w:w="2268" w:type="dxa"/>
            <w:gridSpan w:val="3"/>
          </w:tcPr>
          <w:p>
            <w:pPr>
              <w:pStyle w:val="nTable"/>
              <w:spacing w:after="40"/>
              <w:ind w:right="113"/>
            </w:pPr>
            <w:r>
              <w:rPr>
                <w:i/>
              </w:rPr>
              <w:t xml:space="preserve">Statutes (Repeals and Minor Amendments) Act 1994 </w:t>
            </w:r>
            <w:r>
              <w:t>s. 4</w:t>
            </w:r>
          </w:p>
        </w:tc>
        <w:tc>
          <w:tcPr>
            <w:tcW w:w="1134" w:type="dxa"/>
            <w:gridSpan w:val="3"/>
          </w:tcPr>
          <w:p>
            <w:pPr>
              <w:pStyle w:val="nTable"/>
              <w:spacing w:after="40"/>
            </w:pPr>
            <w:r>
              <w:t>73 of 1994</w:t>
            </w:r>
          </w:p>
        </w:tc>
        <w:tc>
          <w:tcPr>
            <w:tcW w:w="1136" w:type="dxa"/>
            <w:gridSpan w:val="3"/>
          </w:tcPr>
          <w:p>
            <w:pPr>
              <w:pStyle w:val="nTable"/>
              <w:spacing w:after="40"/>
            </w:pPr>
            <w:r>
              <w:t>9 Dec 1994</w:t>
            </w:r>
          </w:p>
        </w:tc>
        <w:tc>
          <w:tcPr>
            <w:tcW w:w="2555" w:type="dxa"/>
            <w:gridSpan w:val="3"/>
          </w:tcPr>
          <w:p>
            <w:pPr>
              <w:pStyle w:val="nTable"/>
              <w:spacing w:after="40"/>
            </w:pPr>
            <w:r>
              <w:t>9 Dec 1994 (see s. 2)</w:t>
            </w:r>
          </w:p>
        </w:tc>
      </w:tr>
      <w:tr>
        <w:trPr>
          <w:gridAfter w:val="2"/>
          <w:wAfter w:w="26" w:type="dxa"/>
          <w:cantSplit/>
        </w:trPr>
        <w:tc>
          <w:tcPr>
            <w:tcW w:w="2268" w:type="dxa"/>
            <w:gridSpan w:val="3"/>
          </w:tcPr>
          <w:p>
            <w:pPr>
              <w:pStyle w:val="nTable"/>
              <w:spacing w:after="40"/>
              <w:ind w:right="113"/>
            </w:pPr>
            <w:r>
              <w:rPr>
                <w:i/>
              </w:rPr>
              <w:t xml:space="preserve">Acts Amendment (Fines, Penalties and Infringement Notices) Act 1994 </w:t>
            </w:r>
            <w:r>
              <w:t>s. 22</w:t>
            </w:r>
          </w:p>
        </w:tc>
        <w:tc>
          <w:tcPr>
            <w:tcW w:w="1134" w:type="dxa"/>
            <w:gridSpan w:val="3"/>
          </w:tcPr>
          <w:p>
            <w:pPr>
              <w:pStyle w:val="nTable"/>
              <w:spacing w:after="40"/>
            </w:pPr>
            <w:r>
              <w:t>92 of 1994</w:t>
            </w:r>
          </w:p>
        </w:tc>
        <w:tc>
          <w:tcPr>
            <w:tcW w:w="1136" w:type="dxa"/>
            <w:gridSpan w:val="3"/>
          </w:tcPr>
          <w:p>
            <w:pPr>
              <w:pStyle w:val="nTable"/>
              <w:spacing w:after="40"/>
            </w:pPr>
            <w:r>
              <w:t>23 Dec 1994</w:t>
            </w:r>
          </w:p>
        </w:tc>
        <w:tc>
          <w:tcPr>
            <w:tcW w:w="2555" w:type="dxa"/>
            <w:gridSpan w:val="3"/>
          </w:tcPr>
          <w:p>
            <w:pPr>
              <w:pStyle w:val="nTable"/>
              <w:spacing w:after="40"/>
            </w:pPr>
            <w:r>
              <w:t xml:space="preserve">1 Jan 1995 (see s. 2(1) and </w:t>
            </w:r>
            <w:r>
              <w:rPr>
                <w:i/>
              </w:rPr>
              <w:t>Gazette</w:t>
            </w:r>
            <w:r>
              <w:t xml:space="preserve"> 30 Dec 1994 p. 7211)</w:t>
            </w:r>
          </w:p>
        </w:tc>
      </w:tr>
      <w:tr>
        <w:trPr>
          <w:gridAfter w:val="2"/>
          <w:wAfter w:w="26" w:type="dxa"/>
          <w:cantSplit/>
        </w:trPr>
        <w:tc>
          <w:tcPr>
            <w:tcW w:w="2268" w:type="dxa"/>
            <w:gridSpan w:val="3"/>
          </w:tcPr>
          <w:p>
            <w:pPr>
              <w:pStyle w:val="nTable"/>
              <w:spacing w:after="40"/>
              <w:ind w:right="113"/>
            </w:pPr>
            <w:r>
              <w:rPr>
                <w:i/>
              </w:rPr>
              <w:t xml:space="preserve">Sentencing (Consequential Provisions) Act 1995 </w:t>
            </w:r>
            <w:r>
              <w:t>s. 66</w:t>
            </w:r>
          </w:p>
        </w:tc>
        <w:tc>
          <w:tcPr>
            <w:tcW w:w="1134" w:type="dxa"/>
            <w:gridSpan w:val="3"/>
          </w:tcPr>
          <w:p>
            <w:pPr>
              <w:pStyle w:val="nTable"/>
              <w:spacing w:after="40"/>
            </w:pPr>
            <w:r>
              <w:t>78 of 1995</w:t>
            </w:r>
          </w:p>
        </w:tc>
        <w:tc>
          <w:tcPr>
            <w:tcW w:w="1136" w:type="dxa"/>
            <w:gridSpan w:val="3"/>
          </w:tcPr>
          <w:p>
            <w:pPr>
              <w:pStyle w:val="nTable"/>
              <w:spacing w:after="40"/>
            </w:pPr>
            <w:r>
              <w:t>16 Jan 1996</w:t>
            </w:r>
          </w:p>
        </w:tc>
        <w:tc>
          <w:tcPr>
            <w:tcW w:w="2555" w:type="dxa"/>
            <w:gridSpan w:val="3"/>
          </w:tcPr>
          <w:p>
            <w:pPr>
              <w:pStyle w:val="nTable"/>
              <w:spacing w:after="40"/>
            </w:pPr>
            <w:r>
              <w:t xml:space="preserve">4 Nov 1996 (see s. 2 and </w:t>
            </w:r>
            <w:r>
              <w:rPr>
                <w:i/>
              </w:rPr>
              <w:t xml:space="preserve">Gazette </w:t>
            </w:r>
            <w:r>
              <w:t>25 Oct 1996 p. 5632)</w:t>
            </w:r>
          </w:p>
        </w:tc>
      </w:tr>
      <w:tr>
        <w:trPr>
          <w:gridAfter w:val="2"/>
          <w:wAfter w:w="26" w:type="dxa"/>
          <w:cantSplit/>
        </w:trPr>
        <w:tc>
          <w:tcPr>
            <w:tcW w:w="2268" w:type="dxa"/>
            <w:gridSpan w:val="3"/>
          </w:tcPr>
          <w:p>
            <w:pPr>
              <w:pStyle w:val="nTable"/>
              <w:spacing w:after="40"/>
              <w:ind w:right="113"/>
            </w:pPr>
            <w:r>
              <w:rPr>
                <w:i/>
              </w:rPr>
              <w:t xml:space="preserve">Local Government (Consequential Amendments) Act 1996 </w:t>
            </w:r>
            <w:r>
              <w:t>s. 4</w:t>
            </w:r>
          </w:p>
        </w:tc>
        <w:tc>
          <w:tcPr>
            <w:tcW w:w="1134" w:type="dxa"/>
            <w:gridSpan w:val="3"/>
          </w:tcPr>
          <w:p>
            <w:pPr>
              <w:pStyle w:val="nTable"/>
              <w:keepNext/>
              <w:keepLines/>
              <w:spacing w:after="40"/>
            </w:pPr>
            <w:r>
              <w:t>14 of 1996</w:t>
            </w:r>
          </w:p>
        </w:tc>
        <w:tc>
          <w:tcPr>
            <w:tcW w:w="1136" w:type="dxa"/>
            <w:gridSpan w:val="3"/>
          </w:tcPr>
          <w:p>
            <w:pPr>
              <w:pStyle w:val="nTable"/>
              <w:keepNext/>
              <w:keepLines/>
              <w:spacing w:after="40"/>
            </w:pPr>
            <w:r>
              <w:t>28 Jun 1996</w:t>
            </w:r>
          </w:p>
        </w:tc>
        <w:tc>
          <w:tcPr>
            <w:tcW w:w="2555" w:type="dxa"/>
            <w:gridSpan w:val="3"/>
          </w:tcPr>
          <w:p>
            <w:pPr>
              <w:pStyle w:val="nTable"/>
              <w:keepNext/>
              <w:keepLines/>
              <w:spacing w:after="40"/>
            </w:pPr>
            <w:r>
              <w:t>1 Jul 1996 (see s. 2)</w:t>
            </w:r>
          </w:p>
        </w:tc>
      </w:tr>
      <w:tr>
        <w:trPr>
          <w:gridAfter w:val="2"/>
          <w:wAfter w:w="26" w:type="dxa"/>
          <w:cantSplit/>
        </w:trPr>
        <w:tc>
          <w:tcPr>
            <w:tcW w:w="2268" w:type="dxa"/>
            <w:gridSpan w:val="3"/>
          </w:tcPr>
          <w:p>
            <w:pPr>
              <w:pStyle w:val="nTable"/>
              <w:spacing w:after="40"/>
              <w:ind w:right="113"/>
            </w:pPr>
            <w:r>
              <w:rPr>
                <w:i/>
              </w:rPr>
              <w:t xml:space="preserve">Financial Legislation Amendment Act 1996 </w:t>
            </w:r>
            <w:r>
              <w:t>s. 64</w:t>
            </w:r>
          </w:p>
        </w:tc>
        <w:tc>
          <w:tcPr>
            <w:tcW w:w="1134" w:type="dxa"/>
            <w:gridSpan w:val="3"/>
          </w:tcPr>
          <w:p>
            <w:pPr>
              <w:pStyle w:val="nTable"/>
              <w:spacing w:after="40"/>
            </w:pPr>
            <w:r>
              <w:t>49 of 1996</w:t>
            </w:r>
          </w:p>
        </w:tc>
        <w:tc>
          <w:tcPr>
            <w:tcW w:w="1136" w:type="dxa"/>
            <w:gridSpan w:val="3"/>
          </w:tcPr>
          <w:p>
            <w:pPr>
              <w:pStyle w:val="nTable"/>
              <w:spacing w:after="40"/>
            </w:pPr>
            <w:r>
              <w:t>25 Oct 1996</w:t>
            </w:r>
          </w:p>
        </w:tc>
        <w:tc>
          <w:tcPr>
            <w:tcW w:w="2555" w:type="dxa"/>
            <w:gridSpan w:val="3"/>
          </w:tcPr>
          <w:p>
            <w:pPr>
              <w:pStyle w:val="nTable"/>
              <w:spacing w:after="40"/>
            </w:pPr>
            <w:r>
              <w:t>25 Oct 1996 (see s. 2(1))</w:t>
            </w:r>
          </w:p>
        </w:tc>
      </w:tr>
      <w:tr>
        <w:trPr>
          <w:gridAfter w:val="2"/>
          <w:wAfter w:w="26" w:type="dxa"/>
          <w:cantSplit/>
        </w:trPr>
        <w:tc>
          <w:tcPr>
            <w:tcW w:w="2268" w:type="dxa"/>
            <w:gridSpan w:val="3"/>
          </w:tcPr>
          <w:p>
            <w:pPr>
              <w:pStyle w:val="nTable"/>
              <w:spacing w:after="40"/>
              <w:ind w:right="113"/>
            </w:pPr>
            <w:r>
              <w:rPr>
                <w:i/>
              </w:rPr>
              <w:t xml:space="preserve">Acts Amendment (Franchise Fees) Act 1997 </w:t>
            </w:r>
            <w:r>
              <w:t>Pt. 4</w:t>
            </w:r>
          </w:p>
        </w:tc>
        <w:tc>
          <w:tcPr>
            <w:tcW w:w="1134" w:type="dxa"/>
            <w:gridSpan w:val="3"/>
          </w:tcPr>
          <w:p>
            <w:pPr>
              <w:pStyle w:val="nTable"/>
              <w:spacing w:after="40"/>
            </w:pPr>
            <w:r>
              <w:t>56 of 1997</w:t>
            </w:r>
          </w:p>
        </w:tc>
        <w:tc>
          <w:tcPr>
            <w:tcW w:w="1136" w:type="dxa"/>
            <w:gridSpan w:val="3"/>
          </w:tcPr>
          <w:p>
            <w:pPr>
              <w:pStyle w:val="nTable"/>
              <w:spacing w:after="40"/>
            </w:pPr>
            <w:r>
              <w:t>12 Dec 1997</w:t>
            </w:r>
          </w:p>
        </w:tc>
        <w:tc>
          <w:tcPr>
            <w:tcW w:w="2555" w:type="dxa"/>
            <w:gridSpan w:val="3"/>
          </w:tcPr>
          <w:p>
            <w:pPr>
              <w:pStyle w:val="nTable"/>
              <w:spacing w:after="40"/>
            </w:pPr>
            <w:r>
              <w:t xml:space="preserve">31 Jan 1998 (see s. 2 and </w:t>
            </w:r>
            <w:r>
              <w:rPr>
                <w:i/>
              </w:rPr>
              <w:t>Gazette</w:t>
            </w:r>
            <w:r>
              <w:t xml:space="preserve"> 30 Jan 1998 p. 577)</w:t>
            </w:r>
          </w:p>
        </w:tc>
      </w:tr>
      <w:tr>
        <w:trPr>
          <w:gridAfter w:val="2"/>
          <w:wAfter w:w="26" w:type="dxa"/>
          <w:cantSplit/>
        </w:trPr>
        <w:tc>
          <w:tcPr>
            <w:tcW w:w="2268" w:type="dxa"/>
            <w:gridSpan w:val="3"/>
          </w:tcPr>
          <w:p>
            <w:pPr>
              <w:pStyle w:val="nTable"/>
              <w:spacing w:after="40"/>
              <w:ind w:right="113"/>
            </w:pPr>
            <w:r>
              <w:rPr>
                <w:i/>
              </w:rPr>
              <w:t>Liquor Licensing Amendment Act 1998</w:t>
            </w:r>
          </w:p>
        </w:tc>
        <w:tc>
          <w:tcPr>
            <w:tcW w:w="1134" w:type="dxa"/>
            <w:gridSpan w:val="3"/>
          </w:tcPr>
          <w:p>
            <w:pPr>
              <w:pStyle w:val="nTable"/>
              <w:spacing w:after="40"/>
            </w:pPr>
            <w:r>
              <w:t>12 of 1998</w:t>
            </w:r>
          </w:p>
        </w:tc>
        <w:tc>
          <w:tcPr>
            <w:tcW w:w="1136" w:type="dxa"/>
            <w:gridSpan w:val="3"/>
          </w:tcPr>
          <w:p>
            <w:pPr>
              <w:pStyle w:val="nTable"/>
              <w:spacing w:after="40"/>
            </w:pPr>
            <w:r>
              <w:t>12 May 1998</w:t>
            </w:r>
          </w:p>
        </w:tc>
        <w:tc>
          <w:tcPr>
            <w:tcW w:w="2555" w:type="dxa"/>
            <w:gridSpan w:val="3"/>
          </w:tcPr>
          <w:p>
            <w:pPr>
              <w:pStyle w:val="nTable"/>
              <w:spacing w:after="40"/>
            </w:pPr>
            <w:r>
              <w:t>s. 1 and 2: 12 May 1998;</w:t>
            </w:r>
            <w:r>
              <w:br/>
              <w:t>Act other than s. 1 and 2:</w:t>
            </w:r>
            <w:r>
              <w:br/>
              <w:t xml:space="preserve">23 May 1998 (see s. 2 and </w:t>
            </w:r>
            <w:r>
              <w:rPr>
                <w:i/>
              </w:rPr>
              <w:t>Gazette</w:t>
            </w:r>
            <w:r>
              <w:t xml:space="preserve"> 22 May 1998 p. 2921)</w:t>
            </w:r>
          </w:p>
        </w:tc>
      </w:tr>
      <w:tr>
        <w:trPr>
          <w:gridAfter w:val="2"/>
          <w:wAfter w:w="26" w:type="dxa"/>
          <w:cantSplit/>
        </w:trPr>
        <w:tc>
          <w:tcPr>
            <w:tcW w:w="7093" w:type="dxa"/>
            <w:gridSpan w:val="12"/>
          </w:tcPr>
          <w:p>
            <w:pPr>
              <w:pStyle w:val="nTable"/>
              <w:spacing w:after="40"/>
            </w:pPr>
            <w:r>
              <w:rPr>
                <w:b/>
              </w:rPr>
              <w:t xml:space="preserve">Reprint of the </w:t>
            </w:r>
            <w:r>
              <w:rPr>
                <w:b/>
                <w:i/>
              </w:rPr>
              <w:t>Liquor Licensing Act 1988</w:t>
            </w:r>
            <w:r>
              <w:rPr>
                <w:b/>
              </w:rPr>
              <w:t xml:space="preserve"> as at 12 Jun 1998</w:t>
            </w:r>
            <w:r>
              <w:t xml:space="preserve"> (includes amendments listed above) (Correction in </w:t>
            </w:r>
            <w:r>
              <w:rPr>
                <w:i/>
              </w:rPr>
              <w:t>Gazette</w:t>
            </w:r>
            <w:r>
              <w:t xml:space="preserve"> 31 Jul 1998 p. 3942)</w:t>
            </w:r>
          </w:p>
        </w:tc>
      </w:tr>
      <w:tr>
        <w:trPr>
          <w:gridAfter w:val="2"/>
          <w:wAfter w:w="26" w:type="dxa"/>
          <w:cantSplit/>
        </w:trPr>
        <w:tc>
          <w:tcPr>
            <w:tcW w:w="2268" w:type="dxa"/>
            <w:gridSpan w:val="3"/>
          </w:tcPr>
          <w:p>
            <w:pPr>
              <w:pStyle w:val="nTable"/>
              <w:spacing w:after="40"/>
              <w:ind w:right="113"/>
              <w:rPr>
                <w:i/>
              </w:rPr>
            </w:pPr>
            <w:r>
              <w:rPr>
                <w:i/>
              </w:rPr>
              <w:t>Liquor Licensing Amendment (Petrol Stations and Lodgers’ Registers) Act 2000</w:t>
            </w:r>
          </w:p>
        </w:tc>
        <w:tc>
          <w:tcPr>
            <w:tcW w:w="1134" w:type="dxa"/>
            <w:gridSpan w:val="3"/>
          </w:tcPr>
          <w:p>
            <w:pPr>
              <w:pStyle w:val="nTable"/>
              <w:spacing w:after="40"/>
            </w:pPr>
            <w:r>
              <w:t>23 of 2000</w:t>
            </w:r>
          </w:p>
        </w:tc>
        <w:tc>
          <w:tcPr>
            <w:tcW w:w="1136" w:type="dxa"/>
            <w:gridSpan w:val="3"/>
          </w:tcPr>
          <w:p>
            <w:pPr>
              <w:pStyle w:val="nTable"/>
              <w:spacing w:after="40"/>
            </w:pPr>
            <w:r>
              <w:t xml:space="preserve">30 Jun 2000 </w:t>
            </w:r>
          </w:p>
        </w:tc>
        <w:tc>
          <w:tcPr>
            <w:tcW w:w="2555" w:type="dxa"/>
            <w:gridSpan w:val="3"/>
          </w:tcPr>
          <w:p>
            <w:pPr>
              <w:pStyle w:val="nTable"/>
              <w:spacing w:after="40"/>
              <w:rPr>
                <w:i/>
              </w:rPr>
            </w:pPr>
            <w:r>
              <w:t>s. 1 and 2: 30 Jun 2000;</w:t>
            </w:r>
            <w:r>
              <w:br/>
              <w:t xml:space="preserve">Act other than s. 1 and 2:  30 Sep 2000 (see s. 2 and </w:t>
            </w:r>
            <w:r>
              <w:rPr>
                <w:i/>
              </w:rPr>
              <w:t>Gazette</w:t>
            </w:r>
            <w:r>
              <w:t xml:space="preserve"> 29 Sep 2000 p. 5533)</w:t>
            </w:r>
          </w:p>
        </w:tc>
      </w:tr>
      <w:tr>
        <w:trPr>
          <w:gridAfter w:val="2"/>
          <w:wAfter w:w="26" w:type="dxa"/>
          <w:cantSplit/>
        </w:trPr>
        <w:tc>
          <w:tcPr>
            <w:tcW w:w="2268" w:type="dxa"/>
            <w:gridSpan w:val="3"/>
          </w:tcPr>
          <w:p>
            <w:pPr>
              <w:pStyle w:val="nTable"/>
              <w:spacing w:after="40"/>
              <w:ind w:right="113"/>
            </w:pPr>
            <w:r>
              <w:rPr>
                <w:i/>
              </w:rPr>
              <w:t xml:space="preserve">Courts Legislation Amendment Act 2000 </w:t>
            </w:r>
            <w:r>
              <w:t>Pt. 3</w:t>
            </w:r>
            <w:r>
              <w:rPr>
                <w:vertAlign w:val="superscript"/>
              </w:rPr>
              <w:t> 9</w:t>
            </w:r>
          </w:p>
        </w:tc>
        <w:tc>
          <w:tcPr>
            <w:tcW w:w="1134" w:type="dxa"/>
            <w:gridSpan w:val="3"/>
          </w:tcPr>
          <w:p>
            <w:pPr>
              <w:pStyle w:val="nTable"/>
              <w:spacing w:after="40"/>
            </w:pPr>
            <w:r>
              <w:t>27 of 2000</w:t>
            </w:r>
          </w:p>
        </w:tc>
        <w:tc>
          <w:tcPr>
            <w:tcW w:w="1136" w:type="dxa"/>
            <w:gridSpan w:val="3"/>
          </w:tcPr>
          <w:p>
            <w:pPr>
              <w:pStyle w:val="nTable"/>
              <w:spacing w:after="40"/>
            </w:pPr>
            <w:r>
              <w:t>6 Jul 2000</w:t>
            </w:r>
          </w:p>
        </w:tc>
        <w:tc>
          <w:tcPr>
            <w:tcW w:w="2555" w:type="dxa"/>
            <w:gridSpan w:val="3"/>
          </w:tcPr>
          <w:p>
            <w:pPr>
              <w:pStyle w:val="nTable"/>
              <w:spacing w:after="40"/>
            </w:pPr>
            <w:r>
              <w:t>6 Jul 2000 (see s. 2(1))</w:t>
            </w:r>
          </w:p>
        </w:tc>
      </w:tr>
      <w:tr>
        <w:trPr>
          <w:gridAfter w:val="2"/>
          <w:wAfter w:w="26" w:type="dxa"/>
          <w:cantSplit/>
        </w:trPr>
        <w:tc>
          <w:tcPr>
            <w:tcW w:w="7093" w:type="dxa"/>
            <w:gridSpan w:val="12"/>
          </w:tcPr>
          <w:p>
            <w:pPr>
              <w:pStyle w:val="nTable"/>
              <w:spacing w:after="40"/>
            </w:pPr>
            <w:r>
              <w:rPr>
                <w:b/>
              </w:rPr>
              <w:t xml:space="preserve">Reprint of the </w:t>
            </w:r>
            <w:r>
              <w:rPr>
                <w:b/>
                <w:i/>
              </w:rPr>
              <w:t>Liquor Licensing Act 1988</w:t>
            </w:r>
            <w:r>
              <w:rPr>
                <w:b/>
              </w:rPr>
              <w:t xml:space="preserve"> as at 23 Feb 2001</w:t>
            </w:r>
            <w:r>
              <w:t xml:space="preserve"> (includes amendments listed above)</w:t>
            </w:r>
          </w:p>
        </w:tc>
      </w:tr>
      <w:tr>
        <w:trPr>
          <w:gridAfter w:val="2"/>
          <w:wAfter w:w="26" w:type="dxa"/>
          <w:cantSplit/>
        </w:trPr>
        <w:tc>
          <w:tcPr>
            <w:tcW w:w="2268" w:type="dxa"/>
            <w:gridSpan w:val="3"/>
          </w:tcPr>
          <w:p>
            <w:pPr>
              <w:pStyle w:val="nTable"/>
              <w:spacing w:after="40"/>
              <w:ind w:right="113"/>
              <w:rPr>
                <w:i/>
              </w:rPr>
            </w:pPr>
            <w:r>
              <w:rPr>
                <w:i/>
              </w:rPr>
              <w:t>Corporations (Consequential Amendments) Act 2001</w:t>
            </w:r>
            <w:r>
              <w:t xml:space="preserve"> s. 220</w:t>
            </w:r>
          </w:p>
        </w:tc>
        <w:tc>
          <w:tcPr>
            <w:tcW w:w="1134" w:type="dxa"/>
            <w:gridSpan w:val="3"/>
          </w:tcPr>
          <w:p>
            <w:pPr>
              <w:pStyle w:val="nTable"/>
              <w:spacing w:after="40"/>
            </w:pPr>
            <w:r>
              <w:t>10 of 2001</w:t>
            </w:r>
          </w:p>
        </w:tc>
        <w:tc>
          <w:tcPr>
            <w:tcW w:w="1136" w:type="dxa"/>
            <w:gridSpan w:val="3"/>
          </w:tcPr>
          <w:p>
            <w:pPr>
              <w:pStyle w:val="nTable"/>
              <w:spacing w:after="40"/>
            </w:pPr>
            <w:r>
              <w:t>28 Jun 2001</w:t>
            </w:r>
          </w:p>
        </w:tc>
        <w:tc>
          <w:tcPr>
            <w:tcW w:w="2555" w:type="dxa"/>
            <w:gridSpan w:val="3"/>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2"/>
          <w:wAfter w:w="26" w:type="dxa"/>
          <w:cantSplit/>
        </w:trPr>
        <w:tc>
          <w:tcPr>
            <w:tcW w:w="2268" w:type="dxa"/>
            <w:gridSpan w:val="3"/>
          </w:tcPr>
          <w:p>
            <w:pPr>
              <w:pStyle w:val="nTable"/>
              <w:spacing w:after="40"/>
              <w:ind w:right="113"/>
            </w:pPr>
            <w:r>
              <w:rPr>
                <w:i/>
              </w:rPr>
              <w:t>Liquor Licensing Amendment Act 2001 </w:t>
            </w:r>
            <w:r>
              <w:rPr>
                <w:vertAlign w:val="superscript"/>
              </w:rPr>
              <w:t>10</w:t>
            </w:r>
          </w:p>
        </w:tc>
        <w:tc>
          <w:tcPr>
            <w:tcW w:w="1134" w:type="dxa"/>
            <w:gridSpan w:val="3"/>
          </w:tcPr>
          <w:p>
            <w:pPr>
              <w:pStyle w:val="nTable"/>
              <w:spacing w:after="40"/>
            </w:pPr>
            <w:r>
              <w:t>26 of 2001</w:t>
            </w:r>
          </w:p>
        </w:tc>
        <w:tc>
          <w:tcPr>
            <w:tcW w:w="1136" w:type="dxa"/>
            <w:gridSpan w:val="3"/>
          </w:tcPr>
          <w:p>
            <w:pPr>
              <w:pStyle w:val="nTable"/>
              <w:spacing w:after="40"/>
            </w:pPr>
            <w:r>
              <w:t>5 Dec 2001</w:t>
            </w:r>
          </w:p>
        </w:tc>
        <w:tc>
          <w:tcPr>
            <w:tcW w:w="2555" w:type="dxa"/>
            <w:gridSpan w:val="3"/>
          </w:tcPr>
          <w:p>
            <w:pPr>
              <w:pStyle w:val="nTable"/>
              <w:spacing w:after="40"/>
            </w:pPr>
            <w:r>
              <w:t>s. 1 and 2: 5 Dec 2001;</w:t>
            </w:r>
            <w:r>
              <w:br/>
              <w:t>Act other than s. 1 and 2:</w:t>
            </w:r>
            <w:r>
              <w:br/>
              <w:t xml:space="preserve">7 Jan 2002 (see s. 2 and </w:t>
            </w:r>
            <w:r>
              <w:rPr>
                <w:i/>
              </w:rPr>
              <w:t>Gazette</w:t>
            </w:r>
            <w:r>
              <w:t xml:space="preserve"> 4 Jan 2002 p. 3)</w:t>
            </w:r>
          </w:p>
        </w:tc>
      </w:tr>
      <w:tr>
        <w:trPr>
          <w:gridAfter w:val="2"/>
          <w:wAfter w:w="26" w:type="dxa"/>
          <w:cantSplit/>
        </w:trPr>
        <w:tc>
          <w:tcPr>
            <w:tcW w:w="2268" w:type="dxa"/>
            <w:gridSpan w:val="3"/>
          </w:tcPr>
          <w:p>
            <w:pPr>
              <w:pStyle w:val="nTable"/>
              <w:spacing w:after="40"/>
              <w:ind w:right="113"/>
              <w:rPr>
                <w:i/>
              </w:rPr>
            </w:pPr>
            <w:r>
              <w:rPr>
                <w:i/>
              </w:rPr>
              <w:t>Vexatious Proceedings Restriction Act 2002</w:t>
            </w:r>
            <w:r>
              <w:t xml:space="preserve"> s. 13</w:t>
            </w:r>
          </w:p>
        </w:tc>
        <w:tc>
          <w:tcPr>
            <w:tcW w:w="1134" w:type="dxa"/>
            <w:gridSpan w:val="3"/>
          </w:tcPr>
          <w:p>
            <w:pPr>
              <w:pStyle w:val="nTable"/>
              <w:spacing w:after="40"/>
            </w:pPr>
            <w:r>
              <w:t>23 of 2002</w:t>
            </w:r>
          </w:p>
        </w:tc>
        <w:tc>
          <w:tcPr>
            <w:tcW w:w="1136" w:type="dxa"/>
            <w:gridSpan w:val="3"/>
          </w:tcPr>
          <w:p>
            <w:pPr>
              <w:pStyle w:val="nTable"/>
              <w:spacing w:after="40"/>
            </w:pPr>
            <w:r>
              <w:t>18 Sep 2002</w:t>
            </w:r>
          </w:p>
        </w:tc>
        <w:tc>
          <w:tcPr>
            <w:tcW w:w="2555" w:type="dxa"/>
            <w:gridSpan w:val="3"/>
          </w:tcPr>
          <w:p>
            <w:pPr>
              <w:pStyle w:val="nTable"/>
              <w:spacing w:after="40"/>
            </w:pPr>
            <w:r>
              <w:t xml:space="preserve">28 Sep 2002 (see s. 2 and </w:t>
            </w:r>
            <w:r>
              <w:rPr>
                <w:i/>
              </w:rPr>
              <w:t>Gazette</w:t>
            </w:r>
            <w:r>
              <w:t xml:space="preserve"> 27 Sep 2002 p. 4877)</w:t>
            </w:r>
          </w:p>
        </w:tc>
      </w:tr>
      <w:tr>
        <w:trPr>
          <w:gridAfter w:val="2"/>
          <w:wAfter w:w="26" w:type="dxa"/>
          <w:cantSplit/>
        </w:trPr>
        <w:tc>
          <w:tcPr>
            <w:tcW w:w="2268" w:type="dxa"/>
            <w:gridSpan w:val="3"/>
          </w:tcPr>
          <w:p>
            <w:pPr>
              <w:pStyle w:val="nTable"/>
              <w:spacing w:after="40"/>
              <w:ind w:right="113"/>
            </w:pPr>
            <w:r>
              <w:rPr>
                <w:i/>
              </w:rPr>
              <w:t>Acts Amendment (Equality of Status) Act 2003</w:t>
            </w:r>
            <w:r>
              <w:t xml:space="preserve"> Pt. 36</w:t>
            </w:r>
          </w:p>
        </w:tc>
        <w:tc>
          <w:tcPr>
            <w:tcW w:w="1134" w:type="dxa"/>
            <w:gridSpan w:val="3"/>
          </w:tcPr>
          <w:p>
            <w:pPr>
              <w:pStyle w:val="nTable"/>
              <w:spacing w:after="40"/>
            </w:pPr>
            <w:r>
              <w:t>28 of 2003</w:t>
            </w:r>
          </w:p>
        </w:tc>
        <w:tc>
          <w:tcPr>
            <w:tcW w:w="1136" w:type="dxa"/>
            <w:gridSpan w:val="3"/>
          </w:tcPr>
          <w:p>
            <w:pPr>
              <w:pStyle w:val="nTable"/>
              <w:spacing w:after="40"/>
            </w:pPr>
            <w:r>
              <w:t>22 May 2003</w:t>
            </w:r>
          </w:p>
        </w:tc>
        <w:tc>
          <w:tcPr>
            <w:tcW w:w="2555" w:type="dxa"/>
            <w:gridSpan w:val="3"/>
          </w:tcPr>
          <w:p>
            <w:pPr>
              <w:pStyle w:val="nTable"/>
              <w:spacing w:after="40"/>
            </w:pPr>
            <w:r>
              <w:t xml:space="preserve">1 Jul 2003 (see s. 2 and </w:t>
            </w:r>
            <w:r>
              <w:rPr>
                <w:i/>
              </w:rPr>
              <w:t xml:space="preserve">Gazette </w:t>
            </w:r>
            <w:r>
              <w:t>30 Jun 2003 p. 2579)</w:t>
            </w:r>
          </w:p>
        </w:tc>
      </w:tr>
      <w:tr>
        <w:trPr>
          <w:gridAfter w:val="2"/>
          <w:wAfter w:w="26" w:type="dxa"/>
          <w:cantSplit/>
        </w:trPr>
        <w:tc>
          <w:tcPr>
            <w:tcW w:w="2268" w:type="dxa"/>
            <w:gridSpan w:val="3"/>
          </w:tcPr>
          <w:p>
            <w:pPr>
              <w:pStyle w:val="nTable"/>
              <w:spacing w:after="40"/>
              <w:ind w:right="113"/>
              <w:rPr>
                <w:i/>
              </w:rPr>
            </w:pPr>
            <w:r>
              <w:rPr>
                <w:i/>
              </w:rPr>
              <w:t>Public Transport Authority Act 2003</w:t>
            </w:r>
            <w:r>
              <w:t xml:space="preserve"> s. 151</w:t>
            </w:r>
          </w:p>
        </w:tc>
        <w:tc>
          <w:tcPr>
            <w:tcW w:w="1134" w:type="dxa"/>
            <w:gridSpan w:val="3"/>
          </w:tcPr>
          <w:p>
            <w:pPr>
              <w:pStyle w:val="nTable"/>
              <w:spacing w:after="40"/>
            </w:pPr>
            <w:r>
              <w:t>31 of 2003</w:t>
            </w:r>
          </w:p>
        </w:tc>
        <w:tc>
          <w:tcPr>
            <w:tcW w:w="1136" w:type="dxa"/>
            <w:gridSpan w:val="3"/>
          </w:tcPr>
          <w:p>
            <w:pPr>
              <w:pStyle w:val="nTable"/>
              <w:spacing w:after="40"/>
            </w:pPr>
            <w:r>
              <w:t>26 May 2003</w:t>
            </w:r>
          </w:p>
        </w:tc>
        <w:tc>
          <w:tcPr>
            <w:tcW w:w="2555" w:type="dxa"/>
            <w:gridSpan w:val="3"/>
          </w:tcPr>
          <w:p>
            <w:pPr>
              <w:pStyle w:val="nTable"/>
              <w:spacing w:after="40"/>
            </w:pPr>
            <w:r>
              <w:t xml:space="preserve">1 Jul 2003 (see s. 2(1) and </w:t>
            </w:r>
            <w:r>
              <w:rPr>
                <w:i/>
              </w:rPr>
              <w:t xml:space="preserve">Gazette </w:t>
            </w:r>
            <w:r>
              <w:t>27 Jun 2003 p. 2384)</w:t>
            </w:r>
          </w:p>
        </w:tc>
      </w:tr>
      <w:tr>
        <w:trPr>
          <w:gridAfter w:val="2"/>
          <w:wAfter w:w="26" w:type="dxa"/>
          <w:cantSplit/>
        </w:trPr>
        <w:tc>
          <w:tcPr>
            <w:tcW w:w="2268" w:type="dxa"/>
            <w:gridSpan w:val="3"/>
          </w:tcPr>
          <w:p>
            <w:pPr>
              <w:pStyle w:val="nTable"/>
              <w:spacing w:after="40"/>
              <w:ind w:right="113"/>
              <w:rPr>
                <w:i/>
              </w:rPr>
            </w:pPr>
            <w:r>
              <w:rPr>
                <w:i/>
              </w:rPr>
              <w:t>Racing and Gambling Legislation Amendment and Repeal Act 2003</w:t>
            </w:r>
            <w:r>
              <w:t xml:space="preserve"> s. 173</w:t>
            </w:r>
          </w:p>
        </w:tc>
        <w:tc>
          <w:tcPr>
            <w:tcW w:w="1134" w:type="dxa"/>
            <w:gridSpan w:val="3"/>
          </w:tcPr>
          <w:p>
            <w:pPr>
              <w:pStyle w:val="nTable"/>
              <w:spacing w:after="40"/>
              <w:rPr>
                <w:snapToGrid w:val="0"/>
              </w:rPr>
            </w:pPr>
            <w:r>
              <w:t>35 of 2003</w:t>
            </w:r>
          </w:p>
        </w:tc>
        <w:tc>
          <w:tcPr>
            <w:tcW w:w="1136" w:type="dxa"/>
            <w:gridSpan w:val="3"/>
          </w:tcPr>
          <w:p>
            <w:pPr>
              <w:pStyle w:val="nTable"/>
              <w:spacing w:after="40"/>
              <w:rPr>
                <w:snapToGrid w:val="0"/>
              </w:rPr>
            </w:pPr>
            <w:r>
              <w:t>26 Jun 2003</w:t>
            </w:r>
          </w:p>
        </w:tc>
        <w:tc>
          <w:tcPr>
            <w:tcW w:w="2555" w:type="dxa"/>
            <w:gridSpan w:val="3"/>
          </w:tcPr>
          <w:p>
            <w:pPr>
              <w:pStyle w:val="nTable"/>
              <w:spacing w:after="40"/>
              <w:rPr>
                <w:spacing w:val="-2"/>
              </w:rPr>
            </w:pPr>
            <w:r>
              <w:rPr>
                <w:spacing w:val="-2"/>
              </w:rPr>
              <w:t xml:space="preserve">30 Jan 2004 (see s. 2 and </w:t>
            </w:r>
            <w:r>
              <w:rPr>
                <w:i/>
                <w:spacing w:val="-2"/>
              </w:rPr>
              <w:t>Gazette</w:t>
            </w:r>
            <w:r>
              <w:rPr>
                <w:spacing w:val="-2"/>
              </w:rPr>
              <w:t xml:space="preserve"> 30 Jan 2004 p. 397)</w:t>
            </w:r>
          </w:p>
        </w:tc>
      </w:tr>
      <w:tr>
        <w:trPr>
          <w:gridAfter w:val="2"/>
          <w:wAfter w:w="26" w:type="dxa"/>
          <w:cantSplit/>
        </w:trPr>
        <w:tc>
          <w:tcPr>
            <w:tcW w:w="2268" w:type="dxa"/>
            <w:gridSpan w:val="3"/>
          </w:tcPr>
          <w:p>
            <w:pPr>
              <w:pStyle w:val="nTable"/>
              <w:spacing w:after="40"/>
              <w:ind w:right="113"/>
            </w:pPr>
            <w:r>
              <w:rPr>
                <w:i/>
              </w:rPr>
              <w:t>Statutes (Repeals and Minor Amendments) Act 2003</w:t>
            </w:r>
            <w:r>
              <w:t xml:space="preserve"> s. 78</w:t>
            </w:r>
          </w:p>
        </w:tc>
        <w:tc>
          <w:tcPr>
            <w:tcW w:w="1134" w:type="dxa"/>
            <w:gridSpan w:val="3"/>
          </w:tcPr>
          <w:p>
            <w:pPr>
              <w:pStyle w:val="nTable"/>
              <w:spacing w:after="40"/>
            </w:pPr>
            <w:r>
              <w:t>74 of 2003</w:t>
            </w:r>
          </w:p>
        </w:tc>
        <w:tc>
          <w:tcPr>
            <w:tcW w:w="1136" w:type="dxa"/>
            <w:gridSpan w:val="3"/>
          </w:tcPr>
          <w:p>
            <w:pPr>
              <w:pStyle w:val="nTable"/>
              <w:spacing w:after="40"/>
            </w:pPr>
            <w:r>
              <w:t>15 Dec 2003</w:t>
            </w:r>
          </w:p>
        </w:tc>
        <w:tc>
          <w:tcPr>
            <w:tcW w:w="2555" w:type="dxa"/>
            <w:gridSpan w:val="3"/>
          </w:tcPr>
          <w:p>
            <w:pPr>
              <w:pStyle w:val="nTable"/>
              <w:spacing w:after="40"/>
            </w:pPr>
            <w:r>
              <w:rPr>
                <w:spacing w:val="-2"/>
              </w:rPr>
              <w:t>15 Dec 2003 (see s. 2)</w:t>
            </w:r>
          </w:p>
        </w:tc>
      </w:tr>
      <w:tr>
        <w:trPr>
          <w:gridAfter w:val="2"/>
          <w:wAfter w:w="26" w:type="dxa"/>
          <w:cantSplit/>
        </w:trPr>
        <w:tc>
          <w:tcPr>
            <w:tcW w:w="7093" w:type="dxa"/>
            <w:gridSpan w:val="12"/>
          </w:tcPr>
          <w:p>
            <w:pPr>
              <w:pStyle w:val="nTable"/>
              <w:spacing w:after="40"/>
            </w:pPr>
            <w:r>
              <w:rPr>
                <w:b/>
              </w:rPr>
              <w:t xml:space="preserve">Reprint 3: The </w:t>
            </w:r>
            <w:r>
              <w:rPr>
                <w:b/>
                <w:i/>
              </w:rPr>
              <w:t>Liquor Licensing Act 1988</w:t>
            </w:r>
            <w:r>
              <w:rPr>
                <w:b/>
              </w:rPr>
              <w:t xml:space="preserve"> as at 23 Apr 2004</w:t>
            </w:r>
            <w:r>
              <w:t xml:space="preserve"> (includes amendments listed above)</w:t>
            </w:r>
          </w:p>
        </w:tc>
      </w:tr>
      <w:tr>
        <w:trPr>
          <w:gridAfter w:val="2"/>
          <w:wAfter w:w="26" w:type="dxa"/>
          <w:cantSplit/>
        </w:trPr>
        <w:tc>
          <w:tcPr>
            <w:tcW w:w="2268" w:type="dxa"/>
            <w:gridSpan w:val="3"/>
          </w:tcPr>
          <w:p>
            <w:pPr>
              <w:pStyle w:val="nTable"/>
              <w:spacing w:after="40"/>
              <w:ind w:right="113"/>
            </w:pPr>
            <w:r>
              <w:rPr>
                <w:i/>
                <w:snapToGrid w:val="0"/>
              </w:rPr>
              <w:t>Acts Amendment (Court of Appeal) Act 2004</w:t>
            </w:r>
            <w:r>
              <w:rPr>
                <w:snapToGrid w:val="0"/>
              </w:rPr>
              <w:t xml:space="preserve"> s. 37</w:t>
            </w:r>
          </w:p>
        </w:tc>
        <w:tc>
          <w:tcPr>
            <w:tcW w:w="1134" w:type="dxa"/>
            <w:gridSpan w:val="3"/>
          </w:tcPr>
          <w:p>
            <w:pPr>
              <w:pStyle w:val="nTable"/>
              <w:spacing w:after="40"/>
            </w:pPr>
            <w:r>
              <w:rPr>
                <w:snapToGrid w:val="0"/>
              </w:rPr>
              <w:t>45 of 2004</w:t>
            </w:r>
          </w:p>
        </w:tc>
        <w:tc>
          <w:tcPr>
            <w:tcW w:w="1136" w:type="dxa"/>
            <w:gridSpan w:val="3"/>
          </w:tcPr>
          <w:p>
            <w:pPr>
              <w:pStyle w:val="nTable"/>
              <w:spacing w:after="40"/>
            </w:pPr>
            <w:r>
              <w:t>9 Nov 2004</w:t>
            </w:r>
          </w:p>
        </w:tc>
        <w:tc>
          <w:tcPr>
            <w:tcW w:w="2555" w:type="dxa"/>
            <w:gridSpan w:val="3"/>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After w:val="2"/>
          <w:wAfter w:w="26" w:type="dxa"/>
          <w:cantSplit/>
        </w:trPr>
        <w:tc>
          <w:tcPr>
            <w:tcW w:w="2268" w:type="dxa"/>
            <w:gridSpan w:val="3"/>
          </w:tcPr>
          <w:p>
            <w:pPr>
              <w:pStyle w:val="nTable"/>
              <w:spacing w:after="40"/>
              <w:ind w:right="113"/>
              <w:rPr>
                <w:i/>
                <w:snapToGrid w:val="0"/>
              </w:rPr>
            </w:pPr>
            <w:r>
              <w:rPr>
                <w:i/>
                <w:snapToGrid w:val="0"/>
              </w:rPr>
              <w:t>Courts Legislation Amendment and Repeal Act 2004</w:t>
            </w:r>
            <w:r>
              <w:rPr>
                <w:snapToGrid w:val="0"/>
              </w:rPr>
              <w:t xml:space="preserve"> s. 141</w:t>
            </w:r>
          </w:p>
        </w:tc>
        <w:tc>
          <w:tcPr>
            <w:tcW w:w="1134" w:type="dxa"/>
            <w:gridSpan w:val="3"/>
          </w:tcPr>
          <w:p>
            <w:pPr>
              <w:pStyle w:val="nTable"/>
              <w:keepNext/>
              <w:spacing w:after="40"/>
              <w:rPr>
                <w:snapToGrid w:val="0"/>
              </w:rPr>
            </w:pPr>
            <w:r>
              <w:rPr>
                <w:snapToGrid w:val="0"/>
              </w:rPr>
              <w:t>59 of 2004</w:t>
            </w:r>
          </w:p>
        </w:tc>
        <w:tc>
          <w:tcPr>
            <w:tcW w:w="1136" w:type="dxa"/>
            <w:gridSpan w:val="3"/>
          </w:tcPr>
          <w:p>
            <w:pPr>
              <w:pStyle w:val="nTable"/>
              <w:keepNext/>
              <w:spacing w:after="40"/>
            </w:pPr>
            <w:r>
              <w:t>23 Nov 2004</w:t>
            </w:r>
          </w:p>
        </w:tc>
        <w:tc>
          <w:tcPr>
            <w:tcW w:w="2555" w:type="dxa"/>
            <w:gridSpan w:val="3"/>
          </w:tcPr>
          <w:p>
            <w:pPr>
              <w:pStyle w:val="nTable"/>
              <w:keepNext/>
              <w:spacing w:after="40"/>
              <w:rPr>
                <w:snapToGrid w:val="0"/>
              </w:rPr>
            </w:pPr>
            <w:r>
              <w:rPr>
                <w:snapToGrid w:val="0"/>
              </w:rPr>
              <w:t xml:space="preserve">1 May 2005 (see s. 2 and </w:t>
            </w:r>
            <w:r>
              <w:rPr>
                <w:i/>
                <w:snapToGrid w:val="0"/>
              </w:rPr>
              <w:t>Gazette</w:t>
            </w:r>
            <w:r>
              <w:rPr>
                <w:snapToGrid w:val="0"/>
              </w:rPr>
              <w:t xml:space="preserve"> 31 Dec 2004 p. 7128)</w:t>
            </w:r>
          </w:p>
        </w:tc>
      </w:tr>
      <w:tr>
        <w:trPr>
          <w:gridAfter w:val="2"/>
          <w:wAfter w:w="26" w:type="dxa"/>
          <w:cantSplit/>
        </w:trPr>
        <w:tc>
          <w:tcPr>
            <w:tcW w:w="2268" w:type="dxa"/>
            <w:gridSpan w:val="3"/>
          </w:tcPr>
          <w:p>
            <w:pPr>
              <w:pStyle w:val="nTable"/>
              <w:spacing w:after="40"/>
              <w:ind w:right="113"/>
              <w:rPr>
                <w:i/>
                <w:snapToGrid w:val="0"/>
              </w:rPr>
            </w:pPr>
            <w:r>
              <w:rPr>
                <w:i/>
                <w:snapToGrid w:val="0"/>
              </w:rPr>
              <w:t>Criminal Law Amendment (Simple Offences) Act 2004</w:t>
            </w:r>
            <w:r>
              <w:rPr>
                <w:snapToGrid w:val="0"/>
              </w:rPr>
              <w:t xml:space="preserve"> s. 82</w:t>
            </w:r>
          </w:p>
        </w:tc>
        <w:tc>
          <w:tcPr>
            <w:tcW w:w="1134" w:type="dxa"/>
            <w:gridSpan w:val="3"/>
          </w:tcPr>
          <w:p>
            <w:pPr>
              <w:pStyle w:val="nTable"/>
              <w:spacing w:after="40"/>
              <w:rPr>
                <w:snapToGrid w:val="0"/>
              </w:rPr>
            </w:pPr>
            <w:r>
              <w:rPr>
                <w:snapToGrid w:val="0"/>
              </w:rPr>
              <w:t>70 of 2004</w:t>
            </w:r>
          </w:p>
        </w:tc>
        <w:tc>
          <w:tcPr>
            <w:tcW w:w="1136" w:type="dxa"/>
            <w:gridSpan w:val="3"/>
          </w:tcPr>
          <w:p>
            <w:pPr>
              <w:pStyle w:val="nTable"/>
              <w:spacing w:after="40"/>
            </w:pPr>
            <w:r>
              <w:rPr>
                <w:snapToGrid w:val="0"/>
              </w:rPr>
              <w:t>8 Dec 2004</w:t>
            </w:r>
          </w:p>
        </w:tc>
        <w:tc>
          <w:tcPr>
            <w:tcW w:w="2555" w:type="dxa"/>
            <w:gridSpan w:val="3"/>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rPr>
          <w:gridAfter w:val="2"/>
          <w:wAfter w:w="26" w:type="dxa"/>
          <w:cantSplit/>
        </w:trPr>
        <w:tc>
          <w:tcPr>
            <w:tcW w:w="2268" w:type="dxa"/>
            <w:gridSpan w:val="3"/>
          </w:tcPr>
          <w:p>
            <w:pPr>
              <w:pStyle w:val="nTable"/>
              <w:spacing w:after="40"/>
              <w:ind w:right="113"/>
              <w:rPr>
                <w:i/>
                <w:snapToGrid w:val="0"/>
              </w:rPr>
            </w:pPr>
            <w:r>
              <w:rPr>
                <w:i/>
                <w:snapToGrid w:val="0"/>
              </w:rPr>
              <w:t>Criminal Procedure and Appeals (Consequential and Other Provisions) Act 2004</w:t>
            </w:r>
            <w:r>
              <w:rPr>
                <w:snapToGrid w:val="0"/>
              </w:rPr>
              <w:t xml:space="preserve"> s. 80 and 82</w:t>
            </w:r>
          </w:p>
        </w:tc>
        <w:tc>
          <w:tcPr>
            <w:tcW w:w="1134" w:type="dxa"/>
            <w:gridSpan w:val="3"/>
          </w:tcPr>
          <w:p>
            <w:pPr>
              <w:pStyle w:val="nTable"/>
              <w:spacing w:after="40"/>
              <w:rPr>
                <w:snapToGrid w:val="0"/>
              </w:rPr>
            </w:pPr>
            <w:r>
              <w:rPr>
                <w:snapToGrid w:val="0"/>
              </w:rPr>
              <w:t>84 of 2004</w:t>
            </w:r>
          </w:p>
        </w:tc>
        <w:tc>
          <w:tcPr>
            <w:tcW w:w="1136" w:type="dxa"/>
            <w:gridSpan w:val="3"/>
          </w:tcPr>
          <w:p>
            <w:pPr>
              <w:pStyle w:val="nTable"/>
              <w:spacing w:after="40"/>
            </w:pPr>
            <w:r>
              <w:t>16 Dec 2004</w:t>
            </w:r>
          </w:p>
        </w:tc>
        <w:tc>
          <w:tcPr>
            <w:tcW w:w="2555" w:type="dxa"/>
            <w:gridSpan w:val="3"/>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After w:val="2"/>
          <w:wAfter w:w="26" w:type="dxa"/>
          <w:cantSplit/>
        </w:trPr>
        <w:tc>
          <w:tcPr>
            <w:tcW w:w="2268" w:type="dxa"/>
            <w:gridSpan w:val="3"/>
          </w:tcPr>
          <w:p>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1134" w:type="dxa"/>
            <w:gridSpan w:val="3"/>
          </w:tcPr>
          <w:p>
            <w:pPr>
              <w:pStyle w:val="nTable"/>
              <w:spacing w:after="40"/>
              <w:rPr>
                <w:snapToGrid w:val="0"/>
              </w:rPr>
            </w:pPr>
            <w:r>
              <w:rPr>
                <w:snapToGrid w:val="0"/>
              </w:rPr>
              <w:t>38 of 2005</w:t>
            </w:r>
          </w:p>
        </w:tc>
        <w:tc>
          <w:tcPr>
            <w:tcW w:w="1136" w:type="dxa"/>
            <w:gridSpan w:val="3"/>
          </w:tcPr>
          <w:p>
            <w:pPr>
              <w:pStyle w:val="nTable"/>
              <w:spacing w:after="40"/>
            </w:pPr>
            <w:r>
              <w:t>12 Dec 2005</w:t>
            </w:r>
          </w:p>
        </w:tc>
        <w:tc>
          <w:tcPr>
            <w:tcW w:w="2555" w:type="dxa"/>
            <w:gridSpan w:val="3"/>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rPr>
          <w:gridAfter w:val="2"/>
          <w:wAfter w:w="26" w:type="dxa"/>
          <w:cantSplit/>
        </w:trPr>
        <w:tc>
          <w:tcPr>
            <w:tcW w:w="7093" w:type="dxa"/>
            <w:gridSpan w:val="12"/>
          </w:tcPr>
          <w:p>
            <w:pPr>
              <w:pStyle w:val="nTable"/>
              <w:spacing w:after="40"/>
              <w:rPr>
                <w:snapToGrid w:val="0"/>
              </w:rPr>
            </w:pPr>
            <w:r>
              <w:rPr>
                <w:b/>
                <w:snapToGrid w:val="0"/>
              </w:rPr>
              <w:t xml:space="preserve">Reprint 4:  </w:t>
            </w:r>
            <w:r>
              <w:rPr>
                <w:b/>
              </w:rPr>
              <w:t xml:space="preserve">The </w:t>
            </w:r>
            <w:r>
              <w:rPr>
                <w:b/>
                <w:i/>
              </w:rPr>
              <w:t>Liquor Licensing Act 1988</w:t>
            </w:r>
            <w:r>
              <w:rPr>
                <w:b/>
              </w:rPr>
              <w:t xml:space="preserve"> as at 9 Jun 2006</w:t>
            </w:r>
            <w:r>
              <w:rPr>
                <w:snapToGrid w:val="0"/>
              </w:rPr>
              <w:t xml:space="preserve"> (includes amendments listed above)</w:t>
            </w:r>
          </w:p>
        </w:tc>
      </w:tr>
      <w:tr>
        <w:trPr>
          <w:gridAfter w:val="2"/>
          <w:wAfter w:w="26" w:type="dxa"/>
        </w:trPr>
        <w:tc>
          <w:tcPr>
            <w:tcW w:w="2268" w:type="dxa"/>
            <w:gridSpan w:val="3"/>
          </w:tcPr>
          <w:p>
            <w:pPr>
              <w:pStyle w:val="nTable"/>
              <w:spacing w:after="40"/>
              <w:rPr>
                <w:i/>
                <w:snapToGrid w:val="0"/>
              </w:rPr>
            </w:pPr>
            <w:r>
              <w:rPr>
                <w:i/>
                <w:snapToGrid w:val="0"/>
              </w:rPr>
              <w:t>Criminal Investigation (Consequential Provisions) Act 2006</w:t>
            </w:r>
            <w:r>
              <w:rPr>
                <w:snapToGrid w:val="0"/>
              </w:rPr>
              <w:t xml:space="preserve"> Pt. 10</w:t>
            </w:r>
          </w:p>
        </w:tc>
        <w:tc>
          <w:tcPr>
            <w:tcW w:w="1134" w:type="dxa"/>
            <w:gridSpan w:val="3"/>
          </w:tcPr>
          <w:p>
            <w:pPr>
              <w:pStyle w:val="nTable"/>
              <w:spacing w:after="40"/>
              <w:rPr>
                <w:snapToGrid w:val="0"/>
              </w:rPr>
            </w:pPr>
            <w:r>
              <w:rPr>
                <w:snapToGrid w:val="0"/>
              </w:rPr>
              <w:t>59 of 2006</w:t>
            </w:r>
          </w:p>
        </w:tc>
        <w:tc>
          <w:tcPr>
            <w:tcW w:w="1136" w:type="dxa"/>
            <w:gridSpan w:val="3"/>
          </w:tcPr>
          <w:p>
            <w:pPr>
              <w:pStyle w:val="nTable"/>
              <w:spacing w:after="40"/>
              <w:rPr>
                <w:snapToGrid w:val="0"/>
              </w:rPr>
            </w:pPr>
            <w:r>
              <w:rPr>
                <w:snapToGrid w:val="0"/>
              </w:rPr>
              <w:t>16 Nov 2006</w:t>
            </w:r>
          </w:p>
        </w:tc>
        <w:tc>
          <w:tcPr>
            <w:tcW w:w="2555" w:type="dxa"/>
            <w:gridSpan w:val="3"/>
          </w:tcPr>
          <w:p>
            <w:pPr>
              <w:pStyle w:val="nTable"/>
              <w:spacing w:after="40"/>
              <w:rPr>
                <w:snapToGrid w:val="0"/>
              </w:rPr>
            </w:pPr>
            <w:r>
              <w:rPr>
                <w:snapToGrid w:val="0"/>
              </w:rPr>
              <w:t>1 Jul 2007</w:t>
            </w:r>
            <w:r>
              <w:t xml:space="preserve"> (see s. 2 and </w:t>
            </w:r>
            <w:r>
              <w:rPr>
                <w:i/>
                <w:iCs/>
              </w:rPr>
              <w:t>Gazette</w:t>
            </w:r>
            <w:r>
              <w:t xml:space="preserve"> 22 Jun 2007 p. 2838)</w:t>
            </w:r>
          </w:p>
        </w:tc>
      </w:tr>
      <w:tr>
        <w:trPr>
          <w:gridAfter w:val="2"/>
          <w:wAfter w:w="26" w:type="dxa"/>
        </w:trPr>
        <w:tc>
          <w:tcPr>
            <w:tcW w:w="2268" w:type="dxa"/>
            <w:gridSpan w:val="3"/>
          </w:tcPr>
          <w:p>
            <w:pPr>
              <w:pStyle w:val="nTable"/>
              <w:spacing w:after="40"/>
              <w:rPr>
                <w:i/>
                <w:snapToGrid w:val="0"/>
              </w:rPr>
            </w:pPr>
            <w:r>
              <w:rPr>
                <w:i/>
                <w:snapToGrid w:val="0"/>
              </w:rPr>
              <w:t xml:space="preserve">Liquor and Gaming Legislation Amendment Act 2006 </w:t>
            </w:r>
            <w:r>
              <w:rPr>
                <w:iCs/>
                <w:snapToGrid w:val="0"/>
              </w:rPr>
              <w:t>Pt. 2</w:t>
            </w:r>
          </w:p>
        </w:tc>
        <w:tc>
          <w:tcPr>
            <w:tcW w:w="1134" w:type="dxa"/>
            <w:gridSpan w:val="3"/>
          </w:tcPr>
          <w:p>
            <w:pPr>
              <w:pStyle w:val="nTable"/>
              <w:spacing w:after="40"/>
              <w:rPr>
                <w:snapToGrid w:val="0"/>
              </w:rPr>
            </w:pPr>
            <w:r>
              <w:rPr>
                <w:snapToGrid w:val="0"/>
              </w:rPr>
              <w:t>73 of 2006</w:t>
            </w:r>
          </w:p>
        </w:tc>
        <w:tc>
          <w:tcPr>
            <w:tcW w:w="1136" w:type="dxa"/>
            <w:gridSpan w:val="3"/>
          </w:tcPr>
          <w:p>
            <w:pPr>
              <w:pStyle w:val="nTable"/>
              <w:spacing w:after="40"/>
              <w:rPr>
                <w:snapToGrid w:val="0"/>
              </w:rPr>
            </w:pPr>
            <w:r>
              <w:rPr>
                <w:snapToGrid w:val="0"/>
              </w:rPr>
              <w:t>13 Dec 2006</w:t>
            </w:r>
          </w:p>
        </w:tc>
        <w:tc>
          <w:tcPr>
            <w:tcW w:w="2555" w:type="dxa"/>
            <w:gridSpan w:val="3"/>
          </w:tcPr>
          <w:p>
            <w:pPr>
              <w:pStyle w:val="nTable"/>
              <w:spacing w:after="40"/>
              <w:rPr>
                <w:snapToGrid w:val="0"/>
              </w:rPr>
            </w:pPr>
            <w:r>
              <w:t xml:space="preserve">s. 6(1)(b) and (u), 67, 68 and 107: 17 Dec 2006 (see s. 2(2) and </w:t>
            </w:r>
            <w:r>
              <w:rPr>
                <w:i/>
                <w:iCs/>
              </w:rPr>
              <w:t xml:space="preserve">Gazette </w:t>
            </w:r>
            <w:r>
              <w:t>15 Dec 2006 p. 5661);</w:t>
            </w:r>
            <w:r>
              <w:br/>
              <w:t>s. 3</w:t>
            </w:r>
            <w:r>
              <w:noBreakHyphen/>
              <w:t>5, 6(1)(a), (c)</w:t>
            </w:r>
            <w:r>
              <w:noBreakHyphen/>
              <w:t>(t), (v)</w:t>
            </w:r>
            <w:r>
              <w:noBreakHyphen/>
              <w:t>(z), (2)</w:t>
            </w:r>
            <w:r>
              <w:noBreakHyphen/>
              <w:t>(4), 7</w:t>
            </w:r>
            <w:r>
              <w:noBreakHyphen/>
              <w:t>26, 28</w:t>
            </w:r>
            <w:r>
              <w:noBreakHyphen/>
              <w:t>66, 69</w:t>
            </w:r>
            <w:r>
              <w:noBreakHyphen/>
              <w:t>77, 79</w:t>
            </w:r>
            <w:r>
              <w:noBreakHyphen/>
              <w:t>82, 84</w:t>
            </w:r>
            <w:r>
              <w:noBreakHyphen/>
              <w:t>106 and 108</w:t>
            </w:r>
            <w:r>
              <w:noBreakHyphen/>
              <w:t xml:space="preserve">111: 7 May 2007 (see s. 2(2) and </w:t>
            </w:r>
            <w:r>
              <w:rPr>
                <w:i/>
                <w:iCs/>
              </w:rPr>
              <w:t>Gazette</w:t>
            </w:r>
            <w:r>
              <w:t xml:space="preserve"> 1 May 2007 p. 1893);</w:t>
            </w:r>
            <w:r>
              <w:br/>
              <w:t xml:space="preserve">s. 78 and 83: 1 Aug 2007 (see s. 2(2) and </w:t>
            </w:r>
            <w:r>
              <w:rPr>
                <w:i/>
                <w:iCs/>
              </w:rPr>
              <w:t>Gazette</w:t>
            </w:r>
            <w:r>
              <w:t xml:space="preserve"> 20 Jul 2007 p. 3629);</w:t>
            </w:r>
            <w:r>
              <w:br/>
              <w:t xml:space="preserve">s. 27: 14 Jun 2008 (see s. 2(2) and </w:t>
            </w:r>
            <w:r>
              <w:rPr>
                <w:i/>
                <w:iCs/>
              </w:rPr>
              <w:t>Gazette</w:t>
            </w:r>
            <w:r>
              <w:t xml:space="preserve"> 13 Jun 2008 p. 2515)</w:t>
            </w:r>
          </w:p>
        </w:tc>
      </w:tr>
      <w:tr>
        <w:trPr>
          <w:gridAfter w:val="2"/>
          <w:wAfter w:w="26" w:type="dxa"/>
        </w:trPr>
        <w:tc>
          <w:tcPr>
            <w:tcW w:w="2268" w:type="dxa"/>
            <w:gridSpan w:val="3"/>
          </w:tcPr>
          <w:p>
            <w:pPr>
              <w:pStyle w:val="nTable"/>
              <w:spacing w:after="40"/>
              <w:rPr>
                <w:snapToGrid w:val="0"/>
              </w:rPr>
            </w:pPr>
            <w:r>
              <w:rPr>
                <w:i/>
                <w:snapToGrid w:val="0"/>
              </w:rPr>
              <w:t xml:space="preserve">Financial Legislation Amendment and Repeal Act 2006 </w:t>
            </w:r>
            <w:r>
              <w:rPr>
                <w:snapToGrid w:val="0"/>
              </w:rPr>
              <w:t>s. 4</w:t>
            </w:r>
          </w:p>
        </w:tc>
        <w:tc>
          <w:tcPr>
            <w:tcW w:w="1134" w:type="dxa"/>
            <w:gridSpan w:val="3"/>
          </w:tcPr>
          <w:p>
            <w:pPr>
              <w:pStyle w:val="nTable"/>
              <w:spacing w:after="40"/>
              <w:rPr>
                <w:snapToGrid w:val="0"/>
              </w:rPr>
            </w:pPr>
            <w:r>
              <w:rPr>
                <w:snapToGrid w:val="0"/>
              </w:rPr>
              <w:t>77 of 2006</w:t>
            </w:r>
          </w:p>
        </w:tc>
        <w:tc>
          <w:tcPr>
            <w:tcW w:w="1136" w:type="dxa"/>
            <w:gridSpan w:val="3"/>
          </w:tcPr>
          <w:p>
            <w:pPr>
              <w:pStyle w:val="nTable"/>
              <w:spacing w:after="40"/>
              <w:rPr>
                <w:snapToGrid w:val="0"/>
              </w:rPr>
            </w:pPr>
            <w:r>
              <w:rPr>
                <w:snapToGrid w:val="0"/>
              </w:rPr>
              <w:t>21 Dec 2006</w:t>
            </w:r>
          </w:p>
        </w:tc>
        <w:tc>
          <w:tcPr>
            <w:tcW w:w="2555" w:type="dxa"/>
            <w:gridSpan w:val="3"/>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2"/>
          <w:wAfter w:w="26" w:type="dxa"/>
          <w:cantSplit/>
        </w:trPr>
        <w:tc>
          <w:tcPr>
            <w:tcW w:w="7093" w:type="dxa"/>
            <w:gridSpan w:val="12"/>
          </w:tcPr>
          <w:p>
            <w:pPr>
              <w:pStyle w:val="nTable"/>
              <w:spacing w:after="40"/>
              <w:rPr>
                <w:snapToGrid w:val="0"/>
              </w:rPr>
            </w:pPr>
            <w:r>
              <w:rPr>
                <w:b/>
                <w:snapToGrid w:val="0"/>
              </w:rPr>
              <w:t xml:space="preserve">Reprint 5:  </w:t>
            </w:r>
            <w:r>
              <w:rPr>
                <w:b/>
              </w:rPr>
              <w:t xml:space="preserve">The </w:t>
            </w:r>
            <w:r>
              <w:rPr>
                <w:b/>
                <w:i/>
              </w:rPr>
              <w:t>Liquor Control Act 1988</w:t>
            </w:r>
            <w:r>
              <w:rPr>
                <w:b/>
              </w:rPr>
              <w:t xml:space="preserve"> as at 3 Jul 2007</w:t>
            </w:r>
            <w:r>
              <w:rPr>
                <w:snapToGrid w:val="0"/>
              </w:rPr>
              <w:t xml:space="preserve"> (includes amendments listed above except those in the </w:t>
            </w:r>
            <w:r>
              <w:rPr>
                <w:i/>
                <w:snapToGrid w:val="0"/>
              </w:rPr>
              <w:t>Liquor and Gaming Legislation Amendment Act 2006</w:t>
            </w:r>
            <w:r>
              <w:rPr>
                <w:snapToGrid w:val="0"/>
              </w:rPr>
              <w:t xml:space="preserve"> s. 27, 78 and 83)</w:t>
            </w:r>
          </w:p>
        </w:tc>
      </w:tr>
      <w:tr>
        <w:trPr>
          <w:gridAfter w:val="2"/>
          <w:wAfter w:w="26" w:type="dxa"/>
        </w:trPr>
        <w:tc>
          <w:tcPr>
            <w:tcW w:w="2268" w:type="dxa"/>
            <w:gridSpan w:val="3"/>
          </w:tcPr>
          <w:p>
            <w:pPr>
              <w:pStyle w:val="nTable"/>
              <w:spacing w:after="40"/>
              <w:rPr>
                <w:i/>
                <w:snapToGrid w:val="0"/>
              </w:rPr>
            </w:pPr>
            <w:r>
              <w:rPr>
                <w:i/>
                <w:iCs/>
                <w:snapToGrid w:val="0"/>
              </w:rPr>
              <w:t>Legal Profession Act 2008</w:t>
            </w:r>
            <w:r>
              <w:rPr>
                <w:snapToGrid w:val="0"/>
              </w:rPr>
              <w:t xml:space="preserve"> s. 675 </w:t>
            </w:r>
          </w:p>
        </w:tc>
        <w:tc>
          <w:tcPr>
            <w:tcW w:w="1134" w:type="dxa"/>
            <w:gridSpan w:val="3"/>
          </w:tcPr>
          <w:p>
            <w:pPr>
              <w:pStyle w:val="nTable"/>
              <w:spacing w:after="40"/>
            </w:pPr>
            <w:r>
              <w:rPr>
                <w:snapToGrid w:val="0"/>
              </w:rPr>
              <w:t>21 of 2008</w:t>
            </w:r>
          </w:p>
        </w:tc>
        <w:tc>
          <w:tcPr>
            <w:tcW w:w="1136" w:type="dxa"/>
            <w:gridSpan w:val="3"/>
          </w:tcPr>
          <w:p>
            <w:pPr>
              <w:pStyle w:val="nTable"/>
              <w:spacing w:after="40"/>
              <w:ind w:right="-80"/>
            </w:pPr>
            <w:r>
              <w:rPr>
                <w:snapToGrid w:val="0"/>
              </w:rPr>
              <w:t>27 May 2008</w:t>
            </w:r>
          </w:p>
        </w:tc>
        <w:tc>
          <w:tcPr>
            <w:tcW w:w="2555" w:type="dxa"/>
            <w:gridSpan w:val="3"/>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gridAfter w:val="2"/>
          <w:wAfter w:w="26" w:type="dxa"/>
          <w:cantSplit/>
        </w:trPr>
        <w:tc>
          <w:tcPr>
            <w:tcW w:w="2268" w:type="dxa"/>
            <w:gridSpan w:val="3"/>
          </w:tcPr>
          <w:p>
            <w:pPr>
              <w:pStyle w:val="nTable"/>
              <w:spacing w:after="40"/>
              <w:rPr>
                <w:i/>
                <w:iCs/>
                <w:snapToGrid w:val="0"/>
              </w:rPr>
            </w:pPr>
            <w:r>
              <w:rPr>
                <w:i/>
                <w:noProof/>
                <w:snapToGrid w:val="0"/>
              </w:rPr>
              <w:t>Food Act 2008</w:t>
            </w:r>
            <w:r>
              <w:rPr>
                <w:iCs/>
                <w:noProof/>
                <w:snapToGrid w:val="0"/>
              </w:rPr>
              <w:t xml:space="preserve"> s. 148 </w:t>
            </w:r>
          </w:p>
        </w:tc>
        <w:tc>
          <w:tcPr>
            <w:tcW w:w="1134" w:type="dxa"/>
            <w:gridSpan w:val="3"/>
          </w:tcPr>
          <w:p>
            <w:pPr>
              <w:pStyle w:val="nTable"/>
              <w:spacing w:after="40"/>
              <w:rPr>
                <w:snapToGrid w:val="0"/>
              </w:rPr>
            </w:pPr>
            <w:r>
              <w:t>43 of 2008</w:t>
            </w:r>
          </w:p>
        </w:tc>
        <w:tc>
          <w:tcPr>
            <w:tcW w:w="1136" w:type="dxa"/>
            <w:gridSpan w:val="3"/>
          </w:tcPr>
          <w:p>
            <w:pPr>
              <w:pStyle w:val="nTable"/>
              <w:spacing w:after="40"/>
              <w:ind w:right="-80"/>
              <w:rPr>
                <w:snapToGrid w:val="0"/>
              </w:rPr>
            </w:pPr>
            <w:r>
              <w:t>8 Jul 2008</w:t>
            </w:r>
          </w:p>
        </w:tc>
        <w:tc>
          <w:tcPr>
            <w:tcW w:w="2555" w:type="dxa"/>
            <w:gridSpan w:val="3"/>
          </w:tcPr>
          <w:p>
            <w:pPr>
              <w:pStyle w:val="nTable"/>
              <w:spacing w:after="40"/>
              <w:rPr>
                <w:snapToGrid w:val="0"/>
                <w:spacing w:val="-2"/>
              </w:rPr>
            </w:pPr>
            <w:r>
              <w:t xml:space="preserve">24 Oct 2009 (see s. 2(1)(b) and (2) and </w:t>
            </w:r>
            <w:r>
              <w:rPr>
                <w:i/>
                <w:iCs/>
              </w:rPr>
              <w:t xml:space="preserve">Gazette </w:t>
            </w:r>
            <w:r>
              <w:t>23 Oct 2009 p. 4157)</w:t>
            </w:r>
          </w:p>
        </w:tc>
      </w:tr>
      <w:tr>
        <w:trPr>
          <w:gridAfter w:val="2"/>
          <w:wAfter w:w="26" w:type="dxa"/>
          <w:cantSplit/>
        </w:trPr>
        <w:tc>
          <w:tcPr>
            <w:tcW w:w="2268" w:type="dxa"/>
            <w:gridSpan w:val="3"/>
          </w:tcPr>
          <w:p>
            <w:pPr>
              <w:pStyle w:val="nTable"/>
              <w:spacing w:after="40"/>
              <w:rPr>
                <w:iCs/>
                <w:snapToGrid w:val="0"/>
              </w:rPr>
            </w:pPr>
            <w:r>
              <w:rPr>
                <w:i/>
                <w:snapToGrid w:val="0"/>
              </w:rPr>
              <w:t>Acts Amendment (Bankruptcy) Act 2009</w:t>
            </w:r>
            <w:r>
              <w:rPr>
                <w:iCs/>
                <w:snapToGrid w:val="0"/>
              </w:rPr>
              <w:t xml:space="preserve"> s. 51</w:t>
            </w:r>
          </w:p>
        </w:tc>
        <w:tc>
          <w:tcPr>
            <w:tcW w:w="1134" w:type="dxa"/>
            <w:gridSpan w:val="3"/>
          </w:tcPr>
          <w:p>
            <w:pPr>
              <w:pStyle w:val="nTable"/>
              <w:spacing w:after="40"/>
            </w:pPr>
            <w:r>
              <w:t>18 of 2009</w:t>
            </w:r>
          </w:p>
        </w:tc>
        <w:tc>
          <w:tcPr>
            <w:tcW w:w="1136" w:type="dxa"/>
            <w:gridSpan w:val="3"/>
          </w:tcPr>
          <w:p>
            <w:pPr>
              <w:pStyle w:val="nTable"/>
              <w:spacing w:after="40"/>
            </w:pPr>
            <w:r>
              <w:t>16 Sep 2009</w:t>
            </w:r>
          </w:p>
        </w:tc>
        <w:tc>
          <w:tcPr>
            <w:tcW w:w="2555" w:type="dxa"/>
            <w:gridSpan w:val="3"/>
          </w:tcPr>
          <w:p>
            <w:pPr>
              <w:pStyle w:val="nTable"/>
              <w:spacing w:after="40"/>
            </w:pPr>
            <w:r>
              <w:t>17 Sep 2009 (see s. 2(b))</w:t>
            </w:r>
          </w:p>
        </w:tc>
      </w:tr>
      <w:tr>
        <w:trPr>
          <w:gridAfter w:val="2"/>
          <w:wAfter w:w="26" w:type="dxa"/>
          <w:cantSplit/>
        </w:trPr>
        <w:tc>
          <w:tcPr>
            <w:tcW w:w="7093" w:type="dxa"/>
            <w:gridSpan w:val="12"/>
          </w:tcPr>
          <w:p>
            <w:pPr>
              <w:pStyle w:val="nTable"/>
              <w:spacing w:after="40"/>
            </w:pPr>
            <w:r>
              <w:rPr>
                <w:b/>
                <w:snapToGrid w:val="0"/>
              </w:rPr>
              <w:t xml:space="preserve">Reprint 6:  </w:t>
            </w:r>
            <w:r>
              <w:rPr>
                <w:b/>
              </w:rPr>
              <w:t xml:space="preserve">The </w:t>
            </w:r>
            <w:r>
              <w:rPr>
                <w:b/>
                <w:i/>
              </w:rPr>
              <w:t>Liquor Control Act 1988</w:t>
            </w:r>
            <w:r>
              <w:rPr>
                <w:b/>
              </w:rPr>
              <w:t xml:space="preserve"> as at 20 Nov 2009</w:t>
            </w:r>
            <w:r>
              <w:rPr>
                <w:snapToGrid w:val="0"/>
              </w:rPr>
              <w:t xml:space="preserve"> (includes amendments listed above)</w:t>
            </w:r>
          </w:p>
        </w:tc>
      </w:tr>
      <w:tr>
        <w:trPr>
          <w:gridBefore w:val="1"/>
          <w:gridAfter w:val="1"/>
          <w:wBefore w:w="14" w:type="dxa"/>
          <w:wAfter w:w="10" w:type="dxa"/>
          <w:cantSplit/>
        </w:trPr>
        <w:tc>
          <w:tcPr>
            <w:tcW w:w="2268" w:type="dxa"/>
            <w:gridSpan w:val="3"/>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3"/>
          </w:tcPr>
          <w:p>
            <w:pPr>
              <w:pStyle w:val="nTable"/>
              <w:spacing w:after="40"/>
              <w:rPr>
                <w:snapToGrid w:val="0"/>
              </w:rPr>
            </w:pPr>
            <w:r>
              <w:rPr>
                <w:snapToGrid w:val="0"/>
              </w:rPr>
              <w:t>19 of 2010</w:t>
            </w:r>
          </w:p>
        </w:tc>
        <w:tc>
          <w:tcPr>
            <w:tcW w:w="1136" w:type="dxa"/>
            <w:gridSpan w:val="3"/>
          </w:tcPr>
          <w:p>
            <w:pPr>
              <w:pStyle w:val="nTable"/>
              <w:spacing w:after="40"/>
              <w:rPr>
                <w:snapToGrid w:val="0"/>
              </w:rPr>
            </w:pPr>
            <w:r>
              <w:rPr>
                <w:snapToGrid w:val="0"/>
              </w:rPr>
              <w:t>28 Jun 2010</w:t>
            </w:r>
          </w:p>
        </w:tc>
        <w:tc>
          <w:tcPr>
            <w:tcW w:w="2557" w:type="dxa"/>
            <w:gridSpan w:val="3"/>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gridAfter w:val="1"/>
          <w:wBefore w:w="14" w:type="dxa"/>
          <w:wAfter w:w="10" w:type="dxa"/>
          <w:cantSplit/>
        </w:trPr>
        <w:tc>
          <w:tcPr>
            <w:tcW w:w="2268" w:type="dxa"/>
            <w:gridSpan w:val="3"/>
          </w:tcPr>
          <w:p>
            <w:pPr>
              <w:pStyle w:val="nTable"/>
              <w:spacing w:after="40"/>
              <w:ind w:right="113"/>
              <w:rPr>
                <w:i/>
                <w:snapToGrid w:val="0"/>
              </w:rPr>
            </w:pPr>
            <w:r>
              <w:rPr>
                <w:i/>
                <w:snapToGrid w:val="0"/>
              </w:rPr>
              <w:t>Health Practitioner Regulation National Law (WA) Act 2010</w:t>
            </w:r>
            <w:r>
              <w:rPr>
                <w:iCs/>
                <w:snapToGrid w:val="0"/>
              </w:rPr>
              <w:t xml:space="preserve"> Pt. 5 Div. 31</w:t>
            </w:r>
          </w:p>
        </w:tc>
        <w:tc>
          <w:tcPr>
            <w:tcW w:w="1134" w:type="dxa"/>
            <w:gridSpan w:val="3"/>
          </w:tcPr>
          <w:p>
            <w:pPr>
              <w:pStyle w:val="nTable"/>
              <w:spacing w:after="40"/>
              <w:rPr>
                <w:snapToGrid w:val="0"/>
              </w:rPr>
            </w:pPr>
            <w:r>
              <w:rPr>
                <w:snapToGrid w:val="0"/>
              </w:rPr>
              <w:t>35 of 2010</w:t>
            </w:r>
          </w:p>
        </w:tc>
        <w:tc>
          <w:tcPr>
            <w:tcW w:w="1136" w:type="dxa"/>
            <w:gridSpan w:val="3"/>
          </w:tcPr>
          <w:p>
            <w:pPr>
              <w:pStyle w:val="nTable"/>
              <w:spacing w:after="40"/>
              <w:rPr>
                <w:snapToGrid w:val="0"/>
              </w:rPr>
            </w:pPr>
            <w:r>
              <w:rPr>
                <w:snapToGrid w:val="0"/>
              </w:rPr>
              <w:t>30 Aug 2010</w:t>
            </w:r>
          </w:p>
        </w:tc>
        <w:tc>
          <w:tcPr>
            <w:tcW w:w="2557" w:type="dxa"/>
            <w:gridSpan w:val="3"/>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gridBefore w:val="1"/>
          <w:gridAfter w:val="1"/>
          <w:wBefore w:w="14" w:type="dxa"/>
          <w:wAfter w:w="10" w:type="dxa"/>
          <w:cantSplit/>
        </w:trPr>
        <w:tc>
          <w:tcPr>
            <w:tcW w:w="2268" w:type="dxa"/>
            <w:gridSpan w:val="3"/>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3"/>
          </w:tcPr>
          <w:p>
            <w:pPr>
              <w:pStyle w:val="nTable"/>
              <w:spacing w:after="40"/>
              <w:rPr>
                <w:snapToGrid w:val="0"/>
              </w:rPr>
            </w:pPr>
            <w:r>
              <w:rPr>
                <w:snapToGrid w:val="0"/>
              </w:rPr>
              <w:t>39 of 2010</w:t>
            </w:r>
          </w:p>
        </w:tc>
        <w:tc>
          <w:tcPr>
            <w:tcW w:w="1136" w:type="dxa"/>
            <w:gridSpan w:val="3"/>
          </w:tcPr>
          <w:p>
            <w:pPr>
              <w:pStyle w:val="nTable"/>
              <w:spacing w:after="40"/>
              <w:rPr>
                <w:snapToGrid w:val="0"/>
              </w:rPr>
            </w:pPr>
            <w:r>
              <w:rPr>
                <w:snapToGrid w:val="0"/>
              </w:rPr>
              <w:t>1 Oct 2010</w:t>
            </w:r>
          </w:p>
        </w:tc>
        <w:tc>
          <w:tcPr>
            <w:tcW w:w="2557" w:type="dxa"/>
            <w:gridSpan w:val="3"/>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gridAfter w:val="1"/>
          <w:wBefore w:w="14" w:type="dxa"/>
          <w:wAfter w:w="10" w:type="dxa"/>
          <w:cantSplit/>
        </w:trPr>
        <w:tc>
          <w:tcPr>
            <w:tcW w:w="2268" w:type="dxa"/>
            <w:gridSpan w:val="3"/>
          </w:tcPr>
          <w:p>
            <w:pPr>
              <w:pStyle w:val="nTable"/>
              <w:spacing w:after="40"/>
              <w:ind w:right="113"/>
              <w:rPr>
                <w:i/>
                <w:iCs/>
                <w:snapToGrid w:val="0"/>
              </w:rPr>
            </w:pPr>
            <w:r>
              <w:rPr>
                <w:i/>
                <w:snapToGrid w:val="0"/>
              </w:rPr>
              <w:t>Liquor Control Amendment Act 2010</w:t>
            </w:r>
            <w:r>
              <w:rPr>
                <w:iCs/>
                <w:snapToGrid w:val="0"/>
              </w:rPr>
              <w:t xml:space="preserve"> </w:t>
            </w:r>
          </w:p>
        </w:tc>
        <w:tc>
          <w:tcPr>
            <w:tcW w:w="1134" w:type="dxa"/>
            <w:gridSpan w:val="3"/>
          </w:tcPr>
          <w:p>
            <w:pPr>
              <w:pStyle w:val="nTable"/>
              <w:spacing w:after="40"/>
              <w:rPr>
                <w:snapToGrid w:val="0"/>
              </w:rPr>
            </w:pPr>
            <w:r>
              <w:t>56 of 2010</w:t>
            </w:r>
          </w:p>
        </w:tc>
        <w:tc>
          <w:tcPr>
            <w:tcW w:w="1136" w:type="dxa"/>
            <w:gridSpan w:val="3"/>
          </w:tcPr>
          <w:p>
            <w:pPr>
              <w:pStyle w:val="nTable"/>
              <w:spacing w:after="40"/>
              <w:rPr>
                <w:snapToGrid w:val="0"/>
              </w:rPr>
            </w:pPr>
            <w:r>
              <w:t>8 Dec 2010</w:t>
            </w:r>
          </w:p>
        </w:tc>
        <w:tc>
          <w:tcPr>
            <w:tcW w:w="2557" w:type="dxa"/>
            <w:gridSpan w:val="3"/>
          </w:tcPr>
          <w:p>
            <w:pPr>
              <w:pStyle w:val="nTable"/>
              <w:spacing w:after="40"/>
              <w:rPr>
                <w:snapToGrid w:val="0"/>
              </w:rPr>
            </w:pPr>
            <w:r>
              <w:rPr>
                <w:snapToGrid w:val="0"/>
              </w:rPr>
              <w:t>s. 1 and 2: 8 Dec 2010; (see s. 2(a));</w:t>
            </w:r>
            <w:r>
              <w:rPr>
                <w:snapToGrid w:val="0"/>
              </w:rPr>
              <w:br/>
              <w:t>s. 3, Pt. 4</w:t>
            </w:r>
            <w:r>
              <w:rPr>
                <w:snapToGrid w:val="0"/>
              </w:rPr>
              <w:noBreakHyphen/>
              <w:t xml:space="preserve">6: 17 Jan 2011 (see s. 2(b) and </w:t>
            </w:r>
            <w:r>
              <w:rPr>
                <w:i/>
                <w:iCs/>
                <w:snapToGrid w:val="0"/>
              </w:rPr>
              <w:t xml:space="preserve">Gazette </w:t>
            </w:r>
            <w:r>
              <w:rPr>
                <w:snapToGrid w:val="0"/>
              </w:rPr>
              <w:t>31 Dec 2010 p. 6887);</w:t>
            </w:r>
            <w:r>
              <w:rPr>
                <w:snapToGrid w:val="0"/>
              </w:rPr>
              <w:br/>
              <w:t xml:space="preserve">Pt. 2: 7 Jun 2011 (see s. 2(b) and </w:t>
            </w:r>
            <w:r>
              <w:rPr>
                <w:i/>
                <w:snapToGrid w:val="0"/>
              </w:rPr>
              <w:t>Gazette</w:t>
            </w:r>
            <w:r>
              <w:rPr>
                <w:snapToGrid w:val="0"/>
              </w:rPr>
              <w:t xml:space="preserve"> 3 Jun 2011 p. 1975);</w:t>
            </w:r>
            <w:r>
              <w:rPr>
                <w:snapToGrid w:val="0"/>
              </w:rPr>
              <w:br/>
              <w:t xml:space="preserve">Pt. 3: 8 Oct 2011 (see s. 2(b) and </w:t>
            </w:r>
            <w:r>
              <w:rPr>
                <w:i/>
                <w:snapToGrid w:val="0"/>
              </w:rPr>
              <w:t>Gazette</w:t>
            </w:r>
            <w:r>
              <w:rPr>
                <w:snapToGrid w:val="0"/>
              </w:rPr>
              <w:t xml:space="preserve"> 7 Oct 2011 p. 4067)</w:t>
            </w:r>
          </w:p>
        </w:tc>
      </w:tr>
      <w:tr>
        <w:trPr>
          <w:gridBefore w:val="1"/>
          <w:gridAfter w:val="1"/>
          <w:wBefore w:w="14" w:type="dxa"/>
          <w:wAfter w:w="10" w:type="dxa"/>
          <w:cantSplit/>
        </w:trPr>
        <w:tc>
          <w:tcPr>
            <w:tcW w:w="2268" w:type="dxa"/>
            <w:gridSpan w:val="3"/>
          </w:tcPr>
          <w:p>
            <w:pPr>
              <w:pStyle w:val="nTable"/>
              <w:spacing w:after="40"/>
              <w:ind w:right="113"/>
              <w:rPr>
                <w:i/>
                <w:snapToGrid w:val="0"/>
              </w:rPr>
            </w:pPr>
            <w:r>
              <w:rPr>
                <w:i/>
                <w:snapToGrid w:val="0"/>
              </w:rPr>
              <w:t>Building Act 2011</w:t>
            </w:r>
            <w:r>
              <w:rPr>
                <w:snapToGrid w:val="0"/>
              </w:rPr>
              <w:t xml:space="preserve"> s. 165</w:t>
            </w:r>
          </w:p>
        </w:tc>
        <w:tc>
          <w:tcPr>
            <w:tcW w:w="1134" w:type="dxa"/>
            <w:gridSpan w:val="3"/>
          </w:tcPr>
          <w:p>
            <w:pPr>
              <w:pStyle w:val="nTable"/>
              <w:spacing w:after="40"/>
            </w:pPr>
            <w:r>
              <w:rPr>
                <w:snapToGrid w:val="0"/>
              </w:rPr>
              <w:t>24 of 2011</w:t>
            </w:r>
          </w:p>
        </w:tc>
        <w:tc>
          <w:tcPr>
            <w:tcW w:w="1136" w:type="dxa"/>
            <w:gridSpan w:val="3"/>
          </w:tcPr>
          <w:p>
            <w:pPr>
              <w:pStyle w:val="nTable"/>
              <w:spacing w:after="40"/>
            </w:pPr>
            <w:r>
              <w:t>11 Jul 2011</w:t>
            </w:r>
          </w:p>
        </w:tc>
        <w:tc>
          <w:tcPr>
            <w:tcW w:w="2557" w:type="dxa"/>
            <w:gridSpan w:val="3"/>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rPr>
          <w:gridBefore w:val="1"/>
          <w:gridAfter w:val="1"/>
          <w:wBefore w:w="14" w:type="dxa"/>
          <w:wAfter w:w="10" w:type="dxa"/>
          <w:cantSplit/>
        </w:trPr>
        <w:tc>
          <w:tcPr>
            <w:tcW w:w="2268" w:type="dxa"/>
            <w:gridSpan w:val="3"/>
            <w:shd w:val="clear" w:color="auto" w:fill="auto"/>
          </w:tcPr>
          <w:p>
            <w:pPr>
              <w:pStyle w:val="nTable"/>
              <w:spacing w:after="40"/>
              <w:ind w:right="113"/>
              <w:rPr>
                <w:snapToGrid w:val="0"/>
              </w:rPr>
            </w:pPr>
            <w:r>
              <w:rPr>
                <w:i/>
                <w:snapToGrid w:val="0"/>
              </w:rPr>
              <w:t>Personal Property Securities (Consequential Repeals and Amendments) Act 2011</w:t>
            </w:r>
            <w:r>
              <w:rPr>
                <w:snapToGrid w:val="0"/>
              </w:rPr>
              <w:t xml:space="preserve"> Pt. 11 Div. 1</w:t>
            </w:r>
          </w:p>
        </w:tc>
        <w:tc>
          <w:tcPr>
            <w:tcW w:w="1134" w:type="dxa"/>
            <w:gridSpan w:val="3"/>
            <w:shd w:val="clear" w:color="auto" w:fill="auto"/>
          </w:tcPr>
          <w:p>
            <w:pPr>
              <w:pStyle w:val="nTable"/>
              <w:spacing w:after="40"/>
            </w:pPr>
            <w:r>
              <w:rPr>
                <w:snapToGrid w:val="0"/>
              </w:rPr>
              <w:t>42 of 2011</w:t>
            </w:r>
          </w:p>
        </w:tc>
        <w:tc>
          <w:tcPr>
            <w:tcW w:w="1136" w:type="dxa"/>
            <w:gridSpan w:val="3"/>
            <w:shd w:val="clear" w:color="auto" w:fill="auto"/>
          </w:tcPr>
          <w:p>
            <w:pPr>
              <w:pStyle w:val="nTable"/>
              <w:spacing w:after="40"/>
            </w:pPr>
            <w:r>
              <w:t>4 Oct 2011</w:t>
            </w:r>
          </w:p>
        </w:tc>
        <w:tc>
          <w:tcPr>
            <w:tcW w:w="2557" w:type="dxa"/>
            <w:gridSpan w:val="3"/>
            <w:shd w:val="clear" w:color="auto" w:fill="auto"/>
          </w:tcPr>
          <w:p>
            <w:pPr>
              <w:pStyle w:val="nTable"/>
              <w:spacing w:after="40"/>
              <w:rPr>
                <w:snapToGrid w:val="0"/>
              </w:rPr>
            </w:pPr>
            <w:r>
              <w:rPr>
                <w:snapToGrid w:val="0"/>
              </w:rPr>
              <w:t>30 Jan 2012 (see s. 2(c) and Cwlth Legislative Instrument No. F2011L02397 cl. 5 registered 21 Nov 2011)</w:t>
            </w:r>
          </w:p>
        </w:tc>
      </w:tr>
      <w:tr>
        <w:trPr>
          <w:gridBefore w:val="1"/>
          <w:gridAfter w:val="1"/>
          <w:wBefore w:w="14" w:type="dxa"/>
          <w:wAfter w:w="10" w:type="dxa"/>
          <w:cantSplit/>
        </w:trPr>
        <w:tc>
          <w:tcPr>
            <w:tcW w:w="2268" w:type="dxa"/>
            <w:gridSpan w:val="3"/>
            <w:shd w:val="clear" w:color="auto" w:fill="auto"/>
          </w:tcPr>
          <w:p>
            <w:pPr>
              <w:pStyle w:val="nTable"/>
              <w:spacing w:after="40"/>
              <w:ind w:right="113"/>
              <w:rPr>
                <w:snapToGrid w:val="0"/>
              </w:rPr>
            </w:pPr>
            <w:r>
              <w:rPr>
                <w:i/>
                <w:snapToGrid w:val="0"/>
              </w:rPr>
              <w:t>Statutes (Repeals and Minor Amendments) Act 2011</w:t>
            </w:r>
            <w:r>
              <w:rPr>
                <w:snapToGrid w:val="0"/>
              </w:rPr>
              <w:t xml:space="preserve"> s. 17 and 27</w:t>
            </w:r>
          </w:p>
        </w:tc>
        <w:tc>
          <w:tcPr>
            <w:tcW w:w="1134" w:type="dxa"/>
            <w:gridSpan w:val="3"/>
            <w:shd w:val="clear" w:color="auto" w:fill="auto"/>
          </w:tcPr>
          <w:p>
            <w:pPr>
              <w:pStyle w:val="nTable"/>
              <w:spacing w:after="40"/>
            </w:pPr>
            <w:r>
              <w:rPr>
                <w:snapToGrid w:val="0"/>
              </w:rPr>
              <w:t>47 of 2011</w:t>
            </w:r>
          </w:p>
        </w:tc>
        <w:tc>
          <w:tcPr>
            <w:tcW w:w="1136" w:type="dxa"/>
            <w:gridSpan w:val="3"/>
            <w:shd w:val="clear" w:color="auto" w:fill="auto"/>
          </w:tcPr>
          <w:p>
            <w:pPr>
              <w:pStyle w:val="nTable"/>
              <w:spacing w:after="40"/>
            </w:pPr>
            <w:r>
              <w:rPr>
                <w:snapToGrid w:val="0"/>
              </w:rPr>
              <w:t>25 Oct 2011</w:t>
            </w:r>
          </w:p>
        </w:tc>
        <w:tc>
          <w:tcPr>
            <w:tcW w:w="2557" w:type="dxa"/>
            <w:gridSpan w:val="3"/>
            <w:shd w:val="clear" w:color="auto" w:fill="auto"/>
          </w:tcPr>
          <w:p>
            <w:pPr>
              <w:pStyle w:val="nTable"/>
              <w:spacing w:after="40"/>
              <w:rPr>
                <w:snapToGrid w:val="0"/>
              </w:rPr>
            </w:pPr>
            <w:r>
              <w:rPr>
                <w:snapToGrid w:val="0"/>
              </w:rPr>
              <w:t>26 Oct 2011 (see s. 2(b))</w:t>
            </w:r>
          </w:p>
        </w:tc>
      </w:tr>
      <w:tr>
        <w:trPr>
          <w:gridBefore w:val="1"/>
          <w:gridAfter w:val="1"/>
          <w:wBefore w:w="14" w:type="dxa"/>
          <w:wAfter w:w="10" w:type="dxa"/>
          <w:cantSplit/>
        </w:trPr>
        <w:tc>
          <w:tcPr>
            <w:tcW w:w="7095" w:type="dxa"/>
            <w:gridSpan w:val="12"/>
            <w:shd w:val="clear" w:color="auto" w:fill="auto"/>
          </w:tcPr>
          <w:p>
            <w:pPr>
              <w:pStyle w:val="nTable"/>
              <w:spacing w:after="40"/>
              <w:rPr>
                <w:snapToGrid w:val="0"/>
              </w:rPr>
            </w:pPr>
            <w:r>
              <w:rPr>
                <w:b/>
                <w:snapToGrid w:val="0"/>
              </w:rPr>
              <w:t xml:space="preserve">Reprint 7:  </w:t>
            </w:r>
            <w:r>
              <w:rPr>
                <w:b/>
              </w:rPr>
              <w:t xml:space="preserve">The </w:t>
            </w:r>
            <w:r>
              <w:rPr>
                <w:b/>
                <w:i/>
              </w:rPr>
              <w:t>Liquor Control Act 1988</w:t>
            </w:r>
            <w:r>
              <w:rPr>
                <w:b/>
              </w:rPr>
              <w:t xml:space="preserve"> as at 6 Jan 2012</w:t>
            </w:r>
            <w:r>
              <w:rPr>
                <w:snapToGrid w:val="0"/>
              </w:rPr>
              <w:t xml:space="preserve"> (includes amendments listed above except those in the </w:t>
            </w:r>
            <w:r>
              <w:rPr>
                <w:i/>
                <w:snapToGrid w:val="0"/>
              </w:rPr>
              <w:t>Personal Property Securities (Consequential Repeals and Amendments) Act 2011</w:t>
            </w:r>
            <w:r>
              <w:rPr>
                <w:snapToGrid w:val="0"/>
              </w:rPr>
              <w:t>)</w:t>
            </w:r>
          </w:p>
        </w:tc>
      </w:tr>
      <w:tr>
        <w:tblPrEx>
          <w:tblBorders>
            <w:top w:val="single" w:sz="4" w:space="0" w:color="auto"/>
            <w:bottom w:val="single" w:sz="4" w:space="0" w:color="auto"/>
            <w:insideH w:val="single" w:sz="4" w:space="0" w:color="auto"/>
          </w:tblBorders>
        </w:tblPrEx>
        <w:trPr>
          <w:gridBefore w:val="2"/>
          <w:wBefore w:w="28" w:type="dxa"/>
          <w:cantSplit/>
        </w:trPr>
        <w:tc>
          <w:tcPr>
            <w:tcW w:w="2268" w:type="dxa"/>
            <w:gridSpan w:val="3"/>
            <w:tcBorders>
              <w:top w:val="nil"/>
              <w:bottom w:val="nil"/>
            </w:tcBorders>
          </w:tcPr>
          <w:p>
            <w:pPr>
              <w:pStyle w:val="nTable"/>
              <w:spacing w:after="40"/>
              <w:rPr>
                <w:i/>
                <w:snapToGrid w:val="0"/>
              </w:rPr>
            </w:pPr>
            <w:r>
              <w:rPr>
                <w:i/>
                <w:snapToGrid w:val="0"/>
              </w:rPr>
              <w:t xml:space="preserve">Road Traffic Legislation Amendment Act 2012 </w:t>
            </w:r>
            <w:r>
              <w:rPr>
                <w:snapToGrid w:val="0"/>
              </w:rPr>
              <w:t>Pt. 4 Div. 28</w:t>
            </w:r>
            <w:r>
              <w:rPr>
                <w:rFonts w:ascii="Times" w:hAnsi="Times"/>
                <w:snapToGrid w:val="0"/>
                <w:vertAlign w:val="superscript"/>
              </w:rPr>
              <w:t> </w:t>
            </w:r>
          </w:p>
        </w:tc>
        <w:tc>
          <w:tcPr>
            <w:tcW w:w="1134" w:type="dxa"/>
            <w:gridSpan w:val="3"/>
            <w:tcBorders>
              <w:top w:val="nil"/>
              <w:bottom w:val="nil"/>
            </w:tcBorders>
          </w:tcPr>
          <w:p>
            <w:pPr>
              <w:pStyle w:val="nTable"/>
              <w:keepNext/>
              <w:keepLines/>
              <w:spacing w:after="40"/>
            </w:pPr>
            <w:r>
              <w:rPr>
                <w:snapToGrid w:val="0"/>
              </w:rPr>
              <w:t>8 of 2012</w:t>
            </w:r>
          </w:p>
        </w:tc>
        <w:tc>
          <w:tcPr>
            <w:tcW w:w="1134" w:type="dxa"/>
            <w:gridSpan w:val="3"/>
            <w:tcBorders>
              <w:top w:val="nil"/>
              <w:bottom w:val="nil"/>
            </w:tcBorders>
          </w:tcPr>
          <w:p>
            <w:pPr>
              <w:pStyle w:val="nTable"/>
              <w:keepNext/>
              <w:keepLines/>
              <w:spacing w:after="40"/>
            </w:pPr>
            <w:r>
              <w:t>21 May 2012</w:t>
            </w:r>
          </w:p>
        </w:tc>
        <w:tc>
          <w:tcPr>
            <w:tcW w:w="2555" w:type="dxa"/>
            <w:gridSpan w:val="3"/>
            <w:tcBorders>
              <w:top w:val="nil"/>
              <w:bottom w:val="nil"/>
            </w:tcBorders>
          </w:tcPr>
          <w:p>
            <w:pPr>
              <w:pStyle w:val="nTable"/>
              <w:keepNext/>
              <w:keepLines/>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gridBefore w:val="1"/>
          <w:gridAfter w:val="1"/>
          <w:wBefore w:w="14" w:type="dxa"/>
          <w:wAfter w:w="10" w:type="dxa"/>
          <w:cantSplit/>
        </w:trPr>
        <w:tc>
          <w:tcPr>
            <w:tcW w:w="2268" w:type="dxa"/>
            <w:gridSpan w:val="3"/>
            <w:shd w:val="clear" w:color="auto" w:fill="auto"/>
          </w:tcPr>
          <w:p>
            <w:pPr>
              <w:pStyle w:val="nTable"/>
              <w:spacing w:after="40"/>
              <w:ind w:right="113"/>
              <w:rPr>
                <w:snapToGrid w:val="0"/>
              </w:rPr>
            </w:pPr>
            <w:r>
              <w:rPr>
                <w:i/>
                <w:snapToGrid w:val="0"/>
              </w:rPr>
              <w:t xml:space="preserve">Criminal Organisations Control Act 2012 </w:t>
            </w:r>
            <w:r>
              <w:rPr>
                <w:snapToGrid w:val="0"/>
              </w:rPr>
              <w:t>s. 178</w:t>
            </w:r>
          </w:p>
        </w:tc>
        <w:tc>
          <w:tcPr>
            <w:tcW w:w="1134" w:type="dxa"/>
            <w:gridSpan w:val="3"/>
            <w:shd w:val="clear" w:color="auto" w:fill="auto"/>
          </w:tcPr>
          <w:p>
            <w:pPr>
              <w:pStyle w:val="nTable"/>
              <w:spacing w:after="40"/>
            </w:pPr>
            <w:r>
              <w:rPr>
                <w:snapToGrid w:val="0"/>
              </w:rPr>
              <w:t>49 of 2012</w:t>
            </w:r>
          </w:p>
        </w:tc>
        <w:tc>
          <w:tcPr>
            <w:tcW w:w="1136" w:type="dxa"/>
            <w:gridSpan w:val="3"/>
            <w:shd w:val="clear" w:color="auto" w:fill="auto"/>
          </w:tcPr>
          <w:p>
            <w:pPr>
              <w:pStyle w:val="nTable"/>
              <w:spacing w:after="40"/>
            </w:pPr>
            <w:r>
              <w:t>29 Nov 2012</w:t>
            </w:r>
          </w:p>
        </w:tc>
        <w:tc>
          <w:tcPr>
            <w:tcW w:w="2557" w:type="dxa"/>
            <w:gridSpan w:val="3"/>
            <w:shd w:val="clear" w:color="auto" w:fill="auto"/>
          </w:tcPr>
          <w:p>
            <w:pPr>
              <w:pStyle w:val="nTable"/>
              <w:spacing w:after="40"/>
              <w:rPr>
                <w:snapToGrid w:val="0"/>
              </w:rPr>
            </w:pPr>
            <w:r>
              <w:rPr>
                <w:snapToGrid w:val="0"/>
              </w:rPr>
              <w:t>2 Nov 2013 (see s. 2(b) and Gazette 1 Nov 2013 p. 4891)</w:t>
            </w:r>
          </w:p>
        </w:tc>
      </w:tr>
      <w:tr>
        <w:trPr>
          <w:gridBefore w:val="1"/>
          <w:gridAfter w:val="1"/>
          <w:wBefore w:w="14" w:type="dxa"/>
          <w:wAfter w:w="10" w:type="dxa"/>
          <w:cantSplit/>
        </w:trPr>
        <w:tc>
          <w:tcPr>
            <w:tcW w:w="2268" w:type="dxa"/>
            <w:gridSpan w:val="3"/>
            <w:shd w:val="clear" w:color="auto" w:fill="auto"/>
          </w:tcPr>
          <w:p>
            <w:pPr>
              <w:pStyle w:val="nTable"/>
              <w:spacing w:after="40"/>
              <w:ind w:right="113"/>
              <w:rPr>
                <w:i/>
                <w:snapToGrid w:val="0"/>
              </w:rPr>
            </w:pPr>
            <w:r>
              <w:rPr>
                <w:i/>
                <w:snapToGrid w:val="0"/>
              </w:rPr>
              <w:t>Corruption and Crime Commission Amendment (Misconduct) Act 2014</w:t>
            </w:r>
            <w:r>
              <w:rPr>
                <w:snapToGrid w:val="0"/>
              </w:rPr>
              <w:t xml:space="preserve"> s. 39</w:t>
            </w:r>
          </w:p>
        </w:tc>
        <w:tc>
          <w:tcPr>
            <w:tcW w:w="1134" w:type="dxa"/>
            <w:gridSpan w:val="3"/>
            <w:shd w:val="clear" w:color="auto" w:fill="auto"/>
          </w:tcPr>
          <w:p>
            <w:pPr>
              <w:pStyle w:val="nTable"/>
              <w:spacing w:after="40"/>
              <w:rPr>
                <w:snapToGrid w:val="0"/>
              </w:rPr>
            </w:pPr>
            <w:r>
              <w:rPr>
                <w:snapToGrid w:val="0"/>
              </w:rPr>
              <w:t>35 of 2014</w:t>
            </w:r>
          </w:p>
        </w:tc>
        <w:tc>
          <w:tcPr>
            <w:tcW w:w="1136" w:type="dxa"/>
            <w:gridSpan w:val="3"/>
            <w:shd w:val="clear" w:color="auto" w:fill="auto"/>
          </w:tcPr>
          <w:p>
            <w:pPr>
              <w:pStyle w:val="nTable"/>
              <w:spacing w:after="40"/>
            </w:pPr>
            <w:r>
              <w:t>9 Dec 2014</w:t>
            </w:r>
          </w:p>
        </w:tc>
        <w:tc>
          <w:tcPr>
            <w:tcW w:w="2557" w:type="dxa"/>
            <w:gridSpan w:val="3"/>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rPr>
          <w:gridBefore w:val="1"/>
          <w:gridAfter w:val="1"/>
          <w:wBefore w:w="14" w:type="dxa"/>
          <w:wAfter w:w="10" w:type="dxa"/>
          <w:cantSplit/>
        </w:trPr>
        <w:tc>
          <w:tcPr>
            <w:tcW w:w="2268" w:type="dxa"/>
            <w:gridSpan w:val="3"/>
            <w:shd w:val="clear" w:color="auto" w:fill="auto"/>
          </w:tcPr>
          <w:p>
            <w:pPr>
              <w:pStyle w:val="nTable"/>
              <w:spacing w:after="40"/>
              <w:ind w:right="113"/>
              <w:rPr>
                <w:i/>
                <w:snapToGrid w:val="0"/>
              </w:rPr>
            </w:pPr>
            <w:r>
              <w:rPr>
                <w:i/>
                <w:snapToGrid w:val="0"/>
              </w:rPr>
              <w:t xml:space="preserve">Associations Incorporation Act 2015 </w:t>
            </w:r>
            <w:r>
              <w:rPr>
                <w:snapToGrid w:val="0"/>
              </w:rPr>
              <w:t>s. 222 and 232</w:t>
            </w:r>
          </w:p>
        </w:tc>
        <w:tc>
          <w:tcPr>
            <w:tcW w:w="1134" w:type="dxa"/>
            <w:gridSpan w:val="3"/>
            <w:shd w:val="clear" w:color="auto" w:fill="auto"/>
          </w:tcPr>
          <w:p>
            <w:pPr>
              <w:pStyle w:val="nTable"/>
              <w:spacing w:after="40"/>
              <w:rPr>
                <w:snapToGrid w:val="0"/>
              </w:rPr>
            </w:pPr>
            <w:r>
              <w:t>30 of 2015</w:t>
            </w:r>
          </w:p>
        </w:tc>
        <w:tc>
          <w:tcPr>
            <w:tcW w:w="1136" w:type="dxa"/>
            <w:gridSpan w:val="3"/>
            <w:shd w:val="clear" w:color="auto" w:fill="auto"/>
          </w:tcPr>
          <w:p>
            <w:pPr>
              <w:pStyle w:val="nTable"/>
              <w:spacing w:after="40"/>
            </w:pPr>
            <w:r>
              <w:t>2 Nov 2015</w:t>
            </w:r>
          </w:p>
        </w:tc>
        <w:tc>
          <w:tcPr>
            <w:tcW w:w="2557" w:type="dxa"/>
            <w:gridSpan w:val="3"/>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rPr>
          <w:gridBefore w:val="1"/>
          <w:gridAfter w:val="1"/>
          <w:wBefore w:w="14" w:type="dxa"/>
          <w:wAfter w:w="10" w:type="dxa"/>
          <w:cantSplit/>
        </w:trPr>
        <w:tc>
          <w:tcPr>
            <w:tcW w:w="2268" w:type="dxa"/>
            <w:gridSpan w:val="3"/>
            <w:shd w:val="clear" w:color="auto" w:fill="auto"/>
          </w:tcPr>
          <w:p>
            <w:pPr>
              <w:pStyle w:val="nTable"/>
              <w:spacing w:after="40"/>
              <w:ind w:right="113"/>
              <w:rPr>
                <w:snapToGrid w:val="0"/>
              </w:rPr>
            </w:pPr>
            <w:r>
              <w:rPr>
                <w:i/>
                <w:snapToGrid w:val="0"/>
              </w:rPr>
              <w:t>Liquor Legislation Amendment Act 2015</w:t>
            </w:r>
            <w:r>
              <w:rPr>
                <w:snapToGrid w:val="0"/>
              </w:rPr>
              <w:t xml:space="preserve"> Pt. 2 (other than s. 26)</w:t>
            </w:r>
          </w:p>
        </w:tc>
        <w:tc>
          <w:tcPr>
            <w:tcW w:w="1134" w:type="dxa"/>
            <w:gridSpan w:val="3"/>
            <w:shd w:val="clear" w:color="auto" w:fill="auto"/>
          </w:tcPr>
          <w:p>
            <w:pPr>
              <w:pStyle w:val="nTable"/>
              <w:spacing w:after="40"/>
              <w:rPr>
                <w:snapToGrid w:val="0"/>
              </w:rPr>
            </w:pPr>
            <w:r>
              <w:t>35 of 2015</w:t>
            </w:r>
          </w:p>
        </w:tc>
        <w:tc>
          <w:tcPr>
            <w:tcW w:w="1136" w:type="dxa"/>
            <w:gridSpan w:val="3"/>
            <w:shd w:val="clear" w:color="auto" w:fill="auto"/>
          </w:tcPr>
          <w:p>
            <w:pPr>
              <w:pStyle w:val="nTable"/>
              <w:spacing w:after="40"/>
            </w:pPr>
            <w:r>
              <w:t>2 Nov 2015</w:t>
            </w:r>
          </w:p>
        </w:tc>
        <w:tc>
          <w:tcPr>
            <w:tcW w:w="2557" w:type="dxa"/>
            <w:gridSpan w:val="3"/>
            <w:shd w:val="clear" w:color="auto" w:fill="auto"/>
          </w:tcPr>
          <w:p>
            <w:pPr>
              <w:pStyle w:val="nTable"/>
              <w:spacing w:after="40"/>
              <w:rPr>
                <w:snapToGrid w:val="0"/>
              </w:rPr>
            </w:pPr>
            <w:r>
              <w:rPr>
                <w:snapToGrid w:val="0"/>
              </w:rPr>
              <w:t xml:space="preserve">Pt. 2 (other than s. 26): 20 Nov 2015 (see s. 2(b) and </w:t>
            </w:r>
            <w:r>
              <w:rPr>
                <w:i/>
                <w:snapToGrid w:val="0"/>
              </w:rPr>
              <w:t>Gazette</w:t>
            </w:r>
            <w:r>
              <w:rPr>
                <w:snapToGrid w:val="0"/>
              </w:rPr>
              <w:t xml:space="preserve"> 17 Nov 2015 p. 4693)</w:t>
            </w:r>
          </w:p>
        </w:tc>
      </w:tr>
      <w:tr>
        <w:trPr>
          <w:gridBefore w:val="1"/>
          <w:gridAfter w:val="1"/>
          <w:wBefore w:w="14" w:type="dxa"/>
          <w:wAfter w:w="10" w:type="dxa"/>
          <w:cantSplit/>
        </w:trPr>
        <w:tc>
          <w:tcPr>
            <w:tcW w:w="7095" w:type="dxa"/>
            <w:gridSpan w:val="12"/>
            <w:shd w:val="clear" w:color="auto" w:fill="auto"/>
          </w:tcPr>
          <w:p>
            <w:pPr>
              <w:pStyle w:val="nTable"/>
              <w:spacing w:after="40"/>
              <w:rPr>
                <w:snapToGrid w:val="0"/>
              </w:rPr>
            </w:pPr>
            <w:r>
              <w:rPr>
                <w:b/>
                <w:snapToGrid w:val="0"/>
              </w:rPr>
              <w:t xml:space="preserve">Reprint 8: The </w:t>
            </w:r>
            <w:r>
              <w:rPr>
                <w:b/>
                <w:i/>
                <w:noProof/>
                <w:snapToGrid w:val="0"/>
              </w:rPr>
              <w:t>Liquor Control Act 1988</w:t>
            </w:r>
            <w:r>
              <w:rPr>
                <w:b/>
                <w:snapToGrid w:val="0"/>
              </w:rPr>
              <w:t xml:space="preserve"> as at 4 Mar 2016</w:t>
            </w:r>
            <w:r>
              <w:rPr>
                <w:snapToGrid w:val="0"/>
              </w:rPr>
              <w:t xml:space="preserve"> (includes amendments listed above except those in the </w:t>
            </w:r>
            <w:r>
              <w:rPr>
                <w:i/>
                <w:snapToGrid w:val="0"/>
              </w:rPr>
              <w:t>Associations Incorporation Act 2015</w:t>
            </w:r>
            <w:r>
              <w:rPr>
                <w:snapToGrid w:val="0"/>
              </w:rPr>
              <w:t>)</w:t>
            </w:r>
          </w:p>
        </w:tc>
      </w:tr>
      <w:tr>
        <w:trPr>
          <w:gridBefore w:val="1"/>
          <w:gridAfter w:val="1"/>
          <w:wBefore w:w="14" w:type="dxa"/>
          <w:wAfter w:w="10" w:type="dxa"/>
          <w:cantSplit/>
        </w:trPr>
        <w:tc>
          <w:tcPr>
            <w:tcW w:w="2282" w:type="dxa"/>
            <w:gridSpan w:val="4"/>
            <w:shd w:val="clear" w:color="auto" w:fill="auto"/>
          </w:tcPr>
          <w:p>
            <w:pPr>
              <w:pStyle w:val="nTable"/>
              <w:spacing w:after="40"/>
              <w:rPr>
                <w:i/>
                <w:snapToGrid w:val="0"/>
                <w:szCs w:val="19"/>
              </w:rPr>
            </w:pPr>
            <w:r>
              <w:rPr>
                <w:i/>
                <w:snapToGrid w:val="0"/>
                <w:szCs w:val="19"/>
              </w:rPr>
              <w:t>Public Health (Consequential Provisions) Act 2016</w:t>
            </w:r>
            <w:r>
              <w:rPr>
                <w:snapToGrid w:val="0"/>
                <w:szCs w:val="19"/>
              </w:rPr>
              <w:t xml:space="preserve"> s. 101 and Pt. 3 Div. 17</w:t>
            </w:r>
          </w:p>
        </w:tc>
        <w:tc>
          <w:tcPr>
            <w:tcW w:w="1134" w:type="dxa"/>
            <w:gridSpan w:val="3"/>
            <w:shd w:val="clear" w:color="auto" w:fill="auto"/>
          </w:tcPr>
          <w:p>
            <w:pPr>
              <w:pStyle w:val="nTable"/>
              <w:spacing w:after="40"/>
            </w:pPr>
            <w:r>
              <w:t>19 of 2016</w:t>
            </w:r>
          </w:p>
        </w:tc>
        <w:tc>
          <w:tcPr>
            <w:tcW w:w="1134" w:type="dxa"/>
            <w:gridSpan w:val="3"/>
            <w:shd w:val="clear" w:color="auto" w:fill="auto"/>
          </w:tcPr>
          <w:p>
            <w:pPr>
              <w:pStyle w:val="nTable"/>
              <w:spacing w:after="40"/>
            </w:pPr>
            <w:r>
              <w:t>25 Jul 2016</w:t>
            </w:r>
          </w:p>
        </w:tc>
        <w:tc>
          <w:tcPr>
            <w:tcW w:w="2545" w:type="dxa"/>
            <w:gridSpan w:val="2"/>
            <w:shd w:val="clear" w:color="auto" w:fill="auto"/>
          </w:tcPr>
          <w:p>
            <w:pPr>
              <w:pStyle w:val="nTable"/>
              <w:spacing w:after="40"/>
              <w:rPr>
                <w:snapToGrid w:val="0"/>
              </w:rPr>
            </w:pPr>
            <w:r>
              <w:rPr>
                <w:snapToGrid w:val="0"/>
              </w:rPr>
              <w:t>24 Jan 2017 (see s. 2(1)(c) and Gazette 10 Jan 2017 p. 165)</w:t>
            </w:r>
          </w:p>
        </w:tc>
      </w:tr>
      <w:tr>
        <w:trPr>
          <w:gridBefore w:val="1"/>
          <w:gridAfter w:val="1"/>
          <w:wBefore w:w="14" w:type="dxa"/>
          <w:wAfter w:w="10" w:type="dxa"/>
          <w:cantSplit/>
        </w:trPr>
        <w:tc>
          <w:tcPr>
            <w:tcW w:w="2282" w:type="dxa"/>
            <w:gridSpan w:val="4"/>
            <w:shd w:val="clear" w:color="auto" w:fill="auto"/>
          </w:tcPr>
          <w:p>
            <w:pPr>
              <w:pStyle w:val="nTable"/>
              <w:spacing w:after="40"/>
              <w:rPr>
                <w:b/>
                <w:snapToGrid w:val="0"/>
              </w:rPr>
            </w:pPr>
            <w:r>
              <w:rPr>
                <w:i/>
                <w:snapToGrid w:val="0"/>
                <w:szCs w:val="19"/>
              </w:rPr>
              <w:t>Local Government Legislation Amendment Act 2016</w:t>
            </w:r>
            <w:r>
              <w:rPr>
                <w:snapToGrid w:val="0"/>
                <w:szCs w:val="19"/>
              </w:rPr>
              <w:t xml:space="preserve"> Pt. 3 Div. 20</w:t>
            </w:r>
          </w:p>
        </w:tc>
        <w:tc>
          <w:tcPr>
            <w:tcW w:w="1134" w:type="dxa"/>
            <w:gridSpan w:val="3"/>
            <w:shd w:val="clear" w:color="auto" w:fill="auto"/>
          </w:tcPr>
          <w:p>
            <w:pPr>
              <w:pStyle w:val="nTable"/>
              <w:spacing w:after="40"/>
              <w:rPr>
                <w:b/>
                <w:snapToGrid w:val="0"/>
              </w:rPr>
            </w:pPr>
            <w:r>
              <w:t>26 of 2016</w:t>
            </w:r>
          </w:p>
        </w:tc>
        <w:tc>
          <w:tcPr>
            <w:tcW w:w="1134" w:type="dxa"/>
            <w:gridSpan w:val="3"/>
            <w:shd w:val="clear" w:color="auto" w:fill="auto"/>
          </w:tcPr>
          <w:p>
            <w:pPr>
              <w:pStyle w:val="nTable"/>
              <w:spacing w:after="40"/>
              <w:rPr>
                <w:b/>
                <w:snapToGrid w:val="0"/>
              </w:rPr>
            </w:pPr>
            <w:r>
              <w:t>21 Sep 2016</w:t>
            </w:r>
          </w:p>
        </w:tc>
        <w:tc>
          <w:tcPr>
            <w:tcW w:w="2545" w:type="dxa"/>
            <w:gridSpan w:val="2"/>
            <w:shd w:val="clear" w:color="auto" w:fill="auto"/>
          </w:tcPr>
          <w:p>
            <w:pPr>
              <w:pStyle w:val="nTable"/>
              <w:spacing w:after="40"/>
              <w:rPr>
                <w:b/>
                <w:snapToGrid w:val="0"/>
              </w:rPr>
            </w:pPr>
            <w:r>
              <w:rPr>
                <w:snapToGrid w:val="0"/>
              </w:rPr>
              <w:t xml:space="preserve">21 Jan 2017 (see s. 2(b) and </w:t>
            </w:r>
            <w:r>
              <w:rPr>
                <w:i/>
                <w:snapToGrid w:val="0"/>
              </w:rPr>
              <w:t>Gazette</w:t>
            </w:r>
            <w:r>
              <w:rPr>
                <w:snapToGrid w:val="0"/>
              </w:rPr>
              <w:t xml:space="preserve"> 20 Jan 2017 p. 648)</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trPr>
        <w:tc>
          <w:tcPr>
            <w:tcW w:w="2296" w:type="dxa"/>
            <w:gridSpan w:val="5"/>
            <w:tcBorders>
              <w:top w:val="nil"/>
              <w:bottom w:val="single" w:sz="4" w:space="0" w:color="auto"/>
            </w:tcBorders>
          </w:tcPr>
          <w:p>
            <w:pPr>
              <w:pStyle w:val="nTable"/>
              <w:spacing w:after="40"/>
            </w:pPr>
            <w:r>
              <w:rPr>
                <w:i/>
              </w:rPr>
              <w:t>Liquor Control Amendment Act 2018</w:t>
            </w:r>
            <w:r>
              <w:t xml:space="preserve"> (other than s. 5, 8, 10, 12, 17, 18, 20</w:t>
            </w:r>
            <w:r>
              <w:noBreakHyphen/>
              <w:t>22, 25, 26, 32, 35, 36, 38, 39, 45, 46, 53, 56, 60, 62 and 63)</w:t>
            </w:r>
          </w:p>
        </w:tc>
        <w:tc>
          <w:tcPr>
            <w:tcW w:w="1134" w:type="dxa"/>
            <w:gridSpan w:val="3"/>
            <w:tcBorders>
              <w:top w:val="nil"/>
              <w:bottom w:val="single" w:sz="4" w:space="0" w:color="auto"/>
            </w:tcBorders>
          </w:tcPr>
          <w:p>
            <w:pPr>
              <w:pStyle w:val="nTable"/>
              <w:spacing w:after="40"/>
            </w:pPr>
            <w:r>
              <w:t>9 of 2018</w:t>
            </w:r>
          </w:p>
        </w:tc>
        <w:tc>
          <w:tcPr>
            <w:tcW w:w="1134" w:type="dxa"/>
            <w:gridSpan w:val="3"/>
            <w:tcBorders>
              <w:top w:val="nil"/>
              <w:bottom w:val="single" w:sz="4" w:space="0" w:color="auto"/>
            </w:tcBorders>
          </w:tcPr>
          <w:p>
            <w:pPr>
              <w:pStyle w:val="nTable"/>
              <w:spacing w:after="40"/>
            </w:pPr>
            <w:r>
              <w:t>13 Jul 2018</w:t>
            </w:r>
          </w:p>
        </w:tc>
        <w:tc>
          <w:tcPr>
            <w:tcW w:w="2524" w:type="dxa"/>
            <w:tcBorders>
              <w:top w:val="nil"/>
              <w:bottom w:val="single" w:sz="4" w:space="0" w:color="auto"/>
            </w:tcBorders>
          </w:tcPr>
          <w:p>
            <w:pPr>
              <w:pStyle w:val="nTable"/>
              <w:spacing w:after="40"/>
            </w:pPr>
            <w:r>
              <w:rPr>
                <w:snapToGrid w:val="0"/>
              </w:rPr>
              <w:t>s. 1 and 2: 13 Jul 2018 (see s. 2(a));</w:t>
            </w:r>
            <w:r>
              <w:rPr>
                <w:snapToGrid w:val="0"/>
              </w:rPr>
              <w:br/>
            </w:r>
            <w:r>
              <w:t>s. 3, 4, 6, 7, 9, 11, 13</w:t>
            </w:r>
            <w:r>
              <w:noBreakHyphen/>
              <w:t>16, 19, 23, 24, 27</w:t>
            </w:r>
            <w:r>
              <w:noBreakHyphen/>
              <w:t>31, 33, 34, 37, 40</w:t>
            </w:r>
            <w:r>
              <w:noBreakHyphen/>
              <w:t>44, 47</w:t>
            </w:r>
            <w:r>
              <w:noBreakHyphen/>
              <w:t>52, 54, 55, 57</w:t>
            </w:r>
            <w:r>
              <w:noBreakHyphen/>
              <w:t>59, 61 and 64</w:t>
            </w:r>
            <w:r>
              <w:noBreakHyphen/>
              <w:t xml:space="preserve">70: 18 Aug 2018 (see s. 2(b) and </w:t>
            </w:r>
            <w:r>
              <w:rPr>
                <w:i/>
              </w:rPr>
              <w:t>Gazette</w:t>
            </w:r>
            <w:r>
              <w:t xml:space="preserve"> 17 Aug 2018 p. 2893)</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64" w:name="_Toc522197551"/>
      <w:r>
        <w:rPr>
          <w:snapToGrid w:val="0"/>
        </w:rPr>
        <w:t>Provisions that have not come into operation</w:t>
      </w:r>
      <w:bookmarkEnd w:id="664"/>
    </w:p>
    <w:tbl>
      <w:tblPr>
        <w:tblW w:w="7115"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8"/>
        <w:gridCol w:w="2268"/>
        <w:gridCol w:w="1134"/>
        <w:gridCol w:w="1134"/>
        <w:gridCol w:w="2524"/>
        <w:gridCol w:w="27"/>
      </w:tblGrid>
      <w:tr>
        <w:trPr>
          <w:gridBefore w:val="1"/>
          <w:wBefore w:w="28" w:type="dxa"/>
          <w:cantSplit/>
          <w:tblHeader/>
        </w:trPr>
        <w:tc>
          <w:tcPr>
            <w:tcW w:w="2268" w:type="dxa"/>
            <w:tcBorders>
              <w:top w:val="single" w:sz="4" w:space="0" w:color="auto"/>
              <w:bottom w:val="single" w:sz="4"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4" w:space="0" w:color="auto"/>
              <w:bottom w:val="single" w:sz="4" w:space="0" w:color="auto"/>
            </w:tcBorders>
            <w:shd w:val="clear" w:color="auto" w:fill="auto"/>
          </w:tcPr>
          <w:p>
            <w:pPr>
              <w:pStyle w:val="nTable"/>
              <w:spacing w:after="40"/>
              <w:rPr>
                <w:b/>
                <w:snapToGrid w:val="0"/>
              </w:rPr>
            </w:pPr>
            <w:r>
              <w:rPr>
                <w:b/>
                <w:snapToGrid w:val="0"/>
              </w:rPr>
              <w:t>Number and year</w:t>
            </w:r>
          </w:p>
        </w:tc>
        <w:tc>
          <w:tcPr>
            <w:tcW w:w="1134" w:type="dxa"/>
            <w:tcBorders>
              <w:top w:val="single" w:sz="4" w:space="0" w:color="auto"/>
              <w:bottom w:val="single" w:sz="4" w:space="0" w:color="auto"/>
            </w:tcBorders>
            <w:shd w:val="clear" w:color="auto" w:fill="auto"/>
          </w:tcPr>
          <w:p>
            <w:pPr>
              <w:pStyle w:val="nTable"/>
              <w:spacing w:after="40"/>
              <w:rPr>
                <w:b/>
                <w:snapToGrid w:val="0"/>
              </w:rPr>
            </w:pPr>
            <w:r>
              <w:rPr>
                <w:b/>
                <w:snapToGrid w:val="0"/>
              </w:rPr>
              <w:t>Assent</w:t>
            </w:r>
          </w:p>
        </w:tc>
        <w:tc>
          <w:tcPr>
            <w:tcW w:w="2551" w:type="dxa"/>
            <w:gridSpan w:val="2"/>
            <w:tcBorders>
              <w:top w:val="single" w:sz="4" w:space="0" w:color="auto"/>
              <w:bottom w:val="single" w:sz="4" w:space="0" w:color="auto"/>
            </w:tcBorders>
            <w:shd w:val="clear" w:color="auto" w:fill="auto"/>
          </w:tcPr>
          <w:p>
            <w:pPr>
              <w:pStyle w:val="nTable"/>
              <w:keepNext/>
              <w:keepLines/>
              <w:spacing w:after="40"/>
              <w:rPr>
                <w:b/>
                <w:snapToGrid w:val="0"/>
              </w:rPr>
            </w:pPr>
            <w:r>
              <w:rPr>
                <w:b/>
                <w:snapToGrid w:val="0"/>
              </w:rPr>
              <w:t>Commencement</w:t>
            </w:r>
          </w:p>
        </w:tc>
      </w:tr>
      <w:tr>
        <w:trPr>
          <w:gridBefore w:val="1"/>
          <w:wBefore w:w="28" w:type="dxa"/>
        </w:trPr>
        <w:tc>
          <w:tcPr>
            <w:tcW w:w="2268" w:type="dxa"/>
            <w:tcBorders>
              <w:top w:val="single" w:sz="4" w:space="0" w:color="auto"/>
              <w:bottom w:val="nil"/>
            </w:tcBorders>
          </w:tcPr>
          <w:p>
            <w:pPr>
              <w:pStyle w:val="nTable"/>
              <w:spacing w:after="40"/>
              <w:rPr>
                <w:i/>
                <w:snapToGrid w:val="0"/>
              </w:rPr>
            </w:pPr>
            <w:r>
              <w:rPr>
                <w:i/>
                <w:snapToGrid w:val="0"/>
              </w:rPr>
              <w:t>Prostitution Amendment Act 2008</w:t>
            </w:r>
            <w:r>
              <w:rPr>
                <w:iCs/>
                <w:snapToGrid w:val="0"/>
              </w:rPr>
              <w:t xml:space="preserve"> s. 32 </w:t>
            </w:r>
            <w:r>
              <w:rPr>
                <w:iCs/>
                <w:snapToGrid w:val="0"/>
                <w:vertAlign w:val="superscript"/>
              </w:rPr>
              <w:t>11</w:t>
            </w:r>
          </w:p>
        </w:tc>
        <w:tc>
          <w:tcPr>
            <w:tcW w:w="1134" w:type="dxa"/>
            <w:tcBorders>
              <w:top w:val="single" w:sz="4" w:space="0" w:color="auto"/>
              <w:bottom w:val="nil"/>
            </w:tcBorders>
          </w:tcPr>
          <w:p>
            <w:pPr>
              <w:pStyle w:val="nTable"/>
              <w:spacing w:after="40"/>
              <w:rPr>
                <w:snapToGrid w:val="0"/>
              </w:rPr>
            </w:pPr>
            <w:r>
              <w:t>13 of 2008</w:t>
            </w:r>
          </w:p>
        </w:tc>
        <w:tc>
          <w:tcPr>
            <w:tcW w:w="1134" w:type="dxa"/>
            <w:tcBorders>
              <w:top w:val="single" w:sz="4" w:space="0" w:color="auto"/>
              <w:bottom w:val="nil"/>
            </w:tcBorders>
          </w:tcPr>
          <w:p>
            <w:pPr>
              <w:pStyle w:val="nTable"/>
              <w:spacing w:after="40"/>
              <w:rPr>
                <w:snapToGrid w:val="0"/>
              </w:rPr>
            </w:pPr>
            <w:r>
              <w:t>14 Apr 2008</w:t>
            </w:r>
          </w:p>
        </w:tc>
        <w:tc>
          <w:tcPr>
            <w:tcW w:w="2551" w:type="dxa"/>
            <w:gridSpan w:val="2"/>
            <w:tcBorders>
              <w:top w:val="single" w:sz="4" w:space="0" w:color="auto"/>
              <w:bottom w:val="nil"/>
            </w:tcBorders>
          </w:tcPr>
          <w:p>
            <w:pPr>
              <w:pStyle w:val="nTable"/>
              <w:spacing w:after="40"/>
              <w:rPr>
                <w:snapToGrid w:val="0"/>
              </w:rPr>
            </w:pPr>
            <w:r>
              <w:rPr>
                <w:snapToGrid w:val="0"/>
              </w:rPr>
              <w:t>To be proclaimed (see s. 2(b))</w:t>
            </w:r>
          </w:p>
        </w:tc>
      </w:tr>
      <w:tr>
        <w:trPr>
          <w:gridBefore w:val="1"/>
          <w:wBefore w:w="28" w:type="dxa"/>
        </w:trPr>
        <w:tc>
          <w:tcPr>
            <w:tcW w:w="2268" w:type="dxa"/>
            <w:tcBorders>
              <w:top w:val="nil"/>
              <w:bottom w:val="nil"/>
            </w:tcBorders>
          </w:tcPr>
          <w:p>
            <w:pPr>
              <w:pStyle w:val="nTable"/>
              <w:spacing w:after="40"/>
              <w:rPr>
                <w:snapToGrid w:val="0"/>
                <w:vertAlign w:val="superscript"/>
              </w:rPr>
            </w:pPr>
            <w:r>
              <w:rPr>
                <w:i/>
                <w:snapToGrid w:val="0"/>
              </w:rPr>
              <w:t xml:space="preserve">Liquor Legislation Amendment Act 2015 </w:t>
            </w:r>
            <w:r>
              <w:rPr>
                <w:snapToGrid w:val="0"/>
              </w:rPr>
              <w:t>s. 26 </w:t>
            </w:r>
            <w:r>
              <w:rPr>
                <w:snapToGrid w:val="0"/>
                <w:vertAlign w:val="superscript"/>
              </w:rPr>
              <w:t>13</w:t>
            </w:r>
          </w:p>
        </w:tc>
        <w:tc>
          <w:tcPr>
            <w:tcW w:w="1134" w:type="dxa"/>
            <w:tcBorders>
              <w:top w:val="nil"/>
              <w:bottom w:val="nil"/>
            </w:tcBorders>
          </w:tcPr>
          <w:p>
            <w:pPr>
              <w:pStyle w:val="nTable"/>
              <w:spacing w:after="40"/>
            </w:pPr>
            <w:r>
              <w:t>35 of 2015</w:t>
            </w:r>
          </w:p>
        </w:tc>
        <w:tc>
          <w:tcPr>
            <w:tcW w:w="1134" w:type="dxa"/>
            <w:tcBorders>
              <w:top w:val="nil"/>
              <w:bottom w:val="nil"/>
            </w:tcBorders>
          </w:tcPr>
          <w:p>
            <w:pPr>
              <w:pStyle w:val="nTable"/>
              <w:spacing w:after="40"/>
            </w:pPr>
            <w:r>
              <w:t>2 Nov 2015</w:t>
            </w:r>
          </w:p>
        </w:tc>
        <w:tc>
          <w:tcPr>
            <w:tcW w:w="2551" w:type="dxa"/>
            <w:gridSpan w:val="2"/>
            <w:tcBorders>
              <w:top w:val="nil"/>
              <w:bottom w:val="nil"/>
            </w:tcBorders>
          </w:tcPr>
          <w:p>
            <w:pPr>
              <w:pStyle w:val="nTable"/>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7" w:type="dxa"/>
        </w:trPr>
        <w:tc>
          <w:tcPr>
            <w:tcW w:w="2296" w:type="dxa"/>
            <w:gridSpan w:val="2"/>
            <w:tcBorders>
              <w:top w:val="nil"/>
              <w:bottom w:val="nil"/>
            </w:tcBorders>
          </w:tcPr>
          <w:p>
            <w:pPr>
              <w:pStyle w:val="nTable"/>
              <w:spacing w:after="40"/>
              <w:rPr>
                <w:noProof/>
                <w:snapToGrid w:val="0"/>
              </w:rPr>
            </w:pPr>
            <w:r>
              <w:rPr>
                <w:i/>
              </w:rPr>
              <w:t>Public Health (Consequential Provisions) Act 2016</w:t>
            </w:r>
            <w:r>
              <w:t xml:space="preserve"> Pt. 5 Div. 12</w:t>
            </w:r>
            <w:r>
              <w:rPr>
                <w:vertAlign w:val="superscript"/>
              </w:rPr>
              <w:t> 14</w:t>
            </w:r>
          </w:p>
        </w:tc>
        <w:tc>
          <w:tcPr>
            <w:tcW w:w="1134" w:type="dxa"/>
            <w:tcBorders>
              <w:top w:val="nil"/>
              <w:bottom w:val="nil"/>
            </w:tcBorders>
          </w:tcPr>
          <w:p>
            <w:pPr>
              <w:pStyle w:val="nTable"/>
              <w:spacing w:after="40"/>
            </w:pPr>
            <w:r>
              <w:t>19 of 2016</w:t>
            </w:r>
          </w:p>
        </w:tc>
        <w:tc>
          <w:tcPr>
            <w:tcW w:w="1134" w:type="dxa"/>
            <w:tcBorders>
              <w:top w:val="nil"/>
              <w:bottom w:val="nil"/>
            </w:tcBorders>
          </w:tcPr>
          <w:p>
            <w:pPr>
              <w:pStyle w:val="nTable"/>
              <w:spacing w:after="40"/>
            </w:pPr>
            <w:r>
              <w:t>25 Jul 2016</w:t>
            </w:r>
          </w:p>
        </w:tc>
        <w:tc>
          <w:tcPr>
            <w:tcW w:w="2524" w:type="dxa"/>
            <w:tcBorders>
              <w:top w:val="nil"/>
              <w:bottom w:val="nil"/>
            </w:tcBorders>
          </w:tcPr>
          <w:p>
            <w:pPr>
              <w:pStyle w:val="nTable"/>
              <w:spacing w:after="40"/>
              <w:rPr>
                <w:snapToGrid w:val="0"/>
              </w:rPr>
            </w:pPr>
            <w:r>
              <w:t>T</w:t>
            </w:r>
            <w:r>
              <w:rPr>
                <w:snapToGrid w:val="0"/>
              </w:rPr>
              <w:t>o be proclaimed (see s. 2(1)(c))</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7" w:type="dxa"/>
        </w:trPr>
        <w:tc>
          <w:tcPr>
            <w:tcW w:w="2296" w:type="dxa"/>
            <w:gridSpan w:val="2"/>
            <w:tcBorders>
              <w:top w:val="nil"/>
              <w:bottom w:val="single" w:sz="4" w:space="0" w:color="auto"/>
            </w:tcBorders>
          </w:tcPr>
          <w:p>
            <w:pPr>
              <w:pStyle w:val="nTable"/>
              <w:spacing w:after="40"/>
            </w:pPr>
            <w:r>
              <w:rPr>
                <w:i/>
              </w:rPr>
              <w:t>Liquor Control Amendment Act 2018</w:t>
            </w:r>
            <w:r>
              <w:t xml:space="preserve"> s. 5, 8, 10, 12, 17, 18, 20</w:t>
            </w:r>
            <w:r>
              <w:noBreakHyphen/>
              <w:t>22, 25, 26, 32, 35, 36, 38, 39, 45, 46, 53, 56, 60, 62 and 63</w:t>
            </w:r>
            <w:r>
              <w:rPr>
                <w:vertAlign w:val="superscript"/>
              </w:rPr>
              <w:t> 15</w:t>
            </w:r>
          </w:p>
        </w:tc>
        <w:tc>
          <w:tcPr>
            <w:tcW w:w="1134" w:type="dxa"/>
            <w:tcBorders>
              <w:top w:val="nil"/>
              <w:bottom w:val="single" w:sz="4" w:space="0" w:color="auto"/>
            </w:tcBorders>
          </w:tcPr>
          <w:p>
            <w:pPr>
              <w:pStyle w:val="nTable"/>
              <w:spacing w:after="40"/>
            </w:pPr>
            <w:r>
              <w:t>9 of 2018</w:t>
            </w:r>
          </w:p>
        </w:tc>
        <w:tc>
          <w:tcPr>
            <w:tcW w:w="1134" w:type="dxa"/>
            <w:tcBorders>
              <w:top w:val="nil"/>
              <w:bottom w:val="single" w:sz="4" w:space="0" w:color="auto"/>
            </w:tcBorders>
          </w:tcPr>
          <w:p>
            <w:pPr>
              <w:pStyle w:val="nTable"/>
              <w:spacing w:after="40"/>
            </w:pPr>
            <w:r>
              <w:t>13 Jul 2018</w:t>
            </w:r>
          </w:p>
        </w:tc>
        <w:tc>
          <w:tcPr>
            <w:tcW w:w="2524" w:type="dxa"/>
            <w:tcBorders>
              <w:top w:val="nil"/>
              <w:bottom w:val="single" w:sz="4" w:space="0" w:color="auto"/>
            </w:tcBorders>
          </w:tcPr>
          <w:p>
            <w:pPr>
              <w:pStyle w:val="nTable"/>
              <w:spacing w:after="40"/>
            </w:pPr>
            <w:r>
              <w:t>To be proclaimed (see s. 2(b))</w:t>
            </w:r>
          </w:p>
        </w:tc>
      </w:tr>
    </w:tbl>
    <w:p>
      <w:pPr>
        <w:pStyle w:val="nSubsection"/>
        <w:spacing w:before="160"/>
        <w:rPr>
          <w:snapToGrid w:val="0"/>
        </w:rPr>
      </w:pPr>
      <w:r>
        <w:rPr>
          <w:snapToGrid w:val="0"/>
          <w:vertAlign w:val="superscript"/>
        </w:rPr>
        <w:t>2</w:t>
      </w:r>
      <w:r>
        <w:rPr>
          <w:snapToGrid w:val="0"/>
        </w:rPr>
        <w:tab/>
        <w:t xml:space="preserve">The provision in this Act repealing the </w:t>
      </w:r>
      <w:r>
        <w:rPr>
          <w:i/>
          <w:iCs/>
          <w:snapToGrid w:val="0"/>
        </w:rPr>
        <w:t>Liquor Act 1970</w:t>
      </w:r>
      <w:r>
        <w:rPr>
          <w:snapToGrid w:val="0"/>
        </w:rPr>
        <w:t xml:space="preserve"> has been omitted under the </w:t>
      </w:r>
      <w:r>
        <w:rPr>
          <w:i/>
          <w:iCs/>
          <w:snapToGrid w:val="0"/>
        </w:rPr>
        <w:t>Reprints Act 1984</w:t>
      </w:r>
      <w:r>
        <w:rPr>
          <w:snapToGrid w:val="0"/>
        </w:rPr>
        <w:t xml:space="preserve"> s. 7(4)(f).</w:t>
      </w:r>
    </w:p>
    <w:p>
      <w:pPr>
        <w:pStyle w:val="nSubsection"/>
        <w:rPr>
          <w:rFonts w:ascii="Arial" w:hAnsi="Arial"/>
        </w:rPr>
      </w:pPr>
      <w:r>
        <w:rPr>
          <w:snapToGrid w:val="0"/>
          <w:vertAlign w:val="superscript"/>
        </w:rPr>
        <w:t>3</w:t>
      </w:r>
      <w:r>
        <w:rPr>
          <w:snapToGrid w:val="0"/>
        </w:rPr>
        <w:tab/>
        <w:t>Footnote no longer applicable.</w:t>
      </w:r>
    </w:p>
    <w:p>
      <w:pPr>
        <w:pStyle w:val="nSubsection"/>
        <w:rPr>
          <w:snapToGrid w:val="0"/>
        </w:rPr>
      </w:pPr>
      <w:r>
        <w:rPr>
          <w:snapToGrid w:val="0"/>
          <w:vertAlign w:val="superscript"/>
        </w:rPr>
        <w:t>4</w:t>
      </w:r>
      <w:r>
        <w:rPr>
          <w:snapToGrid w:val="0"/>
        </w:rPr>
        <w:tab/>
        <w:t xml:space="preserve">Repealed by the </w:t>
      </w:r>
      <w:r>
        <w:rPr>
          <w:i/>
          <w:snapToGrid w:val="0"/>
        </w:rPr>
        <w:t>Public Sector Management Act 1994</w:t>
      </w:r>
      <w:r>
        <w:rPr>
          <w:snapToGrid w:val="0"/>
        </w:rPr>
        <w:t>.</w:t>
      </w:r>
    </w:p>
    <w:p>
      <w:pPr>
        <w:pStyle w:val="nSubsection"/>
        <w:rPr>
          <w:snapToGrid w:val="0"/>
        </w:rPr>
      </w:pPr>
      <w:r>
        <w:rPr>
          <w:vertAlign w:val="superscript"/>
        </w:rPr>
        <w:t>5</w:t>
      </w:r>
      <w:r>
        <w:tab/>
      </w:r>
      <w:r>
        <w:rPr>
          <w:i/>
        </w:rPr>
        <w:t xml:space="preserve">Rules of the </w:t>
      </w:r>
      <w:r>
        <w:rPr>
          <w:i/>
          <w:snapToGrid w:val="0"/>
        </w:rPr>
        <w:t>Supreme</w:t>
      </w:r>
      <w:r>
        <w:rPr>
          <w:i/>
        </w:rPr>
        <w:t xml:space="preserve"> Court 1971</w:t>
      </w:r>
      <w:r>
        <w:t xml:space="preserve"> Order 64 was deleted in </w:t>
      </w:r>
      <w:r>
        <w:rPr>
          <w:i/>
        </w:rPr>
        <w:t>Gazette</w:t>
      </w:r>
      <w:r>
        <w:t xml:space="preserve"> 29 Apr 2005 p. 1793.</w:t>
      </w:r>
    </w:p>
    <w:p>
      <w:pPr>
        <w:pStyle w:val="nSubsection"/>
        <w:rPr>
          <w:snapToGrid w:val="0"/>
        </w:rPr>
      </w:pPr>
      <w:r>
        <w:rPr>
          <w:snapToGrid w:val="0"/>
          <w:vertAlign w:val="superscript"/>
        </w:rPr>
        <w:t>6</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Subsection"/>
        <w:rPr>
          <w:snapToGrid w:val="0"/>
        </w:rPr>
      </w:pPr>
      <w:r>
        <w:rPr>
          <w:snapToGrid w:val="0"/>
          <w:vertAlign w:val="superscript"/>
        </w:rPr>
        <w:t>7</w:t>
      </w:r>
      <w:r>
        <w:rPr>
          <w:snapToGrid w:val="0"/>
        </w:rPr>
        <w:tab/>
        <w:t xml:space="preserve">Repealed by the </w:t>
      </w:r>
      <w:r>
        <w:rPr>
          <w:i/>
          <w:snapToGrid w:val="0"/>
        </w:rPr>
        <w:t>Liquor Act 1970</w:t>
      </w:r>
      <w:r>
        <w:rPr>
          <w:snapToGrid w:val="0"/>
        </w:rPr>
        <w:t>, which was repealed by this Act.</w:t>
      </w:r>
    </w:p>
    <w:p>
      <w:pPr>
        <w:pStyle w:val="nSubsection"/>
      </w:pPr>
      <w:r>
        <w:rPr>
          <w:vertAlign w:val="superscript"/>
        </w:rPr>
        <w:t>8</w:t>
      </w:r>
      <w:r>
        <w:rPr>
          <w:vertAlign w:val="superscript"/>
        </w:rPr>
        <w:tab/>
      </w:r>
      <w:r>
        <w:t xml:space="preserve">Now known as the </w:t>
      </w:r>
      <w:r>
        <w:rPr>
          <w:i/>
        </w:rPr>
        <w:t>Liquor Control Act 1988</w:t>
      </w:r>
      <w:r>
        <w:rPr>
          <w:iCs/>
        </w:rPr>
        <w:t xml:space="preserve">; </w:t>
      </w:r>
      <w:r>
        <w:t>short title changed (see note under s. 1).</w:t>
      </w:r>
    </w:p>
    <w:p>
      <w:pPr>
        <w:pStyle w:val="nSubsection"/>
      </w:pPr>
      <w:r>
        <w:rPr>
          <w:vertAlign w:val="superscript"/>
        </w:rPr>
        <w:t>9</w:t>
      </w:r>
      <w:r>
        <w:tab/>
        <w:t xml:space="preserve">The </w:t>
      </w:r>
      <w:r>
        <w:rPr>
          <w:i/>
        </w:rPr>
        <w:t xml:space="preserve">Courts Legislation Amendment Act 2000 </w:t>
      </w:r>
      <w:r>
        <w:t>s. 14 is a transitional provision that is of no further effect.</w:t>
      </w:r>
    </w:p>
    <w:p>
      <w:pPr>
        <w:pStyle w:val="nSubsection"/>
      </w:pPr>
      <w:r>
        <w:rPr>
          <w:vertAlign w:val="superscript"/>
        </w:rPr>
        <w:t>10</w:t>
      </w:r>
      <w:r>
        <w:tab/>
        <w:t xml:space="preserve">The </w:t>
      </w:r>
      <w:r>
        <w:rPr>
          <w:i/>
        </w:rPr>
        <w:t>Liquor Licensing Amendment Act 2001</w:t>
      </w:r>
      <w:r>
        <w:t xml:space="preserve"> s. 5(2) and 6(2) are transitional provisions that are of no further effect.</w:t>
      </w:r>
    </w:p>
    <w:p>
      <w:pPr>
        <w:pStyle w:val="nSubsection"/>
        <w:keepLines/>
        <w:rPr>
          <w:snapToGrid w:val="0"/>
        </w:rPr>
      </w:pPr>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32 </w:t>
      </w:r>
      <w:r>
        <w:rPr>
          <w:snapToGrid w:val="0"/>
        </w:rPr>
        <w:t>had not come into operation.  It reads as follows:</w:t>
      </w:r>
    </w:p>
    <w:p>
      <w:pPr>
        <w:pStyle w:val="BlankOpen"/>
        <w:rPr>
          <w:snapToGrid w:val="0"/>
        </w:rPr>
      </w:pPr>
    </w:p>
    <w:p>
      <w:pPr>
        <w:pStyle w:val="nzHeading5"/>
        <w:spacing w:before="240"/>
      </w:pPr>
      <w:r>
        <w:rPr>
          <w:rStyle w:val="CharSectno"/>
        </w:rPr>
        <w:t>32</w:t>
      </w:r>
      <w:r>
        <w:t>.</w:t>
      </w:r>
      <w:r>
        <w:tab/>
      </w:r>
      <w:r>
        <w:rPr>
          <w:i/>
        </w:rPr>
        <w:t>Liquor Control Act 1988</w:t>
      </w:r>
      <w:r>
        <w:t xml:space="preserve"> amended</w:t>
      </w:r>
    </w:p>
    <w:p>
      <w:pPr>
        <w:pStyle w:val="nzSubsection"/>
        <w:spacing w:before="60"/>
      </w:pPr>
      <w:r>
        <w:tab/>
        <w:t>(1)</w:t>
      </w:r>
      <w:r>
        <w:tab/>
        <w:t xml:space="preserve">The amendment in this section is to the </w:t>
      </w:r>
      <w:r>
        <w:rPr>
          <w:i/>
        </w:rPr>
        <w:t>Liquor Control Act 1988</w:t>
      </w:r>
      <w:r>
        <w:rPr>
          <w:iCs/>
        </w:rPr>
        <w:t>.</w:t>
      </w:r>
    </w:p>
    <w:p>
      <w:pPr>
        <w:pStyle w:val="nzSubsection"/>
        <w:keepNext/>
        <w:spacing w:before="60"/>
      </w:pPr>
      <w:r>
        <w:tab/>
        <w:t>(2)</w:t>
      </w:r>
      <w:r>
        <w:tab/>
        <w:t>After section 37(6) the following subsection is inserted —</w:t>
      </w:r>
    </w:p>
    <w:p>
      <w:pPr>
        <w:pStyle w:val="BlankOpen"/>
      </w:pPr>
    </w:p>
    <w:p>
      <w:pPr>
        <w:pStyle w:val="nzSubsection"/>
        <w:spacing w:before="40"/>
      </w:pPr>
      <w:r>
        <w:tab/>
        <w:t>(7)</w:t>
      </w:r>
      <w:r>
        <w:tab/>
        <w:t xml:space="preserve">An application shall not be granted where the licensing authority is satisfied that the premises to which the application relates are premises at or from which a sexual service business within the meaning of the </w:t>
      </w:r>
      <w:r>
        <w:rPr>
          <w:i/>
          <w:iCs/>
        </w:rPr>
        <w:t>Sexual Services Act 2000</w:t>
      </w:r>
      <w:r>
        <w:t xml:space="preserve"> section 3 operates.</w:t>
      </w:r>
    </w:p>
    <w:p>
      <w:pPr>
        <w:pStyle w:val="BlankClose"/>
      </w:pPr>
    </w:p>
    <w:p>
      <w:pPr>
        <w:pStyle w:val="nSubsection"/>
        <w:keepLines/>
        <w:rPr>
          <w:snapToGrid w:val="0"/>
        </w:rPr>
      </w:pPr>
      <w:r>
        <w:rPr>
          <w:snapToGrid w:val="0"/>
          <w:vertAlign w:val="superscript"/>
        </w:rPr>
        <w:t>12</w:t>
      </w:r>
      <w:r>
        <w:rPr>
          <w:snapToGrid w:val="0"/>
        </w:rPr>
        <w:tab/>
        <w:t>Footnote no longer applicable.</w:t>
      </w:r>
    </w:p>
    <w:p>
      <w:pPr>
        <w:pStyle w:val="nSubsection"/>
        <w:keepLines/>
        <w:rPr>
          <w:snapToGrid w:val="0"/>
        </w:rPr>
      </w:pPr>
      <w:r>
        <w:rPr>
          <w:snapToGrid w:val="0"/>
          <w:vertAlign w:val="superscript"/>
        </w:rPr>
        <w:t>13</w:t>
      </w:r>
      <w:r>
        <w:rPr>
          <w:snapToGrid w:val="0"/>
          <w:vertAlign w:val="superscript"/>
        </w:rPr>
        <w:tab/>
      </w:r>
      <w:r>
        <w:t xml:space="preserve">On the date as at which this compilation was prepared, </w:t>
      </w:r>
      <w:r>
        <w:rPr>
          <w:snapToGrid w:val="0"/>
        </w:rPr>
        <w:t xml:space="preserve">the </w:t>
      </w:r>
      <w:r>
        <w:rPr>
          <w:i/>
          <w:snapToGrid w:val="0"/>
        </w:rPr>
        <w:t xml:space="preserve">Liquor Legislation Amendment Act 2015 </w:t>
      </w:r>
      <w:r>
        <w:rPr>
          <w:snapToGrid w:val="0"/>
        </w:rPr>
        <w:t>s. 26</w:t>
      </w:r>
      <w:r>
        <w:rPr>
          <w:i/>
          <w:snapToGrid w:val="0"/>
        </w:rPr>
        <w:t xml:space="preserve"> </w:t>
      </w:r>
      <w:r>
        <w:rPr>
          <w:snapToGrid w:val="0"/>
        </w:rPr>
        <w:t>had not come into operation.  It reads as follows:</w:t>
      </w:r>
    </w:p>
    <w:p>
      <w:pPr>
        <w:pStyle w:val="BlankOpen"/>
        <w:rPr>
          <w:snapToGrid w:val="0"/>
        </w:rPr>
      </w:pPr>
    </w:p>
    <w:p>
      <w:pPr>
        <w:pStyle w:val="nzHeading5"/>
      </w:pPr>
      <w:r>
        <w:rPr>
          <w:rStyle w:val="CharSectno"/>
        </w:rPr>
        <w:t>26</w:t>
      </w:r>
      <w:r>
        <w:t>.</w:t>
      </w:r>
      <w:r>
        <w:tab/>
        <w:t>Part 7A inserted</w:t>
      </w:r>
    </w:p>
    <w:p>
      <w:pPr>
        <w:pStyle w:val="nzSubsection"/>
      </w:pPr>
      <w:r>
        <w:tab/>
      </w:r>
      <w:r>
        <w:tab/>
        <w:t>After section 172A insert:</w:t>
      </w:r>
    </w:p>
    <w:p>
      <w:pPr>
        <w:pStyle w:val="BlankOpen"/>
      </w:pPr>
    </w:p>
    <w:p>
      <w:pPr>
        <w:pStyle w:val="nzHeading2"/>
      </w:pPr>
      <w:r>
        <w:t>Part 7A — Alcohol Intervention</w:t>
      </w:r>
    </w:p>
    <w:p>
      <w:pPr>
        <w:pStyle w:val="nzHeading3"/>
      </w:pPr>
      <w:r>
        <w:t>Division 1 — Preliminary</w:t>
      </w:r>
    </w:p>
    <w:p>
      <w:pPr>
        <w:pStyle w:val="nzHeading5"/>
      </w:pPr>
      <w:r>
        <w:t>172B.</w:t>
      </w:r>
      <w:r>
        <w:tab/>
        <w:t>Terms used</w:t>
      </w:r>
    </w:p>
    <w:p>
      <w:pPr>
        <w:pStyle w:val="nzSubsection"/>
      </w:pPr>
      <w:r>
        <w:tab/>
        <w:t>(1)</w:t>
      </w:r>
      <w:r>
        <w:tab/>
        <w:t xml:space="preserve">In this Part — </w:t>
      </w:r>
    </w:p>
    <w:p>
      <w:pPr>
        <w:pStyle w:val="nzDefstart"/>
      </w:pPr>
      <w:r>
        <w:tab/>
      </w:r>
      <w:r>
        <w:rPr>
          <w:rStyle w:val="CharDefText"/>
        </w:rPr>
        <w:t>AI authorised person</w:t>
      </w:r>
      <w:r>
        <w:t>, in section 172I or 172L, means a person appointed under section 172D to be an authorised person for the purposes of the section in which the term is used;</w:t>
      </w:r>
    </w:p>
    <w:p>
      <w:pPr>
        <w:pStyle w:val="nzDefstart"/>
      </w:pPr>
      <w:r>
        <w:tab/>
      </w:r>
      <w:r>
        <w:rPr>
          <w:rStyle w:val="CharDefText"/>
        </w:rPr>
        <w:t>alcohol intervention requirement</w:t>
      </w:r>
      <w:r>
        <w:t xml:space="preserve"> means a notice referred to in section 172F;</w:t>
      </w:r>
    </w:p>
    <w:p>
      <w:pPr>
        <w:pStyle w:val="nzDefstart"/>
      </w:pPr>
      <w:r>
        <w:tab/>
      </w:r>
      <w:r>
        <w:rPr>
          <w:rStyle w:val="CharDefText"/>
        </w:rPr>
        <w:t>alcohol intervention session</w:t>
      </w:r>
      <w:r>
        <w:t xml:space="preserve"> means an alcohol intervention session — </w:t>
      </w:r>
    </w:p>
    <w:p>
      <w:pPr>
        <w:pStyle w:val="nzDefpara"/>
      </w:pPr>
      <w:r>
        <w:tab/>
        <w:t>(a)</w:t>
      </w:r>
      <w:r>
        <w:tab/>
        <w:t>provided by a treatment provider approved under section 172J(2)(b); and</w:t>
      </w:r>
    </w:p>
    <w:p>
      <w:pPr>
        <w:pStyle w:val="nzDefpara"/>
      </w:pPr>
      <w:r>
        <w:tab/>
        <w:t>(b)</w:t>
      </w:r>
      <w:r>
        <w:tab/>
        <w:t>the content of which is approved under section 172J(2)(a);</w:t>
      </w:r>
    </w:p>
    <w:p>
      <w:pPr>
        <w:pStyle w:val="nzDefstart"/>
      </w:pPr>
      <w:r>
        <w:tab/>
      </w:r>
      <w:r>
        <w:rPr>
          <w:rStyle w:val="CharDefText"/>
        </w:rPr>
        <w:t>alleged offender</w:t>
      </w:r>
      <w:r>
        <w:t xml:space="preserve"> means a young person who is suspected on reasonable grounds by a police officer of having committed a minor alcohol related offence;</w:t>
      </w:r>
    </w:p>
    <w:p>
      <w:pPr>
        <w:pStyle w:val="nzDefstart"/>
      </w:pPr>
      <w:r>
        <w:tab/>
      </w:r>
      <w:r>
        <w:rPr>
          <w:rStyle w:val="CharDefText"/>
        </w:rPr>
        <w:t>CEO (Health)</w:t>
      </w:r>
      <w:r>
        <w:t xml:space="preserve"> means the chief executive officer of the department principally assisting the Minister responsible for the administration of the </w:t>
      </w:r>
      <w:r>
        <w:rPr>
          <w:i/>
        </w:rPr>
        <w:t>Health Legislation Administration Act 1984</w:t>
      </w:r>
      <w:r>
        <w:t>;</w:t>
      </w:r>
    </w:p>
    <w:p>
      <w:pPr>
        <w:pStyle w:val="nzDefstart"/>
      </w:pPr>
      <w:r>
        <w:tab/>
      </w:r>
      <w:r>
        <w:rPr>
          <w:rStyle w:val="CharDefText"/>
        </w:rPr>
        <w:t>minor alcohol related offence</w:t>
      </w:r>
      <w:r>
        <w:t xml:space="preserve"> means an offence under — </w:t>
      </w:r>
    </w:p>
    <w:p>
      <w:pPr>
        <w:pStyle w:val="nzDefpara"/>
      </w:pPr>
      <w:r>
        <w:tab/>
        <w:t>(a)</w:t>
      </w:r>
      <w:r>
        <w:tab/>
        <w:t>section 110(4A), 110(5), 115(2), 115(5), 115(6), 115(7), 119(1), 119(2), 119(4), 119(5), 121(4)(c), 121(7), 121(7a), 122(3), 123, 126(2), 126(4) or 126(5);</w:t>
      </w:r>
    </w:p>
    <w:p>
      <w:pPr>
        <w:pStyle w:val="nzDefpara"/>
      </w:pPr>
      <w:r>
        <w:tab/>
        <w:t>(b)</w:t>
      </w:r>
      <w:r>
        <w:tab/>
        <w:t>section 121(3) in relation to a juvenile only;</w:t>
      </w:r>
    </w:p>
    <w:p>
      <w:pPr>
        <w:pStyle w:val="nzDefstart"/>
      </w:pPr>
      <w:r>
        <w:tab/>
      </w:r>
      <w:r>
        <w:rPr>
          <w:rStyle w:val="CharDefText"/>
        </w:rPr>
        <w:t>police officer</w:t>
      </w:r>
      <w:r>
        <w:t xml:space="preserve"> does not include a person appointed by the Commissioner of Police as an AI authorised person under section 172D;</w:t>
      </w:r>
    </w:p>
    <w:p>
      <w:pPr>
        <w:pStyle w:val="nzDefstart"/>
      </w:pPr>
      <w:r>
        <w:rPr>
          <w:b/>
        </w:rPr>
        <w:tab/>
      </w:r>
      <w:r>
        <w:rPr>
          <w:rStyle w:val="CharDefText"/>
        </w:rPr>
        <w:t>responsible adult</w:t>
      </w:r>
      <w:r>
        <w:t xml:space="preserve"> has the meaning given in the </w:t>
      </w:r>
      <w:r>
        <w:rPr>
          <w:i/>
        </w:rPr>
        <w:t>Young Offenders Act 1994</w:t>
      </w:r>
      <w:r>
        <w:t xml:space="preserve"> section 3;</w:t>
      </w:r>
    </w:p>
    <w:p>
      <w:pPr>
        <w:pStyle w:val="nzDefstart"/>
      </w:pPr>
      <w:r>
        <w:tab/>
      </w:r>
      <w:r>
        <w:rPr>
          <w:rStyle w:val="CharDefText"/>
        </w:rPr>
        <w:t>young person</w:t>
      </w:r>
      <w:r>
        <w:t xml:space="preserve"> means — </w:t>
      </w:r>
    </w:p>
    <w:p>
      <w:pPr>
        <w:pStyle w:val="nzDefpara"/>
      </w:pPr>
      <w:r>
        <w:tab/>
        <w:t>(a)</w:t>
      </w:r>
      <w:r>
        <w:tab/>
        <w:t>a person who is a juvenile; or</w:t>
      </w:r>
    </w:p>
    <w:p>
      <w:pPr>
        <w:pStyle w:val="nzDefpara"/>
      </w:pPr>
      <w:r>
        <w:tab/>
        <w:t>(b)</w:t>
      </w:r>
      <w:r>
        <w:tab/>
        <w:t>in relation to the commission, or alleged commission, of a minor alcohol related offence, was a juvenile when the offence was committed, or allegedly committed.</w:t>
      </w:r>
    </w:p>
    <w:p>
      <w:pPr>
        <w:pStyle w:val="nzSubsection"/>
      </w:pPr>
      <w:r>
        <w:tab/>
        <w:t>(2)</w:t>
      </w:r>
      <w:r>
        <w:tab/>
        <w:t xml:space="preserve">In this Part the following abbreviations are used — </w:t>
      </w:r>
    </w:p>
    <w:p>
      <w:pPr>
        <w:pStyle w:val="nzDefstart"/>
      </w:pPr>
      <w:r>
        <w:tab/>
      </w:r>
      <w:r>
        <w:rPr>
          <w:rStyle w:val="CharDefText"/>
        </w:rPr>
        <w:t>AIR</w:t>
      </w:r>
      <w:r>
        <w:t xml:space="preserve"> for alcohol intervention requirement;</w:t>
      </w:r>
    </w:p>
    <w:p>
      <w:pPr>
        <w:pStyle w:val="nzDefstart"/>
      </w:pPr>
      <w:r>
        <w:tab/>
      </w:r>
      <w:r>
        <w:rPr>
          <w:rStyle w:val="CharDefText"/>
        </w:rPr>
        <w:t>AIS</w:t>
      </w:r>
      <w:r>
        <w:t xml:space="preserve"> for alcohol intervention session.</w:t>
      </w:r>
    </w:p>
    <w:p>
      <w:pPr>
        <w:pStyle w:val="nzHeading5"/>
      </w:pPr>
      <w:r>
        <w:t>172C.</w:t>
      </w:r>
      <w:r>
        <w:tab/>
        <w:t xml:space="preserve">Operation of </w:t>
      </w:r>
      <w:r>
        <w:rPr>
          <w:i/>
        </w:rPr>
        <w:t>Young Offenders Act 1994</w:t>
      </w:r>
      <w:r>
        <w:t xml:space="preserve"> unaffected</w:t>
      </w:r>
    </w:p>
    <w:p>
      <w:pPr>
        <w:pStyle w:val="nzSubsection"/>
      </w:pPr>
      <w:r>
        <w:tab/>
      </w:r>
      <w:r>
        <w:tab/>
        <w:t xml:space="preserve">Nothing in this Part prevents a young person from being dealt with under the </w:t>
      </w:r>
      <w:r>
        <w:rPr>
          <w:i/>
        </w:rPr>
        <w:t>Young Offenders Act 1994</w:t>
      </w:r>
      <w:r>
        <w:t xml:space="preserve"> Part 5 in respect of a minor alcohol related offence.</w:t>
      </w:r>
    </w:p>
    <w:p>
      <w:pPr>
        <w:pStyle w:val="nzHeading5"/>
      </w:pPr>
      <w:r>
        <w:t>172D.</w:t>
      </w:r>
      <w:r>
        <w:tab/>
        <w:t>Appointment of AI authorised persons</w:t>
      </w:r>
    </w:p>
    <w:p>
      <w:pPr>
        <w:pStyle w:val="nzSubsection"/>
      </w:pPr>
      <w:r>
        <w:tab/>
      </w:r>
      <w:r>
        <w:tab/>
        <w:t>The Commissioner of Police may, in writing, appoint persons or classes of persons to be AI authorised persons for the purposes of section 172I or 172L, or for the purposes of both of those sections.</w:t>
      </w:r>
    </w:p>
    <w:p>
      <w:pPr>
        <w:pStyle w:val="nzHeading3"/>
      </w:pPr>
      <w:r>
        <w:t>Division 2 — Alcohol intervention requirements</w:t>
      </w:r>
    </w:p>
    <w:p>
      <w:pPr>
        <w:pStyle w:val="nzHeading5"/>
      </w:pPr>
      <w:r>
        <w:t>172E.</w:t>
      </w:r>
      <w:r>
        <w:tab/>
        <w:t>AIR may be given to alleged offender for minor alcohol related offence</w:t>
      </w:r>
    </w:p>
    <w:p>
      <w:pPr>
        <w:pStyle w:val="nzSubsection"/>
      </w:pPr>
      <w:r>
        <w:tab/>
        <w:t>(1)</w:t>
      </w:r>
      <w:r>
        <w:tab/>
        <w:t>Unless section 172G(1) applies, a police officer may give an alcohol intervention requirement to an alleged offender.</w:t>
      </w:r>
    </w:p>
    <w:p>
      <w:pPr>
        <w:pStyle w:val="nzSubsection"/>
        <w:keepNext/>
      </w:pPr>
      <w:r>
        <w:tab/>
        <w:t>(2)</w:t>
      </w:r>
      <w:r>
        <w:tab/>
        <w:t xml:space="preserve">A police officer who suspects on reasonable grounds that — </w:t>
      </w:r>
    </w:p>
    <w:p>
      <w:pPr>
        <w:pStyle w:val="nzIndenta"/>
      </w:pPr>
      <w:r>
        <w:tab/>
        <w:t>(a)</w:t>
      </w:r>
      <w:r>
        <w:tab/>
        <w:t>an alleged offender has committed more than one minor alcohol related offence; and</w:t>
      </w:r>
    </w:p>
    <w:p>
      <w:pPr>
        <w:pStyle w:val="nzIndenta"/>
      </w:pPr>
      <w:r>
        <w:tab/>
        <w:t>(b)</w:t>
      </w:r>
      <w:r>
        <w:tab/>
        <w:t>the alleged offences have arisen out of the same incident,</w:t>
      </w:r>
    </w:p>
    <w:p>
      <w:pPr>
        <w:pStyle w:val="nzSubsection"/>
      </w:pPr>
      <w:r>
        <w:tab/>
      </w:r>
      <w:r>
        <w:tab/>
        <w:t>may give a single AIR in respect of all or some of the offences.</w:t>
      </w:r>
    </w:p>
    <w:p>
      <w:pPr>
        <w:pStyle w:val="nzSubsection"/>
      </w:pPr>
      <w:r>
        <w:tab/>
        <w:t>(3)</w:t>
      </w:r>
      <w:r>
        <w:tab/>
        <w:t>An AIR is to be given as soon as practicable, and in any event within 60 days, after an alleged offence is believed to have been committed.</w:t>
      </w:r>
    </w:p>
    <w:p>
      <w:pPr>
        <w:pStyle w:val="nzHeading5"/>
      </w:pPr>
      <w:r>
        <w:t>172F.</w:t>
      </w:r>
      <w:r>
        <w:tab/>
        <w:t>Alcohol intervention requirement</w:t>
      </w:r>
    </w:p>
    <w:p>
      <w:pPr>
        <w:pStyle w:val="nzSubsection"/>
      </w:pPr>
      <w:r>
        <w:tab/>
        <w:t>(1)</w:t>
      </w:r>
      <w:r>
        <w:tab/>
        <w:t xml:space="preserve">An AIR is a notice in a form prescribed by the regulations — </w:t>
      </w:r>
    </w:p>
    <w:p>
      <w:pPr>
        <w:pStyle w:val="nzIndenta"/>
      </w:pPr>
      <w:r>
        <w:tab/>
        <w:t>(a)</w:t>
      </w:r>
      <w:r>
        <w:tab/>
        <w:t>containing a description of the alleged offence, or offences; and</w:t>
      </w:r>
    </w:p>
    <w:p>
      <w:pPr>
        <w:pStyle w:val="nzIndenta"/>
      </w:pPr>
      <w:r>
        <w:tab/>
        <w:t>(b)</w:t>
      </w:r>
      <w:r>
        <w:tab/>
        <w:t xml:space="preserve">informing the alleged offender that — </w:t>
      </w:r>
    </w:p>
    <w:p>
      <w:pPr>
        <w:pStyle w:val="nzIndenti"/>
      </w:pPr>
      <w:r>
        <w:tab/>
        <w:t>(i)</w:t>
      </w:r>
      <w:r>
        <w:tab/>
        <w:t>he or she may, in writing, elect to be prosecuted for the alleged offence, or offences, in a court, and informing the alleged offender how to make that election; and</w:t>
      </w:r>
    </w:p>
    <w:p>
      <w:pPr>
        <w:pStyle w:val="nzIndenti"/>
      </w:pPr>
      <w:r>
        <w:tab/>
        <w:t>(ii)</w:t>
      </w:r>
      <w:r>
        <w:tab/>
        <w:t>if he or she does not wish to be prosecuted for the alleged offence or offences in a court, the alleged offender may, within a period of 28 days after the giving of the AIR, complete an AIS;</w:t>
      </w:r>
    </w:p>
    <w:p>
      <w:pPr>
        <w:pStyle w:val="nzIndenta"/>
      </w:pPr>
      <w:r>
        <w:tab/>
      </w:r>
      <w:r>
        <w:tab/>
        <w:t>and</w:t>
      </w:r>
    </w:p>
    <w:p>
      <w:pPr>
        <w:pStyle w:val="nzIndenta"/>
      </w:pPr>
      <w:r>
        <w:tab/>
        <w:t>(c)</w:t>
      </w:r>
      <w:r>
        <w:tab/>
        <w:t>informing the alleged offender as to how the alleged offender may arrange to complete an AIS.</w:t>
      </w:r>
    </w:p>
    <w:p>
      <w:pPr>
        <w:pStyle w:val="nzSubsection"/>
      </w:pPr>
      <w:r>
        <w:tab/>
        <w:t>(2)</w:t>
      </w:r>
      <w:r>
        <w:tab/>
        <w:t>An alleged offender need only complete a single AIS for each AIR given to the alleged offender, even if the AIR is given in respect of more than one alleged offence.</w:t>
      </w:r>
    </w:p>
    <w:p>
      <w:pPr>
        <w:pStyle w:val="nzHeading5"/>
      </w:pPr>
      <w:r>
        <w:t>172G.</w:t>
      </w:r>
      <w:r>
        <w:tab/>
        <w:t>Special requirements about AIRs</w:t>
      </w:r>
    </w:p>
    <w:p>
      <w:pPr>
        <w:pStyle w:val="nzSubsection"/>
      </w:pPr>
      <w:r>
        <w:tab/>
        <w:t>(1)</w:t>
      </w:r>
      <w:r>
        <w:tab/>
        <w:t>An AIR cannot be given in respect of an alleged offence (the</w:t>
      </w:r>
      <w:r>
        <w:rPr>
          <w:b/>
        </w:rPr>
        <w:t xml:space="preserve"> </w:t>
      </w:r>
      <w:r>
        <w:rPr>
          <w:rStyle w:val="CharDefText"/>
        </w:rPr>
        <w:t>new offence</w:t>
      </w:r>
      <w:r>
        <w:t xml:space="preserve">) if the alleged offender — </w:t>
      </w:r>
    </w:p>
    <w:p>
      <w:pPr>
        <w:pStyle w:val="nzIndenta"/>
      </w:pPr>
      <w:r>
        <w:tab/>
        <w:t>(a)</w:t>
      </w:r>
      <w:r>
        <w:tab/>
        <w:t>had been convicted of, or given an AIR in respect of, 2 or more minor alcohol related offences before the new offence was allegedly committed; and</w:t>
      </w:r>
    </w:p>
    <w:p>
      <w:pPr>
        <w:pStyle w:val="nzIndenta"/>
      </w:pPr>
      <w:r>
        <w:tab/>
        <w:t>(b)</w:t>
      </w:r>
      <w:r>
        <w:tab/>
        <w:t>at least 2 of those offences arose, or are alleged to have arisen, out of separate incidents.</w:t>
      </w:r>
    </w:p>
    <w:p>
      <w:pPr>
        <w:pStyle w:val="nzSubsection"/>
        <w:keepNext/>
      </w:pPr>
      <w:r>
        <w:tab/>
        <w:t>(2)</w:t>
      </w:r>
      <w:r>
        <w:tab/>
        <w:t xml:space="preserve">A police officer who gives an alleged offender an AIR is to ensure that a responsible adult is given a copy of the AIR as soon as is reasonably practicable after the AIR is given to the alleged offender, unless — </w:t>
      </w:r>
    </w:p>
    <w:p>
      <w:pPr>
        <w:pStyle w:val="nzIndenta"/>
      </w:pPr>
      <w:r>
        <w:tab/>
        <w:t>(a)</w:t>
      </w:r>
      <w:r>
        <w:tab/>
        <w:t>after reasonable enquiry, neither the whereabouts nor the address of a responsible adult can be ascertained; or</w:t>
      </w:r>
    </w:p>
    <w:p>
      <w:pPr>
        <w:pStyle w:val="nzIndenta"/>
      </w:pPr>
      <w:r>
        <w:tab/>
        <w:t>(b)</w:t>
      </w:r>
      <w:r>
        <w:tab/>
        <w:t>in the circumstances it would be inappropriate to give a responsible adult a copy of the AIR.</w:t>
      </w:r>
    </w:p>
    <w:p>
      <w:pPr>
        <w:pStyle w:val="nzSubsection"/>
      </w:pPr>
      <w:r>
        <w:tab/>
        <w:t>(3)</w:t>
      </w:r>
      <w:r>
        <w:tab/>
        <w:t>An alleged offender who has been given 2 AIRs need only complete a single AIS in respect of the AIRs if both AIRs were given before the completion of the AIS.</w:t>
      </w:r>
    </w:p>
    <w:p>
      <w:pPr>
        <w:pStyle w:val="nzHeading5"/>
      </w:pPr>
      <w:r>
        <w:t>172H.</w:t>
      </w:r>
      <w:r>
        <w:tab/>
        <w:t>Referral of young persons at risk to juvenile justice teams</w:t>
      </w:r>
    </w:p>
    <w:p>
      <w:pPr>
        <w:pStyle w:val="nzSubsection"/>
      </w:pPr>
      <w:r>
        <w:tab/>
        <w:t>(1)</w:t>
      </w:r>
      <w:r>
        <w:tab/>
        <w:t xml:space="preserve">In this section — </w:t>
      </w:r>
    </w:p>
    <w:p>
      <w:pPr>
        <w:pStyle w:val="nzDefstart"/>
      </w:pPr>
      <w:r>
        <w:tab/>
      </w:r>
      <w:r>
        <w:rPr>
          <w:rStyle w:val="CharDefText"/>
        </w:rPr>
        <w:t>young person at risk</w:t>
      </w:r>
      <w:r>
        <w:t xml:space="preserve"> means an alleged offender — </w:t>
      </w:r>
    </w:p>
    <w:p>
      <w:pPr>
        <w:pStyle w:val="nzDefpara"/>
      </w:pPr>
      <w:r>
        <w:tab/>
        <w:t>(a)</w:t>
      </w:r>
      <w:r>
        <w:tab/>
        <w:t>to whom the police officer would have given an AIR, but for section 172G(1); or</w:t>
      </w:r>
    </w:p>
    <w:p>
      <w:pPr>
        <w:pStyle w:val="nzDefpara"/>
      </w:pPr>
      <w:r>
        <w:tab/>
        <w:t>(b)</w:t>
      </w:r>
      <w:r>
        <w:tab/>
        <w:t xml:space="preserve">who has been given an AIR and has not completed an AIS within 28 days or any further time allowed under section 172L, unless — </w:t>
      </w:r>
    </w:p>
    <w:p>
      <w:pPr>
        <w:pStyle w:val="nzDefsubpara"/>
      </w:pPr>
      <w:r>
        <w:tab/>
        <w:t>(i)</w:t>
      </w:r>
      <w:r>
        <w:tab/>
        <w:t>the AIR has been withdrawn under section 172I; or</w:t>
      </w:r>
    </w:p>
    <w:p>
      <w:pPr>
        <w:pStyle w:val="nzDefsubpara"/>
      </w:pPr>
      <w:r>
        <w:tab/>
        <w:t>(ii)</w:t>
      </w:r>
      <w:r>
        <w:tab/>
        <w:t>the alleged offender has elected to be prosecuted for the alleged offence in a court.</w:t>
      </w:r>
    </w:p>
    <w:p>
      <w:pPr>
        <w:pStyle w:val="nzSubsection"/>
      </w:pPr>
      <w:r>
        <w:tab/>
        <w:t>(2)</w:t>
      </w:r>
      <w:r>
        <w:tab/>
        <w:t xml:space="preserve">A police officer may refer a young person at risk to a juvenile justice team where appropriate under the </w:t>
      </w:r>
      <w:r>
        <w:rPr>
          <w:i/>
        </w:rPr>
        <w:t>Young Offenders Act 1994</w:t>
      </w:r>
      <w:r>
        <w:t xml:space="preserve"> in preference to charging the young person under this Act.</w:t>
      </w:r>
    </w:p>
    <w:p>
      <w:pPr>
        <w:pStyle w:val="nzHeading5"/>
      </w:pPr>
      <w:r>
        <w:t>172I.</w:t>
      </w:r>
      <w:r>
        <w:tab/>
        <w:t>Withdrawal of AIR</w:t>
      </w:r>
    </w:p>
    <w:p>
      <w:pPr>
        <w:pStyle w:val="nzSubsection"/>
      </w:pPr>
      <w:r>
        <w:tab/>
        <w:t>(1)</w:t>
      </w:r>
      <w:r>
        <w:tab/>
        <w:t>An AI authorised person may withdraw an AIR by sending to the alleged offender a notice in a form prescribed by the regulations stating that the AIR has been withdrawn.</w:t>
      </w:r>
    </w:p>
    <w:p>
      <w:pPr>
        <w:pStyle w:val="nzSubsection"/>
      </w:pPr>
      <w:r>
        <w:tab/>
        <w:t>(2)</w:t>
      </w:r>
      <w:r>
        <w:tab/>
        <w:t>An AIR cannot be withdrawn if the alleged offender has completed an AIS in relation to the AIR.</w:t>
      </w:r>
    </w:p>
    <w:p>
      <w:pPr>
        <w:pStyle w:val="nzSubsection"/>
      </w:pPr>
      <w:r>
        <w:tab/>
        <w:t>(3)</w:t>
      </w:r>
      <w:r>
        <w:tab/>
        <w:t>An AIR that is withdrawn is taken not to have been given to an alleged offender for the purposes of section 172G(1).</w:t>
      </w:r>
    </w:p>
    <w:p>
      <w:pPr>
        <w:pStyle w:val="nzHeading3"/>
      </w:pPr>
      <w:r>
        <w:t>Division 3 — Alcohol intervention sessions</w:t>
      </w:r>
    </w:p>
    <w:p>
      <w:pPr>
        <w:pStyle w:val="nzHeading5"/>
      </w:pPr>
      <w:r>
        <w:t>172J.</w:t>
      </w:r>
      <w:r>
        <w:tab/>
        <w:t>Alcohol intervention session</w:t>
      </w:r>
    </w:p>
    <w:p>
      <w:pPr>
        <w:pStyle w:val="nzSubsection"/>
      </w:pPr>
      <w:r>
        <w:tab/>
        <w:t>(1)</w:t>
      </w:r>
      <w:r>
        <w:tab/>
        <w:t xml:space="preserve">The purpose of an alcohol intervention session is to inform those who complete it about — </w:t>
      </w:r>
    </w:p>
    <w:p>
      <w:pPr>
        <w:pStyle w:val="nzIndenta"/>
      </w:pPr>
      <w:r>
        <w:tab/>
        <w:t>(a)</w:t>
      </w:r>
      <w:r>
        <w:tab/>
        <w:t>the adverse health and social consequences of alcohol use; and</w:t>
      </w:r>
    </w:p>
    <w:p>
      <w:pPr>
        <w:pStyle w:val="nzIndenta"/>
      </w:pPr>
      <w:r>
        <w:tab/>
        <w:t>(b)</w:t>
      </w:r>
      <w:r>
        <w:tab/>
        <w:t>the laws relating to the possession of alcohol; and</w:t>
      </w:r>
    </w:p>
    <w:p>
      <w:pPr>
        <w:pStyle w:val="nzIndenta"/>
      </w:pPr>
      <w:r>
        <w:tab/>
        <w:t>(c)</w:t>
      </w:r>
      <w:r>
        <w:tab/>
        <w:t>effective strategies to address alcohol using behaviour.</w:t>
      </w:r>
    </w:p>
    <w:p>
      <w:pPr>
        <w:pStyle w:val="nzSubsection"/>
      </w:pPr>
      <w:r>
        <w:tab/>
        <w:t>(2)</w:t>
      </w:r>
      <w:r>
        <w:tab/>
        <w:t>The CEO (Health) may, in writing, do any of the following —</w:t>
      </w:r>
    </w:p>
    <w:p>
      <w:pPr>
        <w:pStyle w:val="nzIndenta"/>
      </w:pPr>
      <w:r>
        <w:tab/>
        <w:t>(a)</w:t>
      </w:r>
      <w:r>
        <w:tab/>
        <w:t>having regard to subsection (1), approve the content of an alcohol intervention session;</w:t>
      </w:r>
    </w:p>
    <w:p>
      <w:pPr>
        <w:pStyle w:val="nzIndenta"/>
      </w:pPr>
      <w:r>
        <w:tab/>
        <w:t>(b)</w:t>
      </w:r>
      <w:r>
        <w:tab/>
        <w:t>approve treatment providers to provide alcohol intervention sessions;</w:t>
      </w:r>
    </w:p>
    <w:p>
      <w:pPr>
        <w:pStyle w:val="nzIndenta"/>
      </w:pPr>
      <w:r>
        <w:tab/>
        <w:t>(c)</w:t>
      </w:r>
      <w:r>
        <w:tab/>
        <w:t>give an approval under paragraph (b) subject to conditions to be obeyed by the treatment provider approved;</w:t>
      </w:r>
    </w:p>
    <w:p>
      <w:pPr>
        <w:pStyle w:val="nzIndenta"/>
      </w:pPr>
      <w:r>
        <w:tab/>
        <w:t>(d)</w:t>
      </w:r>
      <w:r>
        <w:tab/>
        <w:t>cancel or amend an approval given under paragraph (a) or (b).</w:t>
      </w:r>
    </w:p>
    <w:p>
      <w:pPr>
        <w:pStyle w:val="nzSubsection"/>
      </w:pPr>
      <w:r>
        <w:tab/>
        <w:t>(3)</w:t>
      </w:r>
      <w:r>
        <w:tab/>
        <w:t xml:space="preserve">For the purposes of this section, this Act is to be taken to be a relevant Act as referred to in the </w:t>
      </w:r>
      <w:r>
        <w:rPr>
          <w:i/>
        </w:rPr>
        <w:t>Health Legislation Administration Act 1984</w:t>
      </w:r>
      <w:r>
        <w:t xml:space="preserve"> section 9.</w:t>
      </w:r>
    </w:p>
    <w:p>
      <w:pPr>
        <w:pStyle w:val="nzHeading5"/>
      </w:pPr>
      <w:r>
        <w:t>172K.</w:t>
      </w:r>
      <w:r>
        <w:tab/>
        <w:t>Benefit of completing AIS</w:t>
      </w:r>
    </w:p>
    <w:p>
      <w:pPr>
        <w:pStyle w:val="nzSubsection"/>
      </w:pPr>
      <w:r>
        <w:tab/>
        <w:t>(1)</w:t>
      </w:r>
      <w:r>
        <w:tab/>
        <w:t>If the alleged offender has completed an AIS in respect of an AIR within 28 days or such further time as is allowed under section 172L, the bringing of proceedings and the imposition of penalties are prevented to the same extent that they would be prevented if the alleged offender had been convicted by a court of, and punished for, the alleged offence.</w:t>
      </w:r>
    </w:p>
    <w:p>
      <w:pPr>
        <w:pStyle w:val="nzSubsection"/>
      </w:pPr>
      <w:r>
        <w:tab/>
        <w:t>(2)</w:t>
      </w:r>
      <w:r>
        <w:tab/>
        <w:t>Completion of an AIS is not to be regarded as an admission for the purposes of any proceedings, whether civil or criminal.</w:t>
      </w:r>
    </w:p>
    <w:p>
      <w:pPr>
        <w:pStyle w:val="nzHeading5"/>
      </w:pPr>
      <w:r>
        <w:t>172L.</w:t>
      </w:r>
      <w:r>
        <w:tab/>
        <w:t>Extension of time to complete AIS</w:t>
      </w:r>
    </w:p>
    <w:p>
      <w:pPr>
        <w:pStyle w:val="nzSubsection"/>
      </w:pPr>
      <w:r>
        <w:tab/>
        <w:t>(1)</w:t>
      </w:r>
      <w:r>
        <w:tab/>
        <w:t>An AI authorised person may, in a particular case, extend the period of 28 days within which the alleged offender may complete an AIS.</w:t>
      </w:r>
    </w:p>
    <w:p>
      <w:pPr>
        <w:pStyle w:val="nzSubsection"/>
      </w:pPr>
      <w:r>
        <w:tab/>
        <w:t>(2)</w:t>
      </w:r>
      <w:r>
        <w:tab/>
        <w:t>The extension may be allowed whether or not the period of 28 days has elapsed.</w:t>
      </w:r>
    </w:p>
    <w:p>
      <w:pPr>
        <w:pStyle w:val="nzHeading5"/>
      </w:pPr>
      <w:r>
        <w:t>172M.</w:t>
      </w:r>
      <w:r>
        <w:tab/>
        <w:t>Certificate of completion of AIS</w:t>
      </w:r>
    </w:p>
    <w:p>
      <w:pPr>
        <w:pStyle w:val="nzSubsection"/>
      </w:pPr>
      <w:r>
        <w:tab/>
        <w:t>(1)</w:t>
      </w:r>
      <w:r>
        <w:tab/>
        <w:t>A treatment provider approved to provide an AIS under section 172J(2)(b) is to —</w:t>
      </w:r>
    </w:p>
    <w:p>
      <w:pPr>
        <w:pStyle w:val="nzIndenta"/>
      </w:pPr>
      <w:r>
        <w:tab/>
        <w:t>(a)</w:t>
      </w:r>
      <w:r>
        <w:tab/>
        <w:t>give to a person who has completed an AIS a certificate of completion; and</w:t>
      </w:r>
    </w:p>
    <w:p>
      <w:pPr>
        <w:pStyle w:val="nzIndenta"/>
      </w:pPr>
      <w:r>
        <w:tab/>
        <w:t>(b)</w:t>
      </w:r>
      <w:r>
        <w:tab/>
        <w:t>send a copy of the certificate to the Commissioner of Police.</w:t>
      </w:r>
    </w:p>
    <w:p>
      <w:pPr>
        <w:pStyle w:val="nzSubsection"/>
      </w:pPr>
      <w:r>
        <w:tab/>
        <w:t>(2)</w:t>
      </w:r>
      <w:r>
        <w:tab/>
        <w:t>A certificate of completion is to be in a form prescribed by the regulations and is to set out —</w:t>
      </w:r>
    </w:p>
    <w:p>
      <w:pPr>
        <w:pStyle w:val="nzIndenta"/>
      </w:pPr>
      <w:r>
        <w:tab/>
        <w:t>(a)</w:t>
      </w:r>
      <w:r>
        <w:tab/>
        <w:t>the name and address of the person who has completed the AIS; and</w:t>
      </w:r>
    </w:p>
    <w:p>
      <w:pPr>
        <w:pStyle w:val="nzIndenta"/>
      </w:pPr>
      <w:r>
        <w:tab/>
        <w:t>(b)</w:t>
      </w:r>
      <w:r>
        <w:tab/>
        <w:t>the date of completion; and</w:t>
      </w:r>
    </w:p>
    <w:p>
      <w:pPr>
        <w:pStyle w:val="nzIndenta"/>
        <w:keepNext/>
      </w:pPr>
      <w:r>
        <w:tab/>
        <w:t>(c)</w:t>
      </w:r>
      <w:r>
        <w:tab/>
        <w:t>the details of the AIR in respect of which the AIS was completed.</w:t>
      </w:r>
    </w:p>
    <w:p>
      <w:pPr>
        <w:pStyle w:val="BlankClose"/>
      </w:pPr>
    </w:p>
    <w:p>
      <w:pPr>
        <w:pStyle w:val="nSubsection"/>
        <w:rPr>
          <w:snapToGrid w:val="0"/>
        </w:rPr>
      </w:pPr>
      <w:r>
        <w:rPr>
          <w:snapToGrid w:val="0"/>
          <w:vertAlign w:val="superscript"/>
        </w:rPr>
        <w:t>14</w:t>
      </w:r>
      <w:r>
        <w:rPr>
          <w:snapToGrid w:val="0"/>
        </w:rPr>
        <w:tab/>
        <w:t xml:space="preserve">On the date as at which this compilation was prepared, the </w:t>
      </w:r>
      <w:r>
        <w:rPr>
          <w:i/>
        </w:rPr>
        <w:t>Public Health (Consequential Provisions) Act 2016</w:t>
      </w:r>
      <w:r>
        <w:t xml:space="preserve"> Pt. 5 Div. 12 </w:t>
      </w:r>
      <w:r>
        <w:rPr>
          <w:snapToGrid w:val="0"/>
        </w:rPr>
        <w:t>had not come into operation.  It reads as follows:</w:t>
      </w:r>
    </w:p>
    <w:p>
      <w:pPr>
        <w:pStyle w:val="BlankOpen"/>
        <w:rPr>
          <w:snapToGrid w:val="0"/>
        </w:rPr>
      </w:pPr>
    </w:p>
    <w:p>
      <w:pPr>
        <w:pStyle w:val="nzHeading2"/>
      </w:pPr>
      <w:r>
        <w:rPr>
          <w:rStyle w:val="CharPartNo"/>
        </w:rPr>
        <w:t>Part 5</w:t>
      </w:r>
      <w:r>
        <w:t> — </w:t>
      </w:r>
      <w:r>
        <w:rPr>
          <w:rStyle w:val="CharPartText"/>
        </w:rPr>
        <w:t>Other Acts amended</w:t>
      </w:r>
    </w:p>
    <w:p>
      <w:pPr>
        <w:pStyle w:val="nzHeading3"/>
      </w:pPr>
      <w:r>
        <w:rPr>
          <w:rStyle w:val="CharDivNo"/>
        </w:rPr>
        <w:t>Division 12</w:t>
      </w:r>
      <w:r>
        <w:t> — </w:t>
      </w:r>
      <w:r>
        <w:rPr>
          <w:rStyle w:val="CharDivText"/>
          <w:i/>
        </w:rPr>
        <w:t>Liquor Control Act 1988</w:t>
      </w:r>
      <w:r>
        <w:rPr>
          <w:rStyle w:val="CharDivText"/>
        </w:rPr>
        <w:t xml:space="preserve"> amended</w:t>
      </w:r>
    </w:p>
    <w:p>
      <w:pPr>
        <w:pStyle w:val="nzHeading5"/>
      </w:pPr>
      <w:r>
        <w:rPr>
          <w:rStyle w:val="CharSectno"/>
        </w:rPr>
        <w:t>300</w:t>
      </w:r>
      <w:r>
        <w:t>.</w:t>
      </w:r>
      <w:r>
        <w:tab/>
        <w:t xml:space="preserve">Act </w:t>
      </w:r>
      <w:r>
        <w:rPr>
          <w:iCs/>
        </w:rPr>
        <w:t>amended</w:t>
      </w:r>
    </w:p>
    <w:p>
      <w:pPr>
        <w:pStyle w:val="nzSubsection"/>
      </w:pPr>
      <w:r>
        <w:tab/>
      </w:r>
      <w:r>
        <w:tab/>
        <w:t xml:space="preserve">This Division amends the </w:t>
      </w:r>
      <w:r>
        <w:rPr>
          <w:i/>
        </w:rPr>
        <w:t>Liquor Control Act 1988</w:t>
      </w:r>
      <w:r>
        <w:t>.</w:t>
      </w:r>
    </w:p>
    <w:p>
      <w:pPr>
        <w:pStyle w:val="nzHeading5"/>
      </w:pPr>
      <w:r>
        <w:rPr>
          <w:rStyle w:val="CharSectno"/>
        </w:rPr>
        <w:t>301</w:t>
      </w:r>
      <w:r>
        <w:t>.</w:t>
      </w:r>
      <w:r>
        <w:tab/>
        <w:t>Section 39 amended</w:t>
      </w:r>
    </w:p>
    <w:p>
      <w:pPr>
        <w:pStyle w:val="nzSubsection"/>
      </w:pPr>
      <w:r>
        <w:tab/>
      </w:r>
      <w:r>
        <w:tab/>
        <w:t>In section 39(2)(a)(i) delete “</w:t>
      </w:r>
      <w:r>
        <w:rPr>
          <w:i/>
          <w:iCs/>
        </w:rPr>
        <w:t>Health (Miscellaneous Provisions) Act 1911</w:t>
      </w:r>
      <w:r>
        <w:t>; and” and insert:</w:t>
      </w:r>
    </w:p>
    <w:p>
      <w:pPr>
        <w:pStyle w:val="BlankOpen"/>
      </w:pPr>
    </w:p>
    <w:p>
      <w:pPr>
        <w:pStyle w:val="nzSubsection"/>
      </w:pPr>
      <w:r>
        <w:tab/>
      </w:r>
      <w:r>
        <w:tab/>
      </w:r>
      <w:r>
        <w:rPr>
          <w:i/>
          <w:iCs/>
        </w:rPr>
        <w:t>Public Health Act 2016</w:t>
      </w:r>
      <w:r>
        <w:t>; and</w:t>
      </w:r>
    </w:p>
    <w:p>
      <w:pPr>
        <w:pStyle w:val="BlankClose"/>
      </w:pPr>
    </w:p>
    <w:p>
      <w:pPr>
        <w:pStyle w:val="nzHeading5"/>
      </w:pPr>
      <w:r>
        <w:rPr>
          <w:rStyle w:val="CharSectno"/>
        </w:rPr>
        <w:t>302</w:t>
      </w:r>
      <w:r>
        <w:t>.</w:t>
      </w:r>
      <w:r>
        <w:tab/>
        <w:t>Section 69 amended</w:t>
      </w:r>
    </w:p>
    <w:p>
      <w:pPr>
        <w:pStyle w:val="nzSubsection"/>
      </w:pPr>
      <w:r>
        <w:tab/>
        <w:t>(1)</w:t>
      </w:r>
      <w:r>
        <w:tab/>
        <w:t>In section 69(8)(a) delete “</w:t>
      </w:r>
      <w:r>
        <w:rPr>
          <w:i/>
        </w:rPr>
        <w:t>Health (Miscellaneous Provisions) Act 1911</w:t>
      </w:r>
      <w:r>
        <w:t>; or” and insert:</w:t>
      </w:r>
    </w:p>
    <w:p>
      <w:pPr>
        <w:pStyle w:val="BlankOpen"/>
      </w:pPr>
    </w:p>
    <w:p>
      <w:pPr>
        <w:pStyle w:val="nzSubsection"/>
      </w:pPr>
      <w:r>
        <w:tab/>
      </w:r>
      <w:r>
        <w:tab/>
      </w:r>
      <w:r>
        <w:rPr>
          <w:i/>
          <w:iCs/>
        </w:rPr>
        <w:t>Public Health Act 2016</w:t>
      </w:r>
      <w:r>
        <w:t>; or</w:t>
      </w:r>
    </w:p>
    <w:p>
      <w:pPr>
        <w:pStyle w:val="BlankClose"/>
      </w:pPr>
    </w:p>
    <w:p>
      <w:pPr>
        <w:pStyle w:val="nzSubsection"/>
      </w:pPr>
      <w:r>
        <w:tab/>
        <w:t>(2)</w:t>
      </w:r>
      <w:r>
        <w:tab/>
        <w:t>In section 69(9A)(b) delete “</w:t>
      </w:r>
      <w:r>
        <w:rPr>
          <w:i/>
        </w:rPr>
        <w:t>Health (Miscellaneous Provisions) Act 1911</w:t>
      </w:r>
      <w:r>
        <w:t>.” and insert:</w:t>
      </w:r>
    </w:p>
    <w:p>
      <w:pPr>
        <w:pStyle w:val="BlankOpen"/>
      </w:pPr>
    </w:p>
    <w:p>
      <w:pPr>
        <w:pStyle w:val="nzSubsection"/>
      </w:pPr>
      <w:r>
        <w:tab/>
      </w:r>
      <w:r>
        <w:tab/>
      </w:r>
      <w:r>
        <w:rPr>
          <w:i/>
        </w:rPr>
        <w:t>Public Health Act 2016</w:t>
      </w:r>
      <w:r>
        <w:t>.</w:t>
      </w:r>
    </w:p>
    <w:p>
      <w:pPr>
        <w:pStyle w:val="BlankClose"/>
      </w:pPr>
    </w:p>
    <w:p>
      <w:pPr>
        <w:pStyle w:val="nzHeading5"/>
      </w:pPr>
      <w:r>
        <w:rPr>
          <w:rStyle w:val="CharSectno"/>
        </w:rPr>
        <w:t>303</w:t>
      </w:r>
      <w:r>
        <w:t>.</w:t>
      </w:r>
      <w:r>
        <w:tab/>
        <w:t>Section 95 amended</w:t>
      </w:r>
    </w:p>
    <w:p>
      <w:pPr>
        <w:pStyle w:val="nzSubsection"/>
      </w:pPr>
      <w:r>
        <w:tab/>
      </w:r>
      <w:r>
        <w:tab/>
        <w:t>In section 95(4)(f)(iii) after “</w:t>
      </w:r>
      <w:r>
        <w:rPr>
          <w:i/>
          <w:iCs/>
        </w:rPr>
        <w:t>Health (Miscellaneous Provisions) Act 1911</w:t>
      </w:r>
      <w:r>
        <w:t>” insert:</w:t>
      </w:r>
    </w:p>
    <w:p>
      <w:pPr>
        <w:pStyle w:val="BlankOpen"/>
      </w:pPr>
    </w:p>
    <w:p>
      <w:pPr>
        <w:pStyle w:val="nzSubsection"/>
      </w:pPr>
      <w:r>
        <w:tab/>
      </w:r>
      <w:r>
        <w:tab/>
        <w:t xml:space="preserve">or the </w:t>
      </w:r>
      <w:r>
        <w:rPr>
          <w:i/>
          <w:iCs/>
        </w:rPr>
        <w:t>Public Health Act 2016</w:t>
      </w:r>
    </w:p>
    <w:p>
      <w:pPr>
        <w:pStyle w:val="BlankClose"/>
      </w:pPr>
    </w:p>
    <w:p>
      <w:pPr>
        <w:pStyle w:val="nSubsection"/>
        <w:rPr>
          <w:snapToGrid w:val="0"/>
        </w:rPr>
      </w:pPr>
      <w:r>
        <w:rPr>
          <w:snapToGrid w:val="0"/>
          <w:vertAlign w:val="superscript"/>
        </w:rPr>
        <w:t>15</w:t>
      </w:r>
      <w:r>
        <w:rPr>
          <w:snapToGrid w:val="0"/>
        </w:rPr>
        <w:tab/>
        <w:t xml:space="preserve">On the date as at which this compilation was prepared, the </w:t>
      </w:r>
      <w:r>
        <w:rPr>
          <w:i/>
        </w:rPr>
        <w:t>Liquor Control Amendment Act 2018</w:t>
      </w:r>
      <w:r>
        <w:t xml:space="preserve"> s. 5, 8, 10, 12, 17, 18, 20</w:t>
      </w:r>
      <w:r>
        <w:noBreakHyphen/>
        <w:t xml:space="preserve">22, 25, 26, 32, 35, 36, 38, 39, 45, 46, 53, 56, 60, 62 and 63 </w:t>
      </w:r>
      <w:r>
        <w:rPr>
          <w:snapToGrid w:val="0"/>
        </w:rPr>
        <w:t>had not come into operation.  They read as follows:</w:t>
      </w:r>
    </w:p>
    <w:p>
      <w:pPr>
        <w:pStyle w:val="BlankOpen"/>
      </w:pPr>
    </w:p>
    <w:p>
      <w:pPr>
        <w:pStyle w:val="nzHeading5"/>
      </w:pPr>
      <w:bookmarkStart w:id="665" w:name="_Toc518626495"/>
      <w:bookmarkStart w:id="666" w:name="_Toc519495306"/>
      <w:r>
        <w:rPr>
          <w:rStyle w:val="CharSectno"/>
        </w:rPr>
        <w:t>5</w:t>
      </w:r>
      <w:r>
        <w:t>.</w:t>
      </w:r>
      <w:r>
        <w:tab/>
        <w:t>Section 4 amended</w:t>
      </w:r>
      <w:bookmarkEnd w:id="665"/>
      <w:bookmarkEnd w:id="666"/>
    </w:p>
    <w:p>
      <w:pPr>
        <w:pStyle w:val="nzSubsection"/>
      </w:pPr>
      <w:r>
        <w:tab/>
      </w:r>
      <w:r>
        <w:tab/>
        <w:t>In section 4(6) delete “licensee,” and insert:</w:t>
      </w:r>
    </w:p>
    <w:p>
      <w:pPr>
        <w:pStyle w:val="BlankOpen"/>
      </w:pPr>
    </w:p>
    <w:p>
      <w:pPr>
        <w:pStyle w:val="nzSubsection"/>
      </w:pPr>
      <w:r>
        <w:tab/>
      </w:r>
      <w:r>
        <w:tab/>
        <w:t>licensee of a producer’s licence, a wholesaler’s licence or a special facility licence of a prescribed type,</w:t>
      </w:r>
    </w:p>
    <w:p>
      <w:pPr>
        <w:pStyle w:val="BlankClose"/>
      </w:pPr>
    </w:p>
    <w:p>
      <w:pPr>
        <w:pStyle w:val="nzHeading5"/>
      </w:pPr>
      <w:bookmarkStart w:id="667" w:name="_Toc518626498"/>
      <w:bookmarkStart w:id="668" w:name="_Toc519495309"/>
      <w:r>
        <w:rPr>
          <w:rStyle w:val="CharSectno"/>
        </w:rPr>
        <w:t>8</w:t>
      </w:r>
      <w:r>
        <w:t>.</w:t>
      </w:r>
      <w:r>
        <w:tab/>
        <w:t>Section 16 amended</w:t>
      </w:r>
      <w:bookmarkEnd w:id="667"/>
      <w:bookmarkEnd w:id="668"/>
    </w:p>
    <w:p>
      <w:pPr>
        <w:pStyle w:val="nzSubsection"/>
      </w:pPr>
      <w:r>
        <w:tab/>
        <w:t>(1)</w:t>
      </w:r>
      <w:r>
        <w:tab/>
        <w:t>Delete section 16(8) and insert:</w:t>
      </w:r>
    </w:p>
    <w:p>
      <w:pPr>
        <w:pStyle w:val="BlankOpen"/>
        <w:widowControl w:val="0"/>
      </w:pPr>
    </w:p>
    <w:p>
      <w:pPr>
        <w:pStyle w:val="nzSubsection"/>
      </w:pPr>
      <w:r>
        <w:tab/>
        <w:t>(8)</w:t>
      </w:r>
      <w:r>
        <w:tab/>
        <w:t>The hearing of a proceeding before the Commission must be in public unless the Commission considers that, in the circumstances of the case, the hearing should be in private.</w:t>
      </w:r>
    </w:p>
    <w:p>
      <w:pPr>
        <w:pStyle w:val="BlankClose"/>
        <w:keepNext/>
        <w:widowControl w:val="0"/>
      </w:pPr>
    </w:p>
    <w:p>
      <w:pPr>
        <w:pStyle w:val="nzSubsection"/>
      </w:pPr>
      <w:r>
        <w:tab/>
        <w:t>(2)</w:t>
      </w:r>
      <w:r>
        <w:tab/>
        <w:t>In section 16(9) delete “Commission is in private, the Commission,” and insert:</w:t>
      </w:r>
    </w:p>
    <w:p>
      <w:pPr>
        <w:pStyle w:val="BlankOpen"/>
      </w:pPr>
    </w:p>
    <w:p>
      <w:pPr>
        <w:pStyle w:val="nzSubsection"/>
      </w:pPr>
      <w:r>
        <w:tab/>
      </w:r>
      <w:r>
        <w:tab/>
        <w:t>licensing authority, however constituted, is in private, the licensing authority,</w:t>
      </w:r>
    </w:p>
    <w:p>
      <w:pPr>
        <w:pStyle w:val="BlankClose"/>
      </w:pPr>
    </w:p>
    <w:p>
      <w:pPr>
        <w:pStyle w:val="nzSubsection"/>
      </w:pPr>
      <w:r>
        <w:tab/>
        <w:t>(3)</w:t>
      </w:r>
      <w:r>
        <w:tab/>
        <w:t>Delete section 16(11) and insert:</w:t>
      </w:r>
    </w:p>
    <w:p>
      <w:pPr>
        <w:pStyle w:val="BlankOpen"/>
      </w:pPr>
    </w:p>
    <w:p>
      <w:pPr>
        <w:pStyle w:val="nzSubsection"/>
      </w:pPr>
      <w:r>
        <w:tab/>
        <w:t>(11)</w:t>
      </w:r>
      <w:r>
        <w:tab/>
        <w:t xml:space="preserve">Subject to subsections (8) and (9) and section 30, the licensing authority must ensure that each party to proceedings is given a reasonable opportunity to — </w:t>
      </w:r>
    </w:p>
    <w:p>
      <w:pPr>
        <w:pStyle w:val="nzIndenta"/>
      </w:pPr>
      <w:r>
        <w:tab/>
        <w:t>(a)</w:t>
      </w:r>
      <w:r>
        <w:tab/>
        <w:t>present its case to the licensing authority; and</w:t>
      </w:r>
    </w:p>
    <w:p>
      <w:pPr>
        <w:pStyle w:val="nzIndenta"/>
      </w:pPr>
      <w:r>
        <w:tab/>
        <w:t>(b)</w:t>
      </w:r>
      <w:r>
        <w:tab/>
        <w:t xml:space="preserve">inspect any documents — </w:t>
      </w:r>
    </w:p>
    <w:p>
      <w:pPr>
        <w:pStyle w:val="nzIndenti"/>
      </w:pPr>
      <w:r>
        <w:tab/>
        <w:t>(i)</w:t>
      </w:r>
      <w:r>
        <w:tab/>
        <w:t>to which the licensing authority proposes to have regard in making a determination in the proceedings; and</w:t>
      </w:r>
    </w:p>
    <w:p>
      <w:pPr>
        <w:pStyle w:val="nzIndenti"/>
      </w:pPr>
      <w:r>
        <w:tab/>
        <w:t>(ii)</w:t>
      </w:r>
      <w:r>
        <w:tab/>
        <w:t>that are relevant to the party’s case;</w:t>
      </w:r>
    </w:p>
    <w:p>
      <w:pPr>
        <w:pStyle w:val="nzIndenta"/>
      </w:pPr>
      <w:r>
        <w:tab/>
      </w:r>
      <w:r>
        <w:tab/>
        <w:t>and</w:t>
      </w:r>
    </w:p>
    <w:p>
      <w:pPr>
        <w:pStyle w:val="nzIndenta"/>
      </w:pPr>
      <w:r>
        <w:tab/>
        <w:t>(c)</w:t>
      </w:r>
      <w:r>
        <w:tab/>
        <w:t>make submissions in relation to any documents inspected under paragraph (b).</w:t>
      </w:r>
    </w:p>
    <w:p>
      <w:pPr>
        <w:pStyle w:val="BlankClose"/>
      </w:pPr>
    </w:p>
    <w:p>
      <w:pPr>
        <w:pStyle w:val="nzHeading5"/>
      </w:pPr>
      <w:bookmarkStart w:id="669" w:name="_Toc518626501"/>
      <w:bookmarkStart w:id="670" w:name="_Toc519495312"/>
      <w:r>
        <w:rPr>
          <w:rStyle w:val="CharSectno"/>
        </w:rPr>
        <w:t>10</w:t>
      </w:r>
      <w:r>
        <w:t>.</w:t>
      </w:r>
      <w:r>
        <w:tab/>
        <w:t>Section 22 amended</w:t>
      </w:r>
      <w:bookmarkEnd w:id="669"/>
      <w:bookmarkEnd w:id="670"/>
    </w:p>
    <w:p>
      <w:pPr>
        <w:pStyle w:val="nzSubsection"/>
      </w:pPr>
      <w:r>
        <w:tab/>
      </w:r>
      <w:r>
        <w:tab/>
        <w:t>In section 22 delete “Commission,” and insert:</w:t>
      </w:r>
    </w:p>
    <w:p>
      <w:pPr>
        <w:pStyle w:val="BlankOpen"/>
      </w:pPr>
    </w:p>
    <w:p>
      <w:pPr>
        <w:pStyle w:val="nzSubsection"/>
      </w:pPr>
      <w:r>
        <w:tab/>
      </w:r>
      <w:r>
        <w:tab/>
        <w:t>Commission constituted by the chairperson and 2 other members,</w:t>
      </w:r>
    </w:p>
    <w:p>
      <w:pPr>
        <w:pStyle w:val="BlankClose"/>
      </w:pPr>
    </w:p>
    <w:p>
      <w:pPr>
        <w:pStyle w:val="nzHeading5"/>
      </w:pPr>
      <w:bookmarkStart w:id="671" w:name="_Toc518626503"/>
      <w:bookmarkStart w:id="672" w:name="_Toc519495314"/>
      <w:r>
        <w:rPr>
          <w:rStyle w:val="CharSectno"/>
        </w:rPr>
        <w:t>12</w:t>
      </w:r>
      <w:r>
        <w:t>.</w:t>
      </w:r>
      <w:r>
        <w:tab/>
        <w:t>Section 25A inserted</w:t>
      </w:r>
      <w:bookmarkEnd w:id="671"/>
      <w:bookmarkEnd w:id="672"/>
    </w:p>
    <w:p>
      <w:pPr>
        <w:pStyle w:val="nzSubsection"/>
      </w:pPr>
      <w:r>
        <w:tab/>
      </w:r>
      <w:r>
        <w:tab/>
        <w:t>After section 25 insert:</w:t>
      </w:r>
    </w:p>
    <w:p>
      <w:pPr>
        <w:pStyle w:val="BlankOpen"/>
      </w:pPr>
    </w:p>
    <w:p>
      <w:pPr>
        <w:pStyle w:val="nzHeading5"/>
      </w:pPr>
      <w:bookmarkStart w:id="673" w:name="_Toc518626504"/>
      <w:bookmarkStart w:id="674" w:name="_Toc519495315"/>
      <w:r>
        <w:t>25A.</w:t>
      </w:r>
      <w:r>
        <w:tab/>
        <w:t>Commission may refer application for review to State Administrative Tribunal</w:t>
      </w:r>
      <w:bookmarkEnd w:id="673"/>
      <w:bookmarkEnd w:id="674"/>
    </w:p>
    <w:p>
      <w:pPr>
        <w:pStyle w:val="nzSubsection"/>
      </w:pPr>
      <w:r>
        <w:tab/>
        <w:t>(1)</w:t>
      </w:r>
      <w:r>
        <w:tab/>
        <w:t xml:space="preserve">If an application is made to the Commission under section 25(1) for a review of a decision, the Commission may, instead of conducting the review, refer the application to the State Administrative Tribunal (the </w:t>
      </w:r>
      <w:r>
        <w:rPr>
          <w:rStyle w:val="CharDefText"/>
        </w:rPr>
        <w:t>Tribunal</w:t>
      </w:r>
      <w:r>
        <w:t>) for a review of the decision.</w:t>
      </w:r>
    </w:p>
    <w:p>
      <w:pPr>
        <w:pStyle w:val="nzSubsection"/>
      </w:pPr>
      <w:r>
        <w:tab/>
        <w:t>(2)</w:t>
      </w:r>
      <w:r>
        <w:tab/>
        <w:t>An application cannot be referred under subsection (1) unless the President of the Tribunal agrees to the referral.</w:t>
      </w:r>
    </w:p>
    <w:p>
      <w:pPr>
        <w:pStyle w:val="nzSubsection"/>
      </w:pPr>
      <w:r>
        <w:tab/>
        <w:t>(3)</w:t>
      </w:r>
      <w:r>
        <w:tab/>
        <w:t xml:space="preserve">If an application is referred under subsection (1), the person who made the application is to be regarded as the applicant for the purposes of the exercise of the Tribunal’s review jurisdiction under the </w:t>
      </w:r>
      <w:r>
        <w:rPr>
          <w:i/>
        </w:rPr>
        <w:t>State Administrative Tribunal Act 2004</w:t>
      </w:r>
      <w:r>
        <w:t>.</w:t>
      </w:r>
    </w:p>
    <w:p>
      <w:pPr>
        <w:pStyle w:val="nzSubsection"/>
      </w:pPr>
      <w:r>
        <w:tab/>
        <w:t>(4)</w:t>
      </w:r>
      <w:r>
        <w:tab/>
        <w:t>When conducting a review under this section, the Tribunal may have regard only to the material that was before the Director when making the decision.</w:t>
      </w:r>
    </w:p>
    <w:p>
      <w:pPr>
        <w:pStyle w:val="nzSubsection"/>
      </w:pPr>
      <w:r>
        <w:tab/>
        <w:t>(5)</w:t>
      </w:r>
      <w:r>
        <w:tab/>
        <w:t>When conducting a review under this section involving a question of law or giving directions as to any question of law reviewed, the Tribunal is to be constituted by, or is to include, a lawyer.</w:t>
      </w:r>
    </w:p>
    <w:p>
      <w:pPr>
        <w:pStyle w:val="nzSubsection"/>
      </w:pPr>
      <w:r>
        <w:tab/>
        <w:t>(6)</w:t>
      </w:r>
      <w:r>
        <w:tab/>
        <w:t>Section 25(3) applies to a review under this section as if it were a review under section 25.</w:t>
      </w:r>
    </w:p>
    <w:p>
      <w:pPr>
        <w:pStyle w:val="nzSubsection"/>
      </w:pPr>
      <w:r>
        <w:tab/>
        <w:t>(7)</w:t>
      </w:r>
      <w:r>
        <w:tab/>
        <w:t>On a review under this section, the Tribunal has the powers conferred on the Commission under section 25(4).</w:t>
      </w:r>
    </w:p>
    <w:p>
      <w:pPr>
        <w:pStyle w:val="BlankClose"/>
      </w:pPr>
    </w:p>
    <w:p>
      <w:pPr>
        <w:pStyle w:val="nzHeading5"/>
      </w:pPr>
      <w:bookmarkStart w:id="675" w:name="_Toc518626509"/>
      <w:bookmarkStart w:id="676" w:name="_Toc519495320"/>
      <w:r>
        <w:rPr>
          <w:rStyle w:val="CharSectno"/>
        </w:rPr>
        <w:t>17</w:t>
      </w:r>
      <w:r>
        <w:t>.</w:t>
      </w:r>
      <w:r>
        <w:tab/>
        <w:t>Section 36A amended</w:t>
      </w:r>
      <w:bookmarkEnd w:id="675"/>
      <w:bookmarkEnd w:id="676"/>
    </w:p>
    <w:p>
      <w:pPr>
        <w:pStyle w:val="nzSubsection"/>
      </w:pPr>
      <w:r>
        <w:tab/>
      </w:r>
      <w:r>
        <w:tab/>
        <w:t>In section 36A(2) delete “shall not approve” and insert:</w:t>
      </w:r>
    </w:p>
    <w:p>
      <w:pPr>
        <w:pStyle w:val="BlankOpen"/>
      </w:pPr>
    </w:p>
    <w:p>
      <w:pPr>
        <w:pStyle w:val="nzSubsection"/>
      </w:pPr>
      <w:r>
        <w:tab/>
      </w:r>
      <w:r>
        <w:tab/>
        <w:t xml:space="preserve">must not grant an application for </w:t>
      </w:r>
    </w:p>
    <w:p>
      <w:pPr>
        <w:pStyle w:val="BlankClose"/>
      </w:pPr>
    </w:p>
    <w:p>
      <w:pPr>
        <w:pStyle w:val="nzHeading5"/>
      </w:pPr>
      <w:bookmarkStart w:id="677" w:name="_Toc518626510"/>
      <w:bookmarkStart w:id="678" w:name="_Toc519495321"/>
      <w:r>
        <w:rPr>
          <w:rStyle w:val="CharSectno"/>
        </w:rPr>
        <w:t>18</w:t>
      </w:r>
      <w:r>
        <w:t>.</w:t>
      </w:r>
      <w:r>
        <w:tab/>
        <w:t>Section 36B inserted</w:t>
      </w:r>
      <w:bookmarkEnd w:id="677"/>
      <w:bookmarkEnd w:id="678"/>
    </w:p>
    <w:p>
      <w:pPr>
        <w:pStyle w:val="nzSubsection"/>
      </w:pPr>
      <w:r>
        <w:tab/>
      </w:r>
      <w:r>
        <w:tab/>
        <w:t>After section 36A insert:</w:t>
      </w:r>
    </w:p>
    <w:p>
      <w:pPr>
        <w:pStyle w:val="BlankOpen"/>
      </w:pPr>
    </w:p>
    <w:p>
      <w:pPr>
        <w:pStyle w:val="nzHeading5"/>
      </w:pPr>
      <w:bookmarkStart w:id="679" w:name="_Toc518626511"/>
      <w:bookmarkStart w:id="680" w:name="_Toc519495322"/>
      <w:r>
        <w:t>36B.</w:t>
      </w:r>
      <w:r>
        <w:tab/>
        <w:t>Restrictions on grant or removal of certain licences authorising sale of packaged liquor</w:t>
      </w:r>
      <w:bookmarkEnd w:id="679"/>
      <w:bookmarkEnd w:id="680"/>
    </w:p>
    <w:p>
      <w:pPr>
        <w:pStyle w:val="nzSubsection"/>
      </w:pPr>
      <w:r>
        <w:tab/>
        <w:t>(1)</w:t>
      </w:r>
      <w:r>
        <w:tab/>
        <w:t xml:space="preserve">In this section — </w:t>
      </w:r>
    </w:p>
    <w:p>
      <w:pPr>
        <w:pStyle w:val="nzDefstart"/>
      </w:pPr>
      <w:r>
        <w:tab/>
      </w:r>
      <w:r>
        <w:rPr>
          <w:rStyle w:val="CharDefText"/>
        </w:rPr>
        <w:t>local packaged liquor requirements</w:t>
      </w:r>
      <w:r>
        <w:t>, in relation to an application to which this section applies, means the requirements of consumers for packaged liquor in the locality in which the proposed licensed premises are, or are to be, situated;</w:t>
      </w:r>
    </w:p>
    <w:p>
      <w:pPr>
        <w:pStyle w:val="nzDefstart"/>
      </w:pPr>
      <w:r>
        <w:tab/>
      </w:r>
      <w:r>
        <w:rPr>
          <w:rStyle w:val="CharDefText"/>
        </w:rPr>
        <w:t>packaged liquor premises</w:t>
      </w:r>
      <w:r>
        <w:t xml:space="preserve"> means premises to which a licence referred to in subsection (2) relates;</w:t>
      </w:r>
    </w:p>
    <w:p>
      <w:pPr>
        <w:pStyle w:val="nzDefstart"/>
      </w:pPr>
      <w:r>
        <w:tab/>
      </w:r>
      <w:r>
        <w:rPr>
          <w:rStyle w:val="CharDefText"/>
        </w:rPr>
        <w:t>prescribed area</w:t>
      </w:r>
      <w:r>
        <w:t xml:space="preserve"> means the area prescribed for the purposes of this section;</w:t>
      </w:r>
    </w:p>
    <w:p>
      <w:pPr>
        <w:pStyle w:val="nzDefstart"/>
      </w:pPr>
      <w:r>
        <w:tab/>
      </w:r>
      <w:r>
        <w:rPr>
          <w:rStyle w:val="CharDefText"/>
        </w:rPr>
        <w:t xml:space="preserve">prescribed distance </w:t>
      </w:r>
      <w:r>
        <w:t>means the distance prescribed for the purposes of this section;</w:t>
      </w:r>
    </w:p>
    <w:p>
      <w:pPr>
        <w:pStyle w:val="nzDefstart"/>
      </w:pPr>
      <w:r>
        <w:tab/>
      </w:r>
      <w:r>
        <w:rPr>
          <w:rStyle w:val="CharDefText"/>
        </w:rPr>
        <w:t>proposed licensed premises</w:t>
      </w:r>
      <w:r>
        <w:t xml:space="preserve">, in relation to an application to which this section applies, means — </w:t>
      </w:r>
    </w:p>
    <w:p>
      <w:pPr>
        <w:pStyle w:val="nzDefpara"/>
      </w:pPr>
      <w:r>
        <w:tab/>
        <w:t>(a)</w:t>
      </w:r>
      <w:r>
        <w:tab/>
        <w:t>if the application is for the grant of a licence — the premises to which the application relates; or</w:t>
      </w:r>
    </w:p>
    <w:p>
      <w:pPr>
        <w:pStyle w:val="nzDefpara"/>
      </w:pPr>
      <w:r>
        <w:tab/>
        <w:t>(b)</w:t>
      </w:r>
      <w:r>
        <w:tab/>
        <w:t>if the application is for the removal of a licence — the premises to which the licence is sought to be removed;</w:t>
      </w:r>
    </w:p>
    <w:p>
      <w:pPr>
        <w:pStyle w:val="nzDefstart"/>
        <w:rPr>
          <w:rStyle w:val="CharDefText"/>
          <w:b w:val="0"/>
          <w:i w:val="0"/>
        </w:rPr>
      </w:pPr>
      <w:r>
        <w:tab/>
      </w:r>
      <w:r>
        <w:rPr>
          <w:rStyle w:val="CharDefText"/>
        </w:rPr>
        <w:t xml:space="preserve">retail section — </w:t>
      </w:r>
    </w:p>
    <w:p>
      <w:pPr>
        <w:pStyle w:val="nzDefpara"/>
      </w:pPr>
      <w:r>
        <w:tab/>
        <w:t>(a)</w:t>
      </w:r>
      <w:r>
        <w:tab/>
        <w:t>in relation to packaged liquor premises — means the part or parts of the premises on which packaged liquor is displayed for the purposes of sale or sold; and</w:t>
      </w:r>
    </w:p>
    <w:p>
      <w:pPr>
        <w:pStyle w:val="nzDefpara"/>
      </w:pPr>
      <w:r>
        <w:tab/>
        <w:t>(b)</w:t>
      </w:r>
      <w:r>
        <w:tab/>
        <w:t>in relation to proposed licensed premises — means the part or parts of the premises on which packaged liquor is to be displayed for the purposes of sale or sold.</w:t>
      </w:r>
    </w:p>
    <w:p>
      <w:pPr>
        <w:pStyle w:val="nzSubsection"/>
      </w:pPr>
      <w:r>
        <w:tab/>
        <w:t>(2)</w:t>
      </w:r>
      <w:r>
        <w:tab/>
        <w:t xml:space="preserve">This section applies to an application for the grant or removal of any of the following licences — </w:t>
      </w:r>
    </w:p>
    <w:p>
      <w:pPr>
        <w:pStyle w:val="nzIndenta"/>
      </w:pPr>
      <w:r>
        <w:tab/>
        <w:t>(a)</w:t>
      </w:r>
      <w:r>
        <w:tab/>
        <w:t>a hotel licence without restriction;</w:t>
      </w:r>
    </w:p>
    <w:p>
      <w:pPr>
        <w:pStyle w:val="nzIndenta"/>
      </w:pPr>
      <w:r>
        <w:tab/>
        <w:t>(b)</w:t>
      </w:r>
      <w:r>
        <w:tab/>
        <w:t>a tavern licence;</w:t>
      </w:r>
    </w:p>
    <w:p>
      <w:pPr>
        <w:pStyle w:val="nzIndenta"/>
      </w:pPr>
      <w:r>
        <w:tab/>
        <w:t>(c)</w:t>
      </w:r>
      <w:r>
        <w:tab/>
        <w:t>a liquor store licence;</w:t>
      </w:r>
    </w:p>
    <w:p>
      <w:pPr>
        <w:pStyle w:val="nzIndenta"/>
      </w:pPr>
      <w:r>
        <w:tab/>
        <w:t>(d)</w:t>
      </w:r>
      <w:r>
        <w:tab/>
        <w:t>a special facility licence of a prescribed type.</w:t>
      </w:r>
    </w:p>
    <w:p>
      <w:pPr>
        <w:pStyle w:val="nzSubsection"/>
      </w:pPr>
      <w:r>
        <w:tab/>
        <w:t>(3)</w:t>
      </w:r>
      <w:r>
        <w:tab/>
        <w:t xml:space="preserve">The licensing authority must not hear or determine an application to which this section applies if — </w:t>
      </w:r>
    </w:p>
    <w:p>
      <w:pPr>
        <w:pStyle w:val="nzIndenta"/>
      </w:pPr>
      <w:r>
        <w:tab/>
        <w:t>(a)</w:t>
      </w:r>
      <w:r>
        <w:tab/>
        <w:t>packaged liquor premises are situated less than the prescribed distance from the proposed licensed premises; and</w:t>
      </w:r>
    </w:p>
    <w:p>
      <w:pPr>
        <w:pStyle w:val="nzIndenta"/>
      </w:pPr>
      <w:r>
        <w:tab/>
        <w:t>(b)</w:t>
      </w:r>
      <w:r>
        <w:tab/>
        <w:t>the area of the retail section of those packaged liquor premises exceeds the prescribed area; and</w:t>
      </w:r>
    </w:p>
    <w:p>
      <w:pPr>
        <w:pStyle w:val="nzIndenta"/>
      </w:pPr>
      <w:r>
        <w:tab/>
        <w:t>(c)</w:t>
      </w:r>
      <w:r>
        <w:tab/>
        <w:t>the area of the retail section of the proposed licensed premises exceeds the prescribed area.</w:t>
      </w:r>
    </w:p>
    <w:p>
      <w:pPr>
        <w:pStyle w:val="nzSubsection"/>
      </w:pPr>
      <w:r>
        <w:tab/>
        <w:t>(4)</w:t>
      </w:r>
      <w:r>
        <w:tab/>
        <w:t>The licensing authority must not grant an application to which this section applies unless satisfied that local packaged liquor requirements cannot reasonably be met by existing packaged liquor premises in the locality in which the proposed licensed premises are, or are to be, situated.</w:t>
      </w:r>
    </w:p>
    <w:p>
      <w:pPr>
        <w:pStyle w:val="nzSubsection"/>
      </w:pPr>
      <w:r>
        <w:tab/>
        <w:t>(5)</w:t>
      </w:r>
      <w:r>
        <w:tab/>
        <w:t xml:space="preserve">Regulations made for the purposes of the definition of </w:t>
      </w:r>
      <w:r>
        <w:rPr>
          <w:b/>
          <w:i/>
        </w:rPr>
        <w:t>prescribed distance</w:t>
      </w:r>
      <w:r>
        <w:t xml:space="preserve"> in subsection (1) may prescribe different distances in relation to packaged liquor premises in different areas of the State.</w:t>
      </w:r>
    </w:p>
    <w:p>
      <w:pPr>
        <w:pStyle w:val="BlankClose"/>
      </w:pPr>
    </w:p>
    <w:p>
      <w:pPr>
        <w:pStyle w:val="nzHeading5"/>
      </w:pPr>
      <w:bookmarkStart w:id="681" w:name="_Toc518626514"/>
      <w:bookmarkStart w:id="682" w:name="_Toc519495325"/>
      <w:r>
        <w:rPr>
          <w:rStyle w:val="CharSectno"/>
        </w:rPr>
        <w:t>20</w:t>
      </w:r>
      <w:r>
        <w:t>.</w:t>
      </w:r>
      <w:r>
        <w:tab/>
        <w:t>Section 38 amended</w:t>
      </w:r>
      <w:bookmarkEnd w:id="681"/>
      <w:bookmarkEnd w:id="682"/>
    </w:p>
    <w:p>
      <w:pPr>
        <w:pStyle w:val="nzSubsection"/>
      </w:pPr>
      <w:r>
        <w:tab/>
        <w:t>(1)</w:t>
      </w:r>
      <w:r>
        <w:tab/>
        <w:t>In section 38(1)(a) delete “licence; or” and insert:</w:t>
      </w:r>
    </w:p>
    <w:p>
      <w:pPr>
        <w:pStyle w:val="BlankOpen"/>
      </w:pPr>
    </w:p>
    <w:p>
      <w:pPr>
        <w:pStyle w:val="nzSubsection"/>
      </w:pPr>
      <w:r>
        <w:tab/>
      </w:r>
      <w:r>
        <w:tab/>
        <w:t>licence of a kind prescribed; or</w:t>
      </w:r>
    </w:p>
    <w:p>
      <w:pPr>
        <w:pStyle w:val="BlankClose"/>
      </w:pPr>
    </w:p>
    <w:p>
      <w:pPr>
        <w:pStyle w:val="nzSubsection"/>
      </w:pPr>
      <w:r>
        <w:tab/>
        <w:t>(2)</w:t>
      </w:r>
      <w:r>
        <w:tab/>
        <w:t>In section 38(4):</w:t>
      </w:r>
    </w:p>
    <w:p>
      <w:pPr>
        <w:pStyle w:val="nzIndenta"/>
      </w:pPr>
      <w:r>
        <w:tab/>
        <w:t>(a)</w:t>
      </w:r>
      <w:r>
        <w:tab/>
        <w:t>delete paragraph (b) and insert:</w:t>
      </w:r>
    </w:p>
    <w:p>
      <w:pPr>
        <w:pStyle w:val="BlankOpen"/>
      </w:pPr>
    </w:p>
    <w:p>
      <w:pPr>
        <w:pStyle w:val="nzIndenta"/>
      </w:pPr>
      <w:r>
        <w:tab/>
        <w:t>(b)</w:t>
      </w:r>
      <w:r>
        <w:tab/>
        <w:t>whether the amenity, quiet or good order of the locality in which the licensed premises or proposed licensed premises are, or are to be, situated might in some manner be lessened; and</w:t>
      </w:r>
    </w:p>
    <w:p>
      <w:pPr>
        <w:pStyle w:val="BlankClose"/>
      </w:pPr>
    </w:p>
    <w:p>
      <w:pPr>
        <w:pStyle w:val="nzIndenta"/>
      </w:pPr>
      <w:r>
        <w:tab/>
        <w:t>(b)</w:t>
      </w:r>
      <w:r>
        <w:tab/>
        <w:t>after paragraph (c) insert:</w:t>
      </w:r>
    </w:p>
    <w:p>
      <w:pPr>
        <w:pStyle w:val="BlankOpen"/>
      </w:pPr>
    </w:p>
    <w:p>
      <w:pPr>
        <w:pStyle w:val="nzIndenta"/>
      </w:pPr>
      <w:r>
        <w:tab/>
        <w:t>(ca)</w:t>
      </w:r>
      <w:r>
        <w:tab/>
        <w:t>any effect the granting of the application might have in relation to tourism, or community or cultural matters; and</w:t>
      </w:r>
    </w:p>
    <w:p>
      <w:pPr>
        <w:pStyle w:val="BlankClose"/>
      </w:pPr>
    </w:p>
    <w:p>
      <w:pPr>
        <w:pStyle w:val="nzSubsection"/>
      </w:pPr>
      <w:r>
        <w:tab/>
        <w:t>(3)</w:t>
      </w:r>
      <w:r>
        <w:tab/>
        <w:t>After section 38(6) insert:</w:t>
      </w:r>
    </w:p>
    <w:p>
      <w:pPr>
        <w:pStyle w:val="BlankOpen"/>
      </w:pPr>
    </w:p>
    <w:p>
      <w:pPr>
        <w:pStyle w:val="nzSubsection"/>
      </w:pPr>
      <w:r>
        <w:tab/>
        <w:t>(7)</w:t>
      </w:r>
      <w:r>
        <w:tab/>
        <w:t xml:space="preserve">If subsection (2) applies to an application, the Director may publish the following on the Department’s website — </w:t>
      </w:r>
    </w:p>
    <w:p>
      <w:pPr>
        <w:pStyle w:val="nzIndenta"/>
      </w:pPr>
      <w:r>
        <w:tab/>
        <w:t>(a)</w:t>
      </w:r>
      <w:r>
        <w:tab/>
        <w:t>the application;</w:t>
      </w:r>
    </w:p>
    <w:p>
      <w:pPr>
        <w:pStyle w:val="nzIndenta"/>
      </w:pPr>
      <w:r>
        <w:tab/>
        <w:t>(b)</w:t>
      </w:r>
      <w:r>
        <w:tab/>
        <w:t>any document or information provided under subsection (3) in relation to the application.</w:t>
      </w:r>
    </w:p>
    <w:p>
      <w:pPr>
        <w:pStyle w:val="BlankClose"/>
      </w:pPr>
    </w:p>
    <w:p>
      <w:pPr>
        <w:pStyle w:val="nzHeading5"/>
      </w:pPr>
      <w:bookmarkStart w:id="683" w:name="_Toc518626515"/>
      <w:bookmarkStart w:id="684" w:name="_Toc519495326"/>
      <w:r>
        <w:rPr>
          <w:rStyle w:val="CharSectno"/>
        </w:rPr>
        <w:t>21</w:t>
      </w:r>
      <w:r>
        <w:t>.</w:t>
      </w:r>
      <w:r>
        <w:tab/>
        <w:t>Section 41 amended</w:t>
      </w:r>
      <w:bookmarkEnd w:id="683"/>
      <w:bookmarkEnd w:id="684"/>
    </w:p>
    <w:p>
      <w:pPr>
        <w:pStyle w:val="nzSubsection"/>
      </w:pPr>
      <w:r>
        <w:tab/>
        <w:t>(1)</w:t>
      </w:r>
      <w:r>
        <w:tab/>
        <w:t>Delete section 41(1aa).</w:t>
      </w:r>
    </w:p>
    <w:p>
      <w:pPr>
        <w:pStyle w:val="nzSubsection"/>
      </w:pPr>
      <w:r>
        <w:tab/>
        <w:t>(2)</w:t>
      </w:r>
      <w:r>
        <w:tab/>
        <w:t>In section 41(1)(a) delete “and is not a small bar licence”.</w:t>
      </w:r>
    </w:p>
    <w:p>
      <w:pPr>
        <w:pStyle w:val="nzSubsection"/>
      </w:pPr>
      <w:r>
        <w:tab/>
        <w:t>(3)</w:t>
      </w:r>
      <w:r>
        <w:tab/>
        <w:t>In section 41(2)(b) delete “small bar licence or a hotel restricted licence,” and insert:</w:t>
      </w:r>
    </w:p>
    <w:p>
      <w:pPr>
        <w:pStyle w:val="BlankOpen"/>
      </w:pPr>
    </w:p>
    <w:p>
      <w:pPr>
        <w:pStyle w:val="nzSubsection"/>
      </w:pPr>
      <w:r>
        <w:tab/>
      </w:r>
      <w:r>
        <w:tab/>
        <w:t>hotel restricted licence or a tavern restricted licence,</w:t>
      </w:r>
    </w:p>
    <w:p>
      <w:pPr>
        <w:pStyle w:val="BlankClose"/>
      </w:pPr>
    </w:p>
    <w:p>
      <w:pPr>
        <w:pStyle w:val="nzSubsection"/>
      </w:pPr>
      <w:r>
        <w:tab/>
        <w:t>(4)</w:t>
      </w:r>
      <w:r>
        <w:tab/>
        <w:t>In section 41(4) delete “small bar licence or a”.</w:t>
      </w:r>
    </w:p>
    <w:p>
      <w:pPr>
        <w:pStyle w:val="nzHeading5"/>
      </w:pPr>
      <w:bookmarkStart w:id="685" w:name="_Toc518626516"/>
      <w:bookmarkStart w:id="686" w:name="_Toc519495327"/>
      <w:r>
        <w:rPr>
          <w:rStyle w:val="CharSectno"/>
        </w:rPr>
        <w:t>22</w:t>
      </w:r>
      <w:r>
        <w:t>.</w:t>
      </w:r>
      <w:r>
        <w:tab/>
        <w:t>Sections 41A and 41B inserted</w:t>
      </w:r>
      <w:bookmarkEnd w:id="685"/>
      <w:bookmarkEnd w:id="686"/>
    </w:p>
    <w:p>
      <w:pPr>
        <w:pStyle w:val="nzSubsection"/>
      </w:pPr>
      <w:r>
        <w:tab/>
      </w:r>
      <w:r>
        <w:tab/>
        <w:t>After section 41 insert:</w:t>
      </w:r>
    </w:p>
    <w:p>
      <w:pPr>
        <w:pStyle w:val="BlankOpen"/>
      </w:pPr>
    </w:p>
    <w:p>
      <w:pPr>
        <w:pStyle w:val="nzHeading5"/>
      </w:pPr>
      <w:bookmarkStart w:id="687" w:name="_Toc518626517"/>
      <w:bookmarkStart w:id="688" w:name="_Toc519495328"/>
      <w:r>
        <w:t>41A.</w:t>
      </w:r>
      <w:r>
        <w:tab/>
        <w:t>Effect and conditions of small bar licence</w:t>
      </w:r>
      <w:bookmarkEnd w:id="687"/>
      <w:bookmarkEnd w:id="688"/>
    </w:p>
    <w:p>
      <w:pPr>
        <w:pStyle w:val="nzSubsection"/>
      </w:pPr>
      <w:r>
        <w:tab/>
        <w:t>(1)</w:t>
      </w:r>
      <w:r>
        <w:tab/>
        <w:t>Subject to this Act, the licensee of a small bar licence is, during permitted hours, authorised to sell liquor for consumption on the licensed premises.</w:t>
      </w:r>
    </w:p>
    <w:p>
      <w:pPr>
        <w:pStyle w:val="nzSubsection"/>
      </w:pPr>
      <w:r>
        <w:tab/>
        <w:t>(2)</w:t>
      </w:r>
      <w:r>
        <w:tab/>
        <w:t xml:space="preserve">A small bar licence is subject to — </w:t>
      </w:r>
    </w:p>
    <w:p>
      <w:pPr>
        <w:pStyle w:val="nzIndenta"/>
      </w:pPr>
      <w:r>
        <w:tab/>
        <w:t>(a)</w:t>
      </w:r>
      <w:r>
        <w:tab/>
        <w:t>a condition prohibiting the sale of packaged liquor; and</w:t>
      </w:r>
    </w:p>
    <w:p>
      <w:pPr>
        <w:pStyle w:val="nzIndenta"/>
      </w:pPr>
      <w:r>
        <w:tab/>
        <w:t>(b)</w:t>
      </w:r>
      <w:r>
        <w:tab/>
        <w:t>a condition limiting the maximum number of persons (excluding responsible persons and authorised officers) who may be on the licensed premises to 120.</w:t>
      </w:r>
    </w:p>
    <w:p>
      <w:pPr>
        <w:pStyle w:val="nzHeading5"/>
      </w:pPr>
      <w:bookmarkStart w:id="689" w:name="_Toc518626518"/>
      <w:bookmarkStart w:id="690" w:name="_Toc519495329"/>
      <w:r>
        <w:t>41B.</w:t>
      </w:r>
      <w:r>
        <w:tab/>
        <w:t>Small bar licence may be granted as alternative to tavern restricted licence</w:t>
      </w:r>
      <w:bookmarkEnd w:id="689"/>
      <w:bookmarkEnd w:id="690"/>
    </w:p>
    <w:p>
      <w:pPr>
        <w:pStyle w:val="nzSubsection"/>
      </w:pPr>
      <w:r>
        <w:tab/>
        <w:t>(1)</w:t>
      </w:r>
      <w:r>
        <w:tab/>
        <w:t>If the licensing authority considers it appropriate, the licensing authority may, with the agreement of the applicant, treat an application for a tavern restricted licence as an application for a small bar licence.</w:t>
      </w:r>
    </w:p>
    <w:p>
      <w:pPr>
        <w:pStyle w:val="nzSubsection"/>
      </w:pPr>
      <w:r>
        <w:tab/>
        <w:t>(2)</w:t>
      </w:r>
      <w:r>
        <w:tab/>
        <w:t xml:space="preserve">Subsection (3) applies to a tavern restricted licence if — </w:t>
      </w:r>
    </w:p>
    <w:p>
      <w:pPr>
        <w:pStyle w:val="nzIndenta"/>
      </w:pPr>
      <w:r>
        <w:tab/>
        <w:t>(a)</w:t>
      </w:r>
      <w:r>
        <w:tab/>
        <w:t>it is subject to a condition limiting the maximum number of persons (excluding responsible persons and authorised officers) who may be on the licensed premises to 120; and</w:t>
      </w:r>
    </w:p>
    <w:p>
      <w:pPr>
        <w:pStyle w:val="nzIndenta"/>
      </w:pPr>
      <w:r>
        <w:tab/>
        <w:t>(b)</w:t>
      </w:r>
      <w:r>
        <w:tab/>
        <w:t>the capacity of the licensed premises is not more than 120 persons.</w:t>
      </w:r>
    </w:p>
    <w:p>
      <w:pPr>
        <w:pStyle w:val="nzSubsection"/>
      </w:pPr>
      <w:r>
        <w:tab/>
        <w:t>(3)</w:t>
      </w:r>
      <w:r>
        <w:tab/>
        <w:t xml:space="preserve">The licensing authority may, of its own motion or on the application of the licensee of the licence — </w:t>
      </w:r>
    </w:p>
    <w:p>
      <w:pPr>
        <w:pStyle w:val="nzIndenta"/>
      </w:pPr>
      <w:r>
        <w:tab/>
        <w:t>(a)</w:t>
      </w:r>
      <w:r>
        <w:tab/>
        <w:t>cancel a tavern restricted licence to which this subsection applies; and</w:t>
      </w:r>
    </w:p>
    <w:p>
      <w:pPr>
        <w:pStyle w:val="nzIndenta"/>
      </w:pPr>
      <w:r>
        <w:tab/>
        <w:t>(b)</w:t>
      </w:r>
      <w:r>
        <w:tab/>
        <w:t>grant to the person who was the licensee of the licence a small bar licence in respect of the premises to which the licence related.</w:t>
      </w:r>
    </w:p>
    <w:p>
      <w:pPr>
        <w:pStyle w:val="nzSubsection"/>
      </w:pPr>
      <w:r>
        <w:tab/>
        <w:t>(4)</w:t>
      </w:r>
      <w:r>
        <w:tab/>
        <w:t xml:space="preserve">If the licensing authority proposes of its own motion to cancel a tavern restricted licence and grant a small bar licence under subsection (3), the licensing authority must give the licensee of the tavern restricted licence — </w:t>
      </w:r>
    </w:p>
    <w:p>
      <w:pPr>
        <w:pStyle w:val="nzIndenta"/>
      </w:pPr>
      <w:r>
        <w:tab/>
        <w:t>(a)</w:t>
      </w:r>
      <w:r>
        <w:tab/>
        <w:t>a notice that sets out the proposal and the reasons for it; and</w:t>
      </w:r>
    </w:p>
    <w:p>
      <w:pPr>
        <w:pStyle w:val="nzIndenta"/>
      </w:pPr>
      <w:r>
        <w:tab/>
        <w:t>(b)</w:t>
      </w:r>
      <w:r>
        <w:tab/>
        <w:t>a reasonable opportunity to make submissions or to be heard in relation to the proposal.</w:t>
      </w:r>
    </w:p>
    <w:p>
      <w:pPr>
        <w:pStyle w:val="BlankClose"/>
      </w:pPr>
    </w:p>
    <w:p>
      <w:pPr>
        <w:pStyle w:val="nzHeading5"/>
      </w:pPr>
      <w:bookmarkStart w:id="691" w:name="_Toc518626521"/>
      <w:bookmarkStart w:id="692" w:name="_Toc519495332"/>
      <w:r>
        <w:rPr>
          <w:rStyle w:val="CharSectno"/>
        </w:rPr>
        <w:t>25</w:t>
      </w:r>
      <w:r>
        <w:t>.</w:t>
      </w:r>
      <w:r>
        <w:tab/>
        <w:t>Section 48 amended</w:t>
      </w:r>
      <w:bookmarkEnd w:id="691"/>
      <w:bookmarkEnd w:id="692"/>
    </w:p>
    <w:p>
      <w:pPr>
        <w:pStyle w:val="nzSubsection"/>
      </w:pPr>
      <w:r>
        <w:tab/>
        <w:t>(1)</w:t>
      </w:r>
      <w:r>
        <w:tab/>
        <w:t>In section 48(2):</w:t>
      </w:r>
    </w:p>
    <w:p>
      <w:pPr>
        <w:pStyle w:val="nzIndenta"/>
      </w:pPr>
      <w:r>
        <w:tab/>
        <w:t>(a)</w:t>
      </w:r>
      <w:r>
        <w:tab/>
        <w:t>in paragraph (a)(ii) delete “rules approved by the Director;” and insert:</w:t>
      </w:r>
    </w:p>
    <w:p>
      <w:pPr>
        <w:pStyle w:val="BlankOpen"/>
      </w:pPr>
    </w:p>
    <w:p>
      <w:pPr>
        <w:pStyle w:val="nzIndenta"/>
      </w:pPr>
      <w:r>
        <w:tab/>
      </w:r>
      <w:r>
        <w:tab/>
        <w:t>the rules of the club;</w:t>
      </w:r>
    </w:p>
    <w:p>
      <w:pPr>
        <w:pStyle w:val="BlankClose"/>
      </w:pPr>
    </w:p>
    <w:p>
      <w:pPr>
        <w:pStyle w:val="nzIndenta"/>
      </w:pPr>
      <w:r>
        <w:tab/>
        <w:t>(b)</w:t>
      </w:r>
      <w:r>
        <w:tab/>
        <w:t>in paragraph (b) delete “rules approved by the Director; or” and insert:</w:t>
      </w:r>
    </w:p>
    <w:p>
      <w:pPr>
        <w:pStyle w:val="BlankOpen"/>
      </w:pPr>
    </w:p>
    <w:p>
      <w:pPr>
        <w:pStyle w:val="nzIndenta"/>
      </w:pPr>
      <w:r>
        <w:tab/>
      </w:r>
      <w:r>
        <w:tab/>
        <w:t>the rules of the club; or</w:t>
      </w:r>
    </w:p>
    <w:p>
      <w:pPr>
        <w:pStyle w:val="BlankClose"/>
      </w:pPr>
    </w:p>
    <w:p>
      <w:pPr>
        <w:pStyle w:val="nzIndenta"/>
      </w:pPr>
      <w:r>
        <w:tab/>
        <w:t>(c)</w:t>
      </w:r>
      <w:r>
        <w:tab/>
        <w:t>delete “constitution and rules of the club, as approved by the Director,” and insert:</w:t>
      </w:r>
    </w:p>
    <w:p>
      <w:pPr>
        <w:pStyle w:val="BlankOpen"/>
      </w:pPr>
    </w:p>
    <w:p>
      <w:pPr>
        <w:pStyle w:val="nzIndenta"/>
      </w:pPr>
      <w:r>
        <w:tab/>
      </w:r>
      <w:r>
        <w:tab/>
        <w:t>rules of the club</w:t>
      </w:r>
    </w:p>
    <w:p>
      <w:pPr>
        <w:pStyle w:val="BlankClose"/>
      </w:pPr>
    </w:p>
    <w:p>
      <w:pPr>
        <w:pStyle w:val="nzSubsection"/>
      </w:pPr>
      <w:r>
        <w:tab/>
        <w:t>(2)</w:t>
      </w:r>
      <w:r>
        <w:tab/>
        <w:t>After section 48(2) insert:</w:t>
      </w:r>
    </w:p>
    <w:p>
      <w:pPr>
        <w:pStyle w:val="BlankOpen"/>
      </w:pPr>
    </w:p>
    <w:p>
      <w:pPr>
        <w:pStyle w:val="nzSubsection"/>
      </w:pPr>
      <w:r>
        <w:tab/>
        <w:t>(2A)</w:t>
      </w:r>
      <w:r>
        <w:tab/>
        <w:t>Subject to this Act, a club licence authorises the sale, during permitted hours, of liquor to a visitor for consumption on the licensed premises if the sale does not contravene the rules of the club.</w:t>
      </w:r>
    </w:p>
    <w:p>
      <w:pPr>
        <w:pStyle w:val="nzSubsection"/>
      </w:pPr>
      <w:r>
        <w:tab/>
        <w:t>(2B)</w:t>
      </w:r>
      <w:r>
        <w:tab/>
        <w:t xml:space="preserve">In subsection (2A) — </w:t>
      </w:r>
    </w:p>
    <w:p>
      <w:pPr>
        <w:pStyle w:val="nzDefstart"/>
      </w:pPr>
      <w:r>
        <w:tab/>
      </w:r>
      <w:r>
        <w:rPr>
          <w:rStyle w:val="CharDefText"/>
        </w:rPr>
        <w:t>visitor</w:t>
      </w:r>
      <w:r>
        <w:t xml:space="preserve"> means a person, other than a member, a guest of a member or a person referred to in subsection (5), who — </w:t>
      </w:r>
    </w:p>
    <w:p>
      <w:pPr>
        <w:pStyle w:val="nzDefpara"/>
      </w:pPr>
      <w:r>
        <w:tab/>
        <w:t>(a)</w:t>
      </w:r>
      <w:r>
        <w:tab/>
        <w:t>is at least 40 km or, if a greater distance is prescribed for the purposes of this paragraph, at least that distance from their usual place of residence; and</w:t>
      </w:r>
    </w:p>
    <w:p>
      <w:pPr>
        <w:pStyle w:val="nzDefpara"/>
      </w:pPr>
      <w:r>
        <w:tab/>
        <w:t>(b)</w:t>
      </w:r>
      <w:r>
        <w:tab/>
        <w:t>is visiting the club while travelling in the course of a holiday or travelling for leisure or business; and</w:t>
      </w:r>
    </w:p>
    <w:p>
      <w:pPr>
        <w:pStyle w:val="nzDefpara"/>
      </w:pPr>
      <w:r>
        <w:tab/>
        <w:t>(c)</w:t>
      </w:r>
      <w:r>
        <w:tab/>
        <w:t>is required, at the time of their visit, to pay a fee to the club for the use of its facilities.</w:t>
      </w:r>
    </w:p>
    <w:p>
      <w:pPr>
        <w:pStyle w:val="BlankClose"/>
      </w:pPr>
    </w:p>
    <w:p>
      <w:pPr>
        <w:pStyle w:val="nzSubsection"/>
      </w:pPr>
      <w:r>
        <w:tab/>
        <w:t>(3)</w:t>
      </w:r>
      <w:r>
        <w:tab/>
        <w:t>In section 48(4):</w:t>
      </w:r>
    </w:p>
    <w:p>
      <w:pPr>
        <w:pStyle w:val="nzIndenta"/>
      </w:pPr>
      <w:r>
        <w:tab/>
        <w:t>(a)</w:t>
      </w:r>
      <w:r>
        <w:tab/>
        <w:t>in paragraph (b) delete “rules approved by the Director,” and insert:</w:t>
      </w:r>
    </w:p>
    <w:p>
      <w:pPr>
        <w:pStyle w:val="BlankOpen"/>
      </w:pPr>
    </w:p>
    <w:p>
      <w:pPr>
        <w:pStyle w:val="nzIndenta"/>
      </w:pPr>
      <w:r>
        <w:tab/>
      </w:r>
      <w:r>
        <w:tab/>
        <w:t>the rules of the club,</w:t>
      </w:r>
    </w:p>
    <w:p>
      <w:pPr>
        <w:pStyle w:val="BlankClose"/>
      </w:pPr>
    </w:p>
    <w:p>
      <w:pPr>
        <w:pStyle w:val="nzIndenta"/>
      </w:pPr>
      <w:r>
        <w:tab/>
        <w:t>(b)</w:t>
      </w:r>
      <w:r>
        <w:tab/>
        <w:t>in paragraph (d) delete the passage that begins with “change —” and ends with “the Secretary” and insert:</w:t>
      </w:r>
    </w:p>
    <w:p>
      <w:pPr>
        <w:pStyle w:val="BlankOpen"/>
      </w:pPr>
    </w:p>
    <w:p>
      <w:pPr>
        <w:pStyle w:val="nzIndenta"/>
      </w:pPr>
      <w:r>
        <w:tab/>
      </w:r>
      <w:r>
        <w:tab/>
        <w:t>change in the appointment of a person as trustee to hold the licence for the club, the Secretary</w:t>
      </w:r>
    </w:p>
    <w:p>
      <w:pPr>
        <w:pStyle w:val="BlankClose"/>
      </w:pPr>
    </w:p>
    <w:p>
      <w:pPr>
        <w:pStyle w:val="nzIndenta"/>
      </w:pPr>
      <w:r>
        <w:tab/>
        <w:t>(c)</w:t>
      </w:r>
      <w:r>
        <w:tab/>
        <w:t>after paragraph (e) insert:</w:t>
      </w:r>
    </w:p>
    <w:p>
      <w:pPr>
        <w:pStyle w:val="BlankOpen"/>
      </w:pPr>
    </w:p>
    <w:p>
      <w:pPr>
        <w:pStyle w:val="nzIndenta"/>
      </w:pPr>
      <w:r>
        <w:tab/>
        <w:t>(ea)</w:t>
      </w:r>
      <w:r>
        <w:tab/>
        <w:t>an up-to-date register of visitors (as defined in subsection (2B)) be continually available for inspection at the club premises; and</w:t>
      </w:r>
    </w:p>
    <w:p>
      <w:pPr>
        <w:pStyle w:val="BlankClose"/>
      </w:pPr>
    </w:p>
    <w:p>
      <w:pPr>
        <w:pStyle w:val="nzIndenta"/>
      </w:pPr>
      <w:r>
        <w:tab/>
        <w:t>(d)</w:t>
      </w:r>
      <w:r>
        <w:tab/>
        <w:t>in paragraph (f) delete “constitution and rules, as approved by the Director,” and insert:</w:t>
      </w:r>
    </w:p>
    <w:p>
      <w:pPr>
        <w:pStyle w:val="BlankOpen"/>
      </w:pPr>
    </w:p>
    <w:p>
      <w:pPr>
        <w:pStyle w:val="nzIndenta"/>
      </w:pPr>
      <w:r>
        <w:tab/>
      </w:r>
      <w:r>
        <w:tab/>
        <w:t>rules</w:t>
      </w:r>
    </w:p>
    <w:p>
      <w:pPr>
        <w:pStyle w:val="BlankClose"/>
      </w:pPr>
    </w:p>
    <w:p>
      <w:pPr>
        <w:pStyle w:val="nzSubsection"/>
      </w:pPr>
      <w:r>
        <w:tab/>
        <w:t>(4)</w:t>
      </w:r>
      <w:r>
        <w:tab/>
        <w:t>In section 48(5):</w:t>
      </w:r>
    </w:p>
    <w:p>
      <w:pPr>
        <w:pStyle w:val="nzIndenta"/>
      </w:pPr>
      <w:r>
        <w:tab/>
        <w:t>(a)</w:t>
      </w:r>
      <w:r>
        <w:tab/>
        <w:t>delete “club —” and insert:</w:t>
      </w:r>
    </w:p>
    <w:p>
      <w:pPr>
        <w:pStyle w:val="BlankOpen"/>
      </w:pPr>
    </w:p>
    <w:p>
      <w:pPr>
        <w:pStyle w:val="nzIndenta"/>
      </w:pPr>
      <w:r>
        <w:tab/>
      </w:r>
      <w:r>
        <w:tab/>
        <w:t xml:space="preserve">club or a team, or a person assisting a member or an official of another club or a team — </w:t>
      </w:r>
    </w:p>
    <w:p>
      <w:pPr>
        <w:pStyle w:val="BlankClose"/>
      </w:pPr>
    </w:p>
    <w:p>
      <w:pPr>
        <w:pStyle w:val="nzIndenta"/>
      </w:pPr>
      <w:r>
        <w:tab/>
        <w:t>(b)</w:t>
      </w:r>
      <w:r>
        <w:tab/>
        <w:t>delete “day in accordance with rules approved by the Director.” and insert:</w:t>
      </w:r>
    </w:p>
    <w:p>
      <w:pPr>
        <w:pStyle w:val="BlankOpen"/>
      </w:pPr>
    </w:p>
    <w:p>
      <w:pPr>
        <w:pStyle w:val="nzIndenta"/>
      </w:pPr>
      <w:r>
        <w:tab/>
      </w:r>
      <w:r>
        <w:tab/>
        <w:t>day, in accordance with the rules of the club.</w:t>
      </w:r>
    </w:p>
    <w:p>
      <w:pPr>
        <w:pStyle w:val="BlankClose"/>
      </w:pPr>
    </w:p>
    <w:p>
      <w:pPr>
        <w:pStyle w:val="nzSubsection"/>
      </w:pPr>
      <w:r>
        <w:tab/>
        <w:t>(5)</w:t>
      </w:r>
      <w:r>
        <w:tab/>
        <w:t>In section 48(7) delete “constitution or rules as approved by the Director” and insert:</w:t>
      </w:r>
    </w:p>
    <w:p>
      <w:pPr>
        <w:pStyle w:val="BlankOpen"/>
      </w:pPr>
    </w:p>
    <w:p>
      <w:pPr>
        <w:pStyle w:val="nzSubsection"/>
      </w:pPr>
      <w:r>
        <w:tab/>
      </w:r>
      <w:r>
        <w:tab/>
        <w:t>rules,</w:t>
      </w:r>
    </w:p>
    <w:p>
      <w:pPr>
        <w:pStyle w:val="BlankClose"/>
      </w:pPr>
    </w:p>
    <w:p>
      <w:pPr>
        <w:pStyle w:val="nzHeading5"/>
      </w:pPr>
      <w:bookmarkStart w:id="693" w:name="_Toc518626522"/>
      <w:bookmarkStart w:id="694" w:name="_Toc519495333"/>
      <w:r>
        <w:rPr>
          <w:rStyle w:val="CharSectno"/>
        </w:rPr>
        <w:t>26</w:t>
      </w:r>
      <w:r>
        <w:t>.</w:t>
      </w:r>
      <w:r>
        <w:tab/>
        <w:t>Section 49 amended</w:t>
      </w:r>
      <w:bookmarkEnd w:id="693"/>
      <w:bookmarkEnd w:id="694"/>
    </w:p>
    <w:p>
      <w:pPr>
        <w:pStyle w:val="nzSubsection"/>
      </w:pPr>
      <w:r>
        <w:tab/>
        <w:t>(1)</w:t>
      </w:r>
      <w:r>
        <w:tab/>
        <w:t>In section 49(1):</w:t>
      </w:r>
    </w:p>
    <w:p>
      <w:pPr>
        <w:pStyle w:val="nzIndenta"/>
      </w:pPr>
      <w:r>
        <w:tab/>
        <w:t>(a)</w:t>
      </w:r>
      <w:r>
        <w:tab/>
        <w:t>in paragraph (c) delete “unless subsection (4) applies, that the constitution and” and insert:</w:t>
      </w:r>
    </w:p>
    <w:p>
      <w:pPr>
        <w:pStyle w:val="BlankOpen"/>
      </w:pPr>
    </w:p>
    <w:p>
      <w:pPr>
        <w:pStyle w:val="nzIndenta"/>
      </w:pPr>
      <w:r>
        <w:tab/>
      </w:r>
      <w:r>
        <w:tab/>
        <w:t>that the</w:t>
      </w:r>
    </w:p>
    <w:p>
      <w:pPr>
        <w:pStyle w:val="BlankClose"/>
      </w:pPr>
    </w:p>
    <w:p>
      <w:pPr>
        <w:pStyle w:val="nzIndenta"/>
      </w:pPr>
      <w:r>
        <w:tab/>
        <w:t>(b)</w:t>
      </w:r>
      <w:r>
        <w:tab/>
        <w:t>in paragraph (c) delete “sought,” and insert:</w:t>
      </w:r>
    </w:p>
    <w:p>
      <w:pPr>
        <w:pStyle w:val="BlankOpen"/>
      </w:pPr>
    </w:p>
    <w:p>
      <w:pPr>
        <w:pStyle w:val="nzIndenta"/>
      </w:pPr>
      <w:r>
        <w:tab/>
      </w:r>
      <w:r>
        <w:tab/>
        <w:t>sought.</w:t>
      </w:r>
    </w:p>
    <w:p>
      <w:pPr>
        <w:pStyle w:val="BlankClose"/>
      </w:pPr>
    </w:p>
    <w:p>
      <w:pPr>
        <w:pStyle w:val="nzIndenta"/>
      </w:pPr>
      <w:r>
        <w:tab/>
        <w:t>(c)</w:t>
      </w:r>
      <w:r>
        <w:tab/>
        <w:t>delete “and the content of that constitution and those rules is approved by the Director.”.</w:t>
      </w:r>
    </w:p>
    <w:p>
      <w:pPr>
        <w:pStyle w:val="nzSubsection"/>
      </w:pPr>
      <w:r>
        <w:tab/>
        <w:t>(2)</w:t>
      </w:r>
      <w:r>
        <w:tab/>
        <w:t>In section 49(2) delete “constitution or” (each occurrence).</w:t>
      </w:r>
    </w:p>
    <w:p>
      <w:pPr>
        <w:pStyle w:val="nzSubsection"/>
      </w:pPr>
      <w:r>
        <w:tab/>
        <w:t>(3)</w:t>
      </w:r>
      <w:r>
        <w:tab/>
        <w:t>Delete section 49(3) and (4).</w:t>
      </w:r>
    </w:p>
    <w:p>
      <w:pPr>
        <w:pStyle w:val="nzHeading5"/>
      </w:pPr>
      <w:bookmarkStart w:id="695" w:name="_Toc518626530"/>
      <w:bookmarkStart w:id="696" w:name="_Toc519495341"/>
      <w:r>
        <w:rPr>
          <w:rStyle w:val="CharSectno"/>
        </w:rPr>
        <w:t>32</w:t>
      </w:r>
      <w:r>
        <w:t>.</w:t>
      </w:r>
      <w:r>
        <w:tab/>
        <w:t>Section 60 amended</w:t>
      </w:r>
      <w:bookmarkEnd w:id="695"/>
      <w:bookmarkEnd w:id="696"/>
    </w:p>
    <w:p>
      <w:pPr>
        <w:pStyle w:val="nzSubsection"/>
      </w:pPr>
      <w:r>
        <w:tab/>
        <w:t>(1)</w:t>
      </w:r>
      <w:r>
        <w:tab/>
        <w:t>In section 60(3a) delete “subsection (4)(ca) or (g)” and insert:</w:t>
      </w:r>
    </w:p>
    <w:p>
      <w:pPr>
        <w:pStyle w:val="BlankOpen"/>
      </w:pPr>
    </w:p>
    <w:p>
      <w:pPr>
        <w:pStyle w:val="nzSubsection"/>
      </w:pPr>
      <w:r>
        <w:tab/>
      </w:r>
      <w:r>
        <w:tab/>
        <w:t>subsection (4)(ca), (g) or (h)</w:t>
      </w:r>
    </w:p>
    <w:p>
      <w:pPr>
        <w:pStyle w:val="BlankClose"/>
      </w:pPr>
    </w:p>
    <w:p>
      <w:pPr>
        <w:pStyle w:val="nzSubsection"/>
      </w:pPr>
      <w:r>
        <w:tab/>
        <w:t>(2)</w:t>
      </w:r>
      <w:r>
        <w:tab/>
        <w:t>In section 60(4):</w:t>
      </w:r>
    </w:p>
    <w:p>
      <w:pPr>
        <w:pStyle w:val="nzIndenta"/>
      </w:pPr>
      <w:r>
        <w:tab/>
        <w:t>(a)</w:t>
      </w:r>
      <w:r>
        <w:tab/>
        <w:t>in paragraph (a) after “liquor” insert:</w:t>
      </w:r>
    </w:p>
    <w:p>
      <w:pPr>
        <w:pStyle w:val="BlankOpen"/>
      </w:pPr>
    </w:p>
    <w:p>
      <w:pPr>
        <w:pStyle w:val="nzIndenta"/>
      </w:pPr>
      <w:r>
        <w:tab/>
      </w:r>
      <w:r>
        <w:tab/>
        <w:t>as a caterer</w:t>
      </w:r>
    </w:p>
    <w:p>
      <w:pPr>
        <w:pStyle w:val="BlankClose"/>
      </w:pPr>
    </w:p>
    <w:p>
      <w:pPr>
        <w:pStyle w:val="nzIndenta"/>
      </w:pPr>
      <w:r>
        <w:tab/>
        <w:t>(b)</w:t>
      </w:r>
      <w:r>
        <w:tab/>
        <w:t>in paragraph (a) delete “as a caterer on specified premises,”;</w:t>
      </w:r>
    </w:p>
    <w:p>
      <w:pPr>
        <w:pStyle w:val="nzIndenta"/>
      </w:pPr>
      <w:r>
        <w:tab/>
        <w:t>(c)</w:t>
      </w:r>
      <w:r>
        <w:tab/>
        <w:t>in paragraph (e) delete “a Sunday,”;</w:t>
      </w:r>
    </w:p>
    <w:p>
      <w:pPr>
        <w:pStyle w:val="nzIndenta"/>
      </w:pPr>
      <w:r>
        <w:tab/>
        <w:t>(d)</w:t>
      </w:r>
      <w:r>
        <w:tab/>
        <w:t>in paragraph (e)(ii) delete “constitution and rules of the association, if that constitution or those rules were required to be approved by the Director, are observed;” and insert:</w:t>
      </w:r>
    </w:p>
    <w:p>
      <w:pPr>
        <w:pStyle w:val="BlankOpen"/>
      </w:pPr>
    </w:p>
    <w:p>
      <w:pPr>
        <w:pStyle w:val="nzIndenta"/>
      </w:pPr>
      <w:r>
        <w:tab/>
      </w:r>
      <w:r>
        <w:tab/>
        <w:t>rules of the association are observed;</w:t>
      </w:r>
    </w:p>
    <w:p>
      <w:pPr>
        <w:pStyle w:val="BlankClose"/>
      </w:pPr>
    </w:p>
    <w:p>
      <w:pPr>
        <w:pStyle w:val="nzIndenta"/>
      </w:pPr>
      <w:r>
        <w:tab/>
        <w:t>(e)</w:t>
      </w:r>
      <w:r>
        <w:tab/>
        <w:t>in paragraph (g) delete “5” and insert:</w:t>
      </w:r>
    </w:p>
    <w:p>
      <w:pPr>
        <w:pStyle w:val="BlankOpen"/>
      </w:pPr>
    </w:p>
    <w:p>
      <w:pPr>
        <w:pStyle w:val="nzIndenta"/>
      </w:pPr>
      <w:r>
        <w:tab/>
      </w:r>
      <w:r>
        <w:tab/>
        <w:t>10</w:t>
      </w:r>
    </w:p>
    <w:p>
      <w:pPr>
        <w:pStyle w:val="BlankClose"/>
      </w:pPr>
    </w:p>
    <w:p>
      <w:pPr>
        <w:pStyle w:val="nzIndenta"/>
      </w:pPr>
      <w:r>
        <w:tab/>
        <w:t>(f)</w:t>
      </w:r>
      <w:r>
        <w:tab/>
        <w:t>in paragraph (h) delete the passage that begins with “on such days” and ends with “otherwise be authorised,” and insert:</w:t>
      </w:r>
    </w:p>
    <w:p>
      <w:pPr>
        <w:pStyle w:val="BlankOpen"/>
      </w:pPr>
    </w:p>
    <w:p>
      <w:pPr>
        <w:pStyle w:val="nzIndenta"/>
      </w:pPr>
      <w:r>
        <w:tab/>
      </w:r>
      <w:r>
        <w:tab/>
        <w:t>under the licence on specified premises or in a specified area that would not otherwise be authorised, on such days and between such hours on those days as may be specified,</w:t>
      </w:r>
    </w:p>
    <w:p>
      <w:pPr>
        <w:pStyle w:val="BlankClose"/>
      </w:pPr>
    </w:p>
    <w:p>
      <w:pPr>
        <w:pStyle w:val="nzIndenta"/>
      </w:pPr>
      <w:r>
        <w:tab/>
        <w:t>(g)</w:t>
      </w:r>
      <w:r>
        <w:tab/>
        <w:t>in paragraph (ia) delete “wine or beer” (1</w:t>
      </w:r>
      <w:r>
        <w:rPr>
          <w:vertAlign w:val="superscript"/>
        </w:rPr>
        <w:t>st</w:t>
      </w:r>
      <w:r>
        <w:t xml:space="preserve"> occurrence) and insert:</w:t>
      </w:r>
    </w:p>
    <w:p>
      <w:pPr>
        <w:pStyle w:val="BlankOpen"/>
      </w:pPr>
    </w:p>
    <w:p>
      <w:pPr>
        <w:pStyle w:val="nzIndenta"/>
      </w:pPr>
      <w:r>
        <w:tab/>
      </w:r>
      <w:r>
        <w:tab/>
        <w:t>liquor</w:t>
      </w:r>
    </w:p>
    <w:p>
      <w:pPr>
        <w:pStyle w:val="BlankClose"/>
        <w:keepNext/>
      </w:pPr>
    </w:p>
    <w:p>
      <w:pPr>
        <w:pStyle w:val="nzIndenta"/>
      </w:pPr>
      <w:r>
        <w:tab/>
        <w:t>(h)</w:t>
      </w:r>
      <w:r>
        <w:tab/>
        <w:t>in paragraph (ia) delete “wine or beer,” and insert:</w:t>
      </w:r>
    </w:p>
    <w:p>
      <w:pPr>
        <w:pStyle w:val="BlankOpen"/>
      </w:pPr>
    </w:p>
    <w:p>
      <w:pPr>
        <w:pStyle w:val="nzIndenta"/>
      </w:pPr>
      <w:r>
        <w:tab/>
      </w:r>
      <w:r>
        <w:tab/>
        <w:t>liquor,</w:t>
      </w:r>
    </w:p>
    <w:p>
      <w:pPr>
        <w:pStyle w:val="BlankClose"/>
      </w:pPr>
    </w:p>
    <w:p>
      <w:pPr>
        <w:pStyle w:val="nzHeading5"/>
      </w:pPr>
      <w:bookmarkStart w:id="697" w:name="_Toc518626533"/>
      <w:bookmarkStart w:id="698" w:name="_Toc519495344"/>
      <w:r>
        <w:rPr>
          <w:rStyle w:val="CharSectno"/>
        </w:rPr>
        <w:t>35</w:t>
      </w:r>
      <w:r>
        <w:t>.</w:t>
      </w:r>
      <w:r>
        <w:tab/>
        <w:t>Section 64 amended</w:t>
      </w:r>
      <w:bookmarkEnd w:id="697"/>
      <w:bookmarkEnd w:id="698"/>
    </w:p>
    <w:p>
      <w:pPr>
        <w:pStyle w:val="nzSubsection"/>
      </w:pPr>
      <w:r>
        <w:tab/>
      </w:r>
      <w:r>
        <w:tab/>
        <w:t>After section 64(1b) insert:</w:t>
      </w:r>
    </w:p>
    <w:p>
      <w:pPr>
        <w:pStyle w:val="BlankOpen"/>
      </w:pPr>
    </w:p>
    <w:p>
      <w:pPr>
        <w:pStyle w:val="nzSubsection"/>
      </w:pPr>
      <w:r>
        <w:tab/>
        <w:t>(1BA)</w:t>
      </w:r>
      <w:r>
        <w:tab/>
        <w:t>An application under subsection (1a)(b) to vary a condition must be made not later than the prescribed number of days before the variation is proposed to take effect, unless the Director otherwise approves.</w:t>
      </w:r>
    </w:p>
    <w:p>
      <w:pPr>
        <w:pStyle w:val="BlankClose"/>
      </w:pPr>
    </w:p>
    <w:p>
      <w:pPr>
        <w:pStyle w:val="nzHeading5"/>
      </w:pPr>
      <w:bookmarkStart w:id="699" w:name="_Toc518626534"/>
      <w:bookmarkStart w:id="700" w:name="_Toc519495345"/>
      <w:r>
        <w:rPr>
          <w:rStyle w:val="CharSectno"/>
        </w:rPr>
        <w:t>36</w:t>
      </w:r>
      <w:r>
        <w:t>.</w:t>
      </w:r>
      <w:r>
        <w:tab/>
        <w:t>Section 65 amended</w:t>
      </w:r>
      <w:bookmarkEnd w:id="699"/>
      <w:bookmarkEnd w:id="700"/>
    </w:p>
    <w:p>
      <w:pPr>
        <w:pStyle w:val="nzSubsection"/>
      </w:pPr>
      <w:r>
        <w:tab/>
      </w:r>
      <w:r>
        <w:tab/>
        <w:t>Delete section 65(1) and insert:</w:t>
      </w:r>
    </w:p>
    <w:p>
      <w:pPr>
        <w:pStyle w:val="BlankOpen"/>
      </w:pPr>
    </w:p>
    <w:p>
      <w:pPr>
        <w:pStyle w:val="nzSubsection"/>
      </w:pPr>
      <w:r>
        <w:tab/>
        <w:t>(1)</w:t>
      </w:r>
      <w:r>
        <w:tab/>
        <w:t xml:space="preserve">Subject to subsection (3), a licence or permit that authorises the sale of packaged liquor or of liquor for consumption off the licensed premises is subject to the following conditions — </w:t>
      </w:r>
    </w:p>
    <w:p>
      <w:pPr>
        <w:pStyle w:val="nzIndenta"/>
      </w:pPr>
      <w:r>
        <w:tab/>
        <w:t>(a)</w:t>
      </w:r>
      <w:r>
        <w:tab/>
        <w:t xml:space="preserve">that the liquor sold — </w:t>
      </w:r>
    </w:p>
    <w:p>
      <w:pPr>
        <w:pStyle w:val="nzIndenti"/>
      </w:pPr>
      <w:r>
        <w:tab/>
        <w:t>(i)</w:t>
      </w:r>
      <w:r>
        <w:tab/>
        <w:t>must be consigned to the purchaser at, and delivered on or from, the licensed premises, unless the Director otherwise approves; and</w:t>
      </w:r>
    </w:p>
    <w:p>
      <w:pPr>
        <w:pStyle w:val="nzIndenti"/>
        <w:rPr>
          <w:szCs w:val="24"/>
        </w:rPr>
      </w:pPr>
      <w:r>
        <w:tab/>
        <w:t>(ii)</w:t>
      </w:r>
      <w:r>
        <w:tab/>
        <w:t>must be delivered in sealed containers; and</w:t>
      </w:r>
    </w:p>
    <w:p>
      <w:pPr>
        <w:pStyle w:val="nzIndenti"/>
      </w:pPr>
      <w:r>
        <w:tab/>
        <w:t>(iii)</w:t>
      </w:r>
      <w:r>
        <w:tab/>
        <w:t>must not, unless an extended trading permit or a special facility licence so authorises, be or be permitted to be consumed on or, except in the case of liquor sold under section 55, in the immediate proximity of the licensed premises;</w:t>
      </w:r>
    </w:p>
    <w:p>
      <w:pPr>
        <w:pStyle w:val="nzIndenta"/>
      </w:pPr>
      <w:r>
        <w:tab/>
        <w:t>(b)</w:t>
      </w:r>
      <w:r>
        <w:tab/>
        <w:t>that the prescribed requirements relating to sale and delivery must be complied with.</w:t>
      </w:r>
    </w:p>
    <w:p>
      <w:pPr>
        <w:pStyle w:val="nzSubsection"/>
      </w:pPr>
      <w:r>
        <w:tab/>
        <w:t>(1A)</w:t>
      </w:r>
      <w:r>
        <w:tab/>
        <w:t>A person who contravenes a condition referred to in subsection (1) commits an offence.</w:t>
      </w:r>
    </w:p>
    <w:p>
      <w:pPr>
        <w:pStyle w:val="nzPenstart"/>
      </w:pPr>
      <w:r>
        <w:tab/>
        <w:t>Penalty for this subsection: a fine of $2 000.</w:t>
      </w:r>
    </w:p>
    <w:p>
      <w:pPr>
        <w:pStyle w:val="BlankClose"/>
      </w:pPr>
    </w:p>
    <w:p>
      <w:pPr>
        <w:pStyle w:val="nzSectAltNote"/>
      </w:pPr>
      <w:r>
        <w:tab/>
        <w:t>Note:</w:t>
      </w:r>
      <w:r>
        <w:tab/>
        <w:t>The heading to amended section 65 is to read:</w:t>
      </w:r>
    </w:p>
    <w:p>
      <w:pPr>
        <w:pStyle w:val="nzSectAltHeading"/>
      </w:pPr>
      <w:r>
        <w:rPr>
          <w:b w:val="0"/>
        </w:rPr>
        <w:tab/>
      </w:r>
      <w:r>
        <w:rPr>
          <w:b w:val="0"/>
        </w:rPr>
        <w:tab/>
      </w:r>
      <w:r>
        <w:t>Conditions relating to sale and delivery of packaged liquor or liquor for consumption off licensed premises</w:t>
      </w:r>
    </w:p>
    <w:p>
      <w:pPr>
        <w:pStyle w:val="nzHeading5"/>
      </w:pPr>
      <w:bookmarkStart w:id="701" w:name="_Toc518626536"/>
      <w:bookmarkStart w:id="702" w:name="_Toc519495347"/>
      <w:r>
        <w:rPr>
          <w:rStyle w:val="CharSectno"/>
        </w:rPr>
        <w:t>38</w:t>
      </w:r>
      <w:r>
        <w:t>.</w:t>
      </w:r>
      <w:r>
        <w:tab/>
        <w:t>Section 68 amended</w:t>
      </w:r>
      <w:bookmarkEnd w:id="701"/>
      <w:bookmarkEnd w:id="702"/>
    </w:p>
    <w:p>
      <w:pPr>
        <w:pStyle w:val="nzSubsection"/>
      </w:pPr>
      <w:r>
        <w:tab/>
        <w:t>(1)</w:t>
      </w:r>
      <w:r>
        <w:tab/>
        <w:t>In section 68(1):</w:t>
      </w:r>
    </w:p>
    <w:p>
      <w:pPr>
        <w:pStyle w:val="nzIndenta"/>
      </w:pPr>
      <w:r>
        <w:tab/>
        <w:t>(a)</w:t>
      </w:r>
      <w:r>
        <w:tab/>
        <w:t>in paragraph (b)(iv) delete “section 72; and” and insert:</w:t>
      </w:r>
    </w:p>
    <w:p>
      <w:pPr>
        <w:pStyle w:val="BlankOpen"/>
      </w:pPr>
    </w:p>
    <w:p>
      <w:pPr>
        <w:pStyle w:val="nzIndenta"/>
      </w:pPr>
      <w:r>
        <w:tab/>
      </w:r>
      <w:r>
        <w:tab/>
        <w:t>section 72;</w:t>
      </w:r>
    </w:p>
    <w:p>
      <w:pPr>
        <w:pStyle w:val="BlankClose"/>
      </w:pPr>
    </w:p>
    <w:p>
      <w:pPr>
        <w:pStyle w:val="nzIndenta"/>
      </w:pPr>
      <w:r>
        <w:tab/>
        <w:t>(b)</w:t>
      </w:r>
      <w:r>
        <w:tab/>
        <w:t>delete paragraph (b)(v).</w:t>
      </w:r>
    </w:p>
    <w:p>
      <w:pPr>
        <w:pStyle w:val="nzSubsection"/>
      </w:pPr>
      <w:r>
        <w:tab/>
        <w:t>(2)</w:t>
      </w:r>
      <w:r>
        <w:tab/>
        <w:t>In section 68(2) delete “(1)(b)(iii), (iv) and (v)” and insert:</w:t>
      </w:r>
    </w:p>
    <w:p>
      <w:pPr>
        <w:pStyle w:val="BlankOpen"/>
      </w:pPr>
    </w:p>
    <w:p>
      <w:pPr>
        <w:pStyle w:val="nzSubsection"/>
      </w:pPr>
      <w:r>
        <w:tab/>
      </w:r>
      <w:r>
        <w:tab/>
        <w:t>(1)(b)(iii) and (iv)</w:t>
      </w:r>
    </w:p>
    <w:p>
      <w:pPr>
        <w:pStyle w:val="BlankClose"/>
      </w:pPr>
    </w:p>
    <w:p>
      <w:pPr>
        <w:pStyle w:val="nzHeading5"/>
      </w:pPr>
      <w:bookmarkStart w:id="703" w:name="_Toc518626537"/>
      <w:bookmarkStart w:id="704" w:name="_Toc519495348"/>
      <w:r>
        <w:rPr>
          <w:rStyle w:val="CharSectno"/>
        </w:rPr>
        <w:t>39</w:t>
      </w:r>
      <w:r>
        <w:t>.</w:t>
      </w:r>
      <w:r>
        <w:tab/>
        <w:t>Section 69 amended</w:t>
      </w:r>
      <w:bookmarkEnd w:id="703"/>
      <w:bookmarkEnd w:id="704"/>
    </w:p>
    <w:p>
      <w:pPr>
        <w:pStyle w:val="nzSubsection"/>
      </w:pPr>
      <w:r>
        <w:tab/>
        <w:t>(1)</w:t>
      </w:r>
      <w:r>
        <w:tab/>
        <w:t>In section 69(3) delete “67(5)(a)” and insert:</w:t>
      </w:r>
    </w:p>
    <w:p>
      <w:pPr>
        <w:pStyle w:val="BlankOpen"/>
      </w:pPr>
    </w:p>
    <w:p>
      <w:pPr>
        <w:pStyle w:val="nzSubsection"/>
      </w:pPr>
      <w:r>
        <w:tab/>
      </w:r>
      <w:r>
        <w:tab/>
        <w:t>67(5)</w:t>
      </w:r>
    </w:p>
    <w:p>
      <w:pPr>
        <w:pStyle w:val="BlankClose"/>
      </w:pPr>
    </w:p>
    <w:p>
      <w:pPr>
        <w:pStyle w:val="nzSubsection"/>
      </w:pPr>
      <w:r>
        <w:tab/>
        <w:t>(2)</w:t>
      </w:r>
      <w:r>
        <w:tab/>
        <w:t>Delete section 69(5).</w:t>
      </w:r>
    </w:p>
    <w:p>
      <w:pPr>
        <w:pStyle w:val="nzSubsection"/>
      </w:pPr>
      <w:r>
        <w:tab/>
        <w:t>(3)</w:t>
      </w:r>
      <w:r>
        <w:tab/>
        <w:t>In section 69(6)(c)(iv) before “any” insert:</w:t>
      </w:r>
    </w:p>
    <w:p>
      <w:pPr>
        <w:pStyle w:val="BlankOpen"/>
      </w:pPr>
    </w:p>
    <w:p>
      <w:pPr>
        <w:pStyle w:val="nzSubsection"/>
      </w:pPr>
      <w:r>
        <w:tab/>
      </w:r>
      <w:r>
        <w:tab/>
        <w:t>as to</w:t>
      </w:r>
    </w:p>
    <w:p>
      <w:pPr>
        <w:pStyle w:val="BlankClose"/>
      </w:pPr>
    </w:p>
    <w:p>
      <w:pPr>
        <w:pStyle w:val="nzSubsection"/>
      </w:pPr>
      <w:r>
        <w:tab/>
        <w:t>(4)</w:t>
      </w:r>
      <w:r>
        <w:tab/>
        <w:t>After section 69(8) insert:</w:t>
      </w:r>
    </w:p>
    <w:p>
      <w:pPr>
        <w:pStyle w:val="BlankOpen"/>
      </w:pPr>
    </w:p>
    <w:p>
      <w:pPr>
        <w:pStyle w:val="nzSubsection"/>
      </w:pPr>
      <w:r>
        <w:tab/>
        <w:t>(8AA)</w:t>
      </w:r>
      <w:r>
        <w:tab/>
        <w:t xml:space="preserve">The chief executive officer appointed under the </w:t>
      </w:r>
      <w:r>
        <w:rPr>
          <w:i/>
        </w:rPr>
        <w:t>Western Australian Tourism Commission Act 1983</w:t>
      </w:r>
      <w:r>
        <w:t xml:space="preserve"> section 17 may intervene in proceedings before the licensing authority for the purpose of introducing evidence or making representations — </w:t>
      </w:r>
    </w:p>
    <w:p>
      <w:pPr>
        <w:pStyle w:val="nzIndenta"/>
      </w:pPr>
      <w:r>
        <w:tab/>
        <w:t>(a)</w:t>
      </w:r>
      <w:r>
        <w:tab/>
        <w:t>as to whether any tourism benefits might result if a particular application is granted; and</w:t>
      </w:r>
    </w:p>
    <w:p>
      <w:pPr>
        <w:pStyle w:val="nzIndenta"/>
      </w:pPr>
      <w:r>
        <w:tab/>
        <w:t>(b)</w:t>
      </w:r>
      <w:r>
        <w:tab/>
        <w:t>as to any other matter relevant to the proper development of the tourism industry in the State.</w:t>
      </w:r>
    </w:p>
    <w:p>
      <w:pPr>
        <w:pStyle w:val="BlankClose"/>
      </w:pPr>
    </w:p>
    <w:p>
      <w:pPr>
        <w:pStyle w:val="nzHeading5"/>
      </w:pPr>
      <w:bookmarkStart w:id="705" w:name="_Toc518626544"/>
      <w:bookmarkStart w:id="706" w:name="_Toc519495355"/>
      <w:r>
        <w:rPr>
          <w:rStyle w:val="CharSectno"/>
        </w:rPr>
        <w:t>45</w:t>
      </w:r>
      <w:r>
        <w:t>.</w:t>
      </w:r>
      <w:r>
        <w:tab/>
        <w:t>Section 77A inserted</w:t>
      </w:r>
      <w:bookmarkEnd w:id="705"/>
      <w:bookmarkEnd w:id="706"/>
    </w:p>
    <w:p>
      <w:pPr>
        <w:pStyle w:val="nzSubsection"/>
      </w:pPr>
      <w:r>
        <w:tab/>
      </w:r>
      <w:r>
        <w:tab/>
        <w:t>At the end of Part 3 Division 7 insert:</w:t>
      </w:r>
    </w:p>
    <w:p>
      <w:pPr>
        <w:pStyle w:val="BlankOpen"/>
      </w:pPr>
    </w:p>
    <w:p>
      <w:pPr>
        <w:pStyle w:val="nzHeading5"/>
      </w:pPr>
      <w:bookmarkStart w:id="707" w:name="_Toc518626545"/>
      <w:bookmarkStart w:id="708" w:name="_Toc519495356"/>
      <w:r>
        <w:t>77A.</w:t>
      </w:r>
      <w:r>
        <w:tab/>
        <w:t>Restrictions on alteration or redefinition of certain packaged liquor premises</w:t>
      </w:r>
      <w:bookmarkEnd w:id="707"/>
      <w:bookmarkEnd w:id="708"/>
    </w:p>
    <w:p>
      <w:pPr>
        <w:pStyle w:val="nzSubsection"/>
      </w:pPr>
      <w:r>
        <w:tab/>
        <w:t>(1)</w:t>
      </w:r>
      <w:r>
        <w:tab/>
        <w:t xml:space="preserve">In this section — </w:t>
      </w:r>
    </w:p>
    <w:p>
      <w:pPr>
        <w:pStyle w:val="nzDefstart"/>
      </w:pPr>
      <w:r>
        <w:tab/>
      </w:r>
      <w:r>
        <w:rPr>
          <w:rStyle w:val="CharDefText"/>
        </w:rPr>
        <w:t>packaged liquor premises</w:t>
      </w:r>
      <w:r>
        <w:t xml:space="preserve"> has the meaning given in section 36B(1);</w:t>
      </w:r>
    </w:p>
    <w:p>
      <w:pPr>
        <w:pStyle w:val="nzDefstart"/>
      </w:pPr>
      <w:r>
        <w:tab/>
      </w:r>
      <w:r>
        <w:rPr>
          <w:rStyle w:val="CharDefText"/>
        </w:rPr>
        <w:t>prescribed area</w:t>
      </w:r>
      <w:r>
        <w:t xml:space="preserve"> means the area prescribed for the purposes of this section;</w:t>
      </w:r>
    </w:p>
    <w:p>
      <w:pPr>
        <w:pStyle w:val="nzDefstart"/>
      </w:pPr>
      <w:r>
        <w:tab/>
      </w:r>
      <w:r>
        <w:rPr>
          <w:rStyle w:val="CharDefText"/>
        </w:rPr>
        <w:t>prescribed distance</w:t>
      </w:r>
      <w:r>
        <w:t xml:space="preserve"> means the distance prescribed for the purposes of this section;</w:t>
      </w:r>
    </w:p>
    <w:p>
      <w:pPr>
        <w:pStyle w:val="nzDefstart"/>
      </w:pPr>
      <w:r>
        <w:tab/>
      </w:r>
      <w:r>
        <w:rPr>
          <w:rStyle w:val="CharDefText"/>
        </w:rPr>
        <w:t>retail section</w:t>
      </w:r>
      <w:r>
        <w:t>, in relation to packaged liquor premises, means the part or parts of the premises on which packaged liquor is displayed for the purposes of sale or sold.</w:t>
      </w:r>
    </w:p>
    <w:p>
      <w:pPr>
        <w:pStyle w:val="nzSubsection"/>
      </w:pPr>
      <w:r>
        <w:tab/>
        <w:t>(2)</w:t>
      </w:r>
      <w:r>
        <w:tab/>
        <w:t xml:space="preserve">Subsection (3) applies to packaged liquor premises if — </w:t>
      </w:r>
    </w:p>
    <w:p>
      <w:pPr>
        <w:pStyle w:val="nzIndenta"/>
      </w:pPr>
      <w:r>
        <w:tab/>
        <w:t>(a)</w:t>
      </w:r>
      <w:r>
        <w:tab/>
        <w:t>the premises are situated less than the prescribed distance from other packaged liquor premises; and</w:t>
      </w:r>
    </w:p>
    <w:p>
      <w:pPr>
        <w:pStyle w:val="nzIndenta"/>
      </w:pPr>
      <w:r>
        <w:tab/>
        <w:t>(b)</w:t>
      </w:r>
      <w:r>
        <w:tab/>
        <w:t>the area of the retail section of the other packaged liquor premises exceeds the prescribed area.</w:t>
      </w:r>
    </w:p>
    <w:p>
      <w:pPr>
        <w:pStyle w:val="nzSubsection"/>
      </w:pPr>
      <w:r>
        <w:tab/>
        <w:t>(3)</w:t>
      </w:r>
      <w:r>
        <w:tab/>
        <w:t xml:space="preserve">The licensing authority must not hear or determine an application made under section 77(4) in respect of packaged liquor premises to which this subsection applies — </w:t>
      </w:r>
    </w:p>
    <w:p>
      <w:pPr>
        <w:pStyle w:val="nzIndenta"/>
      </w:pPr>
      <w:r>
        <w:tab/>
        <w:t>(a)</w:t>
      </w:r>
      <w:r>
        <w:tab/>
        <w:t xml:space="preserve">if — </w:t>
      </w:r>
    </w:p>
    <w:p>
      <w:pPr>
        <w:pStyle w:val="nzIndenti"/>
      </w:pPr>
      <w:r>
        <w:tab/>
        <w:t>(i)</w:t>
      </w:r>
      <w:r>
        <w:tab/>
        <w:t>the area of the retail section of the premises does not exceed the prescribed area; and</w:t>
      </w:r>
    </w:p>
    <w:p>
      <w:pPr>
        <w:pStyle w:val="nzIndenti"/>
      </w:pPr>
      <w:r>
        <w:tab/>
        <w:t>(ii)</w:t>
      </w:r>
      <w:r>
        <w:tab/>
        <w:t>the proposed alteration or redefinition of the premises would increase the area of the retail section of the premises so that it exceeds the prescribed area;</w:t>
      </w:r>
    </w:p>
    <w:p>
      <w:pPr>
        <w:pStyle w:val="nzIndenta"/>
      </w:pPr>
      <w:r>
        <w:tab/>
      </w:r>
      <w:r>
        <w:tab/>
        <w:t>or</w:t>
      </w:r>
    </w:p>
    <w:p>
      <w:pPr>
        <w:pStyle w:val="nzIndenta"/>
      </w:pPr>
      <w:r>
        <w:tab/>
        <w:t>(b)</w:t>
      </w:r>
      <w:r>
        <w:tab/>
        <w:t xml:space="preserve">if — </w:t>
      </w:r>
    </w:p>
    <w:p>
      <w:pPr>
        <w:pStyle w:val="nzIndenti"/>
      </w:pPr>
      <w:r>
        <w:tab/>
        <w:t>(i)</w:t>
      </w:r>
      <w:r>
        <w:tab/>
        <w:t>the area of the retail section of the premises exceeds the prescribed area; and</w:t>
      </w:r>
    </w:p>
    <w:p>
      <w:pPr>
        <w:pStyle w:val="nzIndenti"/>
      </w:pPr>
      <w:r>
        <w:tab/>
        <w:t>(ii)</w:t>
      </w:r>
      <w:r>
        <w:tab/>
        <w:t>the proposed alteration or redefinition of the premises would increase the area of the retail section of the premises.</w:t>
      </w:r>
    </w:p>
    <w:p>
      <w:pPr>
        <w:pStyle w:val="nzSubsection"/>
      </w:pPr>
      <w:r>
        <w:tab/>
        <w:t>(4)</w:t>
      </w:r>
      <w:r>
        <w:tab/>
        <w:t xml:space="preserve">Regulations made for the purposes of the definition of </w:t>
      </w:r>
      <w:r>
        <w:rPr>
          <w:b/>
          <w:i/>
        </w:rPr>
        <w:t>prescribed distance</w:t>
      </w:r>
      <w:r>
        <w:t xml:space="preserve"> in subsection (1) may prescribe different distances in relation to packaged liquor premises in different areas of the State.</w:t>
      </w:r>
    </w:p>
    <w:p>
      <w:pPr>
        <w:pStyle w:val="BlankClose"/>
      </w:pPr>
    </w:p>
    <w:p>
      <w:pPr>
        <w:pStyle w:val="nzHeading5"/>
      </w:pPr>
      <w:bookmarkStart w:id="709" w:name="_Toc518626546"/>
      <w:bookmarkStart w:id="710" w:name="_Toc519495357"/>
      <w:r>
        <w:rPr>
          <w:rStyle w:val="CharSectno"/>
        </w:rPr>
        <w:t>46</w:t>
      </w:r>
      <w:r>
        <w:t>.</w:t>
      </w:r>
      <w:r>
        <w:tab/>
        <w:t>Section 95 amended</w:t>
      </w:r>
      <w:bookmarkEnd w:id="709"/>
      <w:bookmarkEnd w:id="710"/>
    </w:p>
    <w:p>
      <w:pPr>
        <w:pStyle w:val="nzSubsection"/>
      </w:pPr>
      <w:r>
        <w:tab/>
        <w:t>(1)</w:t>
      </w:r>
      <w:r>
        <w:tab/>
        <w:t>Before section 95(1) insert:</w:t>
      </w:r>
    </w:p>
    <w:p>
      <w:pPr>
        <w:pStyle w:val="BlankOpen"/>
      </w:pPr>
    </w:p>
    <w:p>
      <w:pPr>
        <w:pStyle w:val="nzSubsection"/>
      </w:pPr>
      <w:r>
        <w:tab/>
        <w:t>(1A)</w:t>
      </w:r>
      <w:r>
        <w:tab/>
        <w:t xml:space="preserve">In this section — </w:t>
      </w:r>
    </w:p>
    <w:p>
      <w:pPr>
        <w:pStyle w:val="nzDefstart"/>
      </w:pPr>
      <w:r>
        <w:tab/>
      </w:r>
      <w:r>
        <w:rPr>
          <w:rStyle w:val="CharDefText"/>
        </w:rPr>
        <w:t>employee</w:t>
      </w:r>
      <w:r>
        <w:t xml:space="preserve">, of the licensee, includes — </w:t>
      </w:r>
    </w:p>
    <w:p>
      <w:pPr>
        <w:pStyle w:val="nzDefpara"/>
      </w:pPr>
      <w:r>
        <w:tab/>
        <w:t>(a)</w:t>
      </w:r>
      <w:r>
        <w:tab/>
        <w:t>a person engaged under a contract for services by the licensee; and</w:t>
      </w:r>
    </w:p>
    <w:p>
      <w:pPr>
        <w:pStyle w:val="nzDefpara"/>
      </w:pPr>
      <w:r>
        <w:tab/>
        <w:t>(b)</w:t>
      </w:r>
      <w:r>
        <w:tab/>
        <w:t xml:space="preserve">a person who — </w:t>
      </w:r>
    </w:p>
    <w:p>
      <w:pPr>
        <w:pStyle w:val="nzDefsubpara"/>
      </w:pPr>
      <w:r>
        <w:tab/>
        <w:t>(i)</w:t>
      </w:r>
      <w:r>
        <w:tab/>
        <w:t>holds a crowd controller’s licence; and</w:t>
      </w:r>
    </w:p>
    <w:p>
      <w:pPr>
        <w:pStyle w:val="nzDefsubpara"/>
      </w:pPr>
      <w:r>
        <w:tab/>
        <w:t>(ii)</w:t>
      </w:r>
      <w:r>
        <w:tab/>
        <w:t>is employed by a crowd control agent engaged under a contract for services by the licensee or occupier or a manager of the licensed premises to supply the services of crowd controllers at those premises.</w:t>
      </w:r>
    </w:p>
    <w:p>
      <w:pPr>
        <w:pStyle w:val="BlankClose"/>
      </w:pPr>
    </w:p>
    <w:p>
      <w:pPr>
        <w:pStyle w:val="nzSubsection"/>
      </w:pPr>
      <w:r>
        <w:tab/>
        <w:t>(2)</w:t>
      </w:r>
      <w:r>
        <w:tab/>
        <w:t>In section 95(4)(k) delete “of the licensee; or” and insert:</w:t>
      </w:r>
    </w:p>
    <w:p>
      <w:pPr>
        <w:pStyle w:val="BlankOpen"/>
      </w:pPr>
    </w:p>
    <w:p>
      <w:pPr>
        <w:pStyle w:val="nzSubsection"/>
      </w:pPr>
      <w:r>
        <w:tab/>
      </w:r>
      <w:r>
        <w:tab/>
        <w:t xml:space="preserve">of — </w:t>
      </w:r>
    </w:p>
    <w:p>
      <w:pPr>
        <w:pStyle w:val="nzIndenta"/>
      </w:pPr>
      <w:r>
        <w:tab/>
        <w:t>(i)</w:t>
      </w:r>
      <w:r>
        <w:tab/>
        <w:t>the licensee; or</w:t>
      </w:r>
    </w:p>
    <w:p>
      <w:pPr>
        <w:pStyle w:val="nzIndenta"/>
      </w:pPr>
      <w:r>
        <w:tab/>
        <w:t>(ii)</w:t>
      </w:r>
      <w:r>
        <w:tab/>
        <w:t>an employee or agent of the licensee; or</w:t>
      </w:r>
    </w:p>
    <w:p>
      <w:pPr>
        <w:pStyle w:val="nzIndenta"/>
      </w:pPr>
      <w:r>
        <w:tab/>
        <w:t>(iii)</w:t>
      </w:r>
      <w:r>
        <w:tab/>
        <w:t>a person acting, or purporting to act, on behalf of the licensee;</w:t>
      </w:r>
    </w:p>
    <w:p>
      <w:pPr>
        <w:pStyle w:val="nzSubsection"/>
      </w:pPr>
      <w:r>
        <w:tab/>
      </w:r>
      <w:r>
        <w:tab/>
        <w:t>or</w:t>
      </w:r>
    </w:p>
    <w:p>
      <w:pPr>
        <w:pStyle w:val="nzSubsection"/>
      </w:pPr>
      <w:r>
        <w:tab/>
        <w:t>(3)</w:t>
      </w:r>
      <w:r>
        <w:tab/>
        <w:t>After section 95(11) insert:</w:t>
      </w:r>
    </w:p>
    <w:p>
      <w:pPr>
        <w:pStyle w:val="BlankOpen"/>
      </w:pPr>
    </w:p>
    <w:p>
      <w:pPr>
        <w:pStyle w:val="nzSubsection"/>
      </w:pPr>
      <w:r>
        <w:tab/>
        <w:t>(12)</w:t>
      </w:r>
      <w:r>
        <w:tab/>
        <w:t>The hearing of a complaint lodged under this section must be in public unless the Commission considers that, in the circumstances of the case, the hearing should be in private.</w:t>
      </w:r>
    </w:p>
    <w:p>
      <w:pPr>
        <w:pStyle w:val="BlankClose"/>
      </w:pPr>
    </w:p>
    <w:p>
      <w:pPr>
        <w:pStyle w:val="nzHeading5"/>
      </w:pPr>
      <w:bookmarkStart w:id="711" w:name="_Toc518626554"/>
      <w:bookmarkStart w:id="712" w:name="_Toc519495365"/>
      <w:r>
        <w:rPr>
          <w:rStyle w:val="CharSectno"/>
        </w:rPr>
        <w:t>53</w:t>
      </w:r>
      <w:r>
        <w:t>.</w:t>
      </w:r>
      <w:r>
        <w:tab/>
        <w:t>Section 109A inserted</w:t>
      </w:r>
      <w:bookmarkEnd w:id="711"/>
      <w:bookmarkEnd w:id="712"/>
    </w:p>
    <w:p>
      <w:pPr>
        <w:pStyle w:val="nzSubsection"/>
      </w:pPr>
      <w:r>
        <w:tab/>
      </w:r>
      <w:r>
        <w:tab/>
        <w:t>After section 109 insert:</w:t>
      </w:r>
    </w:p>
    <w:p>
      <w:pPr>
        <w:pStyle w:val="BlankOpen"/>
      </w:pPr>
    </w:p>
    <w:p>
      <w:pPr>
        <w:pStyle w:val="nzHeading5"/>
      </w:pPr>
      <w:bookmarkStart w:id="713" w:name="_Toc518626555"/>
      <w:bookmarkStart w:id="714" w:name="_Toc519495366"/>
      <w:r>
        <w:t>109A.</w:t>
      </w:r>
      <w:r>
        <w:tab/>
        <w:t>Offence to carry liquor in excess of prescribed quantity in prescribed area of State</w:t>
      </w:r>
      <w:bookmarkEnd w:id="713"/>
      <w:bookmarkEnd w:id="714"/>
    </w:p>
    <w:p>
      <w:pPr>
        <w:pStyle w:val="nzSubsection"/>
      </w:pPr>
      <w:r>
        <w:tab/>
        <w:t>(1)</w:t>
      </w:r>
      <w:r>
        <w:tab/>
        <w:t xml:space="preserve">In this section — </w:t>
      </w:r>
    </w:p>
    <w:p>
      <w:pPr>
        <w:pStyle w:val="nzDefstart"/>
      </w:pPr>
      <w:r>
        <w:tab/>
      </w:r>
      <w:r>
        <w:rPr>
          <w:rStyle w:val="CharDefText"/>
        </w:rPr>
        <w:t>driver</w:t>
      </w:r>
      <w:r>
        <w:t>, in relation to a vehicle, means a person who has control over the steering, movement or propulsion of the vehicle;</w:t>
      </w:r>
    </w:p>
    <w:p>
      <w:pPr>
        <w:pStyle w:val="nzDefstart"/>
      </w:pPr>
      <w:r>
        <w:tab/>
      </w:r>
      <w:r>
        <w:rPr>
          <w:rStyle w:val="CharDefText"/>
        </w:rPr>
        <w:t>vehicle</w:t>
      </w:r>
      <w:r>
        <w:t>, without limiting the definition of that term in section 3(1), includes a trailer, semi</w:t>
      </w:r>
      <w:r>
        <w:noBreakHyphen/>
        <w:t>trailer or caravan attached to another vehicle.</w:t>
      </w:r>
    </w:p>
    <w:p>
      <w:pPr>
        <w:pStyle w:val="nzSubsection"/>
      </w:pPr>
      <w:r>
        <w:tab/>
        <w:t>(2)</w:t>
      </w:r>
      <w:r>
        <w:tab/>
        <w:t>A person who, in a prescribed area of the State, carries a kind of liquor in a quantity that exceeds the quantity prescribed for that kind of liquor commits an offence.</w:t>
      </w:r>
    </w:p>
    <w:p>
      <w:pPr>
        <w:pStyle w:val="nzPenstart"/>
      </w:pPr>
      <w:r>
        <w:tab/>
        <w:t>Penalty for this subsection: a fine of $10 000.</w:t>
      </w:r>
    </w:p>
    <w:p>
      <w:pPr>
        <w:pStyle w:val="nzSubsection"/>
      </w:pPr>
      <w:r>
        <w:tab/>
        <w:t>(3)</w:t>
      </w:r>
      <w:r>
        <w:tab/>
        <w:t>For the purposes of subsection (2), if liquor is carried in or on a vehicle the driver of the vehicle is taken to be the person who carries the liquor.</w:t>
      </w:r>
    </w:p>
    <w:p>
      <w:pPr>
        <w:pStyle w:val="nzSubsection"/>
      </w:pPr>
      <w:r>
        <w:tab/>
        <w:t>(4)</w:t>
      </w:r>
      <w:r>
        <w:tab/>
        <w:t xml:space="preserve">It is a defence to a charge of an offence under subsection (2) to prove that the liquor was carried — </w:t>
      </w:r>
    </w:p>
    <w:p>
      <w:pPr>
        <w:pStyle w:val="nzIndenta"/>
      </w:pPr>
      <w:r>
        <w:tab/>
        <w:t>(a)</w:t>
      </w:r>
      <w:r>
        <w:tab/>
        <w:t>for the purpose of a sale that may lawfully be made; or</w:t>
      </w:r>
    </w:p>
    <w:p>
      <w:pPr>
        <w:pStyle w:val="nzIndenta"/>
      </w:pPr>
      <w:r>
        <w:tab/>
        <w:t>(b)</w:t>
      </w:r>
      <w:r>
        <w:tab/>
        <w:t>by a person of a prescribed class; or</w:t>
      </w:r>
    </w:p>
    <w:p>
      <w:pPr>
        <w:pStyle w:val="nzIndenta"/>
      </w:pPr>
      <w:r>
        <w:tab/>
        <w:t>(c)</w:t>
      </w:r>
      <w:r>
        <w:tab/>
        <w:t>in or on a vehicle of a prescribed class; or</w:t>
      </w:r>
    </w:p>
    <w:p>
      <w:pPr>
        <w:pStyle w:val="nzIndenta"/>
      </w:pPr>
      <w:r>
        <w:tab/>
        <w:t>(d)</w:t>
      </w:r>
      <w:r>
        <w:tab/>
        <w:t>in prescribed circumstances.</w:t>
      </w:r>
    </w:p>
    <w:p>
      <w:pPr>
        <w:pStyle w:val="nzSubsection"/>
      </w:pPr>
      <w:r>
        <w:tab/>
        <w:t>(5)</w:t>
      </w:r>
      <w:r>
        <w:tab/>
        <w:t>Regulations made for the purposes of subsection (2) may prescribe different quantities for different areas of the State.</w:t>
      </w:r>
    </w:p>
    <w:p>
      <w:pPr>
        <w:pStyle w:val="BlankClose"/>
      </w:pPr>
    </w:p>
    <w:p>
      <w:pPr>
        <w:pStyle w:val="nzHeading5"/>
      </w:pPr>
      <w:bookmarkStart w:id="715" w:name="_Toc518626558"/>
      <w:bookmarkStart w:id="716" w:name="_Toc519495369"/>
      <w:r>
        <w:rPr>
          <w:rStyle w:val="CharSectno"/>
        </w:rPr>
        <w:t>56</w:t>
      </w:r>
      <w:r>
        <w:t>.</w:t>
      </w:r>
      <w:r>
        <w:tab/>
        <w:t>Section 115 amended</w:t>
      </w:r>
      <w:bookmarkEnd w:id="715"/>
      <w:bookmarkEnd w:id="716"/>
    </w:p>
    <w:p>
      <w:pPr>
        <w:pStyle w:val="nzSubsection"/>
      </w:pPr>
      <w:r>
        <w:tab/>
        <w:t>(1)</w:t>
      </w:r>
      <w:r>
        <w:tab/>
        <w:t>In section 115(1) and (2) in the Penalty delete “Penalty:” and insert:</w:t>
      </w:r>
    </w:p>
    <w:p>
      <w:pPr>
        <w:pStyle w:val="BlankOpen"/>
      </w:pPr>
    </w:p>
    <w:p>
      <w:pPr>
        <w:pStyle w:val="nzSubsection"/>
      </w:pPr>
      <w:r>
        <w:tab/>
      </w:r>
      <w:r>
        <w:tab/>
        <w:t>Penalty for this subsection:</w:t>
      </w:r>
    </w:p>
    <w:p>
      <w:pPr>
        <w:pStyle w:val="BlankClose"/>
      </w:pPr>
    </w:p>
    <w:p>
      <w:pPr>
        <w:pStyle w:val="nzSubsection"/>
      </w:pPr>
      <w:r>
        <w:tab/>
        <w:t>(2)</w:t>
      </w:r>
      <w:r>
        <w:tab/>
        <w:t>After section 115(4a) insert:</w:t>
      </w:r>
    </w:p>
    <w:p>
      <w:pPr>
        <w:pStyle w:val="BlankOpen"/>
      </w:pPr>
    </w:p>
    <w:p>
      <w:pPr>
        <w:pStyle w:val="nzSubsection"/>
      </w:pPr>
      <w:r>
        <w:tab/>
        <w:t>(4B)</w:t>
      </w:r>
      <w:r>
        <w:tab/>
        <w:t>A person commits an offence if the person does not leave licensed premises or a part of licensed premises after being required under subsection (4)(b) to do so.</w:t>
      </w:r>
    </w:p>
    <w:p>
      <w:pPr>
        <w:pStyle w:val="nzPenstart"/>
      </w:pPr>
      <w:r>
        <w:tab/>
        <w:t>Penalty for this subsection: a fine of $5 000.</w:t>
      </w:r>
    </w:p>
    <w:p>
      <w:pPr>
        <w:pStyle w:val="BlankClose"/>
      </w:pPr>
    </w:p>
    <w:p>
      <w:pPr>
        <w:pStyle w:val="nzSubsection"/>
      </w:pPr>
      <w:r>
        <w:tab/>
        <w:t>(3)</w:t>
      </w:r>
      <w:r>
        <w:tab/>
        <w:t>In section 115(5):</w:t>
      </w:r>
    </w:p>
    <w:p>
      <w:pPr>
        <w:pStyle w:val="nzIndenta"/>
      </w:pPr>
      <w:r>
        <w:tab/>
        <w:t>(a)</w:t>
      </w:r>
      <w:r>
        <w:tab/>
        <w:t>delete “A person who —” and insert:</w:t>
      </w:r>
    </w:p>
    <w:p>
      <w:pPr>
        <w:pStyle w:val="BlankOpen"/>
      </w:pPr>
    </w:p>
    <w:p>
      <w:pPr>
        <w:pStyle w:val="nzIndenta"/>
      </w:pPr>
      <w:r>
        <w:tab/>
      </w:r>
      <w:r>
        <w:tab/>
        <w:t xml:space="preserve">A person commits an offence if the person — </w:t>
      </w:r>
    </w:p>
    <w:p>
      <w:pPr>
        <w:pStyle w:val="BlankClose"/>
      </w:pPr>
    </w:p>
    <w:p>
      <w:pPr>
        <w:pStyle w:val="nzIndenta"/>
      </w:pPr>
      <w:r>
        <w:tab/>
        <w:t>(b)</w:t>
      </w:r>
      <w:r>
        <w:tab/>
        <w:t>in paragraph (b) delete “closed; or” and insert:</w:t>
      </w:r>
    </w:p>
    <w:p>
      <w:pPr>
        <w:pStyle w:val="BlankOpen"/>
      </w:pPr>
    </w:p>
    <w:p>
      <w:pPr>
        <w:pStyle w:val="nzIndenta"/>
      </w:pPr>
      <w:r>
        <w:tab/>
      </w:r>
      <w:r>
        <w:tab/>
        <w:t>closed.</w:t>
      </w:r>
    </w:p>
    <w:p>
      <w:pPr>
        <w:pStyle w:val="BlankClose"/>
      </w:pPr>
    </w:p>
    <w:p>
      <w:pPr>
        <w:pStyle w:val="nzIndenta"/>
      </w:pPr>
      <w:r>
        <w:tab/>
        <w:t>(c)</w:t>
      </w:r>
      <w:r>
        <w:tab/>
        <w:t>delete paragraph (c);</w:t>
      </w:r>
    </w:p>
    <w:p>
      <w:pPr>
        <w:pStyle w:val="nzIndenta"/>
      </w:pPr>
      <w:r>
        <w:tab/>
        <w:t>(d)</w:t>
      </w:r>
      <w:r>
        <w:tab/>
        <w:t>delete “commits an offence.”.</w:t>
      </w:r>
    </w:p>
    <w:p>
      <w:pPr>
        <w:pStyle w:val="nzSubsection"/>
      </w:pPr>
      <w:r>
        <w:tab/>
        <w:t>(4)</w:t>
      </w:r>
      <w:r>
        <w:tab/>
        <w:t>In section 115(5) in the Penalty delete “Penalty:” and insert:</w:t>
      </w:r>
    </w:p>
    <w:p>
      <w:pPr>
        <w:pStyle w:val="BlankOpen"/>
      </w:pPr>
    </w:p>
    <w:p>
      <w:pPr>
        <w:pStyle w:val="nzSubsection"/>
      </w:pPr>
      <w:r>
        <w:tab/>
      </w:r>
      <w:r>
        <w:tab/>
        <w:t>Penalty for this subsection:</w:t>
      </w:r>
    </w:p>
    <w:p>
      <w:pPr>
        <w:pStyle w:val="BlankClose"/>
      </w:pPr>
    </w:p>
    <w:p>
      <w:pPr>
        <w:pStyle w:val="nzSubsection"/>
      </w:pPr>
      <w:r>
        <w:tab/>
        <w:t>(5)</w:t>
      </w:r>
      <w:r>
        <w:tab/>
        <w:t>In section 115(6) delete the Penalty and insert:</w:t>
      </w:r>
    </w:p>
    <w:p>
      <w:pPr>
        <w:pStyle w:val="BlankOpen"/>
      </w:pPr>
    </w:p>
    <w:p>
      <w:pPr>
        <w:pStyle w:val="nzPenstart"/>
      </w:pPr>
      <w:r>
        <w:tab/>
        <w:t>Penalty for this subsection: a fine of $5 000.</w:t>
      </w:r>
    </w:p>
    <w:p>
      <w:pPr>
        <w:pStyle w:val="BlankClose"/>
      </w:pPr>
    </w:p>
    <w:p>
      <w:pPr>
        <w:pStyle w:val="nzSubsection"/>
      </w:pPr>
      <w:r>
        <w:tab/>
        <w:t>(6)</w:t>
      </w:r>
      <w:r>
        <w:tab/>
        <w:t>In section 115(7) in the Penalty delete “Penalty:” and insert:</w:t>
      </w:r>
    </w:p>
    <w:p>
      <w:pPr>
        <w:pStyle w:val="BlankOpen"/>
      </w:pPr>
    </w:p>
    <w:p>
      <w:pPr>
        <w:pStyle w:val="nzSubsection"/>
      </w:pPr>
      <w:r>
        <w:tab/>
      </w:r>
      <w:r>
        <w:tab/>
        <w:t>Penalty for this subsection:</w:t>
      </w:r>
    </w:p>
    <w:p>
      <w:pPr>
        <w:pStyle w:val="BlankClose"/>
      </w:pPr>
    </w:p>
    <w:p>
      <w:pPr>
        <w:pStyle w:val="nzHeading5"/>
      </w:pPr>
      <w:bookmarkStart w:id="717" w:name="_Toc518626562"/>
      <w:bookmarkStart w:id="718" w:name="_Toc519495373"/>
      <w:r>
        <w:rPr>
          <w:rStyle w:val="CharSectno"/>
        </w:rPr>
        <w:t>60</w:t>
      </w:r>
      <w:r>
        <w:t>.</w:t>
      </w:r>
      <w:r>
        <w:tab/>
        <w:t>Section 120 amended</w:t>
      </w:r>
      <w:bookmarkEnd w:id="717"/>
      <w:bookmarkEnd w:id="718"/>
    </w:p>
    <w:p>
      <w:pPr>
        <w:pStyle w:val="nzSubsection"/>
      </w:pPr>
      <w:r>
        <w:tab/>
      </w:r>
      <w:r>
        <w:tab/>
        <w:t>In section 120(1)(a)(i) delete “constitution or”.</w:t>
      </w:r>
    </w:p>
    <w:p>
      <w:pPr>
        <w:pStyle w:val="nzHeading5"/>
      </w:pPr>
      <w:bookmarkStart w:id="719" w:name="_Toc518626564"/>
      <w:bookmarkStart w:id="720" w:name="_Toc519495375"/>
      <w:r>
        <w:rPr>
          <w:rStyle w:val="CharSectno"/>
        </w:rPr>
        <w:t>62</w:t>
      </w:r>
      <w:r>
        <w:t>.</w:t>
      </w:r>
      <w:r>
        <w:tab/>
        <w:t>Section 155 amended</w:t>
      </w:r>
      <w:bookmarkEnd w:id="719"/>
      <w:bookmarkEnd w:id="720"/>
    </w:p>
    <w:p>
      <w:pPr>
        <w:pStyle w:val="nzSubsection"/>
      </w:pPr>
      <w:r>
        <w:tab/>
        <w:t>(1)</w:t>
      </w:r>
      <w:r>
        <w:tab/>
        <w:t>After section 155(5) insert:</w:t>
      </w:r>
    </w:p>
    <w:p>
      <w:pPr>
        <w:pStyle w:val="BlankOpen"/>
      </w:pPr>
    </w:p>
    <w:p>
      <w:pPr>
        <w:pStyle w:val="nzSubsection"/>
      </w:pPr>
      <w:r>
        <w:tab/>
        <w:t>(5A)</w:t>
      </w:r>
      <w:r>
        <w:tab/>
        <w:t>If a person is contravening section 109A(2) a member of the Police Force may, subject to subsection (5B), seize an opened or unopened container of liquor involved in the contravention.</w:t>
      </w:r>
    </w:p>
    <w:p>
      <w:pPr>
        <w:pStyle w:val="nzSubsection"/>
      </w:pPr>
      <w:r>
        <w:tab/>
        <w:t>(5B)</w:t>
      </w:r>
      <w:r>
        <w:tab/>
        <w:t>The total quantity of a kind of liquor in any containers seized under subsection (5A) must not exceed the seizable quantity for that kind of liquor.</w:t>
      </w:r>
    </w:p>
    <w:p>
      <w:pPr>
        <w:pStyle w:val="nzSubsection"/>
      </w:pPr>
      <w:r>
        <w:tab/>
        <w:t>(5C)</w:t>
      </w:r>
      <w:r>
        <w:tab/>
        <w:t xml:space="preserve">In subsection (5B) — </w:t>
      </w:r>
    </w:p>
    <w:p>
      <w:pPr>
        <w:pStyle w:val="nzDefstart"/>
      </w:pPr>
      <w:r>
        <w:tab/>
      </w:r>
      <w:r>
        <w:rPr>
          <w:rStyle w:val="CharDefText"/>
        </w:rPr>
        <w:t>seizable quantity</w:t>
      </w:r>
      <w:r>
        <w:t>, for a kind of liquor, means the quantity representing the difference between the total quantity of that kind of liquor involved in the contravention and the quantity prescribed for that kind of liquor under section 109A(2).</w:t>
      </w:r>
    </w:p>
    <w:p>
      <w:pPr>
        <w:pStyle w:val="BlankClose"/>
      </w:pPr>
    </w:p>
    <w:p>
      <w:pPr>
        <w:pStyle w:val="nzSubsection"/>
      </w:pPr>
      <w:r>
        <w:tab/>
        <w:t>(2)</w:t>
      </w:r>
      <w:r>
        <w:tab/>
        <w:t>In section 155(7)(b)(ii) delete “believes” and insert:</w:t>
      </w:r>
    </w:p>
    <w:p>
      <w:pPr>
        <w:pStyle w:val="BlankOpen"/>
      </w:pPr>
    </w:p>
    <w:p>
      <w:pPr>
        <w:pStyle w:val="nzSubsection"/>
      </w:pPr>
      <w:r>
        <w:tab/>
      </w:r>
      <w:r>
        <w:tab/>
        <w:t>suspects</w:t>
      </w:r>
    </w:p>
    <w:p>
      <w:pPr>
        <w:pStyle w:val="BlankClose"/>
      </w:pPr>
    </w:p>
    <w:p>
      <w:pPr>
        <w:pStyle w:val="nzSubsection"/>
      </w:pPr>
      <w:r>
        <w:tab/>
        <w:t>(3)</w:t>
      </w:r>
      <w:r>
        <w:tab/>
        <w:t>In section 155(9) after “subsection” (2</w:t>
      </w:r>
      <w:r>
        <w:rPr>
          <w:vertAlign w:val="superscript"/>
        </w:rPr>
        <w:t>nd</w:t>
      </w:r>
      <w:r>
        <w:t xml:space="preserve"> occurrence) insert:</w:t>
      </w:r>
    </w:p>
    <w:p>
      <w:pPr>
        <w:pStyle w:val="BlankOpen"/>
      </w:pPr>
    </w:p>
    <w:p>
      <w:pPr>
        <w:pStyle w:val="nzSubsection"/>
      </w:pPr>
      <w:r>
        <w:tab/>
      </w:r>
      <w:r>
        <w:tab/>
        <w:t>(5A),</w:t>
      </w:r>
    </w:p>
    <w:p>
      <w:pPr>
        <w:pStyle w:val="BlankClose"/>
      </w:pPr>
    </w:p>
    <w:p>
      <w:pPr>
        <w:pStyle w:val="nzHeading5"/>
      </w:pPr>
      <w:bookmarkStart w:id="721" w:name="_Toc518626565"/>
      <w:bookmarkStart w:id="722" w:name="_Toc519495376"/>
      <w:r>
        <w:rPr>
          <w:rStyle w:val="CharSectno"/>
        </w:rPr>
        <w:t>63</w:t>
      </w:r>
      <w:r>
        <w:t>.</w:t>
      </w:r>
      <w:r>
        <w:tab/>
        <w:t>Section 167 amended</w:t>
      </w:r>
      <w:bookmarkEnd w:id="721"/>
      <w:bookmarkEnd w:id="722"/>
    </w:p>
    <w:p>
      <w:pPr>
        <w:pStyle w:val="nzSubsection"/>
      </w:pPr>
      <w:r>
        <w:tab/>
        <w:t>(1)</w:t>
      </w:r>
      <w:r>
        <w:tab/>
        <w:t>In section 167(1) insert in alphabetical order:</w:t>
      </w:r>
    </w:p>
    <w:p>
      <w:pPr>
        <w:pStyle w:val="BlankOpen"/>
      </w:pPr>
    </w:p>
    <w:p>
      <w:pPr>
        <w:pStyle w:val="nzDefstart"/>
      </w:pPr>
      <w:r>
        <w:tab/>
      </w:r>
      <w:r>
        <w:rPr>
          <w:rStyle w:val="CharDefText"/>
        </w:rPr>
        <w:t>approved form</w:t>
      </w:r>
      <w:r>
        <w:t xml:space="preserve"> means the form approved by the Director;</w:t>
      </w:r>
    </w:p>
    <w:p>
      <w:pPr>
        <w:pStyle w:val="BlankClose"/>
      </w:pPr>
    </w:p>
    <w:p>
      <w:pPr>
        <w:pStyle w:val="nzSubsection"/>
      </w:pPr>
      <w:r>
        <w:tab/>
        <w:t>(2)</w:t>
      </w:r>
      <w:r>
        <w:tab/>
        <w:t xml:space="preserve">In section 167(1) in the definition of </w:t>
      </w:r>
      <w:r>
        <w:rPr>
          <w:b/>
          <w:i/>
        </w:rPr>
        <w:t>infringement notice</w:t>
      </w:r>
      <w:r>
        <w:t xml:space="preserve"> delete “a notice” and insert:</w:t>
      </w:r>
    </w:p>
    <w:p>
      <w:pPr>
        <w:pStyle w:val="BlankOpen"/>
      </w:pPr>
    </w:p>
    <w:p>
      <w:pPr>
        <w:pStyle w:val="nzSubsection"/>
      </w:pPr>
      <w:r>
        <w:tab/>
      </w:r>
      <w:r>
        <w:tab/>
        <w:t>an infringement notice</w:t>
      </w:r>
    </w:p>
    <w:p>
      <w:pPr>
        <w:pStyle w:val="BlankClose"/>
      </w:pPr>
    </w:p>
    <w:p>
      <w:pPr>
        <w:pStyle w:val="nzSubsection"/>
      </w:pPr>
      <w:r>
        <w:tab/>
        <w:t>(3)</w:t>
      </w:r>
      <w:r>
        <w:tab/>
        <w:t>In section 167(2) delete the passage that begins with “a notice” and ends with “in the notice.” and insert:</w:t>
      </w:r>
    </w:p>
    <w:p>
      <w:pPr>
        <w:pStyle w:val="BlankOpen"/>
      </w:pPr>
    </w:p>
    <w:p>
      <w:pPr>
        <w:pStyle w:val="nzSubsection"/>
      </w:pPr>
      <w:r>
        <w:tab/>
      </w:r>
      <w:r>
        <w:tab/>
        <w:t>an infringement notice.</w:t>
      </w:r>
    </w:p>
    <w:p>
      <w:pPr>
        <w:pStyle w:val="BlankClose"/>
      </w:pPr>
    </w:p>
    <w:p>
      <w:pPr>
        <w:pStyle w:val="nzSubsection"/>
      </w:pPr>
      <w:r>
        <w:tab/>
        <w:t>(4)</w:t>
      </w:r>
      <w:r>
        <w:tab/>
        <w:t>After section 167(2) insert:</w:t>
      </w:r>
    </w:p>
    <w:p>
      <w:pPr>
        <w:pStyle w:val="BlankOpen"/>
      </w:pPr>
    </w:p>
    <w:p>
      <w:pPr>
        <w:pStyle w:val="nzSubsection"/>
      </w:pPr>
      <w:r>
        <w:tab/>
        <w:t>(2A)</w:t>
      </w:r>
      <w:r>
        <w:tab/>
        <w:t xml:space="preserve">An infringement notice must be in the approved form and must — </w:t>
      </w:r>
    </w:p>
    <w:p>
      <w:pPr>
        <w:pStyle w:val="nzIndenta"/>
      </w:pPr>
      <w:r>
        <w:tab/>
        <w:t>(a)</w:t>
      </w:r>
      <w:r>
        <w:tab/>
        <w:t>contain a description of the alleged offence; and</w:t>
      </w:r>
    </w:p>
    <w:p>
      <w:pPr>
        <w:pStyle w:val="nz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nzIndenta"/>
      </w:pPr>
      <w:r>
        <w:tab/>
        <w:t>(c)</w:t>
      </w:r>
      <w:r>
        <w:tab/>
        <w:t>inform the alleged offender as to who are authorised persons for the purposes of receiving payment of modified penalties.</w:t>
      </w:r>
    </w:p>
    <w:p>
      <w:pPr>
        <w:pStyle w:val="BlankClose"/>
      </w:pPr>
    </w:p>
    <w:p>
      <w:pPr>
        <w:pStyle w:val="nzSubsection"/>
      </w:pPr>
      <w:r>
        <w:tab/>
        <w:t>(5)</w:t>
      </w:r>
      <w:r>
        <w:tab/>
        <w:t>In section 167(5) delete “prescribed” and insert:</w:t>
      </w:r>
    </w:p>
    <w:p>
      <w:pPr>
        <w:pStyle w:val="BlankOpen"/>
      </w:pPr>
    </w:p>
    <w:p>
      <w:pPr>
        <w:pStyle w:val="nzSubsection"/>
      </w:pPr>
      <w:r>
        <w:tab/>
      </w:r>
      <w:r>
        <w:tab/>
        <w:t>approved</w:t>
      </w:r>
    </w:p>
    <w:p>
      <w:pPr>
        <w:pStyle w:val="BlankClose"/>
      </w:pPr>
    </w:p>
    <w:p>
      <w:pPr>
        <w:pStyle w:val="BlankClose"/>
      </w:pPr>
    </w:p>
    <w:p/>
    <w:p>
      <w:pPr>
        <w:sectPr>
          <w:headerReference w:type="even" r:id="rId29"/>
          <w:headerReference w:type="default" r:id="rId30"/>
          <w:pgSz w:w="11907" w:h="16840" w:code="9"/>
          <w:pgMar w:top="2376" w:right="2405" w:bottom="3542" w:left="2405" w:header="706" w:footer="3380" w:gutter="0"/>
          <w:cols w:space="720"/>
          <w:noEndnote/>
          <w:docGrid w:linePitch="326"/>
        </w:sectPr>
      </w:pPr>
    </w:p>
    <w:bookmarkEnd w:id="662"/>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3 unrelated adults</w:t>
      </w:r>
      <w:r>
        <w:tab/>
        <w:t>117(2b)</w:t>
      </w:r>
    </w:p>
    <w:p>
      <w:pPr>
        <w:pStyle w:val="DefinedTerms"/>
      </w:pPr>
      <w:r>
        <w:t>Act</w:t>
      </w:r>
      <w:r>
        <w:tab/>
        <w:t>Sch. 1 cl. 1(1)</w:t>
      </w:r>
    </w:p>
    <w:p>
      <w:pPr>
        <w:pStyle w:val="DefinedTerms"/>
      </w:pPr>
      <w:r>
        <w:t>alleged offence</w:t>
      </w:r>
      <w:r>
        <w:tab/>
        <w:t>167(1)</w:t>
      </w:r>
    </w:p>
    <w:p>
      <w:pPr>
        <w:pStyle w:val="DefinedTerms"/>
      </w:pPr>
      <w:r>
        <w:t>alleged offender</w:t>
      </w:r>
      <w:r>
        <w:tab/>
        <w:t>167(1)</w:t>
      </w:r>
    </w:p>
    <w:p>
      <w:pPr>
        <w:pStyle w:val="DefinedTerms"/>
      </w:pPr>
      <w:r>
        <w:t>applicable day</w:t>
      </w:r>
      <w:r>
        <w:tab/>
        <w:t>65A(1)</w:t>
      </w:r>
    </w:p>
    <w:p>
      <w:pPr>
        <w:pStyle w:val="DefinedTerms"/>
      </w:pPr>
      <w:r>
        <w:t>applicant</w:t>
      </w:r>
      <w:r>
        <w:tab/>
        <w:t>152N, Sch. 1B cl. 4(1)</w:t>
      </w:r>
    </w:p>
    <w:p>
      <w:pPr>
        <w:pStyle w:val="DefinedTerms"/>
      </w:pPr>
      <w:r>
        <w:t>application</w:t>
      </w:r>
      <w:r>
        <w:tab/>
        <w:t>152W(1), Sch. 1 cl. 1(1)</w:t>
      </w:r>
    </w:p>
    <w:p>
      <w:pPr>
        <w:pStyle w:val="DefinedTerms"/>
      </w:pPr>
      <w:r>
        <w:t>appointed day</w:t>
      </w:r>
      <w:r>
        <w:tab/>
        <w:t>Sch. 1 cl. 1(1)</w:t>
      </w:r>
    </w:p>
    <w:p>
      <w:pPr>
        <w:pStyle w:val="DefinedTerms"/>
      </w:pPr>
      <w:r>
        <w:t>approved manager</w:t>
      </w:r>
      <w:r>
        <w:tab/>
        <w:t>102A, Sch. 1B cl. 1</w:t>
      </w:r>
    </w:p>
    <w:p>
      <w:pPr>
        <w:pStyle w:val="DefinedTerms"/>
      </w:pPr>
      <w:r>
        <w:t>approved restricted manager</w:t>
      </w:r>
      <w:r>
        <w:tab/>
        <w:t>3(1)</w:t>
      </w:r>
    </w:p>
    <w:p>
      <w:pPr>
        <w:pStyle w:val="DefinedTerms"/>
      </w:pPr>
      <w:r>
        <w:t>approved unrestricted manager</w:t>
      </w:r>
      <w:r>
        <w:tab/>
        <w:t>3(1)</w:t>
      </w:r>
    </w:p>
    <w:p>
      <w:pPr>
        <w:pStyle w:val="DefinedTerms"/>
      </w:pPr>
      <w:r>
        <w:t>assessment</w:t>
      </w:r>
      <w:r>
        <w:tab/>
        <w:t>3(1)</w:t>
      </w:r>
    </w:p>
    <w:p>
      <w:pPr>
        <w:pStyle w:val="DefinedTerms"/>
      </w:pPr>
      <w:r>
        <w:t>Association</w:t>
      </w:r>
      <w:r>
        <w:tab/>
        <w:t>Sch. 2 cl. 1</w:t>
      </w:r>
    </w:p>
    <w:p>
      <w:pPr>
        <w:pStyle w:val="DefinedTerms"/>
      </w:pPr>
      <w:r>
        <w:t>authorised officer</w:t>
      </w:r>
      <w:r>
        <w:tab/>
        <w:t>3(1)</w:t>
      </w:r>
    </w:p>
    <w:p>
      <w:pPr>
        <w:pStyle w:val="DefinedTerms"/>
      </w:pPr>
      <w:r>
        <w:t>authorised person</w:t>
      </w:r>
      <w:r>
        <w:tab/>
        <w:t>3(1)</w:t>
      </w:r>
    </w:p>
    <w:p>
      <w:pPr>
        <w:pStyle w:val="DefinedTerms"/>
      </w:pPr>
      <w:r>
        <w:t>beer</w:t>
      </w:r>
      <w:r>
        <w:tab/>
        <w:t>3(1)</w:t>
      </w:r>
    </w:p>
    <w:p>
      <w:pPr>
        <w:pStyle w:val="DefinedTerms"/>
      </w:pPr>
      <w:r>
        <w:t>buyer</w:t>
      </w:r>
      <w:r>
        <w:tab/>
        <w:t>109(4A)</w:t>
      </w:r>
    </w:p>
    <w:p>
      <w:pPr>
        <w:pStyle w:val="DefinedTerms"/>
      </w:pPr>
      <w:r>
        <w:t>casino</w:t>
      </w:r>
      <w:r>
        <w:tab/>
        <w:t>3(1)</w:t>
      </w:r>
    </w:p>
    <w:p>
      <w:pPr>
        <w:pStyle w:val="DefinedTerms"/>
      </w:pPr>
      <w:r>
        <w:t>casino complex</w:t>
      </w:r>
      <w:r>
        <w:tab/>
        <w:t>3(1)</w:t>
      </w:r>
    </w:p>
    <w:p>
      <w:pPr>
        <w:pStyle w:val="DefinedTerms"/>
      </w:pPr>
      <w:r>
        <w:t>casino complex agreement</w:t>
      </w:r>
      <w:r>
        <w:tab/>
        <w:t>3(1)</w:t>
      </w:r>
    </w:p>
    <w:p>
      <w:pPr>
        <w:pStyle w:val="DefinedTerms"/>
      </w:pPr>
      <w:r>
        <w:t>casino gaming licence</w:t>
      </w:r>
      <w:r>
        <w:tab/>
        <w:t>3(1)</w:t>
      </w:r>
    </w:p>
    <w:p>
      <w:pPr>
        <w:pStyle w:val="DefinedTerms"/>
      </w:pPr>
      <w:r>
        <w:t>casino liquor licence</w:t>
      </w:r>
      <w:r>
        <w:tab/>
        <w:t>3(1)</w:t>
      </w:r>
    </w:p>
    <w:p>
      <w:pPr>
        <w:pStyle w:val="DefinedTerms"/>
      </w:pPr>
      <w:r>
        <w:t>cellar door permit</w:t>
      </w:r>
      <w:r>
        <w:tab/>
        <w:t>3(1), 61A(1)</w:t>
      </w:r>
    </w:p>
    <w:p>
      <w:pPr>
        <w:pStyle w:val="DefinedTerms"/>
      </w:pPr>
      <w:r>
        <w:t>chairperson</w:t>
      </w:r>
      <w:r>
        <w:tab/>
        <w:t>3(1)</w:t>
      </w:r>
    </w:p>
    <w:p>
      <w:pPr>
        <w:pStyle w:val="DefinedTerms"/>
      </w:pPr>
      <w:r>
        <w:t>Chief Health Officer</w:t>
      </w:r>
      <w:r>
        <w:tab/>
        <w:t>3(1)</w:t>
      </w:r>
    </w:p>
    <w:p>
      <w:pPr>
        <w:pStyle w:val="DefinedTerms"/>
      </w:pPr>
      <w:r>
        <w:t>club</w:t>
      </w:r>
      <w:r>
        <w:tab/>
        <w:t>49(1), Sch. 2 cl. 1, Sch. 2 cl. 1</w:t>
      </w:r>
    </w:p>
    <w:p>
      <w:pPr>
        <w:pStyle w:val="DefinedTerms"/>
      </w:pPr>
      <w:r>
        <w:t>club licence</w:t>
      </w:r>
      <w:r>
        <w:tab/>
        <w:t>3(1)</w:t>
      </w:r>
    </w:p>
    <w:p>
      <w:pPr>
        <w:pStyle w:val="DefinedTerms"/>
      </w:pPr>
      <w:r>
        <w:t>club restricted licence</w:t>
      </w:r>
      <w:r>
        <w:tab/>
        <w:t>3(1)</w:t>
      </w:r>
    </w:p>
    <w:p>
      <w:pPr>
        <w:pStyle w:val="DefinedTerms"/>
      </w:pPr>
      <w:r>
        <w:t>commencement day</w:t>
      </w:r>
      <w:r>
        <w:tab/>
        <w:t>Sch. 1A cl. 1, Sch. 1B cl. 1, Sch. 1C cl. 2(1) and 3(1)</w:t>
      </w:r>
    </w:p>
    <w:p>
      <w:pPr>
        <w:pStyle w:val="DefinedTerms"/>
      </w:pPr>
      <w:r>
        <w:t>Commission</w:t>
      </w:r>
      <w:r>
        <w:tab/>
        <w:t>3(1)</w:t>
      </w:r>
    </w:p>
    <w:p>
      <w:pPr>
        <w:pStyle w:val="DefinedTerms"/>
      </w:pPr>
      <w:r>
        <w:t>Commissioner of Police</w:t>
      </w:r>
      <w:r>
        <w:tab/>
        <w:t>3(1)</w:t>
      </w:r>
    </w:p>
    <w:p>
      <w:pPr>
        <w:pStyle w:val="DefinedTerms"/>
      </w:pPr>
      <w:r>
        <w:t>Committee of Management</w:t>
      </w:r>
      <w:r>
        <w:tab/>
        <w:t>Sch. 2 cl. 1</w:t>
      </w:r>
    </w:p>
    <w:p>
      <w:pPr>
        <w:pStyle w:val="DefinedTerms"/>
      </w:pPr>
      <w:r>
        <w:t>condition</w:t>
      </w:r>
      <w:r>
        <w:tab/>
        <w:t>3(1)</w:t>
      </w:r>
    </w:p>
    <w:p>
      <w:pPr>
        <w:pStyle w:val="DefinedTerms"/>
      </w:pPr>
      <w:r>
        <w:t>confidential police information</w:t>
      </w:r>
      <w:r>
        <w:tab/>
        <w:t>3(1)</w:t>
      </w:r>
    </w:p>
    <w:p>
      <w:pPr>
        <w:pStyle w:val="DefinedTerms"/>
      </w:pPr>
      <w:r>
        <w:t>consume</w:t>
      </w:r>
      <w:r>
        <w:tab/>
        <w:t>3(1)</w:t>
      </w:r>
    </w:p>
    <w:p>
      <w:pPr>
        <w:pStyle w:val="DefinedTerms"/>
      </w:pPr>
      <w:r>
        <w:t>country townsite</w:t>
      </w:r>
      <w:r>
        <w:tab/>
        <w:t>36A(1), 65A(1)</w:t>
      </w:r>
    </w:p>
    <w:p>
      <w:pPr>
        <w:pStyle w:val="DefinedTerms"/>
      </w:pPr>
      <w:r>
        <w:t>Court</w:t>
      </w:r>
      <w:r>
        <w:tab/>
        <w:t>Sch. 1A cl. 1</w:t>
      </w:r>
    </w:p>
    <w:p>
      <w:pPr>
        <w:pStyle w:val="DefinedTerms"/>
      </w:pPr>
      <w:r>
        <w:t>crowd control agent</w:t>
      </w:r>
      <w:r>
        <w:tab/>
        <w:t>3(1)</w:t>
      </w:r>
    </w:p>
    <w:p>
      <w:pPr>
        <w:pStyle w:val="DefinedTerms"/>
      </w:pPr>
      <w:r>
        <w:t>crowd controller</w:t>
      </w:r>
      <w:r>
        <w:tab/>
        <w:t>126C(1)</w:t>
      </w:r>
    </w:p>
    <w:p>
      <w:pPr>
        <w:pStyle w:val="DefinedTerms"/>
      </w:pPr>
      <w:r>
        <w:t>crowd controller’s licence</w:t>
      </w:r>
      <w:r>
        <w:tab/>
        <w:t>3(1)</w:t>
      </w:r>
    </w:p>
    <w:p>
      <w:pPr>
        <w:pStyle w:val="DefinedTerms"/>
      </w:pPr>
      <w:r>
        <w:t>decision</w:t>
      </w:r>
      <w:r>
        <w:tab/>
        <w:t>3(1)</w:t>
      </w:r>
    </w:p>
    <w:p>
      <w:pPr>
        <w:pStyle w:val="DefinedTerms"/>
      </w:pPr>
      <w:r>
        <w:t>Department</w:t>
      </w:r>
      <w:r>
        <w:tab/>
        <w:t>3(1)</w:t>
      </w:r>
    </w:p>
    <w:p>
      <w:pPr>
        <w:pStyle w:val="DefinedTerms"/>
      </w:pPr>
      <w:r>
        <w:t>Department’s website</w:t>
      </w:r>
      <w:r>
        <w:tab/>
        <w:t>3(1)</w:t>
      </w:r>
    </w:p>
    <w:p>
      <w:pPr>
        <w:pStyle w:val="DefinedTerms"/>
      </w:pPr>
      <w:r>
        <w:t>dining area</w:t>
      </w:r>
      <w:r>
        <w:tab/>
        <w:t>3(1)</w:t>
      </w:r>
    </w:p>
    <w:p>
      <w:pPr>
        <w:pStyle w:val="DefinedTerms"/>
      </w:pPr>
      <w:r>
        <w:t>director</w:t>
      </w:r>
      <w:r>
        <w:tab/>
        <w:t>3(1)</w:t>
      </w:r>
    </w:p>
    <w:p>
      <w:pPr>
        <w:pStyle w:val="DefinedTerms"/>
      </w:pPr>
      <w:r>
        <w:t>Director</w:t>
      </w:r>
      <w:r>
        <w:tab/>
        <w:t>3(1)</w:t>
      </w:r>
    </w:p>
    <w:p>
      <w:pPr>
        <w:pStyle w:val="DefinedTerms"/>
      </w:pPr>
      <w:r>
        <w:t>Director of Liquor Licensing</w:t>
      </w:r>
      <w:r>
        <w:tab/>
        <w:t>3(1)</w:t>
      </w:r>
    </w:p>
    <w:p>
      <w:pPr>
        <w:pStyle w:val="DefinedTerms"/>
      </w:pPr>
      <w:r>
        <w:t>disqualified</w:t>
      </w:r>
      <w:r>
        <w:tab/>
        <w:t>3(1)</w:t>
      </w:r>
    </w:p>
    <w:p>
      <w:pPr>
        <w:pStyle w:val="DefinedTerms"/>
      </w:pPr>
      <w:r>
        <w:t>drunk</w:t>
      </w:r>
      <w:r>
        <w:tab/>
        <w:t>3(1), 3A(1)</w:t>
      </w:r>
    </w:p>
    <w:p>
      <w:pPr>
        <w:pStyle w:val="DefinedTerms"/>
      </w:pPr>
      <w:r>
        <w:t>employed</w:t>
      </w:r>
      <w:r>
        <w:tab/>
        <w:t>152A</w:t>
      </w:r>
    </w:p>
    <w:p>
      <w:pPr>
        <w:pStyle w:val="DefinedTerms"/>
      </w:pPr>
      <w:r>
        <w:t>employee</w:t>
      </w:r>
      <w:r>
        <w:tab/>
        <w:t>3(7), 165(4)</w:t>
      </w:r>
    </w:p>
    <w:p>
      <w:pPr>
        <w:pStyle w:val="DefinedTerms"/>
      </w:pPr>
      <w:r>
        <w:t>extended trading permit</w:t>
      </w:r>
      <w:r>
        <w:tab/>
        <w:t>3(1)</w:t>
      </w:r>
    </w:p>
    <w:p>
      <w:pPr>
        <w:pStyle w:val="DefinedTerms"/>
      </w:pPr>
      <w:r>
        <w:t>former Act</w:t>
      </w:r>
      <w:r>
        <w:tab/>
        <w:t>Sch. 1A cl. 1</w:t>
      </w:r>
    </w:p>
    <w:p>
      <w:pPr>
        <w:pStyle w:val="DefinedTerms"/>
      </w:pPr>
      <w:r>
        <w:t>function</w:t>
      </w:r>
      <w:r>
        <w:tab/>
        <w:t>3(1)</w:t>
      </w:r>
    </w:p>
    <w:p>
      <w:pPr>
        <w:pStyle w:val="DefinedTerms"/>
      </w:pPr>
      <w:r>
        <w:t>Gaming and Wagering Commission</w:t>
      </w:r>
      <w:r>
        <w:tab/>
        <w:t>3(1)</w:t>
      </w:r>
    </w:p>
    <w:p>
      <w:pPr>
        <w:pStyle w:val="DefinedTerms"/>
      </w:pPr>
      <w:r>
        <w:t>geographical indication</w:t>
      </w:r>
      <w:r>
        <w:tab/>
        <w:t>61A(1)</w:t>
      </w:r>
    </w:p>
    <w:p>
      <w:pPr>
        <w:pStyle w:val="DefinedTerms"/>
      </w:pPr>
      <w:r>
        <w:t>gross turnover</w:t>
      </w:r>
      <w:r>
        <w:tab/>
        <w:t>3(1)</w:t>
      </w:r>
    </w:p>
    <w:p>
      <w:pPr>
        <w:pStyle w:val="DefinedTerms"/>
      </w:pPr>
      <w:r>
        <w:t>guest</w:t>
      </w:r>
      <w:r>
        <w:tab/>
        <w:t>3(1)</w:t>
      </w:r>
    </w:p>
    <w:p>
      <w:pPr>
        <w:pStyle w:val="DefinedTerms"/>
      </w:pPr>
      <w:r>
        <w:t>host club</w:t>
      </w:r>
      <w:r>
        <w:tab/>
        <w:t>48(5)</w:t>
      </w:r>
    </w:p>
    <w:p>
      <w:pPr>
        <w:pStyle w:val="DefinedTerms"/>
      </w:pPr>
      <w:r>
        <w:t>hotel licence</w:t>
      </w:r>
      <w:r>
        <w:tab/>
        <w:t>3(1)</w:t>
      </w:r>
    </w:p>
    <w:p>
      <w:pPr>
        <w:pStyle w:val="DefinedTerms"/>
      </w:pPr>
      <w:r>
        <w:t>hotel restricted licence</w:t>
      </w:r>
      <w:r>
        <w:tab/>
        <w:t>3(1)</w:t>
      </w:r>
    </w:p>
    <w:p>
      <w:pPr>
        <w:pStyle w:val="DefinedTerms"/>
      </w:pPr>
      <w:r>
        <w:t>identification notice</w:t>
      </w:r>
      <w:r>
        <w:tab/>
        <w:t>37B(1)</w:t>
      </w:r>
    </w:p>
    <w:p>
      <w:pPr>
        <w:pStyle w:val="DefinedTerms"/>
      </w:pPr>
      <w:r>
        <w:t>infringement notice</w:t>
      </w:r>
      <w:r>
        <w:tab/>
        <w:t>167(1)</w:t>
      </w:r>
    </w:p>
    <w:p>
      <w:pPr>
        <w:pStyle w:val="DefinedTerms"/>
      </w:pPr>
      <w:r>
        <w:t>inspector</w:t>
      </w:r>
      <w:r>
        <w:tab/>
        <w:t>3(1)</w:t>
      </w:r>
    </w:p>
    <w:p>
      <w:pPr>
        <w:pStyle w:val="DefinedTerms"/>
      </w:pPr>
      <w:r>
        <w:t>interstate supplier</w:t>
      </w:r>
      <w:r>
        <w:tab/>
        <w:t>59A(1)</w:t>
      </w:r>
    </w:p>
    <w:p>
      <w:pPr>
        <w:pStyle w:val="DefinedTerms"/>
      </w:pPr>
      <w:r>
        <w:t>juvenile</w:t>
      </w:r>
      <w:r>
        <w:tab/>
        <w:t>3(1)</w:t>
      </w:r>
    </w:p>
    <w:p>
      <w:pPr>
        <w:pStyle w:val="DefinedTerms"/>
      </w:pPr>
      <w:r>
        <w:t>kind</w:t>
      </w:r>
      <w:r>
        <w:tab/>
        <w:t>3(1)</w:t>
      </w:r>
    </w:p>
    <w:p>
      <w:pPr>
        <w:pStyle w:val="DefinedTerms"/>
      </w:pPr>
      <w:r>
        <w:t>lawyer</w:t>
      </w:r>
      <w:r>
        <w:tab/>
        <w:t>3(1)</w:t>
      </w:r>
    </w:p>
    <w:p>
      <w:pPr>
        <w:pStyle w:val="DefinedTerms"/>
      </w:pPr>
      <w:r>
        <w:t>League</w:t>
      </w:r>
      <w:r>
        <w:tab/>
        <w:t>Sch. 2 cl. 1</w:t>
      </w:r>
    </w:p>
    <w:p>
      <w:pPr>
        <w:pStyle w:val="DefinedTerms"/>
      </w:pPr>
      <w:r>
        <w:t>lease</w:t>
      </w:r>
      <w:r>
        <w:tab/>
        <w:t>3(1)</w:t>
      </w:r>
    </w:p>
    <w:p>
      <w:pPr>
        <w:pStyle w:val="DefinedTerms"/>
      </w:pPr>
      <w:r>
        <w:t>lessee</w:t>
      </w:r>
      <w:r>
        <w:tab/>
        <w:t>3(1)</w:t>
      </w:r>
    </w:p>
    <w:p>
      <w:pPr>
        <w:pStyle w:val="DefinedTerms"/>
      </w:pPr>
      <w:r>
        <w:t>lessor</w:t>
      </w:r>
      <w:r>
        <w:tab/>
        <w:t>3(1)</w:t>
      </w:r>
    </w:p>
    <w:p>
      <w:pPr>
        <w:pStyle w:val="DefinedTerms"/>
      </w:pPr>
      <w:r>
        <w:t>licence</w:t>
      </w:r>
      <w:r>
        <w:tab/>
        <w:t>3(1), Sch. 1 cl. 1(1)</w:t>
      </w:r>
    </w:p>
    <w:p>
      <w:pPr>
        <w:pStyle w:val="DefinedTerms"/>
      </w:pPr>
      <w:r>
        <w:t>licence fee</w:t>
      </w:r>
      <w:r>
        <w:tab/>
        <w:t>3(1)</w:t>
      </w:r>
    </w:p>
    <w:p>
      <w:pPr>
        <w:pStyle w:val="DefinedTerms"/>
      </w:pPr>
      <w:r>
        <w:t>licence period</w:t>
      </w:r>
      <w:r>
        <w:tab/>
        <w:t>3(1)</w:t>
      </w:r>
    </w:p>
    <w:p>
      <w:pPr>
        <w:pStyle w:val="DefinedTerms"/>
      </w:pPr>
      <w:r>
        <w:t>licensed premises</w:t>
      </w:r>
      <w:r>
        <w:tab/>
        <w:t>3(1), 153(3), 154(4), Sch. 1 cl. 1(1)</w:t>
      </w:r>
    </w:p>
    <w:p>
      <w:pPr>
        <w:pStyle w:val="DefinedTerms"/>
      </w:pPr>
      <w:r>
        <w:t>licensee</w:t>
      </w:r>
      <w:r>
        <w:tab/>
        <w:t>3(1), Sch. 1 cl. 1(1)</w:t>
      </w:r>
    </w:p>
    <w:p>
      <w:pPr>
        <w:pStyle w:val="DefinedTerms"/>
      </w:pPr>
      <w:r>
        <w:t>licensing authority</w:t>
      </w:r>
      <w:r>
        <w:tab/>
        <w:t>3(1)</w:t>
      </w:r>
    </w:p>
    <w:p>
      <w:pPr>
        <w:pStyle w:val="DefinedTerms"/>
      </w:pPr>
      <w:r>
        <w:t>liquor</w:t>
      </w:r>
      <w:r>
        <w:tab/>
        <w:t>3(1)</w:t>
      </w:r>
    </w:p>
    <w:p>
      <w:pPr>
        <w:pStyle w:val="DefinedTerms"/>
      </w:pPr>
      <w:r>
        <w:t>liquor accord</w:t>
      </w:r>
      <w:r>
        <w:tab/>
        <w:t>64(1b), 174B(1)</w:t>
      </w:r>
    </w:p>
    <w:p>
      <w:pPr>
        <w:pStyle w:val="DefinedTerms"/>
      </w:pPr>
      <w:r>
        <w:t>liquor merchant</w:t>
      </w:r>
      <w:r>
        <w:tab/>
        <w:t>3(1)</w:t>
      </w:r>
    </w:p>
    <w:p>
      <w:pPr>
        <w:pStyle w:val="DefinedTerms"/>
      </w:pPr>
      <w:r>
        <w:t>liquor restricted premises</w:t>
      </w:r>
      <w:r>
        <w:tab/>
        <w:t>152N</w:t>
      </w:r>
    </w:p>
    <w:p>
      <w:pPr>
        <w:pStyle w:val="DefinedTerms"/>
      </w:pPr>
      <w:r>
        <w:t>liquor restriction declaration</w:t>
      </w:r>
      <w:r>
        <w:tab/>
        <w:t>152N</w:t>
      </w:r>
    </w:p>
    <w:p>
      <w:pPr>
        <w:pStyle w:val="DefinedTerms"/>
      </w:pPr>
      <w:r>
        <w:t>liquor store licence</w:t>
      </w:r>
      <w:r>
        <w:tab/>
        <w:t>3(1)</w:t>
      </w:r>
    </w:p>
    <w:p>
      <w:pPr>
        <w:pStyle w:val="DefinedTerms"/>
      </w:pPr>
      <w:r>
        <w:t>lodger</w:t>
      </w:r>
      <w:r>
        <w:tab/>
        <w:t>3(1)</w:t>
      </w:r>
    </w:p>
    <w:p>
      <w:pPr>
        <w:pStyle w:val="DefinedTerms"/>
      </w:pPr>
      <w:r>
        <w:t>manager</w:t>
      </w:r>
      <w:r>
        <w:tab/>
        <w:t>3(1)</w:t>
      </w:r>
    </w:p>
    <w:p>
      <w:pPr>
        <w:pStyle w:val="DefinedTerms"/>
      </w:pPr>
      <w:r>
        <w:t>manager’s approval</w:t>
      </w:r>
      <w:r>
        <w:tab/>
        <w:t>102A</w:t>
      </w:r>
    </w:p>
    <w:p>
      <w:pPr>
        <w:pStyle w:val="DefinedTerms"/>
      </w:pPr>
      <w:r>
        <w:t>meal</w:t>
      </w:r>
      <w:r>
        <w:tab/>
        <w:t>3(1)</w:t>
      </w:r>
    </w:p>
    <w:p>
      <w:pPr>
        <w:pStyle w:val="DefinedTerms"/>
      </w:pPr>
      <w:r>
        <w:t>member</w:t>
      </w:r>
      <w:r>
        <w:tab/>
        <w:t>3(1)</w:t>
      </w:r>
    </w:p>
    <w:p>
      <w:pPr>
        <w:pStyle w:val="DefinedTerms"/>
      </w:pPr>
      <w:r>
        <w:t>member of the family</w:t>
      </w:r>
      <w:r>
        <w:tab/>
        <w:t>125(3)</w:t>
      </w:r>
    </w:p>
    <w:p>
      <w:pPr>
        <w:pStyle w:val="DefinedTerms"/>
      </w:pPr>
      <w:r>
        <w:t>metropolitan area</w:t>
      </w:r>
      <w:r>
        <w:tab/>
        <w:t>3(1)</w:t>
      </w:r>
    </w:p>
    <w:p>
      <w:pPr>
        <w:pStyle w:val="DefinedTerms"/>
      </w:pPr>
      <w:r>
        <w:t>modified penalty</w:t>
      </w:r>
      <w:r>
        <w:tab/>
        <w:t>167(1)</w:t>
      </w:r>
    </w:p>
    <w:p>
      <w:pPr>
        <w:pStyle w:val="DefinedTerms"/>
      </w:pPr>
      <w:r>
        <w:t>new Act</w:t>
      </w:r>
      <w:r>
        <w:tab/>
        <w:t>Sch. 1A cl. 1</w:t>
      </w:r>
    </w:p>
    <w:p>
      <w:pPr>
        <w:pStyle w:val="DefinedTerms"/>
      </w:pPr>
      <w:r>
        <w:t>nightclub licence</w:t>
      </w:r>
      <w:r>
        <w:tab/>
        <w:t>3(1)</w:t>
      </w:r>
    </w:p>
    <w:p>
      <w:pPr>
        <w:pStyle w:val="DefinedTerms"/>
      </w:pPr>
      <w:r>
        <w:t>non</w:t>
      </w:r>
      <w:r>
        <w:noBreakHyphen/>
        <w:t>liquor business on licensed premises</w:t>
      </w:r>
      <w:r>
        <w:tab/>
        <w:t>119A(1)</w:t>
      </w:r>
    </w:p>
    <w:p>
      <w:pPr>
        <w:pStyle w:val="DefinedTerms"/>
      </w:pPr>
      <w:r>
        <w:t>notice</w:t>
      </w:r>
      <w:r>
        <w:tab/>
        <w:t>115AD(1)</w:t>
      </w:r>
    </w:p>
    <w:p>
      <w:pPr>
        <w:pStyle w:val="DefinedTerms"/>
      </w:pPr>
      <w:r>
        <w:t>occasional licence</w:t>
      </w:r>
      <w:r>
        <w:tab/>
        <w:t>3(1)</w:t>
      </w:r>
    </w:p>
    <w:p>
      <w:pPr>
        <w:pStyle w:val="DefinedTerms"/>
      </w:pPr>
      <w:r>
        <w:t>occupier</w:t>
      </w:r>
      <w:r>
        <w:tab/>
        <w:t>152N</w:t>
      </w:r>
    </w:p>
    <w:p>
      <w:pPr>
        <w:pStyle w:val="DefinedTerms"/>
      </w:pPr>
      <w:r>
        <w:t>officer</w:t>
      </w:r>
      <w:r>
        <w:tab/>
        <w:t>164(2)</w:t>
      </w:r>
    </w:p>
    <w:p>
      <w:pPr>
        <w:pStyle w:val="DefinedTerms"/>
      </w:pPr>
      <w:r>
        <w:t xml:space="preserve">old licence </w:t>
      </w:r>
      <w:r>
        <w:tab/>
        <w:t>Sch. 1C cl. 2(1)</w:t>
      </w:r>
    </w:p>
    <w:p>
      <w:pPr>
        <w:pStyle w:val="DefinedTerms"/>
      </w:pPr>
      <w:r>
        <w:t>old section 35B</w:t>
      </w:r>
      <w:r>
        <w:tab/>
        <w:t>Sch. 1B cl. 1</w:t>
      </w:r>
    </w:p>
    <w:p>
      <w:pPr>
        <w:pStyle w:val="DefinedTerms"/>
      </w:pPr>
      <w:r>
        <w:t>owner</w:t>
      </w:r>
      <w:r>
        <w:tab/>
        <w:t>3(1)</w:t>
      </w:r>
    </w:p>
    <w:p>
      <w:pPr>
        <w:pStyle w:val="DefinedTerms"/>
      </w:pPr>
      <w:r>
        <w:t>packaged liquor</w:t>
      </w:r>
      <w:r>
        <w:tab/>
        <w:t>3(1), 59A(1)</w:t>
      </w:r>
    </w:p>
    <w:p>
      <w:pPr>
        <w:pStyle w:val="DefinedTerms"/>
      </w:pPr>
      <w:r>
        <w:t>packaged liquor licence</w:t>
      </w:r>
      <w:r>
        <w:tab/>
        <w:t>59A(1)</w:t>
      </w:r>
    </w:p>
    <w:p>
      <w:pPr>
        <w:pStyle w:val="DefinedTerms"/>
      </w:pPr>
      <w:r>
        <w:t>packaged liquor outlet</w:t>
      </w:r>
      <w:r>
        <w:tab/>
        <w:t>36A(1)</w:t>
      </w:r>
    </w:p>
    <w:p>
      <w:pPr>
        <w:pStyle w:val="DefinedTerms"/>
      </w:pPr>
      <w:r>
        <w:t>party to proceedings</w:t>
      </w:r>
      <w:r>
        <w:tab/>
        <w:t>3(1)</w:t>
      </w:r>
    </w:p>
    <w:p>
      <w:pPr>
        <w:pStyle w:val="DefinedTerms"/>
      </w:pPr>
      <w:r>
        <w:t>permit</w:t>
      </w:r>
      <w:r>
        <w:tab/>
        <w:t>3(1), Sch. 1 cl. 1(1)</w:t>
      </w:r>
    </w:p>
    <w:p>
      <w:pPr>
        <w:pStyle w:val="DefinedTerms"/>
      </w:pPr>
      <w:r>
        <w:t>permitted hours</w:t>
      </w:r>
      <w:r>
        <w:tab/>
        <w:t>3(1)</w:t>
      </w:r>
    </w:p>
    <w:p>
      <w:pPr>
        <w:pStyle w:val="DefinedTerms"/>
      </w:pPr>
      <w:r>
        <w:t>petrol station</w:t>
      </w:r>
      <w:r>
        <w:tab/>
        <w:t>36A(1), 65A(1)</w:t>
      </w:r>
    </w:p>
    <w:p>
      <w:pPr>
        <w:pStyle w:val="DefinedTerms"/>
      </w:pPr>
      <w:r>
        <w:t>premises</w:t>
      </w:r>
      <w:r>
        <w:tab/>
        <w:t>3(1)</w:t>
      </w:r>
    </w:p>
    <w:p>
      <w:pPr>
        <w:pStyle w:val="DefinedTerms"/>
      </w:pPr>
      <w:r>
        <w:t>prescribed</w:t>
      </w:r>
      <w:r>
        <w:tab/>
        <w:t>3(1)</w:t>
      </w:r>
    </w:p>
    <w:p>
      <w:pPr>
        <w:pStyle w:val="DefinedTerms"/>
      </w:pPr>
      <w:r>
        <w:t>producer</w:t>
      </w:r>
      <w:r>
        <w:tab/>
        <w:t>129</w:t>
      </w:r>
    </w:p>
    <w:p>
      <w:pPr>
        <w:pStyle w:val="DefinedTerms"/>
      </w:pPr>
      <w:r>
        <w:t>producer’s licence</w:t>
      </w:r>
      <w:r>
        <w:tab/>
        <w:t>3(1)</w:t>
      </w:r>
    </w:p>
    <w:p>
      <w:pPr>
        <w:pStyle w:val="DefinedTerms"/>
      </w:pPr>
      <w:r>
        <w:t>prohibition order</w:t>
      </w:r>
      <w:r>
        <w:tab/>
        <w:t>152A</w:t>
      </w:r>
    </w:p>
    <w:p>
      <w:pPr>
        <w:pStyle w:val="DefinedTerms"/>
      </w:pPr>
      <w:r>
        <w:t>proprietary company</w:t>
      </w:r>
      <w:r>
        <w:tab/>
        <w:t>3(1)</w:t>
      </w:r>
    </w:p>
    <w:p>
      <w:pPr>
        <w:pStyle w:val="DefinedTerms"/>
      </w:pPr>
      <w:r>
        <w:t>protection order</w:t>
      </w:r>
      <w:r>
        <w:tab/>
        <w:t>3(1), 87(1)</w:t>
      </w:r>
    </w:p>
    <w:p>
      <w:pPr>
        <w:pStyle w:val="DefinedTerms"/>
      </w:pPr>
      <w:r>
        <w:t>public body</w:t>
      </w:r>
      <w:r>
        <w:tab/>
        <w:t>37(1A)</w:t>
      </w:r>
    </w:p>
    <w:p>
      <w:pPr>
        <w:pStyle w:val="DefinedTerms"/>
      </w:pPr>
      <w:r>
        <w:t>public event</w:t>
      </w:r>
      <w:r>
        <w:tab/>
        <w:t>110(4B)</w:t>
      </w:r>
    </w:p>
    <w:p>
      <w:pPr>
        <w:pStyle w:val="DefinedTerms"/>
      </w:pPr>
      <w:r>
        <w:t>purchaser</w:t>
      </w:r>
      <w:r>
        <w:tab/>
        <w:t>110(6A)</w:t>
      </w:r>
    </w:p>
    <w:p>
      <w:pPr>
        <w:pStyle w:val="DefinedTerms"/>
      </w:pPr>
      <w:r>
        <w:t>reception</w:t>
      </w:r>
      <w:r>
        <w:tab/>
        <w:t>3(1)</w:t>
      </w:r>
    </w:p>
    <w:p>
      <w:pPr>
        <w:pStyle w:val="DefinedTerms"/>
      </w:pPr>
      <w:r>
        <w:t>reception area</w:t>
      </w:r>
      <w:r>
        <w:tab/>
        <w:t>3(1)</w:t>
      </w:r>
    </w:p>
    <w:p>
      <w:pPr>
        <w:pStyle w:val="DefinedTerms"/>
      </w:pPr>
      <w:r>
        <w:t>record</w:t>
      </w:r>
      <w:r>
        <w:tab/>
        <w:t>3(1)</w:t>
      </w:r>
    </w:p>
    <w:p>
      <w:pPr>
        <w:pStyle w:val="DefinedTerms"/>
      </w:pPr>
      <w:r>
        <w:t>Register</w:t>
      </w:r>
      <w:r>
        <w:tab/>
        <w:t>103AA(1)</w:t>
      </w:r>
    </w:p>
    <w:p>
      <w:pPr>
        <w:pStyle w:val="DefinedTerms"/>
      </w:pPr>
      <w:r>
        <w:t>regulated premises</w:t>
      </w:r>
      <w:r>
        <w:tab/>
        <w:t>3(1)</w:t>
      </w:r>
    </w:p>
    <w:p>
      <w:pPr>
        <w:pStyle w:val="DefinedTerms"/>
      </w:pPr>
      <w:r>
        <w:t>related body corporate</w:t>
      </w:r>
      <w:r>
        <w:tab/>
        <w:t>3(1)</w:t>
      </w:r>
    </w:p>
    <w:p>
      <w:pPr>
        <w:pStyle w:val="DefinedTerms"/>
      </w:pPr>
      <w:r>
        <w:t>relative</w:t>
      </w:r>
      <w:r>
        <w:tab/>
        <w:t>3(1)</w:t>
      </w:r>
    </w:p>
    <w:p>
      <w:pPr>
        <w:pStyle w:val="DefinedTerms"/>
      </w:pPr>
      <w:r>
        <w:t>relevant liquor</w:t>
      </w:r>
      <w:r>
        <w:tab/>
        <w:t>57(1)</w:t>
      </w:r>
    </w:p>
    <w:p>
      <w:pPr>
        <w:pStyle w:val="DefinedTerms"/>
      </w:pPr>
      <w:r>
        <w:t>relevant matters</w:t>
      </w:r>
      <w:r>
        <w:tab/>
        <w:t>69(8b)</w:t>
      </w:r>
    </w:p>
    <w:p>
      <w:pPr>
        <w:pStyle w:val="DefinedTerms"/>
      </w:pPr>
      <w:r>
        <w:t>relevant period</w:t>
      </w:r>
      <w:r>
        <w:tab/>
        <w:t>57(1), 93(1a)</w:t>
      </w:r>
    </w:p>
    <w:p>
      <w:pPr>
        <w:pStyle w:val="DefinedTerms"/>
      </w:pPr>
      <w:r>
        <w:t>relevant person</w:t>
      </w:r>
      <w:r>
        <w:tab/>
        <w:t>152A</w:t>
      </w:r>
    </w:p>
    <w:p>
      <w:pPr>
        <w:pStyle w:val="DefinedTerms"/>
      </w:pPr>
      <w:r>
        <w:t>removal</w:t>
      </w:r>
      <w:r>
        <w:tab/>
        <w:t>3(1)</w:t>
      </w:r>
    </w:p>
    <w:p>
      <w:pPr>
        <w:pStyle w:val="DefinedTerms"/>
      </w:pPr>
      <w:r>
        <w:t>repealed Act</w:t>
      </w:r>
      <w:r>
        <w:tab/>
        <w:t>Sch. 1 cl. 1(1)</w:t>
      </w:r>
    </w:p>
    <w:p>
      <w:pPr>
        <w:pStyle w:val="DefinedTerms"/>
      </w:pPr>
      <w:r>
        <w:t>responsible person</w:t>
      </w:r>
      <w:r>
        <w:tab/>
        <w:t>3(1)</w:t>
      </w:r>
    </w:p>
    <w:p>
      <w:pPr>
        <w:pStyle w:val="DefinedTerms"/>
      </w:pPr>
      <w:r>
        <w:t>restaurant</w:t>
      </w:r>
      <w:r>
        <w:tab/>
        <w:t>3(1)</w:t>
      </w:r>
    </w:p>
    <w:p>
      <w:pPr>
        <w:pStyle w:val="DefinedTerms"/>
      </w:pPr>
      <w:r>
        <w:t>restaurant licence</w:t>
      </w:r>
      <w:r>
        <w:tab/>
        <w:t>3(1)</w:t>
      </w:r>
    </w:p>
    <w:p>
      <w:pPr>
        <w:pStyle w:val="DefinedTerms"/>
      </w:pPr>
      <w:r>
        <w:t>sample</w:t>
      </w:r>
      <w:r>
        <w:tab/>
        <w:t>3(1)</w:t>
      </w:r>
    </w:p>
    <w:p>
      <w:pPr>
        <w:pStyle w:val="DefinedTerms"/>
      </w:pPr>
      <w:r>
        <w:t>Secretary</w:t>
      </w:r>
      <w:r>
        <w:tab/>
        <w:t>3(1)</w:t>
      </w:r>
    </w:p>
    <w:p>
      <w:pPr>
        <w:pStyle w:val="DefinedTerms"/>
      </w:pPr>
      <w:r>
        <w:t>secure webpage</w:t>
      </w:r>
      <w:r>
        <w:tab/>
        <w:t>115AC(1A)</w:t>
      </w:r>
    </w:p>
    <w:p>
      <w:pPr>
        <w:pStyle w:val="DefinedTerms"/>
      </w:pPr>
      <w:r>
        <w:t>sell</w:t>
      </w:r>
      <w:r>
        <w:tab/>
        <w:t>3(1)</w:t>
      </w:r>
    </w:p>
    <w:p>
      <w:pPr>
        <w:pStyle w:val="DefinedTerms"/>
      </w:pPr>
      <w:r>
        <w:t>seller</w:t>
      </w:r>
      <w:r>
        <w:tab/>
        <w:t>109(4A)</w:t>
      </w:r>
    </w:p>
    <w:p>
      <w:pPr>
        <w:pStyle w:val="DefinedTerms"/>
      </w:pPr>
      <w:r>
        <w:t>serious and organised crime</w:t>
      </w:r>
      <w:r>
        <w:tab/>
        <w:t>152A</w:t>
      </w:r>
    </w:p>
    <w:p>
      <w:pPr>
        <w:pStyle w:val="DefinedTerms"/>
      </w:pPr>
      <w:r>
        <w:t>ship</w:t>
      </w:r>
      <w:r>
        <w:tab/>
        <w:t>3(1)</w:t>
      </w:r>
    </w:p>
    <w:p>
      <w:pPr>
        <w:pStyle w:val="DefinedTerms"/>
      </w:pPr>
      <w:r>
        <w:t>small bar licence</w:t>
      </w:r>
      <w:r>
        <w:tab/>
        <w:t>3(1)</w:t>
      </w:r>
    </w:p>
    <w:p>
      <w:pPr>
        <w:pStyle w:val="DefinedTerms"/>
      </w:pPr>
      <w:r>
        <w:t>small restaurant licence</w:t>
      </w:r>
      <w:r>
        <w:tab/>
        <w:t>Sch. 1C cl. 3(1)</w:t>
      </w:r>
    </w:p>
    <w:p>
      <w:pPr>
        <w:pStyle w:val="DefinedTerms"/>
      </w:pPr>
      <w:r>
        <w:t>special event notice</w:t>
      </w:r>
      <w:r>
        <w:tab/>
        <w:t>126E(1)</w:t>
      </w:r>
    </w:p>
    <w:p>
      <w:pPr>
        <w:pStyle w:val="DefinedTerms"/>
      </w:pPr>
      <w:r>
        <w:t>special facility licence</w:t>
      </w:r>
      <w:r>
        <w:tab/>
        <w:t>3(1)</w:t>
      </w:r>
    </w:p>
    <w:p>
      <w:pPr>
        <w:pStyle w:val="DefinedTerms"/>
      </w:pPr>
      <w:r>
        <w:t>specified</w:t>
      </w:r>
      <w:r>
        <w:tab/>
        <w:t>31(8), 40(3), 53(2), 59(6), 60(9), 99(5), 115AA(1), 126E(1), 172(12)</w:t>
      </w:r>
    </w:p>
    <w:p>
      <w:pPr>
        <w:pStyle w:val="DefinedTerms"/>
      </w:pPr>
      <w:r>
        <w:t>spirits</w:t>
      </w:r>
      <w:r>
        <w:tab/>
        <w:t>3(1)</w:t>
      </w:r>
    </w:p>
    <w:p>
      <w:pPr>
        <w:pStyle w:val="DefinedTerms"/>
      </w:pPr>
      <w:r>
        <w:t>sports arena</w:t>
      </w:r>
      <w:r>
        <w:tab/>
        <w:t>110(4B)</w:t>
      </w:r>
    </w:p>
    <w:p>
      <w:pPr>
        <w:pStyle w:val="DefinedTerms"/>
      </w:pPr>
      <w:r>
        <w:t>State Branch Headquarters</w:t>
      </w:r>
      <w:r>
        <w:tab/>
        <w:t>Sch. 2 cl. 1</w:t>
      </w:r>
    </w:p>
    <w:p>
      <w:pPr>
        <w:pStyle w:val="DefinedTerms"/>
      </w:pPr>
      <w:r>
        <w:t>State Executive</w:t>
      </w:r>
      <w:r>
        <w:tab/>
        <w:t>Sch. 2 cl. 1</w:t>
      </w:r>
    </w:p>
    <w:p>
      <w:pPr>
        <w:pStyle w:val="DefinedTerms"/>
      </w:pPr>
      <w:r>
        <w:t>submission</w:t>
      </w:r>
      <w:r>
        <w:tab/>
        <w:t>72A(1)</w:t>
      </w:r>
    </w:p>
    <w:p>
      <w:pPr>
        <w:pStyle w:val="DefinedTerms"/>
      </w:pPr>
      <w:r>
        <w:t>subsidy</w:t>
      </w:r>
      <w:r>
        <w:tab/>
        <w:t>3(1)</w:t>
      </w:r>
    </w:p>
    <w:p>
      <w:pPr>
        <w:pStyle w:val="DefinedTerms"/>
      </w:pPr>
      <w:r>
        <w:t>substance</w:t>
      </w:r>
      <w:r>
        <w:tab/>
        <w:t>3(1)</w:t>
      </w:r>
    </w:p>
    <w:p>
      <w:pPr>
        <w:pStyle w:val="DefinedTerms"/>
      </w:pPr>
      <w:r>
        <w:t>supplier</w:t>
      </w:r>
      <w:r>
        <w:tab/>
        <w:t>59A(2)</w:t>
      </w:r>
    </w:p>
    <w:p>
      <w:pPr>
        <w:pStyle w:val="DefinedTerms"/>
      </w:pPr>
      <w:r>
        <w:t>tavern licence</w:t>
      </w:r>
      <w:r>
        <w:tab/>
        <w:t>3(1)</w:t>
      </w:r>
    </w:p>
    <w:p>
      <w:pPr>
        <w:pStyle w:val="DefinedTerms"/>
      </w:pPr>
      <w:r>
        <w:t>tavern restricted licence</w:t>
      </w:r>
      <w:r>
        <w:tab/>
        <w:t>3(1)</w:t>
      </w:r>
    </w:p>
    <w:p>
      <w:pPr>
        <w:pStyle w:val="DefinedTerms"/>
      </w:pPr>
      <w:r>
        <w:t>the required day</w:t>
      </w:r>
      <w:r>
        <w:tab/>
        <w:t>62(4)</w:t>
      </w:r>
    </w:p>
    <w:p>
      <w:pPr>
        <w:pStyle w:val="DefinedTerms"/>
      </w:pPr>
      <w:r>
        <w:t>this Act</w:t>
      </w:r>
      <w:r>
        <w:tab/>
        <w:t>3(1)</w:t>
      </w:r>
    </w:p>
    <w:p>
      <w:pPr>
        <w:pStyle w:val="DefinedTerms"/>
      </w:pPr>
      <w:r>
        <w:t>townsite</w:t>
      </w:r>
      <w:r>
        <w:tab/>
        <w:t>3(1)</w:t>
      </w:r>
    </w:p>
    <w:p>
      <w:pPr>
        <w:pStyle w:val="DefinedTerms"/>
      </w:pPr>
      <w:r>
        <w:t>transitional regulations</w:t>
      </w:r>
      <w:r>
        <w:tab/>
        <w:t>Sch. 1A cl. 10(1)</w:t>
      </w:r>
    </w:p>
    <w:p>
      <w:pPr>
        <w:pStyle w:val="DefinedTerms"/>
      </w:pPr>
      <w:r>
        <w:t>transitioned approval</w:t>
      </w:r>
      <w:r>
        <w:tab/>
        <w:t>Sch. 1B cl. 3(1)</w:t>
      </w:r>
    </w:p>
    <w:p>
      <w:pPr>
        <w:pStyle w:val="DefinedTerms"/>
      </w:pPr>
      <w:r>
        <w:t>trustee</w:t>
      </w:r>
      <w:r>
        <w:tab/>
        <w:t>3(1)</w:t>
      </w:r>
    </w:p>
    <w:p>
      <w:pPr>
        <w:pStyle w:val="DefinedTerms"/>
      </w:pPr>
      <w:r>
        <w:t>vehicle</w:t>
      </w:r>
      <w:r>
        <w:tab/>
        <w:t>3(1)</w:t>
      </w:r>
    </w:p>
    <w:p>
      <w:pPr>
        <w:pStyle w:val="DefinedTerms"/>
      </w:pPr>
      <w:r>
        <w:t>wholesaler</w:t>
      </w:r>
      <w:r>
        <w:tab/>
        <w:t>129</w:t>
      </w:r>
    </w:p>
    <w:p>
      <w:pPr>
        <w:pStyle w:val="DefinedTerms"/>
      </w:pPr>
      <w:r>
        <w:t>wholesaler’s licence</w:t>
      </w:r>
      <w:r>
        <w:tab/>
        <w:t>3(1)</w:t>
      </w:r>
    </w:p>
    <w:p>
      <w:pPr>
        <w:pStyle w:val="DefinedTerms"/>
      </w:pPr>
      <w:r>
        <w:t>wine</w:t>
      </w:r>
      <w:r>
        <w:tab/>
        <w:t>3(1)</w:t>
      </w:r>
    </w:p>
    <w:p>
      <w:pPr>
        <w:pStyle w:val="DefinedTerms"/>
      </w:pPr>
      <w:r>
        <w:t>wine producing region</w:t>
      </w:r>
      <w:r>
        <w:tab/>
        <w:t>61A(1)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Aug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Aug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08-h0-00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Aug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08-h0-00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352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Aug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Aug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351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Aug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r>
            <w:fldChar w:fldCharType="begin"/>
          </w:r>
          <w:r>
            <w:instrText xml:space="preserve"> styleref CharSDivText </w:instrText>
          </w:r>
          <w:r>
            <w:fldChar w:fldCharType="end"/>
          </w:r>
        </w:p>
      </w:tc>
    </w:tr>
    <w:tr>
      <w:tc>
        <w:tcPr>
          <w:tcW w:w="1548" w:type="dxa"/>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bookmarkStart w:id="572" w:name="Schedule"/>
    <w:bookmarkEnd w:id="57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"Division 3</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5760" w:type="dxa"/>
        </w:tcPr>
        <w:p>
          <w:pPr>
            <w:pStyle w:val="Header"/>
            <w:spacing w:before="40"/>
            <w:jc w:val="right"/>
          </w:pPr>
          <w:r>
            <w:fldChar w:fldCharType="begin"/>
          </w:r>
          <w:r>
            <w:instrText>styleref CharSchText</w:instrText>
          </w:r>
          <w:r>
            <w:fldChar w:fldCharType="end"/>
          </w:r>
        </w:p>
      </w:tc>
      <w:tc>
        <w:tcPr>
          <w:tcW w:w="1400" w:type="dxa"/>
        </w:tcPr>
        <w:p>
          <w:pPr>
            <w:pStyle w:val="Header"/>
            <w:spacing w:before="40"/>
            <w:ind w:right="17"/>
            <w:jc w:val="right"/>
          </w:pPr>
          <w:r>
            <w:rPr>
              <w:b/>
            </w:rPr>
            <w:fldChar w:fldCharType="begin"/>
          </w:r>
          <w:r>
            <w:rPr>
              <w:b/>
            </w:rPr>
            <w:instrText>styleref CharSchno</w:instrText>
          </w:r>
          <w:r>
            <w:rPr>
              <w:b/>
            </w:rPr>
            <w:fldChar w:fldCharType="end"/>
          </w:r>
        </w:p>
      </w:tc>
    </w:tr>
    <w:tr>
      <w:tc>
        <w:tcPr>
          <w:tcW w:w="5760" w:type="dxa"/>
        </w:tcPr>
        <w:p>
          <w:pPr>
            <w:pStyle w:val="Header"/>
            <w:spacing w:before="40"/>
            <w:jc w:val="right"/>
          </w:pPr>
          <w:r>
            <w:fldChar w:fldCharType="begin"/>
          </w:r>
          <w:r>
            <w:instrText xml:space="preserve"> styleref CharSDivText </w:instrText>
          </w:r>
          <w:r>
            <w:fldChar w:fldCharType="end"/>
          </w:r>
        </w:p>
      </w:tc>
      <w:tc>
        <w:tcPr>
          <w:tcW w:w="1400"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"Division 3</w:instrText>
          </w:r>
          <w:r>
            <w:rPr>
              <w:b/>
            </w:rPr>
            <w:fldChar w:fldCharType="end"/>
          </w:r>
        </w:p>
      </w:tc>
    </w:tr>
    <w:tr>
      <w:trPr>
        <w:cantSplit/>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23" w:name="Compilation"/>
    <w:bookmarkEnd w:id="72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24" w:name="DefinedTerms"/>
    <w:bookmarkEnd w:id="724"/>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25" w:name="Coversheet"/>
    <w:bookmarkEnd w:id="72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4F80AE8"/>
    <w:lvl w:ilvl="0">
      <w:start w:val="1"/>
      <w:numFmt w:val="decimal"/>
      <w:lvlText w:val="%1."/>
      <w:lvlJc w:val="left"/>
      <w:pPr>
        <w:tabs>
          <w:tab w:val="num" w:pos="1492"/>
        </w:tabs>
        <w:ind w:left="1492" w:hanging="360"/>
      </w:pPr>
    </w:lvl>
  </w:abstractNum>
  <w:abstractNum w:abstractNumId="1">
    <w:nsid w:val="FFFFFF7D"/>
    <w:multiLevelType w:val="singleLevel"/>
    <w:tmpl w:val="35E03BA0"/>
    <w:lvl w:ilvl="0">
      <w:start w:val="1"/>
      <w:numFmt w:val="decimal"/>
      <w:lvlText w:val="%1."/>
      <w:lvlJc w:val="left"/>
      <w:pPr>
        <w:tabs>
          <w:tab w:val="num" w:pos="1209"/>
        </w:tabs>
        <w:ind w:left="1209" w:hanging="360"/>
      </w:pPr>
    </w:lvl>
  </w:abstractNum>
  <w:abstractNum w:abstractNumId="2">
    <w:nsid w:val="FFFFFF7E"/>
    <w:multiLevelType w:val="singleLevel"/>
    <w:tmpl w:val="F228A5A4"/>
    <w:lvl w:ilvl="0">
      <w:start w:val="1"/>
      <w:numFmt w:val="decimal"/>
      <w:lvlText w:val="%1."/>
      <w:lvlJc w:val="left"/>
      <w:pPr>
        <w:tabs>
          <w:tab w:val="num" w:pos="926"/>
        </w:tabs>
        <w:ind w:left="926" w:hanging="360"/>
      </w:pPr>
    </w:lvl>
  </w:abstractNum>
  <w:abstractNum w:abstractNumId="3">
    <w:nsid w:val="FFFFFF7F"/>
    <w:multiLevelType w:val="singleLevel"/>
    <w:tmpl w:val="9C3887AA"/>
    <w:lvl w:ilvl="0">
      <w:start w:val="1"/>
      <w:numFmt w:val="decimal"/>
      <w:lvlText w:val="%1."/>
      <w:lvlJc w:val="left"/>
      <w:pPr>
        <w:tabs>
          <w:tab w:val="num" w:pos="643"/>
        </w:tabs>
        <w:ind w:left="643" w:hanging="360"/>
      </w:pPr>
    </w:lvl>
  </w:abstractNum>
  <w:abstractNum w:abstractNumId="4">
    <w:nsid w:val="FFFFFF80"/>
    <w:multiLevelType w:val="singleLevel"/>
    <w:tmpl w:val="ACC8277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2E43DB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69EAD0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6366A3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432C6770"/>
    <w:lvl w:ilvl="0">
      <w:start w:val="1"/>
      <w:numFmt w:val="decimal"/>
      <w:lvlText w:val="%1."/>
      <w:lvlJc w:val="left"/>
      <w:pPr>
        <w:tabs>
          <w:tab w:val="num" w:pos="360"/>
        </w:tabs>
        <w:ind w:left="360" w:hanging="360"/>
      </w:pPr>
    </w:lvl>
  </w:abstractNum>
  <w:abstractNum w:abstractNumId="9">
    <w:nsid w:val="FFFFFF89"/>
    <w:multiLevelType w:val="singleLevel"/>
    <w:tmpl w:val="B358A6D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EE0E93"/>
    <w:multiLevelType w:val="multilevel"/>
    <w:tmpl w:val="3A8091E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CEEE317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10"/>
  </w:num>
  <w:num w:numId="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96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23354"/>
    <w:docVar w:name="WAFER_20140113142408" w:val="RemoveTocBookmarks,RemoveUnusedBookmarks,RemoveLanguageTags,UsedStyles,ResetPageSize,UpdateArrangement"/>
    <w:docVar w:name="WAFER_20140113142408_GUID" w:val="94e8cc16-e2c3-45a3-a9da-977f305186a8"/>
    <w:docVar w:name="WAFER_20140113142505" w:val="RemoveTocBookmarks,RunningHeaders"/>
    <w:docVar w:name="WAFER_20140113142505_GUID" w:val="f88904c7-3452-416b-a7e3-5d08f5d12b0d"/>
    <w:docVar w:name="WAFER_20150415152213" w:val="ResetPageSize,UpdateArrangement,UpdateNTable"/>
    <w:docVar w:name="WAFER_20150415152213_GUID" w:val="7dc09a28-28d0-4505-9ea1-93dda1892654"/>
    <w:docVar w:name="WAFER_20151104133928" w:val="UpdateStyles,UsedStyles"/>
    <w:docVar w:name="WAFER_20151104133928_GUID" w:val="1df1ce15-d42c-4df9-8d33-79407caae932"/>
    <w:docVar w:name="WAFER_20151105161207" w:val="UsedStyles"/>
    <w:docVar w:name="WAFER_20151105161207_GUID" w:val="b96f2925-f840-42ec-87ee-ab0c70a0671f"/>
    <w:docVar w:name="WAFER_20151117115014" w:val="RemoveTocBookmarks,RemoveUnusedBookmarks,RemoveLanguageTags,UsedStyles,ResetPageSize"/>
    <w:docVar w:name="WAFER_20151117115014_GUID" w:val="74555911-3e8e-41f6-b21d-193328ada0ae"/>
    <w:docVar w:name="WAFER_20160119110245" w:val="RemoveTocBookmarks,RemoveUnusedBookmarks,RemoveLanguageTags,UsedStyles,ResetPageSize,RemoveCustomizations"/>
    <w:docVar w:name="WAFER_20160119110245_GUID" w:val="9296b5d6-ef17-4b5c-8737-44d7ac559f91"/>
    <w:docVar w:name="WAFER_20160127112417" w:val="UsedStyles,ExtractDocX,RunningHeaders"/>
    <w:docVar w:name="WAFER_20160127112417_GUID" w:val="563a9d48-4b6a-461b-8f35-fb44b1abaef5"/>
    <w:docVar w:name="WAFER_20160216140405" w:val="RemoveTocBookmarks,RemoveUnusedBookmarks,RemoveLanguageTags,UsedStyles,RemoveTrackChanges"/>
    <w:docVar w:name="WAFER_20160216140405_GUID" w:val="7b6e6cc9-faeb-46fb-ba8d-e5c4db706796"/>
    <w:docVar w:name="WAFER_20170111123354" w:val="RemoveTocBookmarks,RemoveUnusedBookmarks,RemoveLanguageTags,UsedStyles,ResetPageSize"/>
    <w:docVar w:name="WAFER_20170111123354_GUID" w:val="031a31d9-e76c-42de-af41-1143811ed32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696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9212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26922D-C70B-48B8-9DEA-1DE7A6DC52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368</Pages>
  <Words>96487</Words>
  <Characters>455421</Characters>
  <Application>Microsoft Office Word</Application>
  <DocSecurity>0</DocSecurity>
  <Lines>12308</Lines>
  <Paragraphs>6813</Paragraphs>
  <ScaleCrop>false</ScaleCrop>
  <HeadingPairs>
    <vt:vector size="2" baseType="variant">
      <vt:variant>
        <vt:lpstr>Title</vt:lpstr>
      </vt:variant>
      <vt:variant>
        <vt:i4>1</vt:i4>
      </vt:variant>
    </vt:vector>
  </HeadingPairs>
  <TitlesOfParts>
    <vt:vector size="1" baseType="lpstr">
      <vt:lpstr>Liquor Control Act 1988</vt:lpstr>
    </vt:vector>
  </TitlesOfParts>
  <Manager/>
  <Company/>
  <LinksUpToDate>false</LinksUpToDate>
  <CharactersWithSpaces>545095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1988 - 08-h0-00</dc:title>
  <dc:subject/>
  <dc:creator/>
  <cp:keywords/>
  <dc:description/>
  <cp:lastModifiedBy>svcMRProcess</cp:lastModifiedBy>
  <cp:revision>4</cp:revision>
  <cp:lastPrinted>2018-08-17T03:42:00Z</cp:lastPrinted>
  <dcterms:created xsi:type="dcterms:W3CDTF">2018-09-04T06:16:00Z</dcterms:created>
  <dcterms:modified xsi:type="dcterms:W3CDTF">2018-09-04T06:17:00Z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DocumentType">
    <vt:lpwstr>Act</vt:lpwstr>
  </property>
  <property fmtid="{D5CDD505-2E9C-101B-9397-08002B2CF9AE}" pid="4" name="OwlsUID">
    <vt:i4>461</vt:i4>
  </property>
  <property fmtid="{D5CDD505-2E9C-101B-9397-08002B2CF9AE}" pid="5" name="ThisVersion">
    <vt:lpwstr>06-m0-00</vt:lpwstr>
  </property>
  <property fmtid="{D5CDD505-2E9C-101B-9397-08002B2CF9AE}" pid="6" name="ReprintedAsAt">
    <vt:filetime>2016-03-03T16:00:00Z</vt:filetime>
  </property>
  <property fmtid="{D5CDD505-2E9C-101B-9397-08002B2CF9AE}" pid="7" name="ReprintNo">
    <vt:lpwstr>8</vt:lpwstr>
  </property>
  <property fmtid="{D5CDD505-2E9C-101B-9397-08002B2CF9AE}" pid="8" name="CommencementDate">
    <vt:lpwstr>20180818</vt:lpwstr>
  </property>
  <property fmtid="{D5CDD505-2E9C-101B-9397-08002B2CF9AE}" pid="9" name="AsAtDate">
    <vt:lpwstr>18 Aug 2018</vt:lpwstr>
  </property>
  <property fmtid="{D5CDD505-2E9C-101B-9397-08002B2CF9AE}" pid="10" name="Suffix">
    <vt:lpwstr>08-h0-00</vt:lpwstr>
  </property>
</Properties>
</file>