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_Toc522607409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_Toc522607410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_Toc522607411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_Toc522607412 \h </w:instrText>
      </w:r>
      <w:r>
        <w:fldChar w:fldCharType="separate"/>
      </w:r>
      <w:r>
        <w:t>2</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_Toc522607413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_Toc522607414 \h </w:instrText>
      </w:r>
      <w:r>
        <w:fldChar w:fldCharType="separate"/>
      </w:r>
      <w:r>
        <w:t>5</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_Toc522607415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_Toc522607416 \h </w:instrText>
      </w:r>
      <w:r>
        <w:fldChar w:fldCharType="separate"/>
      </w:r>
      <w:r>
        <w:t>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_Toc522607417 \h </w:instrText>
      </w:r>
      <w:r>
        <w:fldChar w:fldCharType="separate"/>
      </w:r>
      <w:r>
        <w:t>7</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_Toc522607418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_Toc522607419 \h </w:instrText>
      </w:r>
      <w:r>
        <w:fldChar w:fldCharType="separate"/>
      </w:r>
      <w:r>
        <w:t>7</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_Toc522607420 \h </w:instrText>
      </w:r>
      <w:r>
        <w:fldChar w:fldCharType="separate"/>
      </w:r>
      <w:r>
        <w:t>8</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_Toc522607421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_Toc522607422 \h </w:instrText>
      </w:r>
      <w:r>
        <w:fldChar w:fldCharType="separate"/>
      </w:r>
      <w:r>
        <w:t>9</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_Toc522607423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Fares</w:t>
      </w:r>
    </w:p>
    <w:p>
      <w:pPr>
        <w:pStyle w:val="TOC4"/>
        <w:tabs>
          <w:tab w:val="right" w:leader="do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 — Kimberley region</w:t>
      </w:r>
    </w:p>
    <w:p>
      <w:pPr>
        <w:pStyle w:val="TOC4"/>
        <w:tabs>
          <w:tab w:val="right" w:leader="dot" w:pos="7077"/>
        </w:tabs>
        <w:rPr>
          <w:rFonts w:asciiTheme="minorHAnsi" w:eastAsiaTheme="minorEastAsia" w:hAnsiTheme="minorHAnsi" w:cstheme="minorBidi"/>
          <w:b w:val="0"/>
          <w:szCs w:val="22"/>
        </w:rPr>
      </w:pPr>
      <w:r>
        <w:t>Division 5 — Mid West region</w:t>
      </w:r>
    </w:p>
    <w:p>
      <w:pPr>
        <w:pStyle w:val="TOC4"/>
        <w:tabs>
          <w:tab w:val="right" w:leader="dot" w:pos="7077"/>
        </w:tabs>
        <w:rPr>
          <w:rFonts w:asciiTheme="minorHAnsi" w:eastAsiaTheme="minorEastAsia" w:hAnsiTheme="minorHAnsi" w:cstheme="minorBidi"/>
          <w:b w:val="0"/>
          <w:szCs w:val="22"/>
        </w:rPr>
      </w:pPr>
      <w:r>
        <w:t>Division 6 — Peel region</w:t>
      </w:r>
    </w:p>
    <w:p>
      <w:pPr>
        <w:pStyle w:val="TOC4"/>
        <w:tabs>
          <w:tab w:val="right" w:leader="dot" w:pos="7077"/>
        </w:tabs>
        <w:rPr>
          <w:rFonts w:asciiTheme="minorHAnsi" w:eastAsiaTheme="minorEastAsia" w:hAnsiTheme="minorHAnsi" w:cstheme="minorBidi"/>
          <w:b w:val="0"/>
          <w:szCs w:val="22"/>
        </w:rPr>
      </w:pPr>
      <w:r>
        <w:t>Division 7 — Pilbara region</w:t>
      </w:r>
    </w:p>
    <w:p>
      <w:pPr>
        <w:pStyle w:val="TOC4"/>
        <w:tabs>
          <w:tab w:val="right" w:leader="dot" w:pos="7077"/>
        </w:tabs>
        <w:rPr>
          <w:rFonts w:asciiTheme="minorHAnsi" w:eastAsiaTheme="minorEastAsia" w:hAnsiTheme="minorHAnsi" w:cstheme="minorBidi"/>
          <w:b w:val="0"/>
          <w:szCs w:val="22"/>
        </w:rPr>
      </w:pPr>
      <w:r>
        <w:t>Division 8 — South West region</w:t>
      </w:r>
    </w:p>
    <w:p>
      <w:pPr>
        <w:pStyle w:val="TOC4"/>
        <w:tabs>
          <w:tab w:val="right" w:leader="dot" w:pos="7077"/>
        </w:tabs>
        <w:rPr>
          <w:rFonts w:asciiTheme="minorHAnsi" w:eastAsiaTheme="minorEastAsia" w:hAnsiTheme="minorHAnsi" w:cstheme="minorBidi"/>
          <w:b w:val="0"/>
          <w:szCs w:val="22"/>
        </w:rPr>
      </w:pPr>
      <w:r>
        <w:t>Division 9 — Wheatbelt region</w:t>
      </w:r>
    </w:p>
    <w:p>
      <w:pPr>
        <w:pStyle w:val="TOC2"/>
        <w:tabs>
          <w:tab w:val="right" w:leader="dot" w:pos="7077"/>
        </w:tabs>
        <w:rPr>
          <w:rFonts w:asciiTheme="minorHAnsi" w:eastAsiaTheme="minorEastAsia" w:hAnsiTheme="minorHAnsi" w:cstheme="minorBidi"/>
          <w:b w:val="0"/>
          <w:sz w:val="22"/>
          <w:szCs w:val="22"/>
        </w:rPr>
      </w:pPr>
      <w:r>
        <w:t>Schedule 2 —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_Toc522607437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522607409"/>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Gazette 28 Jun 2016 p. 2662.]</w:t>
      </w:r>
    </w:p>
    <w:p>
      <w:pPr>
        <w:pStyle w:val="Heading5"/>
        <w:rPr>
          <w:snapToGrid w:val="0"/>
        </w:rPr>
      </w:pPr>
      <w:bookmarkStart w:id="4" w:name="_Toc522607410"/>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522607411"/>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Gazette 13 Dec 2013 p.</w:t>
      </w:r>
      <w:r>
        <w:rPr>
          <w:sz w:val="19"/>
        </w:rPr>
        <w:t> </w:t>
      </w:r>
      <w:r>
        <w:t>6178; amended: Gazette 20 Feb 2015 p. 690</w:t>
      </w:r>
      <w:r>
        <w:noBreakHyphen/>
        <w:t>1; 28 Jun 2016 p. 2662</w:t>
      </w:r>
      <w:r>
        <w:noBreakHyphen/>
        <w:t>3.]</w:t>
      </w:r>
    </w:p>
    <w:p>
      <w:pPr>
        <w:pStyle w:val="Heading5"/>
        <w:rPr>
          <w:snapToGrid w:val="0"/>
        </w:rPr>
      </w:pPr>
      <w:bookmarkStart w:id="6" w:name="_Toc522607412"/>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Gazette 14 Jul 2006 p. 2571; 29 Jun 2012 p. 2963; 13 Dec 2013 p. 6179; 28 Jun 2016 p. 2663.]</w:t>
      </w:r>
    </w:p>
    <w:p>
      <w:pPr>
        <w:pStyle w:val="Heading5"/>
      </w:pPr>
      <w:bookmarkStart w:id="7" w:name="_Toc522607413"/>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However, if a voucher is to be used for the payment or part-payment of the contract fare, the amount agreed under subregulation (1) must not exceed the fare (as calculated in accordance with the appropriate tariff set out in Schedule 1) that would otherwise be payable for the hire of the taxi-car.</w:t>
      </w:r>
    </w:p>
    <w:p>
      <w:pPr>
        <w:pStyle w:val="Subsection"/>
      </w:pPr>
      <w:r>
        <w:tab/>
        <w:t>(3)</w:t>
      </w:r>
      <w:r>
        <w:tab/>
        <w:t>Subregulation (1) does not apply if the taxi-car is hired at a taxi stand or as a result of hailing the driver.</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Gazette 28 Jun 2016 p. 2663</w:t>
      </w:r>
      <w:r>
        <w:noBreakHyphen/>
        <w:t>5; amended: Gazette 22 May 2018 p. 1601.]</w:t>
      </w:r>
    </w:p>
    <w:p>
      <w:pPr>
        <w:pStyle w:val="Heading5"/>
      </w:pPr>
      <w:bookmarkStart w:id="8" w:name="_Toc522607414"/>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Gazette 28 Jun 2016 p. 2665.]</w:t>
      </w:r>
    </w:p>
    <w:p>
      <w:pPr>
        <w:pStyle w:val="Heading5"/>
      </w:pPr>
      <w:bookmarkStart w:id="9" w:name="_Toc522607415"/>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Gazette 20 Feb 2015 p. 691.]</w:t>
      </w:r>
    </w:p>
    <w:p>
      <w:pPr>
        <w:pStyle w:val="Heading5"/>
      </w:pPr>
      <w:bookmarkStart w:id="10" w:name="_Toc522607416"/>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Gazette 20 Feb 2015 p. 691; amended: Gazette 28 Jun 2016 p. 2666.]</w:t>
      </w:r>
    </w:p>
    <w:p>
      <w:pPr>
        <w:pStyle w:val="Heading5"/>
        <w:rPr>
          <w:snapToGrid w:val="0"/>
        </w:rPr>
      </w:pPr>
      <w:bookmarkStart w:id="11" w:name="_Toc522607417"/>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Gazette 24 Dec 2002 p. 6605; 28 Jun 2016 p. 2666.]</w:t>
      </w:r>
    </w:p>
    <w:p>
      <w:pPr>
        <w:pStyle w:val="Heading5"/>
      </w:pPr>
      <w:bookmarkStart w:id="12" w:name="_Toc522607418"/>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Gazette 14 Jul 2006 p. 2571; amended: Gazette 28 Jun 2016 p. 2667.]</w:t>
      </w:r>
    </w:p>
    <w:p>
      <w:pPr>
        <w:pStyle w:val="Heading5"/>
      </w:pPr>
      <w:bookmarkStart w:id="13" w:name="_Toc522607419"/>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Gazette 28 Jun 2016 p. 2667</w:t>
      </w:r>
      <w:r>
        <w:noBreakHyphen/>
        <w:t>9.]</w:t>
      </w:r>
    </w:p>
    <w:p>
      <w:pPr>
        <w:pStyle w:val="Heading5"/>
      </w:pPr>
      <w:bookmarkStart w:id="14" w:name="_Toc522607420"/>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or a contract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or a contract fare if the payment or part</w:t>
      </w:r>
      <w:r>
        <w:noBreakHyphen/>
        <w:t>payment is in accordance with guidelines published by the Director General.</w:t>
      </w:r>
    </w:p>
    <w:p>
      <w:pPr>
        <w:pStyle w:val="Footnotesection"/>
      </w:pPr>
      <w:r>
        <w:tab/>
        <w:t>[Regulation 5A inserted: Gazette 28 Jun 2016 p. 2669; amended: Gazette 22 May 2018 p. 1601.]</w:t>
      </w:r>
    </w:p>
    <w:p>
      <w:pPr>
        <w:pStyle w:val="Heading5"/>
      </w:pPr>
      <w:bookmarkStart w:id="15" w:name="_Toc522607421"/>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Gazette 28 Jun 2016 p. 2670.]</w:t>
      </w:r>
    </w:p>
    <w:p>
      <w:pPr>
        <w:pStyle w:val="Heading5"/>
        <w:rPr>
          <w:snapToGrid w:val="0"/>
        </w:rPr>
      </w:pPr>
      <w:bookmarkStart w:id="16" w:name="_Toc522607422"/>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Gazette 28 Jun 2016 p. 2670.]</w:t>
      </w:r>
    </w:p>
    <w:p>
      <w:pPr>
        <w:pStyle w:val="Heading5"/>
      </w:pPr>
      <w:bookmarkStart w:id="17" w:name="_Toc522607423"/>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18" w:name="_Toc514742884"/>
      <w:bookmarkStart w:id="19" w:name="_Toc514742914"/>
      <w:bookmarkStart w:id="20" w:name="_Toc514742946"/>
      <w:bookmarkStart w:id="21" w:name="_Toc514746392"/>
      <w:bookmarkStart w:id="22" w:name="_Toc522607424"/>
      <w:r>
        <w:rPr>
          <w:rStyle w:val="CharSchNo"/>
        </w:rPr>
        <w:t>Schedule 1</w:t>
      </w:r>
      <w:r>
        <w:t> — </w:t>
      </w:r>
      <w:r>
        <w:rPr>
          <w:rStyle w:val="CharSchText"/>
        </w:rPr>
        <w:t>Fares</w:t>
      </w:r>
      <w:bookmarkEnd w:id="18"/>
      <w:bookmarkEnd w:id="19"/>
      <w:bookmarkEnd w:id="20"/>
      <w:bookmarkEnd w:id="21"/>
      <w:bookmarkEnd w:id="22"/>
    </w:p>
    <w:p>
      <w:pPr>
        <w:pStyle w:val="zyShoulderClause"/>
        <w:keepNext/>
        <w:keepLines/>
      </w:pPr>
      <w:r>
        <w:t xml:space="preserve"> [r. 3]</w:t>
      </w:r>
    </w:p>
    <w:p>
      <w:pPr>
        <w:pStyle w:val="yFootnoteheading"/>
      </w:pPr>
      <w:r>
        <w:tab/>
        <w:t>[Heading inserted: Gazette 23 Dec 2014 p. 4898; amended: Gazette 28 Jun 2016 p. 2670.]</w:t>
      </w:r>
    </w:p>
    <w:p>
      <w:pPr>
        <w:pStyle w:val="yHeading3"/>
        <w:rPr>
          <w:rStyle w:val="CharSDivText"/>
        </w:rPr>
      </w:pPr>
      <w:bookmarkStart w:id="23" w:name="_Toc514742885"/>
      <w:bookmarkStart w:id="24" w:name="_Toc514742915"/>
      <w:bookmarkStart w:id="25" w:name="_Toc514742947"/>
      <w:bookmarkStart w:id="26" w:name="_Toc514746393"/>
      <w:bookmarkStart w:id="27" w:name="_Toc522607425"/>
      <w:r>
        <w:rPr>
          <w:rStyle w:val="CharSDivNo"/>
        </w:rPr>
        <w:t>Division 1</w:t>
      </w:r>
      <w:r>
        <w:rPr>
          <w:b w:val="0"/>
        </w:rPr>
        <w:t> — </w:t>
      </w:r>
      <w:r>
        <w:rPr>
          <w:rStyle w:val="CharSDivText"/>
        </w:rPr>
        <w:t>Gascoyne region</w:t>
      </w:r>
      <w:bookmarkEnd w:id="23"/>
      <w:bookmarkEnd w:id="24"/>
      <w:bookmarkEnd w:id="25"/>
      <w:bookmarkEnd w:id="26"/>
      <w:bookmarkEnd w:id="27"/>
    </w:p>
    <w:p>
      <w:pPr>
        <w:pStyle w:val="yFootnoteheading"/>
      </w:pPr>
      <w:r>
        <w:tab/>
        <w:t>[Heading inserted: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Gazette 23 Dec 2014 p. 4898-9; amended: Gazette 28 Jun 2016 p. 2671.]</w:t>
      </w:r>
    </w:p>
    <w:p>
      <w:pPr>
        <w:pStyle w:val="yHeading3"/>
      </w:pPr>
      <w:bookmarkStart w:id="28" w:name="_Toc514742886"/>
      <w:bookmarkStart w:id="29" w:name="_Toc514742916"/>
      <w:bookmarkStart w:id="30" w:name="_Toc514742948"/>
      <w:bookmarkStart w:id="31" w:name="_Toc514746394"/>
      <w:bookmarkStart w:id="32" w:name="_Toc522607426"/>
      <w:r>
        <w:rPr>
          <w:rStyle w:val="CharSDivNo"/>
        </w:rPr>
        <w:t>Division 2</w:t>
      </w:r>
      <w:r>
        <w:t> — </w:t>
      </w:r>
      <w:r>
        <w:rPr>
          <w:rStyle w:val="CharSDivText"/>
        </w:rPr>
        <w:t>Goldfields</w:t>
      </w:r>
      <w:r>
        <w:rPr>
          <w:rStyle w:val="CharSDivText"/>
        </w:rPr>
        <w:noBreakHyphen/>
        <w:t>Esperance region</w:t>
      </w:r>
      <w:bookmarkEnd w:id="28"/>
      <w:bookmarkEnd w:id="29"/>
      <w:bookmarkEnd w:id="30"/>
      <w:bookmarkEnd w:id="31"/>
      <w:bookmarkEnd w:id="32"/>
    </w:p>
    <w:p>
      <w:pPr>
        <w:pStyle w:val="yFootnoteheading"/>
      </w:pPr>
      <w:r>
        <w:tab/>
        <w:t>[Heading inserted: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23 Dec 2014 p. 4899-901; amended: Gazette 28 Jun 2016 p. 2671.]</w:t>
      </w:r>
    </w:p>
    <w:p>
      <w:pPr>
        <w:pStyle w:val="yHeading3"/>
      </w:pPr>
      <w:bookmarkStart w:id="33" w:name="_Toc514742887"/>
      <w:bookmarkStart w:id="34" w:name="_Toc514742917"/>
      <w:bookmarkStart w:id="35" w:name="_Toc514742949"/>
      <w:bookmarkStart w:id="36" w:name="_Toc514746395"/>
      <w:bookmarkStart w:id="37" w:name="_Toc522607427"/>
      <w:r>
        <w:rPr>
          <w:rStyle w:val="CharSDivNo"/>
        </w:rPr>
        <w:t>Division 3 </w:t>
      </w:r>
      <w:r>
        <w:t>— </w:t>
      </w:r>
      <w:r>
        <w:rPr>
          <w:rStyle w:val="CharSDivText"/>
        </w:rPr>
        <w:t>Great Southern region</w:t>
      </w:r>
      <w:bookmarkEnd w:id="33"/>
      <w:bookmarkEnd w:id="34"/>
      <w:bookmarkEnd w:id="35"/>
      <w:bookmarkEnd w:id="36"/>
      <w:bookmarkEnd w:id="37"/>
    </w:p>
    <w:p>
      <w:pPr>
        <w:pStyle w:val="yFootnoteheading"/>
      </w:pPr>
      <w:r>
        <w:tab/>
        <w:t>[Heading inserted: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Gazette 23 Dec 2014 p. 4901-2; amended: Gazette 28 Jun 2016 p. 2671.]</w:t>
      </w:r>
    </w:p>
    <w:p>
      <w:pPr>
        <w:pStyle w:val="yHeading3"/>
      </w:pPr>
      <w:bookmarkStart w:id="38" w:name="_Toc514742888"/>
      <w:bookmarkStart w:id="39" w:name="_Toc514742918"/>
      <w:bookmarkStart w:id="40" w:name="_Toc514742950"/>
      <w:bookmarkStart w:id="41" w:name="_Toc514746396"/>
      <w:bookmarkStart w:id="42" w:name="_Toc522607428"/>
      <w:r>
        <w:rPr>
          <w:rStyle w:val="CharSDivNo"/>
        </w:rPr>
        <w:t>Division 4</w:t>
      </w:r>
      <w:r>
        <w:t> — </w:t>
      </w:r>
      <w:r>
        <w:rPr>
          <w:rStyle w:val="CharSDivText"/>
        </w:rPr>
        <w:t>Kimberley region</w:t>
      </w:r>
      <w:bookmarkEnd w:id="38"/>
      <w:bookmarkEnd w:id="39"/>
      <w:bookmarkEnd w:id="40"/>
      <w:bookmarkEnd w:id="41"/>
      <w:bookmarkEnd w:id="42"/>
    </w:p>
    <w:p>
      <w:pPr>
        <w:pStyle w:val="yFootnoteheading"/>
        <w:keepNext/>
      </w:pPr>
      <w:r>
        <w:tab/>
        <w:t>[Heading inserted: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rPr>
        <w:tc>
          <w:tcPr>
            <w:tcW w:w="4820" w:type="dxa"/>
            <w:tcBorders>
              <w:top w:val="nil"/>
              <w:bottom w:val="nil"/>
            </w:tcBorders>
          </w:tcPr>
          <w:p>
            <w:pPr>
              <w:pStyle w:val="yTableNAm"/>
              <w:rPr>
                <w:b/>
              </w:rPr>
            </w:pPr>
            <w:r>
              <w:rPr>
                <w:b/>
              </w:rPr>
              <w:t>Airport fee</w:t>
            </w:r>
          </w:p>
        </w:tc>
        <w:tc>
          <w:tcPr>
            <w:tcW w:w="1417" w:type="dxa"/>
            <w:tcBorders>
              <w:top w:val="nil"/>
              <w:bottom w:val="nil"/>
            </w:tcBorders>
          </w:tcPr>
          <w:p>
            <w:pPr>
              <w:pStyle w:val="yTableNAm"/>
            </w:pPr>
          </w:p>
        </w:tc>
      </w:tr>
      <w:tr>
        <w:trPr>
          <w:cantSplit/>
        </w:trPr>
        <w:tc>
          <w:tcPr>
            <w:tcW w:w="4820" w:type="dxa"/>
            <w:tcBorders>
              <w:top w:val="nil"/>
              <w:bottom w:val="nil"/>
            </w:tcBorders>
          </w:tcPr>
          <w:p>
            <w:pPr>
              <w:pStyle w:val="yTableNAm"/>
              <w:keepNext/>
              <w:keepLines/>
              <w:tabs>
                <w:tab w:val="clear" w:pos="567"/>
                <w:tab w:val="left" w:pos="176"/>
              </w:tabs>
              <w:ind w:left="176" w:hanging="176"/>
            </w:pPr>
            <w:r>
              <w:tab/>
              <w:t>(for a journey starting at the terminal at the Broome International Airport)</w:t>
            </w:r>
          </w:p>
        </w:tc>
        <w:tc>
          <w:tcPr>
            <w:tcW w:w="1417" w:type="dxa"/>
            <w:tcBorders>
              <w:top w:val="nil"/>
              <w:bottom w:val="nil"/>
            </w:tcBorders>
          </w:tcPr>
          <w:p>
            <w:pPr>
              <w:pStyle w:val="yTableNAm"/>
            </w:pPr>
            <w:r>
              <w:br/>
              <w:t>$2.50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23 Dec 2014 p. 4902-4; amended: Gazette 28 Jun 2016 p. 2671; 21 Aug 2018 p. 2943.]</w:t>
      </w:r>
    </w:p>
    <w:p>
      <w:pPr>
        <w:pStyle w:val="yHeading3"/>
      </w:pPr>
      <w:bookmarkStart w:id="43" w:name="_Toc514742889"/>
      <w:bookmarkStart w:id="44" w:name="_Toc514742919"/>
      <w:bookmarkStart w:id="45" w:name="_Toc514742951"/>
      <w:bookmarkStart w:id="46" w:name="_Toc514746397"/>
      <w:bookmarkStart w:id="47" w:name="_Toc522607429"/>
      <w:r>
        <w:rPr>
          <w:rStyle w:val="CharSDivNo"/>
        </w:rPr>
        <w:t>Division 5</w:t>
      </w:r>
      <w:r>
        <w:t> — </w:t>
      </w:r>
      <w:r>
        <w:rPr>
          <w:rStyle w:val="CharSDivText"/>
        </w:rPr>
        <w:t>Mid West region</w:t>
      </w:r>
      <w:bookmarkEnd w:id="43"/>
      <w:bookmarkEnd w:id="44"/>
      <w:bookmarkEnd w:id="45"/>
      <w:bookmarkEnd w:id="46"/>
      <w:bookmarkEnd w:id="47"/>
    </w:p>
    <w:p>
      <w:pPr>
        <w:pStyle w:val="yFootnoteheading"/>
      </w:pPr>
      <w:r>
        <w:tab/>
        <w:t>[Heading inserted: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Gazette 23 Dec 2014 p. 4904-5; amended: Gazette 28 Jun 2016 p. 2671.]</w:t>
      </w:r>
    </w:p>
    <w:p>
      <w:pPr>
        <w:pStyle w:val="yHeading3"/>
      </w:pPr>
      <w:bookmarkStart w:id="48" w:name="_Toc514742890"/>
      <w:bookmarkStart w:id="49" w:name="_Toc514742920"/>
      <w:bookmarkStart w:id="50" w:name="_Toc514742952"/>
      <w:bookmarkStart w:id="51" w:name="_Toc514746398"/>
      <w:bookmarkStart w:id="52" w:name="_Toc522607430"/>
      <w:r>
        <w:rPr>
          <w:rStyle w:val="CharSDivNo"/>
        </w:rPr>
        <w:t>Division 6</w:t>
      </w:r>
      <w:r>
        <w:t> — </w:t>
      </w:r>
      <w:r>
        <w:rPr>
          <w:rStyle w:val="CharSDivText"/>
        </w:rPr>
        <w:t>Peel region</w:t>
      </w:r>
      <w:bookmarkEnd w:id="48"/>
      <w:bookmarkEnd w:id="49"/>
      <w:bookmarkEnd w:id="50"/>
      <w:bookmarkEnd w:id="51"/>
      <w:bookmarkEnd w:id="52"/>
    </w:p>
    <w:p>
      <w:pPr>
        <w:pStyle w:val="yFootnoteheading"/>
      </w:pPr>
      <w:r>
        <w:tab/>
        <w:t>[Heading inserted: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Gazette 23 Dec 2014 p. 4905-7; amended: Gazette 28 Jun 2016 p. 2671.]</w:t>
      </w:r>
    </w:p>
    <w:p>
      <w:pPr>
        <w:pStyle w:val="yHeading3"/>
        <w:keepNext w:val="0"/>
      </w:pPr>
      <w:bookmarkStart w:id="53" w:name="_Toc514742891"/>
      <w:bookmarkStart w:id="54" w:name="_Toc514742921"/>
      <w:bookmarkStart w:id="55" w:name="_Toc514742953"/>
      <w:bookmarkStart w:id="56" w:name="_Toc514746399"/>
      <w:bookmarkStart w:id="57" w:name="_Toc522607431"/>
      <w:r>
        <w:rPr>
          <w:rStyle w:val="CharSDivNo"/>
        </w:rPr>
        <w:t>Division 7</w:t>
      </w:r>
      <w:r>
        <w:t> — </w:t>
      </w:r>
      <w:r>
        <w:rPr>
          <w:rStyle w:val="CharSDivText"/>
        </w:rPr>
        <w:t>Pilbara region</w:t>
      </w:r>
      <w:bookmarkEnd w:id="53"/>
      <w:bookmarkEnd w:id="54"/>
      <w:bookmarkEnd w:id="55"/>
      <w:bookmarkEnd w:id="56"/>
      <w:bookmarkEnd w:id="57"/>
    </w:p>
    <w:p>
      <w:pPr>
        <w:pStyle w:val="yFootnoteheading"/>
        <w:keepNext/>
      </w:pPr>
      <w:r>
        <w:tab/>
        <w:t>[Heading inserted: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Call out fee</w:t>
            </w:r>
          </w:p>
        </w:tc>
        <w:tc>
          <w:tcPr>
            <w:tcW w:w="1417" w:type="dxa"/>
            <w:tcBorders>
              <w:bottom w:val="nil"/>
            </w:tcBorders>
          </w:tcPr>
          <w:p>
            <w:pPr>
              <w:pStyle w:val="yTableNAm"/>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23 Dec 2014 p. 4907-8; amended: Gazette 28 Jun 2016 p. 2671; 12 May 2017 p. 2472.]</w:t>
      </w:r>
    </w:p>
    <w:p>
      <w:pPr>
        <w:pStyle w:val="yHeading3"/>
      </w:pPr>
      <w:bookmarkStart w:id="58" w:name="_Toc514742892"/>
      <w:bookmarkStart w:id="59" w:name="_Toc514742922"/>
      <w:bookmarkStart w:id="60" w:name="_Toc514742954"/>
      <w:bookmarkStart w:id="61" w:name="_Toc514746400"/>
      <w:bookmarkStart w:id="62" w:name="_Toc522607432"/>
      <w:r>
        <w:rPr>
          <w:rStyle w:val="CharSDivNo"/>
        </w:rPr>
        <w:t>Division 8</w:t>
      </w:r>
      <w:r>
        <w:t> — </w:t>
      </w:r>
      <w:r>
        <w:rPr>
          <w:rStyle w:val="CharSDivText"/>
        </w:rPr>
        <w:t>South West region</w:t>
      </w:r>
      <w:bookmarkEnd w:id="58"/>
      <w:bookmarkEnd w:id="59"/>
      <w:bookmarkEnd w:id="60"/>
      <w:bookmarkEnd w:id="61"/>
      <w:bookmarkEnd w:id="62"/>
    </w:p>
    <w:p>
      <w:pPr>
        <w:pStyle w:val="yFootnoteheading"/>
        <w:keepNext/>
      </w:pPr>
      <w:r>
        <w:tab/>
        <w:t>[Heading inserted: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Gazette 23 Dec 2014 p. 4908-10; amended: Gazette 28 Jun 2016 p. 2671.]</w:t>
      </w:r>
    </w:p>
    <w:p>
      <w:pPr>
        <w:pStyle w:val="yHeading3"/>
      </w:pPr>
      <w:bookmarkStart w:id="63" w:name="_Toc514742893"/>
      <w:bookmarkStart w:id="64" w:name="_Toc514742923"/>
      <w:bookmarkStart w:id="65" w:name="_Toc514742955"/>
      <w:bookmarkStart w:id="66" w:name="_Toc514746401"/>
      <w:bookmarkStart w:id="67" w:name="_Toc522607433"/>
      <w:r>
        <w:rPr>
          <w:rStyle w:val="CharSDivNo"/>
        </w:rPr>
        <w:t>Division 9</w:t>
      </w:r>
      <w:r>
        <w:t> — </w:t>
      </w:r>
      <w:r>
        <w:rPr>
          <w:rStyle w:val="CharSDivText"/>
        </w:rPr>
        <w:t>Wheatbelt region</w:t>
      </w:r>
      <w:bookmarkEnd w:id="63"/>
      <w:bookmarkEnd w:id="64"/>
      <w:bookmarkEnd w:id="65"/>
      <w:bookmarkEnd w:id="66"/>
      <w:bookmarkEnd w:id="67"/>
    </w:p>
    <w:p>
      <w:pPr>
        <w:pStyle w:val="yFootnoteheading"/>
      </w:pPr>
      <w:r>
        <w:tab/>
        <w:t>[Heading inserted: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23 Dec 2014 p. 4910-11; amended: Gazette 28 Jun 2016 p. 2671.]</w:t>
      </w:r>
    </w:p>
    <w:p>
      <w:pPr>
        <w:pStyle w:val="yScheduleHeading"/>
      </w:pPr>
      <w:bookmarkStart w:id="68" w:name="_Toc514742894"/>
      <w:bookmarkStart w:id="69" w:name="_Toc514742924"/>
      <w:bookmarkStart w:id="70" w:name="_Toc514742956"/>
      <w:bookmarkStart w:id="71" w:name="_Toc514746402"/>
      <w:bookmarkStart w:id="72" w:name="_Toc522607434"/>
      <w:r>
        <w:rPr>
          <w:rStyle w:val="CharSchNo"/>
        </w:rPr>
        <w:t>Schedule 2</w:t>
      </w:r>
      <w:r>
        <w:rPr>
          <w:rStyle w:val="CharSDivNo"/>
        </w:rPr>
        <w:t> </w:t>
      </w:r>
      <w:r>
        <w:t>—</w:t>
      </w:r>
      <w:r>
        <w:rPr>
          <w:rStyle w:val="CharSDivText"/>
        </w:rPr>
        <w:t> </w:t>
      </w:r>
      <w:r>
        <w:rPr>
          <w:rStyle w:val="CharSchText"/>
        </w:rPr>
        <w:t>Modified penalties</w:t>
      </w:r>
      <w:bookmarkEnd w:id="68"/>
      <w:bookmarkEnd w:id="69"/>
      <w:bookmarkEnd w:id="70"/>
      <w:bookmarkEnd w:id="71"/>
      <w:bookmarkEnd w:id="72"/>
    </w:p>
    <w:p>
      <w:pPr>
        <w:pStyle w:val="yShoulderClause"/>
      </w:pPr>
      <w:r>
        <w:t>[r. 7A(1)]</w:t>
      </w:r>
    </w:p>
    <w:p>
      <w:pPr>
        <w:pStyle w:val="yFootnoteheading"/>
        <w:spacing w:after="60"/>
      </w:pPr>
      <w:r>
        <w:tab/>
        <w:t>[Heading inserted: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Gazette 28 Jun 2016 p. 2671</w:t>
      </w:r>
      <w:r>
        <w:noBreakHyphen/>
        <w:t>3.]</w:t>
      </w:r>
    </w:p>
    <w:p>
      <w:pPr>
        <w:pStyle w:val="yScheduleHeading"/>
        <w:rPr>
          <w:rStyle w:val="CharSchNo"/>
        </w:r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74" w:name="_Toc514742895"/>
      <w:bookmarkStart w:id="75" w:name="_Toc514742925"/>
      <w:bookmarkStart w:id="76" w:name="_Toc514742957"/>
      <w:bookmarkStart w:id="77" w:name="_Toc514746403"/>
      <w:bookmarkStart w:id="78" w:name="_Toc522607435"/>
      <w:r>
        <w:rPr>
          <w:rStyle w:val="CharSchNo"/>
        </w:rPr>
        <w:t>Schedule 3</w:t>
      </w:r>
      <w:r>
        <w:rPr>
          <w:rStyle w:val="CharSDivNo"/>
        </w:rPr>
        <w:t> </w:t>
      </w:r>
      <w:r>
        <w:t>—</w:t>
      </w:r>
      <w:r>
        <w:rPr>
          <w:rStyle w:val="CharSDivText"/>
        </w:rPr>
        <w:t> </w:t>
      </w:r>
      <w:r>
        <w:rPr>
          <w:rStyle w:val="CharSchText"/>
        </w:rPr>
        <w:t>Forms</w:t>
      </w:r>
      <w:bookmarkEnd w:id="74"/>
      <w:bookmarkEnd w:id="75"/>
      <w:bookmarkEnd w:id="76"/>
      <w:bookmarkEnd w:id="77"/>
      <w:bookmarkEnd w:id="78"/>
    </w:p>
    <w:p>
      <w:pPr>
        <w:pStyle w:val="yShoulderClause"/>
        <w:spacing w:before="40"/>
      </w:pPr>
      <w:r>
        <w:t>[r. 7A(2) and (3)]</w:t>
      </w:r>
    </w:p>
    <w:p>
      <w:pPr>
        <w:pStyle w:val="yFootnoteheading"/>
        <w:spacing w:before="80"/>
      </w:pPr>
      <w:r>
        <w:tab/>
        <w:t>[Heading inserted: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Gazette 14 Jul 2006 p. 2573</w:t>
      </w:r>
      <w:r>
        <w:noBreakHyphen/>
        <w:t>4; amended: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Gazette 14 Jul 2006 p. 2574</w:t>
      </w:r>
      <w:r>
        <w:noBreakHyphen/>
        <w:t>5; amended: Gazette 28 Jun 2016 p. 2673.]</w:t>
      </w:r>
    </w:p>
    <w:p>
      <w:pPr>
        <w:pStyle w:val="CentredBaseLine"/>
        <w:jc w:val="center"/>
      </w:pPr>
    </w:p>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79" w:name="_Toc514742896"/>
      <w:bookmarkStart w:id="80" w:name="_Toc514742926"/>
      <w:bookmarkStart w:id="81" w:name="_Toc514742958"/>
      <w:bookmarkStart w:id="82" w:name="_Toc514746404"/>
      <w:bookmarkStart w:id="83" w:name="_Toc522607436"/>
      <w:r>
        <w:t>Notes</w:t>
      </w:r>
      <w:bookmarkEnd w:id="79"/>
      <w:bookmarkEnd w:id="80"/>
      <w:bookmarkEnd w:id="81"/>
      <w:bookmarkEnd w:id="82"/>
      <w:bookmarkEnd w:id="83"/>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84" w:name="_Toc522607437"/>
      <w:r>
        <w:rPr>
          <w:snapToGrid w:val="0"/>
        </w:rPr>
        <w:t>Compilation table</w:t>
      </w:r>
      <w:bookmarkEnd w:id="84"/>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trPr>
        <w:tc>
          <w:tcPr>
            <w:tcW w:w="3147" w:type="dxa"/>
            <w:gridSpan w:val="2"/>
            <w:shd w:val="clear" w:color="auto" w:fill="auto"/>
          </w:tcPr>
          <w:p>
            <w:pPr>
              <w:pStyle w:val="nTable"/>
              <w:spacing w:after="40"/>
            </w:pPr>
            <w:r>
              <w:rPr>
                <w:i/>
              </w:rPr>
              <w:t>Transport Regulations Amendment (Fares) Regulations 2018</w:t>
            </w:r>
            <w:r>
              <w:t xml:space="preserve"> Pt. 3</w:t>
            </w:r>
          </w:p>
        </w:tc>
        <w:tc>
          <w:tcPr>
            <w:tcW w:w="1276" w:type="dxa"/>
            <w:gridSpan w:val="2"/>
            <w:shd w:val="clear" w:color="auto" w:fill="auto"/>
          </w:tcPr>
          <w:p>
            <w:pPr>
              <w:pStyle w:val="nTable"/>
              <w:spacing w:after="40"/>
            </w:pPr>
            <w:r>
              <w:t>22 May 2018 p. 1600</w:t>
            </w:r>
            <w:r>
              <w:noBreakHyphen/>
              <w:t>1</w:t>
            </w:r>
          </w:p>
        </w:tc>
        <w:tc>
          <w:tcPr>
            <w:tcW w:w="2665" w:type="dxa"/>
            <w:shd w:val="clear" w:color="auto" w:fill="auto"/>
          </w:tcPr>
          <w:p>
            <w:pPr>
              <w:autoSpaceDE w:val="0"/>
              <w:autoSpaceDN w:val="0"/>
              <w:adjustRightInd w:val="0"/>
              <w:rPr>
                <w:szCs w:val="19"/>
              </w:rPr>
            </w:pPr>
            <w:r>
              <w:rPr>
                <w:sz w:val="19"/>
                <w:szCs w:val="19"/>
              </w:rPr>
              <w:t>23 May 2018 (see r. 2(b))</w:t>
            </w:r>
          </w:p>
        </w:tc>
      </w:tr>
      <w:tr>
        <w:trPr>
          <w:cantSplit/>
        </w:trPr>
        <w:tc>
          <w:tcPr>
            <w:tcW w:w="3147" w:type="dxa"/>
            <w:gridSpan w:val="2"/>
            <w:tcBorders>
              <w:bottom w:val="single" w:sz="8" w:space="0" w:color="auto"/>
            </w:tcBorders>
            <w:shd w:val="clear" w:color="auto" w:fill="auto"/>
          </w:tcPr>
          <w:p>
            <w:pPr>
              <w:pStyle w:val="nTable"/>
              <w:spacing w:after="40"/>
              <w:rPr>
                <w:i/>
              </w:rPr>
            </w:pPr>
            <w:r>
              <w:rPr>
                <w:i/>
              </w:rPr>
              <w:t>Transport (Country Taxi</w:t>
            </w:r>
            <w:r>
              <w:rPr>
                <w:i/>
              </w:rPr>
              <w:noBreakHyphen/>
              <w:t>cars Fares) Amendment Regulation 2018</w:t>
            </w:r>
          </w:p>
        </w:tc>
        <w:tc>
          <w:tcPr>
            <w:tcW w:w="1276" w:type="dxa"/>
            <w:gridSpan w:val="2"/>
            <w:tcBorders>
              <w:bottom w:val="single" w:sz="8" w:space="0" w:color="auto"/>
            </w:tcBorders>
            <w:shd w:val="clear" w:color="auto" w:fill="auto"/>
          </w:tcPr>
          <w:p>
            <w:pPr>
              <w:pStyle w:val="nTable"/>
              <w:spacing w:after="40"/>
            </w:pPr>
            <w:r>
              <w:t>21 Aug 2018 p. 2943</w:t>
            </w:r>
          </w:p>
        </w:tc>
        <w:tc>
          <w:tcPr>
            <w:tcW w:w="2665" w:type="dxa"/>
            <w:tcBorders>
              <w:bottom w:val="single" w:sz="8" w:space="0" w:color="auto"/>
            </w:tcBorders>
            <w:shd w:val="clear" w:color="auto" w:fill="auto"/>
          </w:tcPr>
          <w:p>
            <w:pPr>
              <w:autoSpaceDE w:val="0"/>
              <w:autoSpaceDN w:val="0"/>
              <w:adjustRightInd w:val="0"/>
              <w:rPr>
                <w:sz w:val="19"/>
                <w:szCs w:val="19"/>
              </w:rPr>
            </w:pPr>
            <w:r>
              <w:rPr>
                <w:sz w:val="19"/>
                <w:szCs w:val="19"/>
              </w:rPr>
              <w:t>r. 1 and 2: 21 Aug 2018 (see r. 2(a));</w:t>
            </w:r>
          </w:p>
          <w:p>
            <w:pPr>
              <w:autoSpaceDE w:val="0"/>
              <w:autoSpaceDN w:val="0"/>
              <w:adjustRightInd w:val="0"/>
              <w:rPr>
                <w:sz w:val="19"/>
                <w:szCs w:val="19"/>
              </w:rPr>
            </w:pPr>
            <w:r>
              <w:rPr>
                <w:sz w:val="19"/>
                <w:szCs w:val="19"/>
              </w:rPr>
              <w:t>Regulations other than r. 1 and 2: 22 Aug 2018 (see r. 2(b))</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BlankClose"/>
        <w:keepNext/>
      </w:pPr>
    </w:p>
    <w:p>
      <w:pPr>
        <w:rPr>
          <w:noProof/>
          <w:snapToGrid w:val="0"/>
        </w:r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86" w:name="_Toc514742898"/>
      <w:bookmarkStart w:id="87" w:name="_Toc514742928"/>
      <w:bookmarkStart w:id="88" w:name="_Toc514742960"/>
      <w:bookmarkStart w:id="89" w:name="_Toc514746406"/>
      <w:bookmarkStart w:id="90" w:name="_Toc522607438"/>
      <w:r>
        <w:rPr>
          <w:sz w:val="28"/>
        </w:rPr>
        <w:t>Defined terms</w:t>
      </w:r>
      <w:bookmarkEnd w:id="86"/>
      <w:bookmarkEnd w:id="87"/>
      <w:bookmarkEnd w:id="88"/>
      <w:bookmarkEnd w:id="89"/>
      <w:bookmarkEnd w:id="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1"/>
          <w:headerReference w:type="default" r:id="rId32"/>
          <w:pgSz w:w="11907" w:h="16840" w:code="9"/>
          <w:pgMar w:top="2381" w:right="2409" w:bottom="3543" w:left="2409" w:header="720" w:footer="3380" w:gutter="0"/>
          <w:cols w:space="720"/>
          <w:noEndnote/>
          <w:docGrid w:linePitch="326"/>
        </w:sectPr>
      </w:pPr>
    </w:p>
    <w:p>
      <w:pPr>
        <w:rPr>
          <w:noProof/>
          <w:snapToGrid w:val="0"/>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Aug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Aug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73" w:name="Schedule"/>
    <w:bookmarkEnd w:id="73"/>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5" w:name="Compilation"/>
    <w:bookmarkEnd w:id="8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1" w:name="DefinedTerms"/>
    <w:bookmarkEnd w:id="9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2" w:name="Coversheet"/>
    <w:bookmarkEnd w:id="9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22080348"/>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D92DB-B309-438B-ABF3-151CFB9F8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6543</Words>
  <Characters>32261</Characters>
  <Application>Microsoft Office Word</Application>
  <DocSecurity>0</DocSecurity>
  <Lines>1897</Lines>
  <Paragraphs>1077</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1991 - 04-e0-01</dc:title>
  <dc:subject/>
  <dc:creator/>
  <cp:keywords/>
  <dc:description/>
  <cp:lastModifiedBy>svcMRProcess</cp:lastModifiedBy>
  <cp:revision>4</cp:revision>
  <cp:lastPrinted>2018-05-22T02:43:00Z</cp:lastPrinted>
  <dcterms:created xsi:type="dcterms:W3CDTF">2019-01-18T07:17:00Z</dcterms:created>
  <dcterms:modified xsi:type="dcterms:W3CDTF">2019-01-18T07:17:00Z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AsAtDate">
    <vt:lpwstr>22 Aug 2018</vt:lpwstr>
  </property>
  <property fmtid="{D5CDD505-2E9C-101B-9397-08002B2CF9AE}" pid="8" name="Suffix">
    <vt:lpwstr>04-e0-01</vt:lpwstr>
  </property>
  <property fmtid="{D5CDD505-2E9C-101B-9397-08002B2CF9AE}" pid="9" name="CommencementDate">
    <vt:lpwstr>20180822</vt:lpwstr>
  </property>
</Properties>
</file>