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Family Court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Family Court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Family Court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_Toc522795276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_Toc522795277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_Toc522795278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rPr>
          <w:snapToGrid w:val="0"/>
        </w:rPr>
        <w:t>.</w:t>
      </w:r>
      <w:r>
        <w:rPr>
          <w:snapToGrid w:val="0"/>
        </w:rPr>
        <w:tab/>
        <w:t>Dispensing with compliance with these regulations</w:t>
      </w:r>
      <w:r>
        <w:tab/>
      </w:r>
      <w:r>
        <w:fldChar w:fldCharType="begin"/>
      </w:r>
      <w:r>
        <w:instrText xml:space="preserve"> PAGEREF _Toc522795280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registry</w:t>
      </w:r>
      <w:r>
        <w:tab/>
      </w:r>
      <w:r>
        <w:fldChar w:fldCharType="begin"/>
      </w:r>
      <w:r>
        <w:instrText xml:space="preserve"> PAGEREF _Toc522795281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Fees of Marshal</w:t>
      </w:r>
      <w:r>
        <w:tab/>
      </w:r>
      <w:r>
        <w:fldChar w:fldCharType="begin"/>
      </w:r>
      <w:r>
        <w:instrText xml:space="preserve"> PAGEREF _Toc522795282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Recording and transcripts of proceedings</w:t>
      </w:r>
      <w:r>
        <w:tab/>
      </w:r>
      <w:r>
        <w:fldChar w:fldCharType="begin"/>
      </w:r>
      <w:r>
        <w:instrText xml:space="preserve"> PAGEREF _Toc522795283 \h </w:instrText>
      </w:r>
      <w:r>
        <w:fldChar w:fldCharType="separate"/>
      </w:r>
      <w:r>
        <w:t>3</w:t>
      </w:r>
      <w:r>
        <w:fldChar w:fldCharType="end"/>
      </w:r>
    </w:p>
    <w:p>
      <w:pPr>
        <w:pStyle w:val="TOC8"/>
        <w:rPr>
          <w:rFonts w:asciiTheme="minorHAnsi" w:eastAsiaTheme="minorEastAsia" w:hAnsiTheme="minorHAnsi" w:cstheme="minorBidi"/>
          <w:szCs w:val="22"/>
        </w:rPr>
      </w:pPr>
      <w:r>
        <w:t>8.</w:t>
      </w:r>
      <w:r>
        <w:tab/>
        <w:t>Family Law Regulations Part 5 adopted</w:t>
      </w:r>
      <w:r>
        <w:tab/>
      </w:r>
      <w:r>
        <w:fldChar w:fldCharType="begin"/>
      </w:r>
      <w:r>
        <w:instrText xml:space="preserve"> PAGEREF _Toc522795284 \h </w:instrText>
      </w:r>
      <w:r>
        <w:fldChar w:fldCharType="separate"/>
      </w:r>
      <w:r>
        <w:t>3</w:t>
      </w:r>
      <w:r>
        <w:fldChar w:fldCharType="end"/>
      </w:r>
    </w:p>
    <w:p>
      <w:pPr>
        <w:pStyle w:val="TOC8"/>
        <w:rPr>
          <w:rFonts w:asciiTheme="minorHAnsi" w:eastAsiaTheme="minorEastAsia" w:hAnsiTheme="minorHAnsi" w:cstheme="minorBidi"/>
          <w:szCs w:val="22"/>
        </w:rPr>
      </w:pPr>
      <w:r>
        <w:t>9.</w:t>
      </w:r>
      <w:r>
        <w:tab/>
        <w:t>Family Law Regulation 8A adopted (Act s. 65D)</w:t>
      </w:r>
      <w:r>
        <w:tab/>
      </w:r>
      <w:r>
        <w:fldChar w:fldCharType="begin"/>
      </w:r>
      <w:r>
        <w:instrText xml:space="preserve"> PAGEREF _Toc522795285 \h </w:instrText>
      </w:r>
      <w:r>
        <w:fldChar w:fldCharType="separate"/>
      </w:r>
      <w:r>
        <w:t>4</w:t>
      </w:r>
      <w:r>
        <w:fldChar w:fldCharType="end"/>
      </w:r>
    </w:p>
    <w:p>
      <w:pPr>
        <w:pStyle w:val="TOC8"/>
        <w:rPr>
          <w:rFonts w:asciiTheme="minorHAnsi" w:eastAsiaTheme="minorEastAsia" w:hAnsiTheme="minorHAnsi" w:cstheme="minorBidi"/>
          <w:szCs w:val="22"/>
        </w:rPr>
      </w:pPr>
      <w:r>
        <w:t>10.</w:t>
      </w:r>
      <w:r>
        <w:tab/>
        <w:t>Matters prescribed (Act s. 66H(7)(b))</w:t>
      </w:r>
      <w:r>
        <w:tab/>
      </w:r>
      <w:r>
        <w:fldChar w:fldCharType="begin"/>
      </w:r>
      <w:r>
        <w:instrText xml:space="preserve"> PAGEREF _Toc522795286 \h </w:instrText>
      </w:r>
      <w:r>
        <w:fldChar w:fldCharType="separate"/>
      </w:r>
      <w:r>
        <w:t>4</w:t>
      </w:r>
      <w:r>
        <w:fldChar w:fldCharType="end"/>
      </w:r>
    </w:p>
    <w:p>
      <w:pPr>
        <w:pStyle w:val="TOC8"/>
        <w:rPr>
          <w:rFonts w:asciiTheme="minorHAnsi" w:eastAsiaTheme="minorEastAsia" w:hAnsiTheme="minorHAnsi" w:cstheme="minorBidi"/>
          <w:szCs w:val="22"/>
        </w:rPr>
      </w:pPr>
      <w:r>
        <w:t>11.</w:t>
      </w:r>
      <w:r>
        <w:tab/>
        <w:t>Registration of court decision (Act s. 176(6))</w:t>
      </w:r>
      <w:r>
        <w:tab/>
      </w:r>
      <w:r>
        <w:fldChar w:fldCharType="begin"/>
      </w:r>
      <w:r>
        <w:instrText xml:space="preserve"> PAGEREF _Toc522795287 \h </w:instrText>
      </w:r>
      <w:r>
        <w:fldChar w:fldCharType="separate"/>
      </w:r>
      <w:r>
        <w:t>4</w:t>
      </w:r>
      <w:r>
        <w:fldChar w:fldCharType="end"/>
      </w:r>
    </w:p>
    <w:p>
      <w:pPr>
        <w:pStyle w:val="TOC8"/>
        <w:rPr>
          <w:rFonts w:asciiTheme="minorHAnsi" w:eastAsiaTheme="minorEastAsia" w:hAnsiTheme="minorHAnsi" w:cstheme="minorBidi"/>
          <w:szCs w:val="22"/>
        </w:rPr>
      </w:pPr>
      <w:r>
        <w:t>12.</w:t>
      </w:r>
      <w:r>
        <w:tab/>
        <w:t>Government agencies prescribed (Act s. 202K)</w:t>
      </w:r>
      <w:r>
        <w:tab/>
      </w:r>
      <w:r>
        <w:fldChar w:fldCharType="begin"/>
      </w:r>
      <w:r>
        <w:instrText xml:space="preserve"> PAGEREF _Toc522795288 \h </w:instrText>
      </w:r>
      <w:r>
        <w:fldChar w:fldCharType="separate"/>
      </w:r>
      <w:r>
        <w:t>5</w:t>
      </w:r>
      <w:r>
        <w:fldChar w:fldCharType="end"/>
      </w:r>
    </w:p>
    <w:p>
      <w:pPr>
        <w:pStyle w:val="TOC8"/>
        <w:rPr>
          <w:rFonts w:asciiTheme="minorHAnsi" w:eastAsiaTheme="minorEastAsia" w:hAnsiTheme="minorHAnsi" w:cstheme="minorBidi"/>
          <w:szCs w:val="22"/>
        </w:rPr>
      </w:pPr>
      <w:r>
        <w:t>13.</w:t>
      </w:r>
      <w:r>
        <w:tab/>
        <w:t>Third party expenses (Act s. 205ZLK)</w:t>
      </w:r>
      <w:r>
        <w:tab/>
      </w:r>
      <w:r>
        <w:fldChar w:fldCharType="begin"/>
      </w:r>
      <w:r>
        <w:instrText xml:space="preserve"> PAGEREF _Toc522795289 \h </w:instrText>
      </w:r>
      <w:r>
        <w:fldChar w:fldCharType="separate"/>
      </w:r>
      <w:r>
        <w:t>5</w:t>
      </w:r>
      <w:r>
        <w:fldChar w:fldCharType="end"/>
      </w:r>
    </w:p>
    <w:p>
      <w:pPr>
        <w:pStyle w:val="TOC8"/>
        <w:rPr>
          <w:rFonts w:asciiTheme="minorHAnsi" w:eastAsiaTheme="minorEastAsia" w:hAnsiTheme="minorHAnsi" w:cstheme="minorBidi"/>
          <w:szCs w:val="22"/>
        </w:rPr>
      </w:pPr>
      <w:r>
        <w:t>14F.</w:t>
      </w:r>
      <w:r>
        <w:tab/>
        <w:t>Pensions, allowances, benefits prescribed (Act s. 205T)</w:t>
      </w:r>
      <w:r>
        <w:tab/>
      </w:r>
      <w:r>
        <w:fldChar w:fldCharType="begin"/>
      </w:r>
      <w:r>
        <w:instrText xml:space="preserve"> PAGEREF _Toc522795290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Parentage testing procedures</w:t>
      </w:r>
      <w:r>
        <w:tab/>
      </w:r>
      <w:r>
        <w:fldChar w:fldCharType="begin"/>
      </w:r>
      <w:r>
        <w:instrText xml:space="preserve"> PAGEREF _Toc522795291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Parentage testing reports</w:t>
      </w:r>
      <w:r>
        <w:tab/>
      </w:r>
      <w:r>
        <w:fldChar w:fldCharType="begin"/>
      </w:r>
      <w:r>
        <w:instrText xml:space="preserve"> PAGEREF _Toc522795292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Registration in a court of orders etc. made by another court</w:t>
      </w:r>
      <w:r>
        <w:tab/>
      </w:r>
      <w:r>
        <w:fldChar w:fldCharType="begin"/>
      </w:r>
      <w:r>
        <w:instrText xml:space="preserve"> PAGEREF _Toc522795293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Court fees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_Toc522795296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Fees — general</w:t>
      </w:r>
    </w:p>
    <w:p>
      <w:pPr>
        <w:pStyle w:val="TOC8"/>
        <w:rPr>
          <w:rFonts w:asciiTheme="minorHAnsi" w:eastAsiaTheme="minorEastAsia" w:hAnsiTheme="minorHAnsi" w:cstheme="minorBidi"/>
          <w:szCs w:val="22"/>
        </w:rPr>
      </w:pPr>
      <w:r>
        <w:t>19.</w:t>
      </w:r>
      <w:r>
        <w:tab/>
        <w:t>Fees (Sch. 1)</w:t>
      </w:r>
      <w:r>
        <w:tab/>
      </w:r>
      <w:r>
        <w:fldChar w:fldCharType="begin"/>
      </w:r>
      <w:r>
        <w:instrText xml:space="preserve"> PAGEREF _Toc522795298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Liability to pay fee</w:t>
      </w:r>
    </w:p>
    <w:p>
      <w:pPr>
        <w:pStyle w:val="TOC8"/>
        <w:rPr>
          <w:rFonts w:asciiTheme="minorHAnsi" w:eastAsiaTheme="minorEastAsia" w:hAnsiTheme="minorHAnsi" w:cstheme="minorBidi"/>
          <w:szCs w:val="22"/>
        </w:rPr>
      </w:pPr>
      <w:r>
        <w:t>20.</w:t>
      </w:r>
      <w:r>
        <w:tab/>
        <w:t>Persons liable to pay fee</w:t>
      </w:r>
      <w:r>
        <w:tab/>
      </w:r>
      <w:r>
        <w:fldChar w:fldCharType="begin"/>
      </w:r>
      <w:r>
        <w:instrText xml:space="preserve"> PAGEREF _Toc522795300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 — Exemptions from liability to pay fee</w:t>
      </w:r>
    </w:p>
    <w:p>
      <w:pPr>
        <w:pStyle w:val="TOC8"/>
        <w:rPr>
          <w:rFonts w:asciiTheme="minorHAnsi" w:eastAsiaTheme="minorEastAsia" w:hAnsiTheme="minorHAnsi" w:cstheme="minorBidi"/>
          <w:szCs w:val="22"/>
        </w:rPr>
      </w:pPr>
      <w:r>
        <w:t>21A.</w:t>
      </w:r>
      <w:r>
        <w:tab/>
        <w:t>Persons exempt from paying fee: general</w:t>
      </w:r>
      <w:r>
        <w:tab/>
      </w:r>
      <w:r>
        <w:fldChar w:fldCharType="begin"/>
      </w:r>
      <w:r>
        <w:instrText xml:space="preserve"> PAGEREF _Toc522795302 \h </w:instrText>
      </w:r>
      <w:r>
        <w:fldChar w:fldCharType="separate"/>
      </w:r>
      <w:r>
        <w:t>10</w:t>
      </w:r>
      <w:r>
        <w:fldChar w:fldCharType="end"/>
      </w:r>
    </w:p>
    <w:p>
      <w:pPr>
        <w:pStyle w:val="TOC8"/>
        <w:rPr>
          <w:rFonts w:asciiTheme="minorHAnsi" w:eastAsiaTheme="minorEastAsia" w:hAnsiTheme="minorHAnsi" w:cstheme="minorBidi"/>
          <w:szCs w:val="22"/>
        </w:rPr>
      </w:pPr>
      <w:r>
        <w:t>21B.</w:t>
      </w:r>
      <w:r>
        <w:tab/>
        <w:t>Persons exempt from paying fee: financial hardship</w:t>
      </w:r>
      <w:r>
        <w:tab/>
      </w:r>
      <w:r>
        <w:fldChar w:fldCharType="begin"/>
      </w:r>
      <w:r>
        <w:instrText xml:space="preserve"> PAGEREF _Toc522795303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 — When fee is not payable</w:t>
      </w:r>
    </w:p>
    <w:p>
      <w:pPr>
        <w:pStyle w:val="TOC8"/>
        <w:rPr>
          <w:rFonts w:asciiTheme="minorHAnsi" w:eastAsiaTheme="minorEastAsia" w:hAnsiTheme="minorHAnsi" w:cstheme="minorBidi"/>
          <w:szCs w:val="22"/>
        </w:rPr>
      </w:pPr>
      <w:r>
        <w:t>21C.</w:t>
      </w:r>
      <w:r>
        <w:tab/>
        <w:t>Fee not payable by liable person if already paid</w:t>
      </w:r>
      <w:r>
        <w:tab/>
      </w:r>
      <w:r>
        <w:fldChar w:fldCharType="begin"/>
      </w:r>
      <w:r>
        <w:instrText xml:space="preserve"> PAGEREF _Toc522795305 \h </w:instrText>
      </w:r>
      <w:r>
        <w:fldChar w:fldCharType="separate"/>
      </w:r>
      <w:r>
        <w:t>11</w:t>
      </w:r>
      <w:r>
        <w:fldChar w:fldCharType="end"/>
      </w:r>
    </w:p>
    <w:p>
      <w:pPr>
        <w:pStyle w:val="TOC8"/>
        <w:rPr>
          <w:rFonts w:asciiTheme="minorHAnsi" w:eastAsiaTheme="minorEastAsia" w:hAnsiTheme="minorHAnsi" w:cstheme="minorBidi"/>
          <w:szCs w:val="22"/>
        </w:rPr>
      </w:pPr>
      <w:r>
        <w:t>21D.</w:t>
      </w:r>
      <w:r>
        <w:tab/>
        <w:t>Proceedings in which fee not payable</w:t>
      </w:r>
      <w:r>
        <w:tab/>
      </w:r>
      <w:r>
        <w:fldChar w:fldCharType="begin"/>
      </w:r>
      <w:r>
        <w:instrText xml:space="preserve"> PAGEREF _Toc522795306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6 — Payment of fees</w:t>
      </w:r>
    </w:p>
    <w:p>
      <w:pPr>
        <w:pStyle w:val="TOC8"/>
        <w:rPr>
          <w:rFonts w:asciiTheme="minorHAnsi" w:eastAsiaTheme="minorEastAsia" w:hAnsiTheme="minorHAnsi" w:cstheme="minorBidi"/>
          <w:szCs w:val="22"/>
        </w:rPr>
      </w:pPr>
      <w:r>
        <w:t>21E.</w:t>
      </w:r>
      <w:r>
        <w:tab/>
        <w:t>When fee must be paid</w:t>
      </w:r>
      <w:r>
        <w:tab/>
      </w:r>
      <w:r>
        <w:fldChar w:fldCharType="begin"/>
      </w:r>
      <w:r>
        <w:instrText xml:space="preserve"> PAGEREF _Toc522795308 \h </w:instrText>
      </w:r>
      <w:r>
        <w:fldChar w:fldCharType="separate"/>
      </w:r>
      <w:r>
        <w:t>13</w:t>
      </w:r>
      <w:r>
        <w:fldChar w:fldCharType="end"/>
      </w:r>
    </w:p>
    <w:p>
      <w:pPr>
        <w:pStyle w:val="TOC8"/>
        <w:rPr>
          <w:rFonts w:asciiTheme="minorHAnsi" w:eastAsiaTheme="minorEastAsia" w:hAnsiTheme="minorHAnsi" w:cstheme="minorBidi"/>
          <w:szCs w:val="22"/>
        </w:rPr>
      </w:pPr>
      <w:r>
        <w:t>21F.</w:t>
      </w:r>
      <w:r>
        <w:tab/>
        <w:t>Deferral of payment of fees</w:t>
      </w:r>
      <w:r>
        <w:tab/>
      </w:r>
      <w:r>
        <w:fldChar w:fldCharType="begin"/>
      </w:r>
      <w:r>
        <w:instrText xml:space="preserve"> PAGEREF _Toc522795309 \h </w:instrText>
      </w:r>
      <w:r>
        <w:fldChar w:fldCharType="separate"/>
      </w:r>
      <w:r>
        <w:t>14</w:t>
      </w:r>
      <w:r>
        <w:fldChar w:fldCharType="end"/>
      </w:r>
    </w:p>
    <w:p>
      <w:pPr>
        <w:pStyle w:val="TOC8"/>
        <w:rPr>
          <w:rFonts w:asciiTheme="minorHAnsi" w:eastAsiaTheme="minorEastAsia" w:hAnsiTheme="minorHAnsi" w:cstheme="minorBidi"/>
          <w:szCs w:val="22"/>
        </w:rPr>
      </w:pPr>
      <w:r>
        <w:t>21G.</w:t>
      </w:r>
      <w:r>
        <w:tab/>
        <w:t>What happens if fee not paid</w:t>
      </w:r>
      <w:r>
        <w:tab/>
      </w:r>
      <w:r>
        <w:fldChar w:fldCharType="begin"/>
      </w:r>
      <w:r>
        <w:instrText xml:space="preserve"> PAGEREF _Toc522795310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21H.</w:t>
      </w:r>
      <w:r>
        <w:tab/>
        <w:t>Refund of fee</w:t>
      </w:r>
      <w:r>
        <w:tab/>
      </w:r>
      <w:r>
        <w:fldChar w:fldCharType="begin"/>
      </w:r>
      <w:r>
        <w:instrText xml:space="preserve"> PAGEREF _Toc522795312 \h </w:instrText>
      </w:r>
      <w:r>
        <w:fldChar w:fldCharType="separate"/>
      </w:r>
      <w:r>
        <w:t>16</w:t>
      </w:r>
      <w:r>
        <w:fldChar w:fldCharType="end"/>
      </w:r>
    </w:p>
    <w:p>
      <w:pPr>
        <w:pStyle w:val="TOC8"/>
        <w:rPr>
          <w:rFonts w:asciiTheme="minorHAnsi" w:eastAsiaTheme="minorEastAsia" w:hAnsiTheme="minorHAnsi" w:cstheme="minorBidi"/>
          <w:szCs w:val="22"/>
        </w:rPr>
      </w:pPr>
      <w:r>
        <w:t>21I.</w:t>
      </w:r>
      <w:r>
        <w:tab/>
        <w:t>Annual increase in fees</w:t>
      </w:r>
      <w:r>
        <w:tab/>
      </w:r>
      <w:r>
        <w:fldChar w:fldCharType="begin"/>
      </w:r>
      <w:r>
        <w:instrText xml:space="preserve"> PAGEREF _Toc522795313 \h </w:instrText>
      </w:r>
      <w:r>
        <w:fldChar w:fldCharType="separate"/>
      </w:r>
      <w:r>
        <w:t>18</w:t>
      </w:r>
      <w:r>
        <w:fldChar w:fldCharType="end"/>
      </w:r>
    </w:p>
    <w:p>
      <w:pPr>
        <w:pStyle w:val="TOC8"/>
        <w:rPr>
          <w:rFonts w:asciiTheme="minorHAnsi" w:eastAsiaTheme="minorEastAsia" w:hAnsiTheme="minorHAnsi" w:cstheme="minorBidi"/>
          <w:szCs w:val="22"/>
        </w:rPr>
      </w:pPr>
      <w:r>
        <w:t>21J.</w:t>
      </w:r>
      <w:r>
        <w:tab/>
        <w:t>Recovery of fees due</w:t>
      </w:r>
      <w:r>
        <w:tab/>
      </w:r>
      <w:r>
        <w:fldChar w:fldCharType="begin"/>
      </w:r>
      <w:r>
        <w:instrText xml:space="preserve"> PAGEREF _Toc522795314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Review</w:t>
      </w:r>
    </w:p>
    <w:p>
      <w:pPr>
        <w:pStyle w:val="TOC8"/>
        <w:rPr>
          <w:rFonts w:asciiTheme="minorHAnsi" w:eastAsiaTheme="minorEastAsia" w:hAnsiTheme="minorHAnsi" w:cstheme="minorBidi"/>
          <w:szCs w:val="22"/>
        </w:rPr>
      </w:pPr>
      <w:r>
        <w:t>21.</w:t>
      </w:r>
      <w:r>
        <w:tab/>
        <w:t>Review of decisions under these regulations</w:t>
      </w:r>
      <w:r>
        <w:tab/>
      </w:r>
      <w:r>
        <w:fldChar w:fldCharType="begin"/>
      </w:r>
      <w:r>
        <w:instrText xml:space="preserve"> PAGEREF _Toc522795316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provisions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_Toc522795318 \h </w:instrText>
      </w:r>
      <w:r>
        <w:fldChar w:fldCharType="separate"/>
      </w:r>
      <w:r>
        <w:t>21</w:t>
      </w:r>
      <w:r>
        <w:fldChar w:fldCharType="end"/>
      </w:r>
    </w:p>
    <w:p>
      <w:pPr>
        <w:pStyle w:val="TOC8"/>
        <w:rPr>
          <w:rFonts w:asciiTheme="minorHAnsi" w:eastAsiaTheme="minorEastAsia" w:hAnsiTheme="minorHAnsi" w:cstheme="minorBidi"/>
          <w:szCs w:val="22"/>
        </w:rPr>
      </w:pPr>
      <w:r>
        <w:t>22.</w:t>
      </w:r>
      <w:r>
        <w:tab/>
        <w:t xml:space="preserve">Transitional provisions relating to </w:t>
      </w:r>
      <w:r>
        <w:rPr>
          <w:i/>
        </w:rPr>
        <w:t>Family Court Amendment Regulations 2011</w:t>
      </w:r>
      <w:r>
        <w:tab/>
      </w:r>
      <w:r>
        <w:fldChar w:fldCharType="begin"/>
      </w:r>
      <w:r>
        <w:instrText xml:space="preserve"> PAGEREF _Toc522795319 \h </w:instrText>
      </w:r>
      <w:r>
        <w:fldChar w:fldCharType="separate"/>
      </w:r>
      <w:r>
        <w:t>21</w:t>
      </w:r>
      <w:r>
        <w:fldChar w:fldCharType="end"/>
      </w:r>
    </w:p>
    <w:p>
      <w:pPr>
        <w:pStyle w:val="TOC8"/>
        <w:rPr>
          <w:rFonts w:asciiTheme="minorHAnsi" w:eastAsiaTheme="minorEastAsia" w:hAnsiTheme="minorHAnsi" w:cstheme="minorBidi"/>
          <w:szCs w:val="22"/>
        </w:rPr>
      </w:pPr>
      <w:r>
        <w:t>23.</w:t>
      </w:r>
      <w:r>
        <w:tab/>
        <w:t xml:space="preserve">Transitional provisions relating to </w:t>
      </w:r>
      <w:r>
        <w:rPr>
          <w:i/>
        </w:rPr>
        <w:t>Family Court Amendment Regulations 2012</w:t>
      </w:r>
      <w:r>
        <w:tab/>
      </w:r>
      <w:r>
        <w:fldChar w:fldCharType="begin"/>
      </w:r>
      <w:r>
        <w:instrText xml:space="preserve"> PAGEREF _Toc522795320 \h </w:instrText>
      </w:r>
      <w:r>
        <w:fldChar w:fldCharType="separate"/>
      </w:r>
      <w:r>
        <w:t>22</w:t>
      </w:r>
      <w:r>
        <w:fldChar w:fldCharType="end"/>
      </w:r>
    </w:p>
    <w:p>
      <w:pPr>
        <w:pStyle w:val="TOC8"/>
        <w:rPr>
          <w:rFonts w:asciiTheme="minorHAnsi" w:eastAsiaTheme="minorEastAsia" w:hAnsiTheme="minorHAnsi" w:cstheme="minorBidi"/>
          <w:szCs w:val="22"/>
        </w:rPr>
      </w:pPr>
      <w:r>
        <w:t>24.</w:t>
      </w:r>
      <w:r>
        <w:tab/>
        <w:t xml:space="preserve">Transitional provisions relating to </w:t>
      </w:r>
      <w:r>
        <w:rPr>
          <w:i/>
        </w:rPr>
        <w:t>Family Court Amendment Regulations (No. 3) 2015</w:t>
      </w:r>
      <w:r>
        <w:tab/>
      </w:r>
      <w:r>
        <w:fldChar w:fldCharType="begin"/>
      </w:r>
      <w:r>
        <w:instrText xml:space="preserve"> PAGEREF _Toc522795321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_Toc522795324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sz w:val="16"/>
          <w:szCs w:val="16"/>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Family Court Act 1997</w:t>
      </w:r>
    </w:p>
    <w:p>
      <w:pPr>
        <w:pStyle w:val="NameofActReg"/>
        <w:spacing w:before="600" w:after="720"/>
      </w:pPr>
      <w:r>
        <w:t>Family Court Regulations 1998</w:t>
      </w:r>
    </w:p>
    <w:p>
      <w:pPr>
        <w:pStyle w:val="Heading2"/>
        <w:pageBreakBefore w:val="0"/>
      </w:pPr>
      <w:bookmarkStart w:id="3" w:name="_Toc522789698"/>
      <w:bookmarkStart w:id="4" w:name="_Toc522789749"/>
      <w:bookmarkStart w:id="5" w:name="_Toc522790136"/>
      <w:bookmarkStart w:id="6" w:name="_Toc52279527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Footnoteheading"/>
      </w:pPr>
      <w:r>
        <w:tab/>
        <w:t>[Heading inserted: Gazette 13 May 2011 p. 1738.]</w:t>
      </w:r>
    </w:p>
    <w:p>
      <w:pPr>
        <w:pStyle w:val="Heading5"/>
        <w:spacing w:before="240"/>
      </w:pPr>
      <w:bookmarkStart w:id="7" w:name="_Toc522795276"/>
      <w:r>
        <w:rPr>
          <w:rStyle w:val="CharSectno"/>
        </w:rPr>
        <w:t>1</w:t>
      </w:r>
      <w:r>
        <w:t>.</w:t>
      </w:r>
      <w:r>
        <w:tab/>
        <w:t>Citation</w:t>
      </w:r>
      <w:bookmarkEnd w:id="7"/>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r>
        <w:rPr>
          <w:iCs/>
          <w:vertAlign w:val="superscript"/>
        </w:rPr>
        <w:t> 1</w:t>
      </w:r>
      <w:r>
        <w:rPr>
          <w:i/>
        </w:rPr>
        <w:t>.</w:t>
      </w:r>
    </w:p>
    <w:p>
      <w:pPr>
        <w:pStyle w:val="Heading5"/>
        <w:rPr>
          <w:spacing w:val="-2"/>
        </w:rPr>
      </w:pPr>
      <w:bookmarkStart w:id="8" w:name="_Toc522795277"/>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bookmarkStart w:id="9" w:name="Start_Cursor"/>
      <w:bookmarkEnd w:id="9"/>
      <w:r>
        <w:rPr>
          <w:spacing w:val="-2"/>
        </w:rPr>
        <w:t xml:space="preserve">These regulations come into operation on the day on which the </w:t>
      </w:r>
      <w:r>
        <w:rPr>
          <w:i/>
          <w:spacing w:val="-2"/>
        </w:rPr>
        <w:t>Family Court Act 1997</w:t>
      </w:r>
      <w:r>
        <w:rPr>
          <w:spacing w:val="-2"/>
        </w:rPr>
        <w:t xml:space="preserve"> comes into operation</w:t>
      </w:r>
      <w:r>
        <w:rPr>
          <w:iCs/>
          <w:vertAlign w:val="superscript"/>
        </w:rPr>
        <w:t> 1</w:t>
      </w:r>
      <w:r>
        <w:t>.</w:t>
      </w:r>
    </w:p>
    <w:p>
      <w:pPr>
        <w:pStyle w:val="Heading5"/>
        <w:rPr>
          <w:snapToGrid w:val="0"/>
        </w:rPr>
      </w:pPr>
      <w:bookmarkStart w:id="10" w:name="_Toc522795278"/>
      <w:r>
        <w:rPr>
          <w:rStyle w:val="CharSectno"/>
        </w:rPr>
        <w:t>3</w:t>
      </w:r>
      <w:r>
        <w:rPr>
          <w:snapToGrid w:val="0"/>
        </w:rPr>
        <w:t>.</w:t>
      </w:r>
      <w:r>
        <w:rPr>
          <w:snapToGrid w:val="0"/>
        </w:rPr>
        <w:tab/>
        <w:t>Terms used</w:t>
      </w:r>
      <w:bookmarkEnd w:id="10"/>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keepLines/>
      </w:pPr>
      <w:r>
        <w:tab/>
        <w:t>(b)</w:t>
      </w:r>
      <w:r>
        <w:tab/>
        <w:t>in relation to the Magistrates Court — an officer of that court authorised by the Principal Registrar, or a registrar, of that court to exercise the power or carry out the function;</w:t>
      </w:r>
    </w:p>
    <w:p>
      <w:pPr>
        <w:pStyle w:val="Defstart"/>
      </w:pPr>
      <w:r>
        <w:rPr>
          <w:b/>
        </w:rPr>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rPr>
        <w:t>Family Law Regulations 1984</w:t>
      </w:r>
      <w:r>
        <w:t xml:space="preserve"> of the Commonwealth;</w:t>
      </w:r>
    </w:p>
    <w:p>
      <w:pPr>
        <w:pStyle w:val="Defstart"/>
      </w:pPr>
      <w:r>
        <w:rPr>
          <w:b/>
        </w:rPr>
        <w:tab/>
      </w:r>
      <w:r>
        <w:rPr>
          <w:rStyle w:val="CharDefText"/>
        </w:rPr>
        <w:t>Family Law Rules</w:t>
      </w:r>
      <w:r>
        <w:t xml:space="preserve"> means the </w:t>
      </w:r>
      <w:r>
        <w:rPr>
          <w:i/>
        </w:rPr>
        <w:t>Family Law Rules 2004</w:t>
      </w:r>
      <w:r>
        <w:t xml:space="preserve"> of the Commonwealth;</w:t>
      </w:r>
    </w:p>
    <w:p>
      <w:pPr>
        <w:pStyle w:val="Defstart"/>
      </w:pPr>
      <w:r>
        <w:tab/>
      </w:r>
      <w:r>
        <w:rPr>
          <w:rStyle w:val="CharDefText"/>
        </w:rPr>
        <w:t>section</w:t>
      </w:r>
      <w:r>
        <w:t xml:space="preserve"> means section of the Act.</w:t>
      </w:r>
    </w:p>
    <w:p>
      <w:pPr>
        <w:pStyle w:val="Subsection"/>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or the Family Law Rules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keepNext/>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Gazette 29 Nov 2002 p. 5663-4; 14 Jul 2006 p. 2561; 13 May 2011 p. 1738; 14 Dec 2012 p. 6235-6.]</w:t>
      </w:r>
    </w:p>
    <w:p>
      <w:pPr>
        <w:pStyle w:val="Heading2"/>
        <w:rPr>
          <w:snapToGrid/>
        </w:rPr>
      </w:pPr>
      <w:bookmarkStart w:id="11" w:name="_Toc522789702"/>
      <w:bookmarkStart w:id="12" w:name="_Toc522789753"/>
      <w:bookmarkStart w:id="13" w:name="_Toc522790140"/>
      <w:bookmarkStart w:id="14" w:name="_Toc522795279"/>
      <w:r>
        <w:rPr>
          <w:rStyle w:val="CharPartNo"/>
        </w:rPr>
        <w:t>Part 2</w:t>
      </w:r>
      <w:r>
        <w:rPr>
          <w:rStyle w:val="CharDivNo"/>
        </w:rPr>
        <w:t> </w:t>
      </w:r>
      <w:r>
        <w:t>—</w:t>
      </w:r>
      <w:r>
        <w:rPr>
          <w:rStyle w:val="CharDivText"/>
        </w:rPr>
        <w:t> </w:t>
      </w:r>
      <w:r>
        <w:rPr>
          <w:rStyle w:val="CharPartText"/>
        </w:rPr>
        <w:t>General</w:t>
      </w:r>
      <w:bookmarkEnd w:id="11"/>
      <w:bookmarkEnd w:id="12"/>
      <w:bookmarkEnd w:id="13"/>
      <w:bookmarkEnd w:id="14"/>
    </w:p>
    <w:p>
      <w:pPr>
        <w:pStyle w:val="Footnoteheading"/>
      </w:pPr>
      <w:r>
        <w:tab/>
        <w:t>[Heading inserted: Gazette 13 May 2011 p. 1738.]</w:t>
      </w:r>
    </w:p>
    <w:p>
      <w:pPr>
        <w:pStyle w:val="Heading5"/>
        <w:rPr>
          <w:snapToGrid w:val="0"/>
        </w:rPr>
      </w:pPr>
      <w:bookmarkStart w:id="15" w:name="_Toc522795280"/>
      <w:r>
        <w:rPr>
          <w:rStyle w:val="CharSectno"/>
        </w:rPr>
        <w:t>4</w:t>
      </w:r>
      <w:r>
        <w:rPr>
          <w:snapToGrid w:val="0"/>
        </w:rPr>
        <w:t>.</w:t>
      </w:r>
      <w:r>
        <w:rPr>
          <w:snapToGrid w:val="0"/>
        </w:rPr>
        <w:tab/>
        <w:t>Dispensing with compliance with these regulations</w:t>
      </w:r>
      <w:bookmarkEnd w:id="15"/>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16" w:name="_Toc522795281"/>
      <w:r>
        <w:rPr>
          <w:rStyle w:val="CharSectno"/>
        </w:rPr>
        <w:t>5</w:t>
      </w:r>
      <w:r>
        <w:rPr>
          <w:snapToGrid w:val="0"/>
        </w:rPr>
        <w:t>.</w:t>
      </w:r>
      <w:r>
        <w:rPr>
          <w:snapToGrid w:val="0"/>
        </w:rPr>
        <w:tab/>
        <w:t>Court registry</w:t>
      </w:r>
      <w:bookmarkEnd w:id="16"/>
      <w:r>
        <w:rPr>
          <w:snapToGrid w:val="0"/>
        </w:rPr>
        <w:t xml:space="preserve"> </w:t>
      </w:r>
    </w:p>
    <w:p>
      <w:pPr>
        <w:pStyle w:val="Subsection"/>
        <w:rPr>
          <w:snapToGrid w:val="0"/>
        </w:rPr>
      </w:pPr>
      <w:r>
        <w:rPr>
          <w:snapToGrid w:val="0"/>
        </w:rPr>
        <w:tab/>
      </w:r>
      <w:r>
        <w:rPr>
          <w:snapToGrid w:val="0"/>
        </w:rPr>
        <w:tab/>
        <w:t xml:space="preserve">The registry of the Family Court is to be in </w:t>
      </w:r>
      <w:smartTag w:uri="urn:schemas-microsoft-com:office:smarttags" w:element="place">
        <w:smartTag w:uri="urn:schemas-microsoft-com:office:smarttags" w:element="City">
          <w:smartTag w:uri="urn:schemas-microsoft-com:office:smarttags" w:element="PlaceName">
            <w:r>
              <w:rPr>
                <w:snapToGrid w:val="0"/>
              </w:rPr>
              <w:t>Perth</w:t>
            </w:r>
          </w:smartTag>
        </w:smartTag>
      </w:smartTag>
      <w:r>
        <w:rPr>
          <w:snapToGrid w:val="0"/>
        </w:rPr>
        <w:t>.</w:t>
      </w:r>
    </w:p>
    <w:p>
      <w:pPr>
        <w:pStyle w:val="Heading5"/>
        <w:rPr>
          <w:snapToGrid w:val="0"/>
        </w:rPr>
      </w:pPr>
      <w:bookmarkStart w:id="17" w:name="_Toc522795282"/>
      <w:r>
        <w:rPr>
          <w:rStyle w:val="CharSectno"/>
        </w:rPr>
        <w:t>6</w:t>
      </w:r>
      <w:r>
        <w:rPr>
          <w:snapToGrid w:val="0"/>
        </w:rPr>
        <w:t>.</w:t>
      </w:r>
      <w:r>
        <w:rPr>
          <w:snapToGrid w:val="0"/>
        </w:rPr>
        <w:tab/>
        <w:t>Fees of Marshal</w:t>
      </w:r>
      <w:bookmarkEnd w:id="17"/>
      <w:r>
        <w:rPr>
          <w:snapToGrid w:val="0"/>
        </w:rPr>
        <w:t xml:space="preserve"> </w:t>
      </w:r>
    </w:p>
    <w:p>
      <w:pPr>
        <w:pStyle w:val="Subsection"/>
        <w:rPr>
          <w:snapToGrid w:val="0"/>
        </w:rPr>
      </w:pPr>
      <w:r>
        <w:rPr>
          <w:snapToGrid w:val="0"/>
        </w:rPr>
        <w:tab/>
      </w:r>
      <w:r>
        <w:rPr>
          <w:snapToGrid w:val="0"/>
        </w:rPr>
        <w:tab/>
        <w:t>The fees payable to the Marshal are to be in accordance with Part III of the Fifth Schedule</w:t>
      </w:r>
      <w:r>
        <w:rPr>
          <w:snapToGrid w:val="0"/>
          <w:vertAlign w:val="superscript"/>
        </w:rPr>
        <w:t> 2</w:t>
      </w:r>
      <w:r>
        <w:rPr>
          <w:snapToGrid w:val="0"/>
        </w:rPr>
        <w:t xml:space="preserve"> to the </w:t>
      </w:r>
      <w:r>
        <w:rPr>
          <w:i/>
          <w:snapToGrid w:val="0"/>
        </w:rPr>
        <w:t>Rules of the Supreme Court 1971</w:t>
      </w:r>
      <w:r>
        <w:rPr>
          <w:snapToGrid w:val="0"/>
        </w:rPr>
        <w:t>.</w:t>
      </w:r>
    </w:p>
    <w:p>
      <w:pPr>
        <w:pStyle w:val="Heading5"/>
        <w:rPr>
          <w:snapToGrid w:val="0"/>
        </w:rPr>
      </w:pPr>
      <w:bookmarkStart w:id="18" w:name="_Toc522795283"/>
      <w:r>
        <w:rPr>
          <w:rStyle w:val="CharSectno"/>
        </w:rPr>
        <w:t>7</w:t>
      </w:r>
      <w:r>
        <w:rPr>
          <w:snapToGrid w:val="0"/>
        </w:rPr>
        <w:t>.</w:t>
      </w:r>
      <w:r>
        <w:rPr>
          <w:snapToGrid w:val="0"/>
        </w:rPr>
        <w:tab/>
        <w:t>Recording and transcripts of proceedings</w:t>
      </w:r>
      <w:bookmarkEnd w:id="18"/>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Gazette 13 May 2011 p. 1738.]</w:t>
      </w:r>
    </w:p>
    <w:p>
      <w:pPr>
        <w:pStyle w:val="Heading5"/>
      </w:pPr>
      <w:bookmarkStart w:id="19" w:name="_Toc522795284"/>
      <w:r>
        <w:rPr>
          <w:rStyle w:val="CharSectno"/>
        </w:rPr>
        <w:t>8</w:t>
      </w:r>
      <w:r>
        <w:t>.</w:t>
      </w:r>
      <w:r>
        <w:tab/>
        <w:t>Family Law Regulations Part 5 adopted</w:t>
      </w:r>
      <w:bookmarkEnd w:id="19"/>
    </w:p>
    <w:p>
      <w:pPr>
        <w:pStyle w:val="Subsection"/>
      </w:pPr>
      <w:r>
        <w:tab/>
      </w:r>
      <w:r>
        <w:tab/>
        <w:t>Part 5 of the Family Law Regulations is adopted.</w:t>
      </w:r>
    </w:p>
    <w:p>
      <w:pPr>
        <w:pStyle w:val="Footnotesection"/>
      </w:pPr>
      <w:r>
        <w:tab/>
        <w:t>[Regulation 8 inserted: Gazette 14 Jul 2006 p. 2561.]</w:t>
      </w:r>
    </w:p>
    <w:p>
      <w:pPr>
        <w:pStyle w:val="Ednotesection"/>
      </w:pPr>
      <w:r>
        <w:t>[</w:t>
      </w:r>
      <w:r>
        <w:rPr>
          <w:b/>
          <w:bCs/>
        </w:rPr>
        <w:t>8A.</w:t>
      </w:r>
      <w:r>
        <w:tab/>
        <w:t>Deleted: Gazette 14 Jul 2006 p. 2561.]</w:t>
      </w:r>
    </w:p>
    <w:p>
      <w:pPr>
        <w:pStyle w:val="Heading5"/>
      </w:pPr>
      <w:bookmarkStart w:id="20" w:name="_Toc522795285"/>
      <w:r>
        <w:rPr>
          <w:rStyle w:val="CharSectno"/>
        </w:rPr>
        <w:t>9</w:t>
      </w:r>
      <w:r>
        <w:t>.</w:t>
      </w:r>
      <w:r>
        <w:tab/>
        <w:t>Family Law Regulation 8A adopted (Act s. 65D)</w:t>
      </w:r>
      <w:bookmarkEnd w:id="20"/>
    </w:p>
    <w:p>
      <w:pPr>
        <w:pStyle w:val="Subsection"/>
      </w:pPr>
      <w:r>
        <w:tab/>
      </w:r>
      <w:r>
        <w:tab/>
        <w:t>Family Law Regulation 8A is adopted for the purposes of section 65D.</w:t>
      </w:r>
    </w:p>
    <w:p>
      <w:pPr>
        <w:pStyle w:val="Footnotesection"/>
      </w:pPr>
      <w:r>
        <w:tab/>
        <w:t>[Regulation 9 inserted: Gazette 14 Jul 2006 p. 2561; amended: Gazette 10 Jul 2015 p. 2780.]</w:t>
      </w:r>
    </w:p>
    <w:p>
      <w:pPr>
        <w:pStyle w:val="Heading5"/>
      </w:pPr>
      <w:bookmarkStart w:id="21" w:name="_Toc522795286"/>
      <w:r>
        <w:rPr>
          <w:rStyle w:val="CharSectno"/>
        </w:rPr>
        <w:t>10</w:t>
      </w:r>
      <w:r>
        <w:t>.</w:t>
      </w:r>
      <w:r>
        <w:tab/>
        <w:t>Matters prescribed (Act s. 66H(7)(b))</w:t>
      </w:r>
      <w:bookmarkEnd w:id="21"/>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Gazette 14 Jul 2006 p. 2562.]</w:t>
      </w:r>
    </w:p>
    <w:p>
      <w:pPr>
        <w:pStyle w:val="Heading5"/>
      </w:pPr>
      <w:bookmarkStart w:id="22" w:name="_Toc522795287"/>
      <w:r>
        <w:rPr>
          <w:rStyle w:val="CharSectno"/>
        </w:rPr>
        <w:t>11</w:t>
      </w:r>
      <w:r>
        <w:t>.</w:t>
      </w:r>
      <w:r>
        <w:tab/>
        <w:t>Registration of court decision (Act s. 176(6))</w:t>
      </w:r>
      <w:bookmarkEnd w:id="22"/>
    </w:p>
    <w:p>
      <w:pPr>
        <w:pStyle w:val="Subsection"/>
      </w:pPr>
      <w:r>
        <w:tab/>
      </w:r>
      <w:r>
        <w:tab/>
        <w:t>Family Law Regulation 12CC is adopted for the purposes of section 176(6).</w:t>
      </w:r>
    </w:p>
    <w:p>
      <w:pPr>
        <w:pStyle w:val="Footnotesection"/>
      </w:pPr>
      <w:r>
        <w:tab/>
        <w:t>[Regulation 11 inserted: Gazette 14 Jul 2006 p. 2562.]</w:t>
      </w:r>
    </w:p>
    <w:p>
      <w:pPr>
        <w:pStyle w:val="Heading5"/>
      </w:pPr>
      <w:bookmarkStart w:id="23" w:name="_Toc522795288"/>
      <w:r>
        <w:rPr>
          <w:rStyle w:val="CharSectno"/>
        </w:rPr>
        <w:t>12</w:t>
      </w:r>
      <w:r>
        <w:t>.</w:t>
      </w:r>
      <w:r>
        <w:tab/>
        <w:t>Government agencies prescribed (Act s. 202K)</w:t>
      </w:r>
      <w:bookmarkEnd w:id="23"/>
    </w:p>
    <w:p>
      <w:pPr>
        <w:pStyle w:val="Subsection"/>
        <w:keepNext/>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t>
      </w:r>
      <w:smartTag w:uri="urn:schemas-microsoft-com:office:smarttags" w:element="place">
        <w:smartTag w:uri="urn:schemas-microsoft-com:office:smarttags" w:element="State">
          <w:smartTag w:uri="urn:schemas-microsoft-com:office:smarttags" w:element="PlaceName">
            <w:r>
              <w:t>Western Australia</w:t>
            </w:r>
          </w:smartTag>
        </w:smartTag>
      </w:smartTag>
      <w:r>
        <w:t xml:space="preserve"> provided for by the </w:t>
      </w:r>
      <w:r>
        <w:rPr>
          <w:i/>
          <w:iCs/>
        </w:rPr>
        <w:t>Police Act 1892</w:t>
      </w:r>
      <w:r>
        <w:t>.</w:t>
      </w:r>
    </w:p>
    <w:p>
      <w:pPr>
        <w:pStyle w:val="Footnotesection"/>
      </w:pPr>
      <w:r>
        <w:tab/>
        <w:t>[Regulation 12 inserted: Gazette 14 Jul 2006 p. 2562.]</w:t>
      </w:r>
    </w:p>
    <w:p>
      <w:pPr>
        <w:pStyle w:val="Heading5"/>
      </w:pPr>
      <w:bookmarkStart w:id="24" w:name="_Toc522795289"/>
      <w:r>
        <w:rPr>
          <w:rStyle w:val="CharSectno"/>
        </w:rPr>
        <w:t>13</w:t>
      </w:r>
      <w:r>
        <w:t>.</w:t>
      </w:r>
      <w:r>
        <w:tab/>
        <w:t>Third party expenses (Act s. 205ZLK)</w:t>
      </w:r>
      <w:bookmarkEnd w:id="24"/>
    </w:p>
    <w:p>
      <w:pPr>
        <w:pStyle w:val="Subsection"/>
      </w:pPr>
      <w:r>
        <w:tab/>
      </w:r>
      <w:r>
        <w:tab/>
        <w:t>Family Law Regulation 15AA is adopted for the purposes of section 205ZLK.</w:t>
      </w:r>
    </w:p>
    <w:p>
      <w:pPr>
        <w:pStyle w:val="Footnotesection"/>
      </w:pPr>
      <w:r>
        <w:tab/>
        <w:t>[Regulation 13 inserted: Gazette 14 Jul 2006 p. 2562.]</w:t>
      </w:r>
    </w:p>
    <w:p>
      <w:pPr>
        <w:pStyle w:val="Ednotesection"/>
        <w:tabs>
          <w:tab w:val="clear" w:pos="893"/>
          <w:tab w:val="left" w:pos="1560"/>
        </w:tabs>
      </w:pPr>
      <w:r>
        <w:t>[</w:t>
      </w:r>
      <w:r>
        <w:rPr>
          <w:b/>
          <w:bCs/>
        </w:rPr>
        <w:t>14, 14A</w:t>
      </w:r>
      <w:r>
        <w:rPr>
          <w:b/>
          <w:bCs/>
        </w:rPr>
        <w:noBreakHyphen/>
        <w:t>14E.</w:t>
      </w:r>
      <w:r>
        <w:tab/>
        <w:t>Deleted: Gazette 14 Jul 2006 p. 2561.]</w:t>
      </w:r>
    </w:p>
    <w:p>
      <w:pPr>
        <w:pStyle w:val="Heading5"/>
      </w:pPr>
      <w:bookmarkStart w:id="25" w:name="_Toc522795290"/>
      <w:r>
        <w:rPr>
          <w:rStyle w:val="CharSectno"/>
        </w:rPr>
        <w:t>14F</w:t>
      </w:r>
      <w:r>
        <w:t>.</w:t>
      </w:r>
      <w:r>
        <w:tab/>
        <w:t>Pensions, allowances, benefits prescribed (Act s. 205T)</w:t>
      </w:r>
      <w:bookmarkEnd w:id="25"/>
    </w:p>
    <w:p>
      <w:pPr>
        <w:pStyle w:val="Subsection"/>
      </w:pPr>
      <w:r>
        <w:tab/>
      </w:r>
      <w:r>
        <w:tab/>
        <w:t xml:space="preserve">Family Law Regulation 12A is adopted and applies for the purposes of the definition of </w:t>
      </w:r>
      <w:r>
        <w:rPr>
          <w:b/>
          <w:i/>
        </w:rPr>
        <w:t>income tested pension, allowance or benefit</w:t>
      </w:r>
      <w:r>
        <w:t xml:space="preserve"> in section 205T.</w:t>
      </w:r>
    </w:p>
    <w:p>
      <w:pPr>
        <w:pStyle w:val="Footnotesection"/>
      </w:pPr>
      <w:r>
        <w:tab/>
        <w:t>[Regulation 14F inserted: Gazette 29 Nov 2002 p. 5665.]</w:t>
      </w:r>
    </w:p>
    <w:p>
      <w:pPr>
        <w:pStyle w:val="Heading5"/>
        <w:rPr>
          <w:snapToGrid w:val="0"/>
        </w:rPr>
      </w:pPr>
      <w:bookmarkStart w:id="26" w:name="_Toc522795291"/>
      <w:r>
        <w:rPr>
          <w:rStyle w:val="CharSectno"/>
        </w:rPr>
        <w:t>15</w:t>
      </w:r>
      <w:r>
        <w:rPr>
          <w:snapToGrid w:val="0"/>
        </w:rPr>
        <w:t>.</w:t>
      </w:r>
      <w:r>
        <w:rPr>
          <w:snapToGrid w:val="0"/>
        </w:rPr>
        <w:tab/>
        <w:t>Parentage testing procedures</w:t>
      </w:r>
      <w:bookmarkEnd w:id="26"/>
      <w:r>
        <w:rPr>
          <w:snapToGrid w:val="0"/>
        </w:rPr>
        <w:t xml:space="preserve"> </w:t>
      </w:r>
    </w:p>
    <w:p>
      <w:pPr>
        <w:pStyle w:val="Subsection"/>
        <w:rPr>
          <w:snapToGrid w:val="0"/>
        </w:rPr>
      </w:pPr>
      <w:r>
        <w:rPr>
          <w:snapToGrid w:val="0"/>
        </w:rPr>
        <w:tab/>
        <w:t>(1)</w:t>
      </w:r>
      <w:r>
        <w:rPr>
          <w:snapToGrid w:val="0"/>
        </w:rPr>
        <w:tab/>
        <w:t xml:space="preserve">Family Law Regulation 21C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27" w:name="_Toc522795292"/>
      <w:r>
        <w:rPr>
          <w:rStyle w:val="CharSectno"/>
        </w:rPr>
        <w:t>16</w:t>
      </w:r>
      <w:r>
        <w:rPr>
          <w:snapToGrid w:val="0"/>
        </w:rPr>
        <w:t>.</w:t>
      </w:r>
      <w:r>
        <w:rPr>
          <w:snapToGrid w:val="0"/>
        </w:rPr>
        <w:tab/>
        <w:t>Parentage testing reports</w:t>
      </w:r>
      <w:bookmarkEnd w:id="27"/>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28" w:name="_Toc522795293"/>
      <w:r>
        <w:rPr>
          <w:rStyle w:val="CharSectno"/>
        </w:rPr>
        <w:t>17</w:t>
      </w:r>
      <w:r>
        <w:rPr>
          <w:snapToGrid w:val="0"/>
        </w:rPr>
        <w:t>.</w:t>
      </w:r>
      <w:r>
        <w:rPr>
          <w:snapToGrid w:val="0"/>
        </w:rPr>
        <w:tab/>
        <w:t>Registration in a court of orders etc. made by another court</w:t>
      </w:r>
      <w:bookmarkEnd w:id="28"/>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tab/>
        <w:t>[Regulation 17 amended: Gazette 29 Nov 2002 p. 5665; 14 Jul 2006 p. 2562.]</w:t>
      </w:r>
    </w:p>
    <w:p>
      <w:pPr>
        <w:pStyle w:val="Heading2"/>
      </w:pPr>
      <w:bookmarkStart w:id="29" w:name="_Toc522789717"/>
      <w:bookmarkStart w:id="30" w:name="_Toc522789768"/>
      <w:bookmarkStart w:id="31" w:name="_Toc522790155"/>
      <w:bookmarkStart w:id="32" w:name="_Toc522795294"/>
      <w:r>
        <w:rPr>
          <w:rStyle w:val="CharPartNo"/>
        </w:rPr>
        <w:t>Part 3</w:t>
      </w:r>
      <w:r>
        <w:rPr>
          <w:b w:val="0"/>
        </w:rPr>
        <w:t> </w:t>
      </w:r>
      <w:r>
        <w:t>—</w:t>
      </w:r>
      <w:r>
        <w:rPr>
          <w:b w:val="0"/>
        </w:rPr>
        <w:t> </w:t>
      </w:r>
      <w:r>
        <w:rPr>
          <w:rStyle w:val="CharPartText"/>
        </w:rPr>
        <w:t>Court fees</w:t>
      </w:r>
      <w:bookmarkEnd w:id="29"/>
      <w:bookmarkEnd w:id="30"/>
      <w:bookmarkEnd w:id="31"/>
      <w:bookmarkEnd w:id="32"/>
    </w:p>
    <w:p>
      <w:pPr>
        <w:pStyle w:val="Footnoteheading"/>
      </w:pPr>
      <w:r>
        <w:tab/>
        <w:t>[Heading inserted: Gazette 14 Dec 2012 p. 6236.]</w:t>
      </w:r>
    </w:p>
    <w:p>
      <w:pPr>
        <w:pStyle w:val="Heading3"/>
      </w:pPr>
      <w:bookmarkStart w:id="33" w:name="_Toc522789718"/>
      <w:bookmarkStart w:id="34" w:name="_Toc522789769"/>
      <w:bookmarkStart w:id="35" w:name="_Toc522790156"/>
      <w:bookmarkStart w:id="36" w:name="_Toc522795295"/>
      <w:r>
        <w:rPr>
          <w:rStyle w:val="CharDivNo"/>
        </w:rPr>
        <w:t>Division 1</w:t>
      </w:r>
      <w:r>
        <w:t> — </w:t>
      </w:r>
      <w:r>
        <w:rPr>
          <w:rStyle w:val="CharDivText"/>
        </w:rPr>
        <w:t>Preliminary</w:t>
      </w:r>
      <w:bookmarkEnd w:id="33"/>
      <w:bookmarkEnd w:id="34"/>
      <w:bookmarkEnd w:id="35"/>
      <w:bookmarkEnd w:id="36"/>
    </w:p>
    <w:p>
      <w:pPr>
        <w:pStyle w:val="Footnoteheading"/>
      </w:pPr>
      <w:r>
        <w:tab/>
        <w:t>[Heading inserted: Gazette 14 Dec 2012 p. 6236.]</w:t>
      </w:r>
    </w:p>
    <w:p>
      <w:pPr>
        <w:pStyle w:val="Heading5"/>
      </w:pPr>
      <w:bookmarkStart w:id="37" w:name="_Toc522795296"/>
      <w:r>
        <w:rPr>
          <w:rStyle w:val="CharSectno"/>
        </w:rPr>
        <w:t>18</w:t>
      </w:r>
      <w:r>
        <w:t>.</w:t>
      </w:r>
      <w:r>
        <w:tab/>
        <w:t>Terms used</w:t>
      </w:r>
      <w:bookmarkEnd w:id="37"/>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 or 12;</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keepNext/>
      </w:pPr>
      <w:r>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 Gazette 14 Dec 2012 p. 6236-7; amended: Gazette 10 Jul 2015 p. 2780; 18 Aug 2015 p. 3299.]</w:t>
      </w:r>
    </w:p>
    <w:p>
      <w:pPr>
        <w:pStyle w:val="Heading3"/>
      </w:pPr>
      <w:bookmarkStart w:id="38" w:name="_Toc522789720"/>
      <w:bookmarkStart w:id="39" w:name="_Toc522789771"/>
      <w:bookmarkStart w:id="40" w:name="_Toc522790158"/>
      <w:bookmarkStart w:id="41" w:name="_Toc522795297"/>
      <w:r>
        <w:rPr>
          <w:rStyle w:val="CharDivNo"/>
        </w:rPr>
        <w:t>Division 2</w:t>
      </w:r>
      <w:r>
        <w:t> — </w:t>
      </w:r>
      <w:r>
        <w:rPr>
          <w:rStyle w:val="CharDivText"/>
        </w:rPr>
        <w:t>Fees — general</w:t>
      </w:r>
      <w:bookmarkEnd w:id="38"/>
      <w:bookmarkEnd w:id="39"/>
      <w:bookmarkEnd w:id="40"/>
      <w:bookmarkEnd w:id="41"/>
    </w:p>
    <w:p>
      <w:pPr>
        <w:pStyle w:val="Footnoteheading"/>
      </w:pPr>
      <w:r>
        <w:tab/>
        <w:t>[Heading inserted: Gazette 14 Dec 2012 p. 6237.]</w:t>
      </w:r>
    </w:p>
    <w:p>
      <w:pPr>
        <w:pStyle w:val="Heading5"/>
      </w:pPr>
      <w:bookmarkStart w:id="42" w:name="_Toc522795298"/>
      <w:r>
        <w:rPr>
          <w:rStyle w:val="CharSectno"/>
        </w:rPr>
        <w:t>19</w:t>
      </w:r>
      <w:r>
        <w:t>.</w:t>
      </w:r>
      <w:r>
        <w:tab/>
        <w:t>Fees (Sch. 1)</w:t>
      </w:r>
      <w:bookmarkEnd w:id="42"/>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 Gazette 14 Dec 2012 p. 6237-8.]</w:t>
      </w:r>
    </w:p>
    <w:p>
      <w:pPr>
        <w:pStyle w:val="Heading3"/>
      </w:pPr>
      <w:bookmarkStart w:id="43" w:name="_Toc522789722"/>
      <w:bookmarkStart w:id="44" w:name="_Toc522789773"/>
      <w:bookmarkStart w:id="45" w:name="_Toc522790160"/>
      <w:bookmarkStart w:id="46" w:name="_Toc522795299"/>
      <w:r>
        <w:rPr>
          <w:rStyle w:val="CharDivNo"/>
        </w:rPr>
        <w:t>Division 3</w:t>
      </w:r>
      <w:r>
        <w:t> — </w:t>
      </w:r>
      <w:r>
        <w:rPr>
          <w:rStyle w:val="CharDivText"/>
        </w:rPr>
        <w:t>Liability to pay fee</w:t>
      </w:r>
      <w:bookmarkEnd w:id="43"/>
      <w:bookmarkEnd w:id="44"/>
      <w:bookmarkEnd w:id="45"/>
      <w:bookmarkEnd w:id="46"/>
    </w:p>
    <w:p>
      <w:pPr>
        <w:pStyle w:val="Footnoteheading"/>
      </w:pPr>
      <w:r>
        <w:tab/>
        <w:t>[Heading inserted: Gazette 14 Dec 2012 p. 6238.]</w:t>
      </w:r>
    </w:p>
    <w:p>
      <w:pPr>
        <w:pStyle w:val="Heading5"/>
      </w:pPr>
      <w:bookmarkStart w:id="47" w:name="_Toc522795300"/>
      <w:r>
        <w:rPr>
          <w:rStyle w:val="CharSectno"/>
        </w:rPr>
        <w:t>20</w:t>
      </w:r>
      <w:r>
        <w:t>.</w:t>
      </w:r>
      <w:r>
        <w:tab/>
        <w:t>Persons liable to pay fee</w:t>
      </w:r>
      <w:bookmarkEnd w:id="47"/>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 Gazette 14 Dec 2012 p. 6238-9.]</w:t>
      </w:r>
    </w:p>
    <w:p>
      <w:pPr>
        <w:pStyle w:val="Heading3"/>
        <w:keepLines/>
      </w:pPr>
      <w:bookmarkStart w:id="48" w:name="_Toc522789724"/>
      <w:bookmarkStart w:id="49" w:name="_Toc522789775"/>
      <w:bookmarkStart w:id="50" w:name="_Toc522790162"/>
      <w:bookmarkStart w:id="51" w:name="_Toc522795301"/>
      <w:r>
        <w:rPr>
          <w:rStyle w:val="CharDivNo"/>
        </w:rPr>
        <w:t>Division 4</w:t>
      </w:r>
      <w:r>
        <w:t> — </w:t>
      </w:r>
      <w:r>
        <w:rPr>
          <w:rStyle w:val="CharDivText"/>
        </w:rPr>
        <w:t>Exemptions from liability to pay fee</w:t>
      </w:r>
      <w:bookmarkEnd w:id="48"/>
      <w:bookmarkEnd w:id="49"/>
      <w:bookmarkEnd w:id="50"/>
      <w:bookmarkEnd w:id="51"/>
    </w:p>
    <w:p>
      <w:pPr>
        <w:pStyle w:val="Footnoteheading"/>
        <w:keepNext/>
        <w:keepLines/>
      </w:pPr>
      <w:r>
        <w:tab/>
        <w:t>[Heading inserted: Gazette 14 Dec 2012 p. 6239.]</w:t>
      </w:r>
    </w:p>
    <w:p>
      <w:pPr>
        <w:pStyle w:val="Heading5"/>
      </w:pPr>
      <w:bookmarkStart w:id="52" w:name="_Toc522795302"/>
      <w:r>
        <w:rPr>
          <w:rStyle w:val="CharSectno"/>
        </w:rPr>
        <w:t>21A</w:t>
      </w:r>
      <w:r>
        <w:t>.</w:t>
      </w:r>
      <w:r>
        <w:tab/>
        <w:t>Persons exempt from paying fee: general</w:t>
      </w:r>
      <w:bookmarkEnd w:id="52"/>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keepNext/>
      </w:pPr>
      <w:r>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 Gazette 14 Dec 2012 p. 6239-40.]</w:t>
      </w:r>
    </w:p>
    <w:p>
      <w:pPr>
        <w:pStyle w:val="Heading5"/>
      </w:pPr>
      <w:bookmarkStart w:id="53" w:name="_Toc522795303"/>
      <w:r>
        <w:rPr>
          <w:rStyle w:val="CharSectno"/>
        </w:rPr>
        <w:t>21B</w:t>
      </w:r>
      <w:r>
        <w:t>.</w:t>
      </w:r>
      <w:r>
        <w:tab/>
        <w:t>Persons exempt from paying fee: financial hardship</w:t>
      </w:r>
      <w:bookmarkEnd w:id="53"/>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 Gazette 14 Dec 2012 p. 6240.]</w:t>
      </w:r>
    </w:p>
    <w:p>
      <w:pPr>
        <w:pStyle w:val="Heading3"/>
      </w:pPr>
      <w:bookmarkStart w:id="54" w:name="_Toc522789727"/>
      <w:bookmarkStart w:id="55" w:name="_Toc522789778"/>
      <w:bookmarkStart w:id="56" w:name="_Toc522790165"/>
      <w:bookmarkStart w:id="57" w:name="_Toc522795304"/>
      <w:r>
        <w:rPr>
          <w:rStyle w:val="CharDivNo"/>
        </w:rPr>
        <w:t>Division 5</w:t>
      </w:r>
      <w:r>
        <w:t> — </w:t>
      </w:r>
      <w:r>
        <w:rPr>
          <w:rStyle w:val="CharDivText"/>
        </w:rPr>
        <w:t>When fee is not payable</w:t>
      </w:r>
      <w:bookmarkEnd w:id="54"/>
      <w:bookmarkEnd w:id="55"/>
      <w:bookmarkEnd w:id="56"/>
      <w:bookmarkEnd w:id="57"/>
    </w:p>
    <w:p>
      <w:pPr>
        <w:pStyle w:val="Footnoteheading"/>
      </w:pPr>
      <w:r>
        <w:tab/>
        <w:t>[Heading inserted: Gazette 14 Dec 2012 p. 6241.]</w:t>
      </w:r>
    </w:p>
    <w:p>
      <w:pPr>
        <w:pStyle w:val="Heading5"/>
      </w:pPr>
      <w:bookmarkStart w:id="58" w:name="_Toc522795305"/>
      <w:r>
        <w:rPr>
          <w:rStyle w:val="CharSectno"/>
        </w:rPr>
        <w:t>21C</w:t>
      </w:r>
      <w:r>
        <w:t>.</w:t>
      </w:r>
      <w:r>
        <w:tab/>
        <w:t>Fee not payable by liable person if already paid</w:t>
      </w:r>
      <w:bookmarkEnd w:id="58"/>
    </w:p>
    <w:p>
      <w:pPr>
        <w:pStyle w:val="Subsection"/>
      </w:pPr>
      <w:r>
        <w:tab/>
      </w:r>
      <w:r>
        <w:tab/>
        <w:t>A fee mentioned in Schedule 1 is not payable by the liable person if another person has paid the fee.</w:t>
      </w:r>
    </w:p>
    <w:p>
      <w:pPr>
        <w:pStyle w:val="Footnotesection"/>
      </w:pPr>
      <w:r>
        <w:tab/>
        <w:t>[Regulation 21C inserted: Gazette 14 Dec 2012 p. 6241.]</w:t>
      </w:r>
    </w:p>
    <w:p>
      <w:pPr>
        <w:pStyle w:val="Heading5"/>
        <w:keepNext w:val="0"/>
        <w:keepLines w:val="0"/>
        <w:pageBreakBefore/>
        <w:spacing w:before="0"/>
      </w:pPr>
      <w:bookmarkStart w:id="59" w:name="_Toc522795306"/>
      <w:r>
        <w:rPr>
          <w:rStyle w:val="CharSectno"/>
        </w:rPr>
        <w:t>21D</w:t>
      </w:r>
      <w:r>
        <w:t>.</w:t>
      </w:r>
      <w:r>
        <w:tab/>
        <w:t>Proceedings in which fee not payable</w:t>
      </w:r>
      <w:bookmarkEnd w:id="59"/>
    </w:p>
    <w:p>
      <w:pPr>
        <w:pStyle w:val="Subsection"/>
      </w:pPr>
      <w:r>
        <w:tab/>
        <w:t>(1)</w:t>
      </w:r>
      <w:r>
        <w:tab/>
        <w:t xml:space="preserve">A fee mentioned in Schedule 1 is not payable in relation to the following proceedings — </w:t>
      </w:r>
    </w:p>
    <w:p>
      <w:pPr>
        <w:pStyle w:val="Indenta"/>
      </w:pPr>
      <w:r>
        <w:tab/>
        <w:t>(a)</w:t>
      </w:r>
      <w:r>
        <w:tab/>
        <w:t xml:space="preserve">a proceeding for which an international convention to which </w:t>
      </w:r>
      <w:smartTag w:uri="urn:schemas-microsoft-com:office:smarttags" w:element="place">
        <w:smartTag w:uri="urn:schemas-microsoft-com:office:smarttags" w:element="country-region">
          <w:r>
            <w:t>Australia</w:t>
          </w:r>
        </w:smartTag>
      </w:smartTag>
      <w:r>
        <w:t xml:space="preserve">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 xml:space="preserve">a custody order, residence order, or an order that a child lives with a person, made by a court in </w:t>
      </w:r>
      <w:smartTag w:uri="urn:schemas-microsoft-com:office:smarttags" w:element="place">
        <w:smartTag w:uri="urn:schemas-microsoft-com:office:smarttags" w:element="country-region">
          <w:r>
            <w:t>Australia</w:t>
          </w:r>
        </w:smartTag>
      </w:smartTag>
      <w:r>
        <w:t xml:space="preserve"> and enforceable overseas;</w:t>
      </w:r>
    </w:p>
    <w:p>
      <w:pPr>
        <w:pStyle w:val="Indenta"/>
      </w:pPr>
      <w:r>
        <w:tab/>
        <w:t>(f)</w:t>
      </w:r>
      <w:r>
        <w:tab/>
        <w:t>a maintenance order made by an overseas court;</w:t>
      </w:r>
    </w:p>
    <w:p>
      <w:pPr>
        <w:pStyle w:val="Indenta"/>
      </w:pPr>
      <w:r>
        <w:tab/>
        <w:t>(g)</w:t>
      </w:r>
      <w:r>
        <w:tab/>
        <w:t xml:space="preserve">a maintenance order made by a court in </w:t>
      </w:r>
      <w:smartTag w:uri="urn:schemas-microsoft-com:office:smarttags" w:element="place">
        <w:smartTag w:uri="urn:schemas-microsoft-com:office:smarttags" w:element="country-region">
          <w:r>
            <w:t>Australia</w:t>
          </w:r>
        </w:smartTag>
      </w:smartTag>
      <w:r>
        <w:t xml:space="preserve">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tab/>
        <w:t>(m)</w:t>
      </w:r>
      <w:r>
        <w:tab/>
        <w:t>an application for an injunction under section 235A;</w:t>
      </w:r>
    </w:p>
    <w:p>
      <w:pPr>
        <w:pStyle w:val="Indenta"/>
      </w:pPr>
      <w:r>
        <w:tab/>
        <w:t>(n)</w:t>
      </w:r>
      <w:r>
        <w:tab/>
        <w:t>costs;</w:t>
      </w:r>
    </w:p>
    <w:p>
      <w:pPr>
        <w:pStyle w:val="Indenta"/>
      </w:pPr>
      <w:r>
        <w:tab/>
        <w:t>(o)</w:t>
      </w:r>
      <w:r>
        <w:tab/>
        <w:t>a procedural matter.</w:t>
      </w:r>
    </w:p>
    <w:p>
      <w:pPr>
        <w:pStyle w:val="Footnotesection"/>
      </w:pPr>
      <w:r>
        <w:tab/>
        <w:t>[Regulation 21D inserted: Gazette 14 Dec 2012 p. 6241-2.]</w:t>
      </w:r>
    </w:p>
    <w:p>
      <w:pPr>
        <w:pStyle w:val="Heading3"/>
      </w:pPr>
      <w:bookmarkStart w:id="60" w:name="_Toc522789730"/>
      <w:bookmarkStart w:id="61" w:name="_Toc522789781"/>
      <w:bookmarkStart w:id="62" w:name="_Toc522790168"/>
      <w:bookmarkStart w:id="63" w:name="_Toc522795307"/>
      <w:r>
        <w:rPr>
          <w:rStyle w:val="CharDivNo"/>
        </w:rPr>
        <w:t>Division 6</w:t>
      </w:r>
      <w:r>
        <w:t> — </w:t>
      </w:r>
      <w:r>
        <w:rPr>
          <w:rStyle w:val="CharDivText"/>
        </w:rPr>
        <w:t>Payment of fees</w:t>
      </w:r>
      <w:bookmarkEnd w:id="60"/>
      <w:bookmarkEnd w:id="61"/>
      <w:bookmarkEnd w:id="62"/>
      <w:bookmarkEnd w:id="63"/>
    </w:p>
    <w:p>
      <w:pPr>
        <w:pStyle w:val="Footnoteheading"/>
      </w:pPr>
      <w:r>
        <w:tab/>
        <w:t>[Heading inserted: Gazette 14 Dec 2012 p. 6242.]</w:t>
      </w:r>
    </w:p>
    <w:p>
      <w:pPr>
        <w:pStyle w:val="Heading5"/>
      </w:pPr>
      <w:bookmarkStart w:id="64" w:name="_Toc522795308"/>
      <w:r>
        <w:rPr>
          <w:rStyle w:val="CharSectno"/>
        </w:rPr>
        <w:t>21E</w:t>
      </w:r>
      <w:r>
        <w:t>.</w:t>
      </w:r>
      <w:r>
        <w:tab/>
        <w:t>When fee must be paid</w:t>
      </w:r>
      <w:bookmarkEnd w:id="64"/>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 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tab/>
        <w:t>(b)</w:t>
      </w:r>
      <w:r>
        <w:tab/>
        <w:t>in any other case — by 28 days before the day the conference will occur.</w:t>
      </w:r>
    </w:p>
    <w:p>
      <w:pPr>
        <w:pStyle w:val="Subsection"/>
      </w:pPr>
      <w:r>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 Gazette 14 Dec 2012 p. 6242-3.]</w:t>
      </w:r>
    </w:p>
    <w:p>
      <w:pPr>
        <w:pStyle w:val="Heading5"/>
      </w:pPr>
      <w:bookmarkStart w:id="65" w:name="_Toc522795309"/>
      <w:r>
        <w:rPr>
          <w:rStyle w:val="CharSectno"/>
        </w:rPr>
        <w:t>21F</w:t>
      </w:r>
      <w:r>
        <w:t>.</w:t>
      </w:r>
      <w:r>
        <w:tab/>
        <w:t>Deferral of payment of fees</w:t>
      </w:r>
      <w:bookmarkEnd w:id="65"/>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pPr>
      <w:r>
        <w:tab/>
        <w:t>(5)</w:t>
      </w:r>
      <w:r>
        <w:tab/>
        <w:t>The registrar or authorised officer may impose conditions on the deferral of the payment of a fee.</w:t>
      </w:r>
    </w:p>
    <w:p>
      <w:pPr>
        <w:pStyle w:val="Footnotesection"/>
      </w:pPr>
      <w:r>
        <w:tab/>
        <w:t>[Regulation 21F inserted: Gazette 14 Dec 2012 p. 6243-4.]</w:t>
      </w:r>
    </w:p>
    <w:p>
      <w:pPr>
        <w:pStyle w:val="Heading5"/>
      </w:pPr>
      <w:bookmarkStart w:id="66" w:name="_Toc522795310"/>
      <w:r>
        <w:rPr>
          <w:rStyle w:val="CharSectno"/>
        </w:rPr>
        <w:t>21G</w:t>
      </w:r>
      <w:r>
        <w:t>.</w:t>
      </w:r>
      <w:r>
        <w:tab/>
        <w:t>What happens if fee not paid</w:t>
      </w:r>
      <w:bookmarkEnd w:id="66"/>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 Gazette 14 Dec 2012 p. 6244-5.]</w:t>
      </w:r>
    </w:p>
    <w:p>
      <w:pPr>
        <w:pStyle w:val="Heading3"/>
        <w:keepNext w:val="0"/>
        <w:pageBreakBefore/>
        <w:spacing w:before="0"/>
      </w:pPr>
      <w:bookmarkStart w:id="67" w:name="_Toc522789734"/>
      <w:bookmarkStart w:id="68" w:name="_Toc522789785"/>
      <w:bookmarkStart w:id="69" w:name="_Toc522790172"/>
      <w:bookmarkStart w:id="70" w:name="_Toc522795311"/>
      <w:r>
        <w:rPr>
          <w:rStyle w:val="CharDivNo"/>
        </w:rPr>
        <w:t>Division 7</w:t>
      </w:r>
      <w:r>
        <w:t> — </w:t>
      </w:r>
      <w:r>
        <w:rPr>
          <w:rStyle w:val="CharDivText"/>
        </w:rPr>
        <w:t>Miscellaneous</w:t>
      </w:r>
      <w:bookmarkEnd w:id="67"/>
      <w:bookmarkEnd w:id="68"/>
      <w:bookmarkEnd w:id="69"/>
      <w:bookmarkEnd w:id="70"/>
    </w:p>
    <w:p>
      <w:pPr>
        <w:pStyle w:val="Footnoteheading"/>
      </w:pPr>
      <w:r>
        <w:tab/>
        <w:t>[Heading inserted: Gazette 14 Dec 2012 p. 6245.]</w:t>
      </w:r>
    </w:p>
    <w:p>
      <w:pPr>
        <w:pStyle w:val="Heading5"/>
      </w:pPr>
      <w:bookmarkStart w:id="71" w:name="_Toc522795312"/>
      <w:r>
        <w:rPr>
          <w:rStyle w:val="CharSectno"/>
        </w:rPr>
        <w:t>21H</w:t>
      </w:r>
      <w:r>
        <w:t>.</w:t>
      </w:r>
      <w:r>
        <w:tab/>
        <w:t>Refund of fee</w:t>
      </w:r>
      <w:bookmarkEnd w:id="71"/>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keepNext/>
      </w:pPr>
      <w:r>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 Gazette 14 Dec 2012 p. 6245-7.]</w:t>
      </w:r>
    </w:p>
    <w:p>
      <w:pPr>
        <w:pStyle w:val="Heading5"/>
        <w:keepNext w:val="0"/>
        <w:keepLines w:val="0"/>
        <w:pageBreakBefore/>
        <w:spacing w:before="0"/>
      </w:pPr>
      <w:bookmarkStart w:id="72" w:name="_Toc522795313"/>
      <w:r>
        <w:rPr>
          <w:rStyle w:val="CharSectno"/>
        </w:rPr>
        <w:t>21I</w:t>
      </w:r>
      <w:r>
        <w:t>.</w:t>
      </w:r>
      <w:r>
        <w:tab/>
        <w:t>Annual increase in fees</w:t>
      </w:r>
      <w:bookmarkEnd w:id="72"/>
    </w:p>
    <w:p>
      <w:pPr>
        <w:pStyle w:val="Subsection"/>
      </w:pPr>
      <w:r>
        <w:tab/>
        <w:t>(1)</w:t>
      </w:r>
      <w:r>
        <w:tab/>
        <w:t xml:space="preserve">In this regulation — </w:t>
      </w:r>
    </w:p>
    <w:p>
      <w:pPr>
        <w:pStyle w:val="Defstart"/>
      </w:pPr>
      <w:r>
        <w:tab/>
      </w:r>
      <w:r>
        <w:rPr>
          <w:rStyle w:val="CharDefText"/>
        </w:rPr>
        <w:t>CPI number</w:t>
      </w:r>
      <w:r>
        <w:t xml:space="preserve"> means the All Groups Consumer Price Index number (being the weighted average of the 8 Australian capital cities) published by the Australian Statistician;</w:t>
      </w:r>
    </w:p>
    <w:p>
      <w:pPr>
        <w:pStyle w:val="Defstart"/>
      </w:pPr>
      <w:r>
        <w:tab/>
      </w:r>
      <w:r>
        <w:rPr>
          <w:rStyle w:val="CharDefText"/>
        </w:rPr>
        <w:t>March quarter</w:t>
      </w:r>
      <w:r>
        <w:t xml:space="preserve"> means a period of 3 months ending at the end of March;</w:t>
      </w:r>
    </w:p>
    <w:p>
      <w:pPr>
        <w:pStyle w:val="Defstart"/>
      </w:pPr>
      <w:r>
        <w:tab/>
      </w:r>
      <w:r>
        <w:rPr>
          <w:rStyle w:val="CharDefText"/>
        </w:rPr>
        <w:t>relevant period</w:t>
      </w:r>
      <w:r>
        <w:t xml:space="preserve"> means a financial year beginning on or after 1 July 2018.</w:t>
      </w:r>
    </w:p>
    <w:p>
      <w:pPr>
        <w:pStyle w:val="Subsection"/>
      </w:pPr>
      <w:r>
        <w:tab/>
        <w:t>(2)</w:t>
      </w:r>
      <w:r>
        <w:tab/>
        <w:t>The amount of each fee mentioned in Schedule 1 is increased on 1 July 2019, and on each 1 July following that day.</w:t>
      </w:r>
    </w:p>
    <w:p>
      <w:pPr>
        <w:pStyle w:val="Subsection"/>
      </w:pPr>
      <w:r>
        <w:tab/>
        <w:t>(3)</w:t>
      </w:r>
      <w:r>
        <w:tab/>
        <w:t>Subregulations (4) and (5) apply to a fee mentioned in Schedule 1.</w:t>
      </w:r>
    </w:p>
    <w:p>
      <w:pPr>
        <w:pStyle w:val="Subsection"/>
      </w:pPr>
      <w:r>
        <w:tab/>
        <w:t>(4)</w:t>
      </w:r>
      <w:r>
        <w:tab/>
        <w:t xml:space="preserve">If, in a relevant period, the latest CPI number is greater than the earlier CPI number, a fee is increased, on 1 July immediately following the end of the period, in accordance with the formula — </w:t>
      </w:r>
    </w:p>
    <w:p>
      <w:pPr>
        <w:pStyle w:val="Equation"/>
        <w:keepNext/>
        <w:keepLines/>
        <w:spacing w:before="240"/>
        <w:jc w:val="center"/>
        <w:rPr>
          <w:position w:val="-30"/>
        </w:rPr>
      </w:pPr>
      <w:r>
        <w:rPr>
          <w:position w:val="-30"/>
        </w:rPr>
        <w:drawing>
          <wp:inline distT="0" distB="0" distL="0" distR="0">
            <wp:extent cx="1485900" cy="42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85900" cy="428625"/>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rStyle w:val="CharDefText"/>
        </w:rPr>
        <w:t>earlier CPI number</w:t>
      </w:r>
      <w:r>
        <w:t xml:space="preserve"> is the CPI number for the last March quarter before the beginning of the relevant period;</w:t>
      </w:r>
    </w:p>
    <w:p>
      <w:pPr>
        <w:pStyle w:val="Defstart"/>
      </w:pPr>
      <w:r>
        <w:rPr>
          <w:b/>
        </w:rPr>
        <w:tab/>
      </w:r>
      <w:r>
        <w:rPr>
          <w:rStyle w:val="CharDefText"/>
        </w:rPr>
        <w:t>fee</w:t>
      </w:r>
      <w:r>
        <w:t xml:space="preserve"> is the fee in force at the end of the relevant period;</w:t>
      </w:r>
    </w:p>
    <w:p>
      <w:pPr>
        <w:pStyle w:val="Defstart"/>
      </w:pPr>
      <w:r>
        <w:rPr>
          <w:b/>
        </w:rPr>
        <w:tab/>
      </w:r>
      <w:r>
        <w:rPr>
          <w:rStyle w:val="CharDefText"/>
        </w:rPr>
        <w:t>latest CPI number</w:t>
      </w:r>
      <w:r>
        <w:t xml:space="preserve"> is the CPI number for the last March quarter before the end of the relevant period.</w:t>
      </w:r>
    </w:p>
    <w:p>
      <w:pPr>
        <w:pStyle w:val="Subsection"/>
      </w:pPr>
      <w:r>
        <w:tab/>
        <w:t>(5)</w:t>
      </w:r>
      <w:r>
        <w:tab/>
        <w:t xml:space="preserve">The amount of the fee worked out under subregulation (4) is to be rounded to an amount of dollars and cents and then further rounded as follows — </w:t>
      </w:r>
    </w:p>
    <w:p>
      <w:pPr>
        <w:pStyle w:val="Indenta"/>
      </w:pPr>
      <w:r>
        <w:tab/>
        <w:t>(a)</w:t>
      </w:r>
      <w:r>
        <w:tab/>
        <w:t>if the amount is $50 or more — the amount is to be rounded to the nearest amount that is a multiple of $5;</w:t>
      </w:r>
    </w:p>
    <w:p>
      <w:pPr>
        <w:pStyle w:val="Indenta"/>
      </w:pPr>
      <w:r>
        <w:tab/>
        <w:t>(b)</w:t>
      </w:r>
      <w:r>
        <w:tab/>
        <w:t>if the amount is less than $50 — the amount is to be rounded to the nearest whole dollar;</w:t>
      </w:r>
    </w:p>
    <w:p>
      <w:pPr>
        <w:pStyle w:val="Indenta"/>
      </w:pPr>
      <w:r>
        <w:tab/>
        <w:t>(c)</w:t>
      </w:r>
      <w:r>
        <w:tab/>
        <w:t>if the amount to be rounded is 50 cents, the amount is to be rounded down.</w:t>
      </w:r>
    </w:p>
    <w:p>
      <w:pPr>
        <w:pStyle w:val="Subsection"/>
      </w:pPr>
      <w:r>
        <w:tab/>
        <w:t>(6)</w:t>
      </w:r>
      <w:r>
        <w:tab/>
        <w:t>If the Australian Statistician publishes for a particular March quarter a CPI number in substitution for an index number previously published by the Australian Statistician for that quarter, the publication of the later CPI number is disregarded for the purposes of this regulation.</w:t>
      </w:r>
    </w:p>
    <w:p>
      <w:pPr>
        <w:pStyle w:val="Subsection"/>
      </w:pPr>
      <w:r>
        <w:tab/>
        <w:t>(7)</w:t>
      </w:r>
      <w:r>
        <w:tab/>
        <w:t>However, if the Australian Statistician changes the reference base for the Consumer Price Index, then for the application of this regulation after the change is made, regard must be had only to CPI numbers published in terms of the new reference base.</w:t>
      </w:r>
    </w:p>
    <w:p>
      <w:pPr>
        <w:pStyle w:val="Footnotesection"/>
      </w:pPr>
      <w:r>
        <w:tab/>
        <w:t>[Regulation 21I inserted: Gazette 14 Dec 2012 p. 6247-9; amended: Gazette 10 Jul 2015 p. 2780; 24 Aug 2018 p. 2971.]</w:t>
      </w:r>
    </w:p>
    <w:p>
      <w:pPr>
        <w:pStyle w:val="Heading5"/>
      </w:pPr>
      <w:bookmarkStart w:id="73" w:name="_Toc522795314"/>
      <w:r>
        <w:rPr>
          <w:rStyle w:val="CharSectno"/>
        </w:rPr>
        <w:t>21J</w:t>
      </w:r>
      <w:r>
        <w:t>.</w:t>
      </w:r>
      <w:r>
        <w:tab/>
        <w:t>Recovery of fees due</w:t>
      </w:r>
      <w:bookmarkEnd w:id="73"/>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 Gazette 14 Dec 2012 p. 6249.]</w:t>
      </w:r>
    </w:p>
    <w:p>
      <w:pPr>
        <w:pStyle w:val="Heading2"/>
        <w:rPr>
          <w:snapToGrid/>
        </w:rPr>
      </w:pPr>
      <w:bookmarkStart w:id="74" w:name="_Toc522789738"/>
      <w:bookmarkStart w:id="75" w:name="_Toc522789789"/>
      <w:bookmarkStart w:id="76" w:name="_Toc522790176"/>
      <w:bookmarkStart w:id="77" w:name="_Toc522795315"/>
      <w:r>
        <w:rPr>
          <w:rStyle w:val="CharPartNo"/>
        </w:rPr>
        <w:t>Part 4</w:t>
      </w:r>
      <w:r>
        <w:rPr>
          <w:rStyle w:val="CharDivNo"/>
        </w:rPr>
        <w:t> </w:t>
      </w:r>
      <w:r>
        <w:t>—</w:t>
      </w:r>
      <w:r>
        <w:rPr>
          <w:rStyle w:val="CharDivText"/>
        </w:rPr>
        <w:t> </w:t>
      </w:r>
      <w:r>
        <w:rPr>
          <w:rStyle w:val="CharPartText"/>
        </w:rPr>
        <w:t>Review</w:t>
      </w:r>
      <w:bookmarkEnd w:id="74"/>
      <w:bookmarkEnd w:id="75"/>
      <w:bookmarkEnd w:id="76"/>
      <w:bookmarkEnd w:id="77"/>
    </w:p>
    <w:p>
      <w:pPr>
        <w:pStyle w:val="Footnoteheading"/>
      </w:pPr>
      <w:r>
        <w:tab/>
        <w:t>[Heading inserted: Gazette 13 May 2011 p. 1746.]</w:t>
      </w:r>
    </w:p>
    <w:p>
      <w:pPr>
        <w:pStyle w:val="Heading5"/>
      </w:pPr>
      <w:bookmarkStart w:id="78" w:name="_Toc522795316"/>
      <w:r>
        <w:rPr>
          <w:rStyle w:val="CharSectno"/>
        </w:rPr>
        <w:t>21</w:t>
      </w:r>
      <w:r>
        <w:t>.</w:t>
      </w:r>
      <w:r>
        <w:tab/>
        <w:t>Review of decisions under these regulations</w:t>
      </w:r>
      <w:bookmarkEnd w:id="78"/>
    </w:p>
    <w:p>
      <w:pPr>
        <w:pStyle w:val="Subsection"/>
      </w:pPr>
      <w:r>
        <w:tab/>
      </w:r>
      <w:r>
        <w:tab/>
        <w:t xml:space="preserve">A decision made by a registrar or authorised officer under these regulations is reviewable as if it were an order or direction made by the Principal Registrar, registrar or deputy registrar under the </w:t>
      </w:r>
      <w:r>
        <w:rPr>
          <w:i/>
          <w:iCs/>
        </w:rPr>
        <w:t>Family Court Rules 1998</w:t>
      </w:r>
      <w:r>
        <w:t xml:space="preserve"> rule 25.</w:t>
      </w:r>
    </w:p>
    <w:p>
      <w:pPr>
        <w:pStyle w:val="Footnotesection"/>
      </w:pPr>
      <w:r>
        <w:tab/>
        <w:t>[Regulation 21 inserted: Gazette 13 May 2011 p. 1746.]</w:t>
      </w:r>
    </w:p>
    <w:p>
      <w:pPr>
        <w:pStyle w:val="Heading2"/>
        <w:rPr>
          <w:snapToGrid/>
        </w:rPr>
      </w:pPr>
      <w:bookmarkStart w:id="79" w:name="_Toc522789740"/>
      <w:bookmarkStart w:id="80" w:name="_Toc522789791"/>
      <w:bookmarkStart w:id="81" w:name="_Toc522790178"/>
      <w:bookmarkStart w:id="82" w:name="_Toc522795317"/>
      <w:r>
        <w:rPr>
          <w:rStyle w:val="CharPartNo"/>
        </w:rPr>
        <w:t>Part 5</w:t>
      </w:r>
      <w:r>
        <w:rPr>
          <w:rStyle w:val="CharDivNo"/>
        </w:rPr>
        <w:t> </w:t>
      </w:r>
      <w:r>
        <w:t>—</w:t>
      </w:r>
      <w:r>
        <w:rPr>
          <w:rStyle w:val="CharDivText"/>
        </w:rPr>
        <w:t> </w:t>
      </w:r>
      <w:r>
        <w:rPr>
          <w:rStyle w:val="CharPartText"/>
        </w:rPr>
        <w:t>Transitional provisions</w:t>
      </w:r>
      <w:bookmarkEnd w:id="79"/>
      <w:bookmarkEnd w:id="80"/>
      <w:bookmarkEnd w:id="81"/>
      <w:bookmarkEnd w:id="82"/>
    </w:p>
    <w:p>
      <w:pPr>
        <w:pStyle w:val="Footnoteheading"/>
      </w:pPr>
      <w:r>
        <w:tab/>
        <w:t>[Heading inserted: Gazette 13 May 2011 p. 1746.]</w:t>
      </w:r>
    </w:p>
    <w:p>
      <w:pPr>
        <w:pStyle w:val="Heading5"/>
      </w:pPr>
      <w:bookmarkStart w:id="83" w:name="_Toc522795318"/>
      <w:r>
        <w:rPr>
          <w:rStyle w:val="CharSectno"/>
        </w:rPr>
        <w:t>22A</w:t>
      </w:r>
      <w:r>
        <w:t>.</w:t>
      </w:r>
      <w:r>
        <w:tab/>
        <w:t>Terms used</w:t>
      </w:r>
      <w:bookmarkEnd w:id="83"/>
    </w:p>
    <w:p>
      <w:pPr>
        <w:pStyle w:val="Subsection"/>
      </w:pPr>
      <w:r>
        <w:tab/>
      </w:r>
      <w:r>
        <w:tab/>
        <w:t>A term has the same meaning in this Part as it has in regulation 18 unless the contrary intention appears.</w:t>
      </w:r>
    </w:p>
    <w:p>
      <w:pPr>
        <w:pStyle w:val="Footnotesection"/>
      </w:pPr>
      <w:r>
        <w:tab/>
        <w:t>[Regulation 22A inserted: Gazette 10 Jul 2015 p. 2780.]</w:t>
      </w:r>
    </w:p>
    <w:p>
      <w:pPr>
        <w:pStyle w:val="Heading5"/>
      </w:pPr>
      <w:bookmarkStart w:id="84" w:name="_Toc522795319"/>
      <w:r>
        <w:rPr>
          <w:rStyle w:val="CharSectno"/>
        </w:rPr>
        <w:t>22</w:t>
      </w:r>
      <w:r>
        <w:t>.</w:t>
      </w:r>
      <w:r>
        <w:tab/>
        <w:t xml:space="preserve">Transitional provisions relating to </w:t>
      </w:r>
      <w:r>
        <w:rPr>
          <w:i/>
        </w:rPr>
        <w:t>Family Court Amendment Regulations 2011</w:t>
      </w:r>
      <w:bookmarkEnd w:id="84"/>
    </w:p>
    <w:p>
      <w:pPr>
        <w:pStyle w:val="Subsection"/>
      </w:pPr>
      <w:r>
        <w:tab/>
        <w:t>(1)</w:t>
      </w:r>
      <w:r>
        <w:tab/>
        <w:t>In this regulation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r>
        <w:rPr>
          <w:vertAlign w:val="superscript"/>
        </w:rPr>
        <w:t> 1</w:t>
      </w:r>
      <w:r>
        <w:t>.</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Gazette 13 May 2011 p. 1746-7; amended: Gazette 10 Jul 2015 p. 2781.]</w:t>
      </w:r>
    </w:p>
    <w:p>
      <w:pPr>
        <w:pStyle w:val="Heading5"/>
      </w:pPr>
      <w:bookmarkStart w:id="85" w:name="_Toc522795320"/>
      <w:r>
        <w:rPr>
          <w:rStyle w:val="CharSectno"/>
        </w:rPr>
        <w:t>23</w:t>
      </w:r>
      <w:r>
        <w:t>.</w:t>
      </w:r>
      <w:r>
        <w:tab/>
        <w:t xml:space="preserve">Transitional provisions relating to </w:t>
      </w:r>
      <w:r>
        <w:rPr>
          <w:i/>
        </w:rPr>
        <w:t>Family Court Amendment Regulations 2012</w:t>
      </w:r>
      <w:bookmarkEnd w:id="85"/>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 Gazette 14 Dec 2012 p. 6249-50.]</w:t>
      </w:r>
    </w:p>
    <w:p>
      <w:pPr>
        <w:pStyle w:val="Heading5"/>
      </w:pPr>
      <w:bookmarkStart w:id="86" w:name="_Toc522795321"/>
      <w:r>
        <w:rPr>
          <w:rStyle w:val="CharSectno"/>
        </w:rPr>
        <w:t>24</w:t>
      </w:r>
      <w:r>
        <w:rPr>
          <w:rStyle w:val="CharSClsNo"/>
        </w:rPr>
        <w:t>.</w:t>
      </w:r>
      <w:r>
        <w:rPr>
          <w:rStyle w:val="CharSClsNo"/>
        </w:rPr>
        <w:tab/>
        <w:t xml:space="preserve">Transitional provisions relating to </w:t>
      </w:r>
      <w:r>
        <w:rPr>
          <w:i/>
        </w:rPr>
        <w:t>Family Court Amendment Regulations (No. 3) 2015</w:t>
      </w:r>
      <w:bookmarkEnd w:id="86"/>
    </w:p>
    <w:p>
      <w:pPr>
        <w:pStyle w:val="Subsection"/>
      </w:pPr>
      <w:r>
        <w:tab/>
        <w:t>(1)</w:t>
      </w:r>
      <w:r>
        <w:tab/>
        <w:t>In this regulation —</w:t>
      </w:r>
    </w:p>
    <w:p>
      <w:pPr>
        <w:pStyle w:val="Defstart"/>
      </w:pPr>
      <w:r>
        <w:tab/>
      </w:r>
      <w:r>
        <w:rPr>
          <w:rStyle w:val="CharDefText"/>
        </w:rPr>
        <w:t>commencement day</w:t>
      </w:r>
      <w:r>
        <w:rPr>
          <w:b/>
        </w:rPr>
        <w:t xml:space="preserve"> </w:t>
      </w:r>
      <w:r>
        <w:t xml:space="preserve">means the day on which the </w:t>
      </w:r>
      <w:r>
        <w:rPr>
          <w:i/>
        </w:rPr>
        <w:t>Family Court Amendment Regulations (No. 3) 2015</w:t>
      </w:r>
      <w:r>
        <w:t xml:space="preserve"> regulation 6 comes into operation</w:t>
      </w:r>
      <w:r>
        <w:rPr>
          <w:vertAlign w:val="superscript"/>
        </w:rPr>
        <w:t> 1</w:t>
      </w:r>
      <w:r>
        <w:t>;</w:t>
      </w:r>
    </w:p>
    <w:p>
      <w:pPr>
        <w:pStyle w:val="Defstart"/>
      </w:pPr>
      <w:r>
        <w:tab/>
      </w:r>
      <w:r>
        <w:rPr>
          <w:rStyle w:val="CharDefText"/>
        </w:rPr>
        <w:t>current fees</w:t>
      </w:r>
      <w:r>
        <w:t xml:space="preserve"> means the fees payable under these regulations on commencement day;</w:t>
      </w:r>
    </w:p>
    <w:p>
      <w:pPr>
        <w:pStyle w:val="Defstart"/>
      </w:pPr>
      <w:r>
        <w:tab/>
      </w:r>
      <w:r>
        <w:rPr>
          <w:rStyle w:val="CharDefText"/>
        </w:rPr>
        <w:t>refund period</w:t>
      </w:r>
      <w:r>
        <w:rPr>
          <w:b/>
        </w:rPr>
        <w:t xml:space="preserve"> </w:t>
      </w:r>
      <w:r>
        <w:t xml:space="preserve">means the period — </w:t>
      </w:r>
    </w:p>
    <w:p>
      <w:pPr>
        <w:pStyle w:val="Defpara"/>
      </w:pPr>
      <w:r>
        <w:tab/>
        <w:t>(a)</w:t>
      </w:r>
      <w:r>
        <w:tab/>
        <w:t xml:space="preserve">beginning at the time when the </w:t>
      </w:r>
      <w:r>
        <w:rPr>
          <w:i/>
        </w:rPr>
        <w:t xml:space="preserve">Family Law (Fees) Amendment (2015 Measures No. 1) Regulation 2015 </w:t>
      </w:r>
      <w:r>
        <w:t>(Commonwealth) was disallowed by the Commonwealth Senate; and</w:t>
      </w:r>
    </w:p>
    <w:p>
      <w:pPr>
        <w:pStyle w:val="Defpara"/>
      </w:pPr>
      <w:r>
        <w:tab/>
        <w:t>(b)</w:t>
      </w:r>
      <w:r>
        <w:tab/>
        <w:t>ending immediately before commencement day.</w:t>
      </w:r>
    </w:p>
    <w:p>
      <w:pPr>
        <w:pStyle w:val="Subsection"/>
      </w:pPr>
      <w:r>
        <w:tab/>
        <w:t>(2)</w:t>
      </w:r>
      <w:r>
        <w:tab/>
        <w:t>A person who paid a fee under these regulations during the refund period is entitled to a refund.</w:t>
      </w:r>
    </w:p>
    <w:p>
      <w:pPr>
        <w:pStyle w:val="Subsection"/>
      </w:pPr>
      <w:r>
        <w:tab/>
        <w:t>(3)</w:t>
      </w:r>
      <w:r>
        <w:tab/>
        <w:t xml:space="preserve">The amount to be refunded is the difference between — </w:t>
      </w:r>
    </w:p>
    <w:p>
      <w:pPr>
        <w:pStyle w:val="Indenta"/>
      </w:pPr>
      <w:r>
        <w:tab/>
        <w:t>(a)</w:t>
      </w:r>
      <w:r>
        <w:tab/>
        <w:t>the amount paid by the person; and</w:t>
      </w:r>
    </w:p>
    <w:p>
      <w:pPr>
        <w:pStyle w:val="Indenta"/>
      </w:pPr>
      <w:r>
        <w:tab/>
        <w:t>(b)</w:t>
      </w:r>
      <w:r>
        <w:tab/>
        <w:t>the amount that the person would have been required to pay had the current fees been the fees payable during the refund period.</w:t>
      </w:r>
    </w:p>
    <w:p>
      <w:pPr>
        <w:pStyle w:val="Subsection"/>
      </w:pPr>
      <w:r>
        <w:tab/>
        <w:t>(4)</w:t>
      </w:r>
      <w:r>
        <w:tab/>
        <w:t>The liability of a person to pay a fee that arose during the refund period is to be taken to be the same as it would have been had the current fees been the fees payable when the liability arose.</w:t>
      </w:r>
    </w:p>
    <w:p>
      <w:pPr>
        <w:pStyle w:val="Subsection"/>
      </w:pPr>
      <w:r>
        <w:tab/>
        <w:t>(5)</w:t>
      </w:r>
      <w:r>
        <w:tab/>
        <w:t xml:space="preserve">This regulation applies despite the amendments effected by the </w:t>
      </w:r>
      <w:r>
        <w:rPr>
          <w:i/>
        </w:rPr>
        <w:t>Family Court Amendment Regulations (No. 2) 2015</w:t>
      </w:r>
      <w:r>
        <w:t>.</w:t>
      </w:r>
    </w:p>
    <w:p>
      <w:pPr>
        <w:pStyle w:val="Footnotesection"/>
      </w:pPr>
      <w:r>
        <w:tab/>
        <w:t>[Regulation 24 inserted: Gazette 18 Aug 2015 p. 3300.]</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87" w:name="_Toc522789745"/>
      <w:bookmarkStart w:id="88" w:name="_Toc522789796"/>
      <w:bookmarkStart w:id="89" w:name="_Toc522790183"/>
      <w:bookmarkStart w:id="90" w:name="_Toc522795322"/>
      <w:r>
        <w:t>Schedule 1 — Fees</w:t>
      </w:r>
      <w:bookmarkEnd w:id="87"/>
      <w:bookmarkEnd w:id="88"/>
      <w:bookmarkEnd w:id="89"/>
      <w:bookmarkEnd w:id="90"/>
    </w:p>
    <w:p>
      <w:pPr>
        <w:pStyle w:val="yShoulderClause"/>
      </w:pPr>
      <w:r>
        <w:t>[Pt. 3]</w:t>
      </w:r>
    </w:p>
    <w:p>
      <w:pPr>
        <w:pStyle w:val="yFootnoteheading"/>
      </w:pPr>
      <w:r>
        <w:tab/>
        <w:t>[Heading inserted: Gazette 24 Aug 2018 p. 2972.]</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5402"/>
        <w:gridCol w:w="831"/>
      </w:tblGrid>
      <w:tr>
        <w:trPr>
          <w:cantSplit/>
          <w:tblHeader/>
        </w:trPr>
        <w:tc>
          <w:tcPr>
            <w:tcW w:w="855" w:type="dxa"/>
          </w:tcPr>
          <w:p>
            <w:pPr>
              <w:pStyle w:val="yTableNAm"/>
              <w:rPr>
                <w:b/>
              </w:rPr>
            </w:pPr>
            <w:r>
              <w:rPr>
                <w:b/>
              </w:rPr>
              <w:t>Item</w:t>
            </w:r>
          </w:p>
        </w:tc>
        <w:tc>
          <w:tcPr>
            <w:tcW w:w="5402" w:type="dxa"/>
          </w:tcPr>
          <w:p>
            <w:pPr>
              <w:pStyle w:val="yTableNAm"/>
              <w:rPr>
                <w:b/>
              </w:rPr>
            </w:pPr>
            <w:r>
              <w:rPr>
                <w:b/>
              </w:rPr>
              <w:t>Document or action</w:t>
            </w:r>
          </w:p>
        </w:tc>
        <w:tc>
          <w:tcPr>
            <w:tcW w:w="831" w:type="dxa"/>
          </w:tcPr>
          <w:p>
            <w:pPr>
              <w:pStyle w:val="yTableNAm"/>
              <w:rPr>
                <w:b/>
              </w:rPr>
            </w:pPr>
            <w:r>
              <w:rPr>
                <w:b/>
              </w:rPr>
              <w:t>Fee</w:t>
            </w:r>
          </w:p>
        </w:tc>
      </w:tr>
      <w:tr>
        <w:trPr>
          <w:cantSplit/>
        </w:trPr>
        <w:tc>
          <w:tcPr>
            <w:tcW w:w="855" w:type="dxa"/>
          </w:tcPr>
          <w:p>
            <w:pPr>
              <w:pStyle w:val="yTableNAm"/>
            </w:pPr>
            <w:r>
              <w:t>1.</w:t>
            </w:r>
          </w:p>
        </w:tc>
        <w:tc>
          <w:tcPr>
            <w:tcW w:w="5402" w:type="dxa"/>
          </w:tcPr>
          <w:p>
            <w:pPr>
              <w:pStyle w:val="yTableNAm"/>
            </w:pPr>
            <w:r>
              <w:t>Filing an application for final orders in eligible financial or parenting proceedings</w:t>
            </w:r>
          </w:p>
        </w:tc>
        <w:tc>
          <w:tcPr>
            <w:tcW w:w="831" w:type="dxa"/>
          </w:tcPr>
          <w:p>
            <w:pPr>
              <w:pStyle w:val="yTableNAm"/>
              <w:rPr>
                <w:vertAlign w:val="superscript"/>
              </w:rPr>
            </w:pPr>
            <w:r>
              <w:br/>
              <w:t>$345</w:t>
            </w:r>
          </w:p>
        </w:tc>
      </w:tr>
      <w:tr>
        <w:trPr>
          <w:cantSplit/>
        </w:trPr>
        <w:tc>
          <w:tcPr>
            <w:tcW w:w="855" w:type="dxa"/>
          </w:tcPr>
          <w:p>
            <w:pPr>
              <w:pStyle w:val="yTableNAm"/>
            </w:pPr>
            <w:r>
              <w:t>2.</w:t>
            </w:r>
          </w:p>
        </w:tc>
        <w:tc>
          <w:tcPr>
            <w:tcW w:w="5402" w:type="dxa"/>
          </w:tcPr>
          <w:p>
            <w:pPr>
              <w:pStyle w:val="yTableNAm"/>
            </w:pPr>
            <w:r>
              <w:t xml:space="preserve">Setting down for hearing in eligible financial or parenting proceedings, if defended, for final orders — </w:t>
            </w:r>
          </w:p>
          <w:p>
            <w:pPr>
              <w:pStyle w:val="yTableNAm"/>
            </w:pPr>
            <w:r>
              <w:tab/>
              <w:t>(a)</w:t>
            </w:r>
            <w:r>
              <w:tab/>
              <w:t>for a hearing before a judge</w:t>
            </w:r>
          </w:p>
          <w:p>
            <w:pPr>
              <w:pStyle w:val="yTableNAm"/>
            </w:pPr>
            <w:r>
              <w:tab/>
              <w:t>(b)</w:t>
            </w:r>
            <w:r>
              <w:tab/>
              <w:t>for a hearing before a magistrate</w:t>
            </w:r>
          </w:p>
        </w:tc>
        <w:tc>
          <w:tcPr>
            <w:tcW w:w="831" w:type="dxa"/>
          </w:tcPr>
          <w:p>
            <w:pPr>
              <w:pStyle w:val="yTableNAm"/>
            </w:pPr>
            <w:r>
              <w:br/>
            </w:r>
          </w:p>
          <w:p>
            <w:pPr>
              <w:pStyle w:val="yTableNAm"/>
            </w:pPr>
            <w:r>
              <w:t>$860</w:t>
            </w:r>
          </w:p>
          <w:p>
            <w:pPr>
              <w:pStyle w:val="yTableNAm"/>
            </w:pPr>
            <w:r>
              <w:t>$630</w:t>
            </w:r>
          </w:p>
        </w:tc>
      </w:tr>
      <w:tr>
        <w:trPr>
          <w:cantSplit/>
        </w:trPr>
        <w:tc>
          <w:tcPr>
            <w:tcW w:w="855" w:type="dxa"/>
          </w:tcPr>
          <w:p>
            <w:pPr>
              <w:pStyle w:val="yTableNAm"/>
            </w:pPr>
            <w:r>
              <w:t>3.</w:t>
            </w:r>
          </w:p>
        </w:tc>
        <w:tc>
          <w:tcPr>
            <w:tcW w:w="5402" w:type="dxa"/>
          </w:tcPr>
          <w:p>
            <w:pPr>
              <w:pStyle w:val="yTableNAm"/>
            </w:pPr>
            <w:r>
              <w:t xml:space="preserve">Hearing in eligible financial or parenting proceedings, if defended, for final orders — for each hearing day, or part of a hearing day, excluding the first hearing day — </w:t>
            </w:r>
          </w:p>
          <w:p>
            <w:pPr>
              <w:pStyle w:val="yTableNAm"/>
            </w:pPr>
            <w:r>
              <w:tab/>
              <w:t>(a)</w:t>
            </w:r>
            <w:r>
              <w:tab/>
              <w:t>for a hearing before a judge</w:t>
            </w:r>
          </w:p>
          <w:p>
            <w:pPr>
              <w:pStyle w:val="yTableNAm"/>
            </w:pPr>
            <w:r>
              <w:tab/>
              <w:t>(b)</w:t>
            </w:r>
            <w:r>
              <w:tab/>
              <w:t>for a hearing before a magistrate</w:t>
            </w:r>
          </w:p>
        </w:tc>
        <w:tc>
          <w:tcPr>
            <w:tcW w:w="831" w:type="dxa"/>
          </w:tcPr>
          <w:p>
            <w:pPr>
              <w:pStyle w:val="yTableNAm"/>
            </w:pPr>
            <w:r>
              <w:br/>
            </w:r>
            <w:r>
              <w:br/>
            </w:r>
          </w:p>
          <w:p>
            <w:pPr>
              <w:pStyle w:val="yTableNAm"/>
            </w:pPr>
            <w:r>
              <w:t>$860</w:t>
            </w:r>
          </w:p>
          <w:p>
            <w:pPr>
              <w:pStyle w:val="yTableNAm"/>
            </w:pPr>
            <w:r>
              <w:t>$630</w:t>
            </w:r>
          </w:p>
        </w:tc>
      </w:tr>
      <w:tr>
        <w:trPr>
          <w:cantSplit/>
        </w:trPr>
        <w:tc>
          <w:tcPr>
            <w:tcW w:w="855" w:type="dxa"/>
          </w:tcPr>
          <w:p>
            <w:pPr>
              <w:pStyle w:val="yTableNAm"/>
            </w:pPr>
            <w:r>
              <w:t>4.</w:t>
            </w:r>
          </w:p>
        </w:tc>
        <w:tc>
          <w:tcPr>
            <w:tcW w:w="5402" w:type="dxa"/>
          </w:tcPr>
          <w:p>
            <w:pPr>
              <w:pStyle w:val="yTableNAm"/>
            </w:pPr>
            <w:r>
              <w:t>Filing a response to an application for final orders in eligible financial or parenting proceedings</w:t>
            </w:r>
          </w:p>
        </w:tc>
        <w:tc>
          <w:tcPr>
            <w:tcW w:w="831" w:type="dxa"/>
          </w:tcPr>
          <w:p>
            <w:pPr>
              <w:pStyle w:val="yTableNAm"/>
            </w:pPr>
            <w:r>
              <w:br/>
              <w:t>$345</w:t>
            </w:r>
          </w:p>
        </w:tc>
      </w:tr>
      <w:tr>
        <w:trPr>
          <w:cantSplit/>
        </w:trPr>
        <w:tc>
          <w:tcPr>
            <w:tcW w:w="855" w:type="dxa"/>
          </w:tcPr>
          <w:p>
            <w:pPr>
              <w:pStyle w:val="yTableNAm"/>
            </w:pPr>
            <w:r>
              <w:t>5.</w:t>
            </w:r>
          </w:p>
        </w:tc>
        <w:tc>
          <w:tcPr>
            <w:tcW w:w="5402" w:type="dxa"/>
          </w:tcPr>
          <w:p>
            <w:pPr>
              <w:pStyle w:val="yTableNAm"/>
            </w:pPr>
            <w:r>
              <w:t>Setting down for hearing in an appeal under section 211 from a decree of a Magistrates Court, unless the fee mentioned in item 12 has been paid</w:t>
            </w:r>
          </w:p>
        </w:tc>
        <w:tc>
          <w:tcPr>
            <w:tcW w:w="831" w:type="dxa"/>
          </w:tcPr>
          <w:p>
            <w:pPr>
              <w:pStyle w:val="yTableNAm"/>
            </w:pPr>
            <w:r>
              <w:br/>
            </w:r>
            <w:r>
              <w:br/>
              <w:t>$860</w:t>
            </w:r>
          </w:p>
        </w:tc>
      </w:tr>
      <w:tr>
        <w:trPr>
          <w:cantSplit/>
        </w:trPr>
        <w:tc>
          <w:tcPr>
            <w:tcW w:w="855" w:type="dxa"/>
          </w:tcPr>
          <w:p>
            <w:pPr>
              <w:pStyle w:val="yTableNAm"/>
            </w:pPr>
            <w:r>
              <w:t>6.</w:t>
            </w:r>
          </w:p>
        </w:tc>
        <w:tc>
          <w:tcPr>
            <w:tcW w:w="5402" w:type="dxa"/>
          </w:tcPr>
          <w:p>
            <w:pPr>
              <w:pStyle w:val="yTableNAm"/>
            </w:pPr>
            <w:r>
              <w:t>Hearing in an appeal under section 211 from a decree of a Magistrates Court — for each hearing day, or part of a hearing day, excluding the first hearing day</w:t>
            </w:r>
          </w:p>
        </w:tc>
        <w:tc>
          <w:tcPr>
            <w:tcW w:w="831" w:type="dxa"/>
          </w:tcPr>
          <w:p>
            <w:pPr>
              <w:pStyle w:val="yTableNAm"/>
            </w:pPr>
            <w:r>
              <w:br/>
            </w:r>
            <w:r>
              <w:br/>
              <w:t>$860</w:t>
            </w:r>
          </w:p>
        </w:tc>
      </w:tr>
      <w:tr>
        <w:trPr>
          <w:cantSplit/>
        </w:trPr>
        <w:tc>
          <w:tcPr>
            <w:tcW w:w="855" w:type="dxa"/>
          </w:tcPr>
          <w:p>
            <w:pPr>
              <w:pStyle w:val="yTableNAm"/>
            </w:pPr>
            <w:r>
              <w:t>7.</w:t>
            </w:r>
          </w:p>
        </w:tc>
        <w:tc>
          <w:tcPr>
            <w:tcW w:w="5402" w:type="dxa"/>
          </w:tcPr>
          <w:p>
            <w:pPr>
              <w:pStyle w:val="yTableNAm"/>
            </w:pPr>
            <w:r>
              <w:t>Filing an application for a consent order</w:t>
            </w:r>
          </w:p>
        </w:tc>
        <w:tc>
          <w:tcPr>
            <w:tcW w:w="831" w:type="dxa"/>
          </w:tcPr>
          <w:p>
            <w:pPr>
              <w:pStyle w:val="yTableNAm"/>
            </w:pPr>
            <w:r>
              <w:t>$165</w:t>
            </w:r>
          </w:p>
        </w:tc>
      </w:tr>
      <w:tr>
        <w:trPr>
          <w:cantSplit/>
        </w:trPr>
        <w:tc>
          <w:tcPr>
            <w:tcW w:w="855" w:type="dxa"/>
          </w:tcPr>
          <w:p>
            <w:pPr>
              <w:pStyle w:val="yTableNAm"/>
            </w:pPr>
            <w:r>
              <w:t>8.</w:t>
            </w:r>
          </w:p>
        </w:tc>
        <w:tc>
          <w:tcPr>
            <w:tcW w:w="5402" w:type="dxa"/>
          </w:tcPr>
          <w:p>
            <w:pPr>
              <w:pStyle w:val="yTableNAm"/>
            </w:pPr>
            <w:r>
              <w:t>Filing an interim order application</w:t>
            </w:r>
          </w:p>
        </w:tc>
        <w:tc>
          <w:tcPr>
            <w:tcW w:w="831" w:type="dxa"/>
          </w:tcPr>
          <w:p>
            <w:pPr>
              <w:pStyle w:val="yTableNAm"/>
            </w:pPr>
            <w:r>
              <w:t>$120</w:t>
            </w:r>
          </w:p>
        </w:tc>
      </w:tr>
      <w:tr>
        <w:trPr>
          <w:cantSplit/>
        </w:trPr>
        <w:tc>
          <w:tcPr>
            <w:tcW w:w="855" w:type="dxa"/>
          </w:tcPr>
          <w:p>
            <w:pPr>
              <w:pStyle w:val="yTableNAm"/>
            </w:pPr>
            <w:r>
              <w:t>9.</w:t>
            </w:r>
          </w:p>
        </w:tc>
        <w:tc>
          <w:tcPr>
            <w:tcW w:w="5402" w:type="dxa"/>
          </w:tcPr>
          <w:p>
            <w:pPr>
              <w:pStyle w:val="yTableNAm"/>
            </w:pPr>
            <w:r>
              <w:t>Filing an application for both a final order under Part 5 and a final order under Part 5A Division 2 or 3 of the Act (other than for an order for the maintenance of a party to a de facto relationship)</w:t>
            </w:r>
          </w:p>
        </w:tc>
        <w:tc>
          <w:tcPr>
            <w:tcW w:w="831" w:type="dxa"/>
          </w:tcPr>
          <w:p>
            <w:pPr>
              <w:pStyle w:val="yTableNAm"/>
            </w:pPr>
            <w:r>
              <w:br/>
            </w:r>
            <w:r>
              <w:br/>
            </w:r>
            <w:r>
              <w:br/>
              <w:t>$565</w:t>
            </w:r>
          </w:p>
        </w:tc>
      </w:tr>
      <w:tr>
        <w:trPr>
          <w:cantSplit/>
        </w:trPr>
        <w:tc>
          <w:tcPr>
            <w:tcW w:w="855" w:type="dxa"/>
          </w:tcPr>
          <w:p>
            <w:pPr>
              <w:pStyle w:val="yTableNAm"/>
            </w:pPr>
            <w:r>
              <w:t>10.</w:t>
            </w:r>
          </w:p>
        </w:tc>
        <w:tc>
          <w:tcPr>
            <w:tcW w:w="5402" w:type="dxa"/>
          </w:tcPr>
          <w:p>
            <w:pPr>
              <w:pStyle w:val="yTableNAm"/>
            </w:pPr>
            <w:r>
              <w:t xml:space="preserve">For issuing a subpoena </w:t>
            </w:r>
          </w:p>
        </w:tc>
        <w:tc>
          <w:tcPr>
            <w:tcW w:w="831" w:type="dxa"/>
          </w:tcPr>
          <w:p>
            <w:pPr>
              <w:pStyle w:val="yTableNAm"/>
            </w:pPr>
            <w:r>
              <w:t>$55</w:t>
            </w:r>
          </w:p>
        </w:tc>
      </w:tr>
      <w:tr>
        <w:trPr>
          <w:cantSplit/>
        </w:trPr>
        <w:tc>
          <w:tcPr>
            <w:tcW w:w="855" w:type="dxa"/>
          </w:tcPr>
          <w:p>
            <w:pPr>
              <w:pStyle w:val="yTableNAm"/>
            </w:pPr>
            <w:r>
              <w:t>11.</w:t>
            </w:r>
          </w:p>
        </w:tc>
        <w:tc>
          <w:tcPr>
            <w:tcW w:w="5402" w:type="dxa"/>
          </w:tcPr>
          <w:p>
            <w:pPr>
              <w:pStyle w:val="yTableNAm"/>
            </w:pPr>
            <w:r>
              <w:t xml:space="preserve">For listing a conciliation conference </w:t>
            </w:r>
          </w:p>
        </w:tc>
        <w:tc>
          <w:tcPr>
            <w:tcW w:w="831" w:type="dxa"/>
          </w:tcPr>
          <w:p>
            <w:pPr>
              <w:pStyle w:val="yTableNAm"/>
            </w:pPr>
            <w:r>
              <w:t>$395</w:t>
            </w:r>
          </w:p>
        </w:tc>
      </w:tr>
      <w:tr>
        <w:trPr>
          <w:cantSplit/>
        </w:trPr>
        <w:tc>
          <w:tcPr>
            <w:tcW w:w="855" w:type="dxa"/>
          </w:tcPr>
          <w:p>
            <w:pPr>
              <w:pStyle w:val="yTableNAm"/>
            </w:pPr>
            <w:r>
              <w:t>12.</w:t>
            </w:r>
          </w:p>
        </w:tc>
        <w:tc>
          <w:tcPr>
            <w:tcW w:w="5402" w:type="dxa"/>
          </w:tcPr>
          <w:p>
            <w:pPr>
              <w:pStyle w:val="yTableNAm"/>
            </w:pPr>
            <w:r>
              <w:t>Filing an application for leave to appeal under section 211 from an interlocutory order of a Magistrates Court</w:t>
            </w:r>
          </w:p>
        </w:tc>
        <w:tc>
          <w:tcPr>
            <w:tcW w:w="831" w:type="dxa"/>
          </w:tcPr>
          <w:p>
            <w:pPr>
              <w:pStyle w:val="yTableNAm"/>
            </w:pPr>
            <w:r>
              <w:br/>
              <w:t>$860</w:t>
            </w:r>
          </w:p>
        </w:tc>
      </w:tr>
    </w:tbl>
    <w:p>
      <w:pPr>
        <w:pStyle w:val="yFootnotesection"/>
      </w:pPr>
      <w:r>
        <w:tab/>
        <w:t>[Schedule 1 inserted: Gazette 24 Aug 2018 p. 2972.]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92" w:name="_Toc522789746"/>
      <w:bookmarkStart w:id="93" w:name="_Toc522789797"/>
      <w:bookmarkStart w:id="94" w:name="_Toc522790184"/>
      <w:bookmarkStart w:id="95" w:name="_Toc522795323"/>
      <w:r>
        <w:t>Notes</w:t>
      </w:r>
      <w:bookmarkEnd w:id="92"/>
      <w:bookmarkEnd w:id="93"/>
      <w:bookmarkEnd w:id="94"/>
      <w:bookmarkEnd w:id="95"/>
    </w:p>
    <w:p>
      <w:pPr>
        <w:pStyle w:val="nSubsection"/>
      </w:pPr>
      <w:r>
        <w:rPr>
          <w:vertAlign w:val="superscript"/>
        </w:rPr>
        <w:t>1</w:t>
      </w:r>
      <w:r>
        <w:tab/>
        <w:t xml:space="preserve">This is a compilation of the </w:t>
      </w:r>
      <w:r>
        <w:rPr>
          <w:i/>
        </w:rPr>
        <w:t xml:space="preserve">Family Court Regulations 1998 </w:t>
      </w:r>
      <w:r>
        <w:t>and includes the amendments made by the other written laws referred to in the following table</w:t>
      </w:r>
      <w:r>
        <w:rPr>
          <w:vertAlign w:val="superscript"/>
        </w:rPr>
        <w:t> 3</w:t>
      </w:r>
      <w:r>
        <w:t>.  The table also contains information about any reprint.</w:t>
      </w:r>
    </w:p>
    <w:p>
      <w:pPr>
        <w:pStyle w:val="nHeading3"/>
        <w:rPr>
          <w:snapToGrid w:val="0"/>
        </w:rPr>
      </w:pPr>
      <w:bookmarkStart w:id="96" w:name="_Toc522795324"/>
      <w:r>
        <w:rPr>
          <w:snapToGrid w:val="0"/>
        </w:rPr>
        <w:t>Compilation table</w:t>
      </w:r>
      <w:bookmarkEnd w:id="9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4" w:space="0" w:color="auto"/>
            </w:tcBorders>
          </w:tcPr>
          <w:p>
            <w:pPr>
              <w:pStyle w:val="nTable"/>
              <w:spacing w:after="40"/>
            </w:pPr>
            <w:r>
              <w:rPr>
                <w:i/>
              </w:rPr>
              <w:t>Family Court Regulations 1998</w:t>
            </w:r>
          </w:p>
        </w:tc>
        <w:tc>
          <w:tcPr>
            <w:tcW w:w="1276" w:type="dxa"/>
            <w:tcBorders>
              <w:top w:val="single" w:sz="4" w:space="0" w:color="auto"/>
            </w:tcBorders>
          </w:tcPr>
          <w:p>
            <w:pPr>
              <w:pStyle w:val="nTable"/>
              <w:spacing w:after="40"/>
            </w:pPr>
            <w:r>
              <w:t>25 Sep 1998 p. 5303</w:t>
            </w:r>
            <w:r>
              <w:noBreakHyphen/>
              <w:t>9</w:t>
            </w:r>
          </w:p>
        </w:tc>
        <w:tc>
          <w:tcPr>
            <w:tcW w:w="2693" w:type="dxa"/>
            <w:tcBorders>
              <w:top w:val="single" w:sz="4" w:space="0" w:color="auto"/>
            </w:tcBorders>
          </w:tcPr>
          <w:p>
            <w:pPr>
              <w:pStyle w:val="nTable"/>
              <w:spacing w:after="40"/>
            </w:pPr>
            <w:r>
              <w:t xml:space="preserve">26 Sep 1998 (see r. 2 and </w:t>
            </w:r>
            <w:r>
              <w:rPr>
                <w:i/>
              </w:rPr>
              <w:t>Gazette</w:t>
            </w:r>
            <w:r>
              <w:t xml:space="preserve"> 25 Sep 1998 p. 5295)</w:t>
            </w:r>
          </w:p>
        </w:tc>
      </w:tr>
      <w:tr>
        <w:tc>
          <w:tcPr>
            <w:tcW w:w="3118" w:type="dxa"/>
          </w:tcPr>
          <w:p>
            <w:pPr>
              <w:pStyle w:val="nTable"/>
              <w:spacing w:after="40"/>
              <w:rPr>
                <w:i/>
              </w:rPr>
            </w:pPr>
            <w:r>
              <w:rPr>
                <w:i/>
              </w:rPr>
              <w:t>Family Court Amendment Regulations 2002</w:t>
            </w:r>
          </w:p>
        </w:tc>
        <w:tc>
          <w:tcPr>
            <w:tcW w:w="1276" w:type="dxa"/>
          </w:tcPr>
          <w:p>
            <w:pPr>
              <w:pStyle w:val="nTable"/>
              <w:spacing w:after="40"/>
            </w:pPr>
            <w:r>
              <w:t>29 Nov 2002 p. 5663-5</w:t>
            </w:r>
          </w:p>
        </w:tc>
        <w:tc>
          <w:tcPr>
            <w:tcW w:w="2693" w:type="dxa"/>
          </w:tcPr>
          <w:p>
            <w:pPr>
              <w:pStyle w:val="nTable"/>
              <w:spacing w:after="40"/>
            </w:pPr>
            <w:r>
              <w:t xml:space="preserve">1 Dec 2002 (see r. 3 and </w:t>
            </w:r>
            <w:r>
              <w:rPr>
                <w:i/>
              </w:rPr>
              <w:t>Gazette</w:t>
            </w:r>
            <w:r>
              <w:t xml:space="preserve"> 29 Nov 2002 p. 5651)</w:t>
            </w:r>
          </w:p>
        </w:tc>
      </w:tr>
      <w:tr>
        <w:tc>
          <w:tcPr>
            <w:tcW w:w="3118" w:type="dxa"/>
          </w:tcPr>
          <w:p>
            <w:pPr>
              <w:pStyle w:val="nTable"/>
              <w:spacing w:after="40"/>
              <w:rPr>
                <w:i/>
              </w:rPr>
            </w:pPr>
            <w:r>
              <w:rPr>
                <w:i/>
              </w:rPr>
              <w:t>Family Court Amendment Regulations 2006</w:t>
            </w:r>
          </w:p>
        </w:tc>
        <w:tc>
          <w:tcPr>
            <w:tcW w:w="1276" w:type="dxa"/>
          </w:tcPr>
          <w:p>
            <w:pPr>
              <w:pStyle w:val="nTable"/>
              <w:spacing w:after="40"/>
            </w:pPr>
            <w:r>
              <w:t>14 Jul 2006 p. 2560</w:t>
            </w:r>
            <w:r>
              <w:noBreakHyphen/>
              <w:t>3</w:t>
            </w:r>
          </w:p>
        </w:tc>
        <w:tc>
          <w:tcPr>
            <w:tcW w:w="2693" w:type="dxa"/>
          </w:tcPr>
          <w:p>
            <w:pPr>
              <w:pStyle w:val="nTable"/>
              <w:spacing w:after="40"/>
            </w:pPr>
            <w:r>
              <w:t xml:space="preserve">15 Jul 2006 (see r. 2 and </w:t>
            </w:r>
            <w:r>
              <w:rPr>
                <w:i/>
                <w:iCs/>
              </w:rPr>
              <w:t>Gazette</w:t>
            </w:r>
            <w:r>
              <w:t xml:space="preserve"> 14 Jul 2006 p. 2559)</w:t>
            </w:r>
          </w:p>
        </w:tc>
      </w:tr>
      <w:tr>
        <w:trPr>
          <w:cantSplit/>
        </w:trPr>
        <w:tc>
          <w:tcPr>
            <w:tcW w:w="7087" w:type="dxa"/>
            <w:gridSpan w:val="3"/>
          </w:tcPr>
          <w:p>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tc>
          <w:tcPr>
            <w:tcW w:w="3118" w:type="dxa"/>
          </w:tcPr>
          <w:p>
            <w:pPr>
              <w:pStyle w:val="nTable"/>
              <w:spacing w:after="40"/>
              <w:rPr>
                <w:i/>
              </w:rPr>
            </w:pPr>
            <w:r>
              <w:rPr>
                <w:i/>
              </w:rPr>
              <w:t>Family Court Amendment Regulations (No. 2) 2010</w:t>
            </w:r>
          </w:p>
        </w:tc>
        <w:tc>
          <w:tcPr>
            <w:tcW w:w="1276" w:type="dxa"/>
          </w:tcPr>
          <w:p>
            <w:pPr>
              <w:pStyle w:val="nTable"/>
              <w:spacing w:after="40"/>
            </w:pPr>
            <w:r>
              <w:t>9 Nov 2010 p. 5628-9</w:t>
            </w:r>
          </w:p>
        </w:tc>
        <w:tc>
          <w:tcPr>
            <w:tcW w:w="2693" w:type="dxa"/>
          </w:tcPr>
          <w:p>
            <w:pPr>
              <w:pStyle w:val="nTable"/>
              <w:spacing w:after="40"/>
            </w:pPr>
            <w:r>
              <w:t>r. 1 and 2: 9 Nov 2010 (see r. 2(a));</w:t>
            </w:r>
            <w:r>
              <w:br/>
              <w:t>Regulations other than r. 1 and 2: 10 Nov 2010 (see r. 2(b)(ii))</w:t>
            </w:r>
          </w:p>
        </w:tc>
      </w:tr>
      <w:tr>
        <w:tc>
          <w:tcPr>
            <w:tcW w:w="3118" w:type="dxa"/>
            <w:shd w:val="clear" w:color="auto" w:fill="auto"/>
          </w:tcPr>
          <w:p>
            <w:pPr>
              <w:pStyle w:val="nTable"/>
              <w:spacing w:after="40"/>
              <w:rPr>
                <w:i/>
              </w:rPr>
            </w:pPr>
            <w:r>
              <w:rPr>
                <w:i/>
              </w:rPr>
              <w:t>Family Court Amendment Regulations 2011</w:t>
            </w:r>
          </w:p>
        </w:tc>
        <w:tc>
          <w:tcPr>
            <w:tcW w:w="1276" w:type="dxa"/>
            <w:shd w:val="clear" w:color="auto" w:fill="auto"/>
          </w:tcPr>
          <w:p>
            <w:pPr>
              <w:pStyle w:val="nTable"/>
              <w:spacing w:after="40"/>
            </w:pPr>
            <w:r>
              <w:t>13 May 2011 p. 1737-47</w:t>
            </w:r>
          </w:p>
        </w:tc>
        <w:tc>
          <w:tcPr>
            <w:tcW w:w="2693" w:type="dxa"/>
            <w:shd w:val="clear" w:color="auto" w:fill="auto"/>
          </w:tcPr>
          <w:p>
            <w:pPr>
              <w:pStyle w:val="nTable"/>
              <w:spacing w:after="40"/>
            </w:pPr>
            <w:r>
              <w:t>r. 1 and 2: 13 May 2011 (see r. 2(a));</w:t>
            </w:r>
            <w:r>
              <w:br/>
              <w:t>Regulations other than r. 1 and 2: 14 May 2011 (see r. 2(b))</w:t>
            </w:r>
          </w:p>
        </w:tc>
      </w:tr>
      <w:tr>
        <w:tc>
          <w:tcPr>
            <w:tcW w:w="7087" w:type="dxa"/>
            <w:gridSpan w:val="3"/>
            <w:shd w:val="clear" w:color="auto" w:fill="auto"/>
          </w:tcPr>
          <w:p>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tc>
          <w:tcPr>
            <w:tcW w:w="3118" w:type="dxa"/>
            <w:shd w:val="clear" w:color="auto" w:fill="auto"/>
          </w:tcPr>
          <w:p>
            <w:pPr>
              <w:pStyle w:val="nTable"/>
              <w:spacing w:after="40"/>
              <w:rPr>
                <w:i/>
              </w:rPr>
            </w:pPr>
            <w:r>
              <w:rPr>
                <w:i/>
              </w:rPr>
              <w:t>Family Court Amendment Regulations 2012</w:t>
            </w:r>
          </w:p>
        </w:tc>
        <w:tc>
          <w:tcPr>
            <w:tcW w:w="1276" w:type="dxa"/>
            <w:shd w:val="clear" w:color="auto" w:fill="auto"/>
          </w:tcPr>
          <w:p>
            <w:pPr>
              <w:pStyle w:val="nTable"/>
              <w:spacing w:after="40"/>
            </w:pPr>
            <w:r>
              <w:t>14 Dec 2012 p. 6235-51</w:t>
            </w:r>
          </w:p>
        </w:tc>
        <w:tc>
          <w:tcPr>
            <w:tcW w:w="2693" w:type="dxa"/>
            <w:shd w:val="clear" w:color="auto" w:fill="auto"/>
          </w:tcPr>
          <w:p>
            <w:pPr>
              <w:pStyle w:val="nTable"/>
              <w:spacing w:after="40"/>
            </w:pPr>
            <w:r>
              <w:t>r. 1 and 2: 14 Dec 2012 (see r. 2(a));</w:t>
            </w:r>
            <w:r>
              <w:br/>
              <w:t>Regulations other than r. 1 and 2: 1 Jan 2013 (see r. 2(b))</w:t>
            </w:r>
          </w:p>
        </w:tc>
      </w:tr>
      <w:tr>
        <w:tc>
          <w:tcPr>
            <w:tcW w:w="3118" w:type="dxa"/>
            <w:shd w:val="clear" w:color="auto" w:fill="auto"/>
          </w:tcPr>
          <w:p>
            <w:pPr>
              <w:pStyle w:val="nTable"/>
              <w:spacing w:after="40"/>
              <w:rPr>
                <w:i/>
              </w:rPr>
            </w:pPr>
            <w:r>
              <w:rPr>
                <w:i/>
              </w:rPr>
              <w:t>Family Court Amendment Regulations (No. 2) 2015</w:t>
            </w:r>
          </w:p>
        </w:tc>
        <w:tc>
          <w:tcPr>
            <w:tcW w:w="1276" w:type="dxa"/>
            <w:shd w:val="clear" w:color="auto" w:fill="auto"/>
          </w:tcPr>
          <w:p>
            <w:pPr>
              <w:pStyle w:val="nTable"/>
              <w:spacing w:after="40"/>
            </w:pPr>
            <w:r>
              <w:t>10 Jul 2015 p. 2779</w:t>
            </w:r>
            <w:r>
              <w:noBreakHyphen/>
              <w:t>83</w:t>
            </w:r>
          </w:p>
        </w:tc>
        <w:tc>
          <w:tcPr>
            <w:tcW w:w="2693" w:type="dxa"/>
            <w:shd w:val="clear" w:color="auto" w:fill="auto"/>
          </w:tcPr>
          <w:p>
            <w:pPr>
              <w:pStyle w:val="nTable"/>
              <w:spacing w:after="40"/>
            </w:pPr>
            <w:r>
              <w:t>r. 1 and 2: 10 Jul 2015 (see r. 2(a));</w:t>
            </w:r>
            <w:r>
              <w:br/>
              <w:t>Regulations other than r. 1 and 2: 13 Jul 2015 (see r. 2(b)(ii) and Cwlth Select Legislative Instrument No. 114 registered on 12 Jul 2015)</w:t>
            </w:r>
          </w:p>
        </w:tc>
      </w:tr>
      <w:tr>
        <w:tc>
          <w:tcPr>
            <w:tcW w:w="3118" w:type="dxa"/>
            <w:shd w:val="clear" w:color="auto" w:fill="auto"/>
          </w:tcPr>
          <w:p>
            <w:pPr>
              <w:pStyle w:val="nTable"/>
              <w:spacing w:after="40"/>
              <w:rPr>
                <w:i/>
              </w:rPr>
            </w:pPr>
            <w:r>
              <w:rPr>
                <w:i/>
              </w:rPr>
              <w:t>Family Court Amendment Regulations (No. 3) 2015</w:t>
            </w:r>
          </w:p>
        </w:tc>
        <w:tc>
          <w:tcPr>
            <w:tcW w:w="1276" w:type="dxa"/>
            <w:shd w:val="clear" w:color="auto" w:fill="auto"/>
          </w:tcPr>
          <w:p>
            <w:pPr>
              <w:pStyle w:val="nTable"/>
              <w:spacing w:after="40"/>
            </w:pPr>
            <w:r>
              <w:t>18 Aug 2015 p. 3299</w:t>
            </w:r>
            <w:r>
              <w:noBreakHyphen/>
              <w:t>301</w:t>
            </w:r>
          </w:p>
        </w:tc>
        <w:tc>
          <w:tcPr>
            <w:tcW w:w="2693" w:type="dxa"/>
            <w:shd w:val="clear" w:color="auto" w:fill="auto"/>
          </w:tcPr>
          <w:p>
            <w:pPr>
              <w:pStyle w:val="nTable"/>
              <w:spacing w:after="40"/>
            </w:pPr>
            <w:r>
              <w:t>r. 1 and 2: 18 Aug 2015 (see r. 2(a));</w:t>
            </w:r>
            <w:r>
              <w:br/>
              <w:t>Regulations other than r. 1 and 2: 19 Aug 2015 (see r. 2(b))</w:t>
            </w:r>
          </w:p>
        </w:tc>
      </w:tr>
      <w:tr>
        <w:tc>
          <w:tcPr>
            <w:tcW w:w="7087" w:type="dxa"/>
            <w:gridSpan w:val="3"/>
            <w:shd w:val="clear" w:color="auto" w:fill="auto"/>
          </w:tcPr>
          <w:p>
            <w:pPr>
              <w:pStyle w:val="nTable"/>
              <w:keepNext/>
              <w:keepLines/>
              <w:spacing w:after="40"/>
            </w:pPr>
            <w:r>
              <w:rPr>
                <w:b/>
              </w:rPr>
              <w:t xml:space="preserve">Reprint 3: The </w:t>
            </w:r>
            <w:r>
              <w:rPr>
                <w:b/>
                <w:i/>
                <w:noProof/>
              </w:rPr>
              <w:t>Family Court Regulations 1998</w:t>
            </w:r>
            <w:r>
              <w:rPr>
                <w:b/>
              </w:rPr>
              <w:t xml:space="preserve"> as at 15 Jan 2016</w:t>
            </w:r>
            <w:r>
              <w:t xml:space="preserve"> (includes amendments listed above)</w:t>
            </w:r>
          </w:p>
        </w:tc>
      </w:tr>
      <w:tr>
        <w:tc>
          <w:tcPr>
            <w:tcW w:w="3118" w:type="dxa"/>
            <w:tcBorders>
              <w:bottom w:val="single" w:sz="8" w:space="0" w:color="auto"/>
            </w:tcBorders>
            <w:shd w:val="clear" w:color="auto" w:fill="auto"/>
          </w:tcPr>
          <w:p>
            <w:pPr>
              <w:pStyle w:val="nTable"/>
              <w:spacing w:after="40"/>
              <w:rPr>
                <w:i/>
              </w:rPr>
            </w:pPr>
            <w:r>
              <w:rPr>
                <w:i/>
              </w:rPr>
              <w:t>Family Court Amendment Regulations 2018</w:t>
            </w:r>
          </w:p>
        </w:tc>
        <w:tc>
          <w:tcPr>
            <w:tcW w:w="1276" w:type="dxa"/>
            <w:tcBorders>
              <w:bottom w:val="single" w:sz="8" w:space="0" w:color="auto"/>
            </w:tcBorders>
            <w:shd w:val="clear" w:color="auto" w:fill="auto"/>
          </w:tcPr>
          <w:p>
            <w:pPr>
              <w:pStyle w:val="nTable"/>
              <w:spacing w:after="40"/>
            </w:pPr>
            <w:r>
              <w:t>24 Aug 2018 p. 2971</w:t>
            </w:r>
            <w:r>
              <w:noBreakHyphen/>
              <w:t>2</w:t>
            </w:r>
          </w:p>
        </w:tc>
        <w:tc>
          <w:tcPr>
            <w:tcW w:w="2693" w:type="dxa"/>
            <w:tcBorders>
              <w:bottom w:val="single" w:sz="8" w:space="0" w:color="auto"/>
            </w:tcBorders>
            <w:shd w:val="clear" w:color="auto" w:fill="auto"/>
          </w:tcPr>
          <w:p>
            <w:pPr>
              <w:pStyle w:val="nTable"/>
              <w:spacing w:after="40"/>
            </w:pPr>
            <w:r>
              <w:t>r. 1 and 2: 24 Aug 2018 (see r. 2(a));</w:t>
            </w:r>
            <w:r>
              <w:br/>
              <w:t>Regulations other than r. 1 and 2: 25 Aug 2018 (see r. 2(b))</w:t>
            </w:r>
          </w:p>
        </w:tc>
      </w:tr>
    </w:tbl>
    <w:p>
      <w:pPr>
        <w:pStyle w:val="nSubsection"/>
        <w:spacing w:before="160"/>
      </w:pPr>
      <w:r>
        <w:rPr>
          <w:vertAlign w:val="superscript"/>
        </w:rPr>
        <w:t>2</w:t>
      </w:r>
      <w:r>
        <w:tab/>
        <w:t xml:space="preserve">Deleted by the </w:t>
      </w:r>
      <w:r>
        <w:rPr>
          <w:i/>
        </w:rPr>
        <w:t>Supreme Court Amendment Rules (No. 5) 2001</w:t>
      </w:r>
      <w:r>
        <w:t>.</w:t>
      </w:r>
    </w:p>
    <w:p>
      <w:pPr>
        <w:pStyle w:val="nSubsection"/>
        <w:spacing w:after="80"/>
      </w:pPr>
      <w:r>
        <w:rPr>
          <w:vertAlign w:val="superscript"/>
        </w:rPr>
        <w:t>3</w:t>
      </w:r>
      <w:r>
        <w:tab/>
        <w:t xml:space="preserve">The </w:t>
      </w:r>
      <w:r>
        <w:rPr>
          <w:i/>
        </w:rPr>
        <w:t>Family Court Amendment Regulations 2015</w:t>
      </w:r>
      <w:r>
        <w:t xml:space="preserve"> were repealed before the provisions of those regulations that were to amend the </w:t>
      </w:r>
      <w:r>
        <w:rPr>
          <w:i/>
        </w:rPr>
        <w:t>Family Court Regulations 1998</w:t>
      </w:r>
      <w:r>
        <w:t xml:space="preserve"> came into operation.  See the </w:t>
      </w:r>
      <w:r>
        <w:rPr>
          <w:i/>
        </w:rPr>
        <w:t>Family Court Amendment Repeal Regulations 2015</w:t>
      </w:r>
      <w:r>
        <w:t xml:space="preserve"> in </w:t>
      </w:r>
      <w:r>
        <w:rPr>
          <w:i/>
        </w:rPr>
        <w:t>Gazette</w:t>
      </w:r>
      <w:r>
        <w:t xml:space="preserve"> 30 June 2015 p. 2340.</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98" w:name="_Toc522789748"/>
      <w:bookmarkStart w:id="99" w:name="_Toc522789799"/>
      <w:bookmarkStart w:id="100" w:name="_Toc522790186"/>
      <w:bookmarkStart w:id="101" w:name="_Toc522795325"/>
      <w:r>
        <w:rPr>
          <w:sz w:val="28"/>
        </w:rPr>
        <w:t>Defined terms</w:t>
      </w:r>
      <w:bookmarkEnd w:id="98"/>
      <w:bookmarkEnd w:id="99"/>
      <w:bookmarkEnd w:id="100"/>
      <w:bookmarkEnd w:id="1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3(1)</w:t>
      </w:r>
    </w:p>
    <w:p>
      <w:pPr>
        <w:pStyle w:val="DefinedTerms"/>
      </w:pPr>
      <w:r>
        <w:t>business day</w:t>
      </w:r>
      <w:r>
        <w:tab/>
        <w:t>18</w:t>
      </w:r>
    </w:p>
    <w:p>
      <w:pPr>
        <w:pStyle w:val="DefinedTerms"/>
      </w:pPr>
      <w:r>
        <w:t>commencement day</w:t>
      </w:r>
      <w:r>
        <w:tab/>
        <w:t>22(1), 24(1)</w:t>
      </w:r>
    </w:p>
    <w:p>
      <w:pPr>
        <w:pStyle w:val="DefinedTerms"/>
      </w:pPr>
      <w:r>
        <w:t>conciliation conference</w:t>
      </w:r>
      <w:r>
        <w:tab/>
        <w:t>18</w:t>
      </w:r>
    </w:p>
    <w:p>
      <w:pPr>
        <w:pStyle w:val="DefinedTerms"/>
      </w:pPr>
      <w:r>
        <w:t>conciliation conference fee</w:t>
      </w:r>
      <w:r>
        <w:tab/>
        <w:t>18</w:t>
      </w:r>
    </w:p>
    <w:p>
      <w:pPr>
        <w:pStyle w:val="DefinedTerms"/>
      </w:pPr>
      <w:r>
        <w:t>court</w:t>
      </w:r>
      <w:r>
        <w:tab/>
        <w:t>3(1)</w:t>
      </w:r>
    </w:p>
    <w:p>
      <w:pPr>
        <w:pStyle w:val="DefinedTerms"/>
      </w:pPr>
      <w:r>
        <w:t>CPI number</w:t>
      </w:r>
      <w:r>
        <w:tab/>
        <w:t>21I(1)</w:t>
      </w:r>
    </w:p>
    <w:p>
      <w:pPr>
        <w:pStyle w:val="DefinedTerms"/>
      </w:pPr>
      <w:r>
        <w:t>current fees</w:t>
      </w:r>
      <w:r>
        <w:tab/>
        <w:t>24(1)</w:t>
      </w:r>
    </w:p>
    <w:p>
      <w:pPr>
        <w:pStyle w:val="DefinedTerms"/>
      </w:pPr>
      <w:r>
        <w:t>earlier CPI number</w:t>
      </w:r>
      <w:r>
        <w:tab/>
        <w:t>21I(4)</w:t>
      </w:r>
    </w:p>
    <w:p>
      <w:pPr>
        <w:pStyle w:val="DefinedTerms"/>
      </w:pPr>
      <w:r>
        <w:t>eligible financial or parenting proceedings</w:t>
      </w:r>
      <w:r>
        <w:tab/>
        <w:t>18</w:t>
      </w:r>
    </w:p>
    <w:p>
      <w:pPr>
        <w:pStyle w:val="DefinedTerms"/>
      </w:pPr>
      <w:r>
        <w:t>Family Law Regulations</w:t>
      </w:r>
      <w:r>
        <w:tab/>
        <w:t>3(1)</w:t>
      </w:r>
    </w:p>
    <w:p>
      <w:pPr>
        <w:pStyle w:val="DefinedTerms"/>
      </w:pPr>
      <w:r>
        <w:t>Family Law Rules</w:t>
      </w:r>
      <w:r>
        <w:tab/>
        <w:t>3(1)</w:t>
      </w:r>
    </w:p>
    <w:p>
      <w:pPr>
        <w:pStyle w:val="DefinedTerms"/>
      </w:pPr>
      <w:r>
        <w:t>fee</w:t>
      </w:r>
      <w:r>
        <w:tab/>
        <w:t>21I(4)</w:t>
      </w:r>
    </w:p>
    <w:p>
      <w:pPr>
        <w:pStyle w:val="DefinedTerms"/>
      </w:pPr>
      <w:r>
        <w:t>filing fee</w:t>
      </w:r>
      <w:r>
        <w:tab/>
        <w:t>18</w:t>
      </w:r>
    </w:p>
    <w:p>
      <w:pPr>
        <w:pStyle w:val="DefinedTerms"/>
      </w:pPr>
      <w:r>
        <w:t>formal orders</w:t>
      </w:r>
      <w:r>
        <w:tab/>
        <w:t>21H(8)</w:t>
      </w:r>
    </w:p>
    <w:p>
      <w:pPr>
        <w:pStyle w:val="DefinedTerms"/>
      </w:pPr>
      <w:r>
        <w:t>hearing fee</w:t>
      </w:r>
      <w:r>
        <w:tab/>
        <w:t>18</w:t>
      </w:r>
    </w:p>
    <w:p>
      <w:pPr>
        <w:pStyle w:val="DefinedTerms"/>
      </w:pPr>
      <w:r>
        <w:t>holder</w:t>
      </w:r>
      <w:r>
        <w:tab/>
        <w:t>21A(2)</w:t>
      </w:r>
    </w:p>
    <w:p>
      <w:pPr>
        <w:pStyle w:val="DefinedTerms"/>
      </w:pPr>
      <w:r>
        <w:t>interim order application</w:t>
      </w:r>
      <w:r>
        <w:tab/>
        <w:t>18</w:t>
      </w:r>
    </w:p>
    <w:p>
      <w:pPr>
        <w:pStyle w:val="DefinedTerms"/>
      </w:pPr>
      <w:r>
        <w:t>latest CPI number</w:t>
      </w:r>
      <w:r>
        <w:tab/>
        <w:t>21I(4)</w:t>
      </w:r>
    </w:p>
    <w:p>
      <w:pPr>
        <w:pStyle w:val="DefinedTerms"/>
      </w:pPr>
      <w:r>
        <w:t>liable person</w:t>
      </w:r>
      <w:r>
        <w:tab/>
        <w:t>18</w:t>
      </w:r>
    </w:p>
    <w:p>
      <w:pPr>
        <w:pStyle w:val="DefinedTerms"/>
      </w:pPr>
      <w:r>
        <w:t>March quarter</w:t>
      </w:r>
      <w:r>
        <w:tab/>
        <w:t>21I(1)</w:t>
      </w:r>
    </w:p>
    <w:p>
      <w:pPr>
        <w:pStyle w:val="DefinedTerms"/>
      </w:pPr>
      <w:r>
        <w:t>old regulations</w:t>
      </w:r>
      <w:r>
        <w:tab/>
        <w:t>23(1)</w:t>
      </w:r>
    </w:p>
    <w:p>
      <w:pPr>
        <w:pStyle w:val="DefinedTerms"/>
      </w:pPr>
      <w:r>
        <w:t>refund period</w:t>
      </w:r>
      <w:r>
        <w:tab/>
        <w:t>24(1)</w:t>
      </w:r>
    </w:p>
    <w:p>
      <w:pPr>
        <w:pStyle w:val="DefinedTerms"/>
      </w:pPr>
      <w:r>
        <w:t>relevant court</w:t>
      </w:r>
      <w:r>
        <w:tab/>
        <w:t>18</w:t>
      </w:r>
    </w:p>
    <w:p>
      <w:pPr>
        <w:pStyle w:val="DefinedTerms"/>
      </w:pPr>
      <w:r>
        <w:t>relevant period</w:t>
      </w:r>
      <w:r>
        <w:tab/>
        <w:t>21I(1)</w:t>
      </w:r>
    </w:p>
    <w:p>
      <w:pPr>
        <w:pStyle w:val="DefinedTerms"/>
      </w:pPr>
      <w:r>
        <w:t>section</w:t>
      </w:r>
      <w:r>
        <w:tab/>
        <w:t>3(1)</w:t>
      </w:r>
    </w:p>
    <w:p>
      <w:pPr>
        <w:pStyle w:val="DefinedTerms"/>
      </w:pPr>
      <w:r>
        <w:t>setting down fee</w:t>
      </w:r>
      <w:r>
        <w:tab/>
        <w:t>18</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Aug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Aug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1" w:name="Schedule"/>
    <w:bookmarkEnd w:id="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2" w:name="DefinedTerms"/>
    <w:bookmarkEnd w:id="10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3" w:name="Coversheet"/>
    <w:bookmarkEnd w:id="1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5D44C4C"/>
    <w:multiLevelType w:val="multilevel"/>
    <w:tmpl w:val="65A0209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823112315"/>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 w:name="WAFER_20151103100127" w:val="UpdateStyles,UsedStyles"/>
    <w:docVar w:name="WAFER_20151103100127_GUID" w:val="2771bb4c-878d-4994-864c-a90709e9b251"/>
    <w:docVar w:name="WAFER_20160412140441" w:val="UsedStyles"/>
    <w:docVar w:name="WAFER_20160412140441_GUID" w:val="cfdf8912-abd6-4389-80dc-3ad8f1324a38"/>
    <w:docVar w:name="WAFER_20180823112315" w:val="RemoveTocBookmarks,RemoveUnusedBookmarks,RemoveLanguageTags,UsedStyles,ResetPageSize"/>
    <w:docVar w:name="WAFER_20180823112315_GUID" w:val="2e25f7f3-7fd6-490b-a52a-2d4545c0d9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PlaceNam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6346</Words>
  <Characters>29767</Characters>
  <Application>Microsoft Office Word</Application>
  <DocSecurity>0</DocSecurity>
  <Lines>930</Lines>
  <Paragraphs>622</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35491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1998 - 03-c0-01</dc:title>
  <dc:subject/>
  <dc:creator/>
  <cp:keywords/>
  <dc:description/>
  <cp:lastModifiedBy>svcMRProcess</cp:lastModifiedBy>
  <cp:revision>4</cp:revision>
  <cp:lastPrinted>2016-01-19T02:54:00Z</cp:lastPrinted>
  <dcterms:created xsi:type="dcterms:W3CDTF">2020-02-25T16:15:00Z</dcterms:created>
  <dcterms:modified xsi:type="dcterms:W3CDTF">2020-02-25T16:15:00Z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DocumentType">
    <vt:lpwstr>Reg</vt:lpwstr>
  </property>
  <property fmtid="{D5CDD505-2E9C-101B-9397-08002B2CF9AE}" pid="4" name="OwlsUID">
    <vt:i4>110</vt:i4>
  </property>
  <property fmtid="{D5CDD505-2E9C-101B-9397-08002B2CF9AE}" pid="5" name="ReprintedAsAt">
    <vt:filetime>2016-01-14T16:00:00Z</vt:filetime>
  </property>
  <property fmtid="{D5CDD505-2E9C-101B-9397-08002B2CF9AE}" pid="6" name="ReprintNo">
    <vt:lpwstr>3</vt:lpwstr>
  </property>
  <property fmtid="{D5CDD505-2E9C-101B-9397-08002B2CF9AE}" pid="7" name="AsAtDate">
    <vt:lpwstr>25 Aug 2018</vt:lpwstr>
  </property>
  <property fmtid="{D5CDD505-2E9C-101B-9397-08002B2CF9AE}" pid="8" name="Suffix">
    <vt:lpwstr>03-c0-01</vt:lpwstr>
  </property>
  <property fmtid="{D5CDD505-2E9C-101B-9397-08002B2CF9AE}" pid="9" name="CommencementDate">
    <vt:lpwstr>20180825</vt:lpwstr>
  </property>
</Properties>
</file>