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_Toc524015428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_Toc524015429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_Toc524015430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_Toc524015431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_Toc524015432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_Toc524015433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_Toc524015434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_Toc524015435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_Toc524015436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_Toc524015439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_Toc524015440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52401542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52401542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24015430"/>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524015431"/>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$154</w:t>
      </w:r>
      <w:r>
        <w:rPr>
          <w:snapToGrid w:val="0"/>
        </w:rPr>
        <w:t>; and</w:t>
      </w:r>
    </w:p>
    <w:p>
      <w:pPr>
        <w:pStyle w:val="Indenta"/>
        <w:rPr>
          <w:snapToGrid w:val="0"/>
        </w:rPr>
      </w:pPr>
      <w:r>
        <w:rPr>
          <w:snapToGrid w:val="0"/>
        </w:rPr>
        <w:tab/>
        <w:t>(b)</w:t>
      </w:r>
      <w:r>
        <w:rPr>
          <w:snapToGrid w:val="0"/>
        </w:rPr>
        <w:tab/>
        <w:t xml:space="preserve">for all other appeals, </w:t>
      </w:r>
      <w:r>
        <w:t>$383</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$154</w:t>
      </w:r>
      <w:r>
        <w:rPr>
          <w:snapToGrid w:val="0"/>
        </w:rPr>
        <w:t>; and</w:t>
      </w:r>
    </w:p>
    <w:p>
      <w:pPr>
        <w:pStyle w:val="Indenti"/>
        <w:keepNext/>
        <w:rPr>
          <w:snapToGrid w:val="0"/>
        </w:rPr>
      </w:pPr>
      <w:r>
        <w:rPr>
          <w:snapToGrid w:val="0"/>
        </w:rPr>
        <w:tab/>
        <w:t>(ii)</w:t>
      </w:r>
      <w:r>
        <w:rPr>
          <w:snapToGrid w:val="0"/>
        </w:rPr>
        <w:tab/>
        <w:t xml:space="preserve">for all other appeals, </w:t>
      </w:r>
      <w:r>
        <w:t>$383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$75</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w:t>
      </w:r>
    </w:p>
    <w:p>
      <w:pPr>
        <w:pStyle w:val="Heading5"/>
        <w:rPr>
          <w:snapToGrid w:val="0"/>
        </w:rPr>
      </w:pPr>
      <w:bookmarkStart w:id="7" w:name="_Toc524015432"/>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8" w:name="_Toc524015433"/>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524015434"/>
      <w:r>
        <w:rPr>
          <w:rStyle w:val="CharSectno"/>
        </w:rPr>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0" w:name="_Toc524015435"/>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524015436"/>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498095091"/>
      <w:bookmarkStart w:id="13" w:name="_Toc501527037"/>
      <w:bookmarkStart w:id="14" w:name="_Toc501527054"/>
      <w:bookmarkStart w:id="15" w:name="_Toc524015424"/>
      <w:bookmarkStart w:id="16" w:name="_Toc524015437"/>
      <w:r>
        <w:rPr>
          <w:rStyle w:val="CharSchNo"/>
        </w:rPr>
        <w:t>Schedule 1</w:t>
      </w:r>
      <w:bookmarkEnd w:id="12"/>
      <w:bookmarkEnd w:id="13"/>
      <w:bookmarkEnd w:id="14"/>
      <w:bookmarkEnd w:id="15"/>
      <w:bookmarkEnd w:id="1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18" w:name="_Toc498095092"/>
      <w:bookmarkStart w:id="19" w:name="_Toc501527038"/>
      <w:bookmarkStart w:id="20" w:name="_Toc501527055"/>
      <w:bookmarkStart w:id="21" w:name="_Toc524015425"/>
      <w:bookmarkStart w:id="22" w:name="_Toc524015438"/>
      <w:r>
        <w:t>Notes</w:t>
      </w:r>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 w:name="_Toc524015439"/>
      <w:r>
        <w:t>Compilation table</w:t>
      </w:r>
      <w:bookmarkEnd w:id="23"/>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8</w:t>
            </w:r>
          </w:p>
        </w:tc>
        <w:tc>
          <w:tcPr>
            <w:tcW w:w="1276" w:type="dxa"/>
            <w:gridSpan w:val="2"/>
            <w:tcBorders>
              <w:bottom w:val="single" w:sz="4" w:space="0" w:color="auto"/>
            </w:tcBorders>
          </w:tcPr>
          <w:p>
            <w:pPr>
              <w:pStyle w:val="nTable"/>
              <w:spacing w:after="40"/>
            </w:pPr>
            <w:r>
              <w:t>10 Nov 2017 p. 5579</w:t>
            </w:r>
            <w:r>
              <w:noBreakHyphen/>
              <w:t>94</w:t>
            </w:r>
          </w:p>
        </w:tc>
        <w:tc>
          <w:tcPr>
            <w:tcW w:w="2693" w:type="dxa"/>
            <w:gridSpan w:val="2"/>
            <w:tcBorders>
              <w:bottom w:val="single" w:sz="4" w:space="0" w:color="auto"/>
            </w:tcBorders>
          </w:tcPr>
          <w:p>
            <w:pPr>
              <w:pStyle w:val="nTable"/>
              <w:spacing w:after="40"/>
            </w:pPr>
            <w:r>
              <w:t>1 Jan 2018 (see r. 2(b))</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524010121"/>
      <w:bookmarkStart w:id="25" w:name="_Toc524015440"/>
      <w:r>
        <w:t>Provisions that have not come into operation</w:t>
      </w:r>
      <w:bookmarkEnd w:id="24"/>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pPr>
            <w:r>
              <w:t>Citation</w:t>
            </w:r>
          </w:p>
        </w:tc>
        <w:tc>
          <w:tcPr>
            <w:tcW w:w="1276" w:type="dxa"/>
          </w:tcPr>
          <w:p>
            <w:pPr>
              <w:pStyle w:val="nTable"/>
              <w:keepNext/>
              <w:spacing w:after="40"/>
            </w:pPr>
            <w:r>
              <w:t>Gazettal</w:t>
            </w:r>
          </w:p>
        </w:tc>
        <w:tc>
          <w:tcPr>
            <w:tcW w:w="2693" w:type="dxa"/>
          </w:tcPr>
          <w:p>
            <w:pPr>
              <w:pStyle w:val="nTable"/>
              <w:keepNext/>
              <w:spacing w:after="40"/>
            </w:pPr>
            <w:r>
              <w:t>Commencement</w:t>
            </w:r>
          </w:p>
        </w:tc>
      </w:tr>
      <w:tr>
        <w:tc>
          <w:tcPr>
            <w:tcW w:w="3118" w:type="dxa"/>
          </w:tcPr>
          <w:p>
            <w:pPr>
              <w:pStyle w:val="nTable"/>
              <w:keepNext/>
              <w:spacing w:after="40"/>
            </w:pPr>
            <w:r>
              <w:rPr>
                <w:i/>
              </w:rPr>
              <w:t>Racing, Gaming and Liquor Regulations Amendment (Fees and Charges) Regulations 2018</w:t>
            </w:r>
            <w:r>
              <w:t xml:space="preserve"> Pt. 8 </w:t>
            </w:r>
            <w:r>
              <w:rPr>
                <w:vertAlign w:val="superscript"/>
              </w:rPr>
              <w:t>3</w:t>
            </w:r>
          </w:p>
        </w:tc>
        <w:tc>
          <w:tcPr>
            <w:tcW w:w="1276" w:type="dxa"/>
          </w:tcPr>
          <w:p>
            <w:pPr>
              <w:pStyle w:val="nTable"/>
              <w:keepNext/>
              <w:spacing w:after="40"/>
            </w:pPr>
            <w:r>
              <w:t>7 Sep 2018 p. 3192</w:t>
            </w:r>
            <w:r>
              <w:noBreakHyphen/>
              <w:t>200</w:t>
            </w:r>
          </w:p>
        </w:tc>
        <w:tc>
          <w:tcPr>
            <w:tcW w:w="2693" w:type="dxa"/>
          </w:tcPr>
          <w:p>
            <w:pPr>
              <w:pStyle w:val="nTable"/>
              <w:keepNext/>
              <w:spacing w:after="40"/>
            </w:pPr>
            <w:r>
              <w:t>1 Jan 2019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pPr>
      <w:r>
        <w:rPr>
          <w:vertAlign w:val="superscript"/>
        </w:rPr>
        <w:t>3</w:t>
      </w:r>
      <w:r>
        <w:tab/>
        <w:t xml:space="preserve">On the date as at which this compilation was prepared, the </w:t>
      </w:r>
      <w:r>
        <w:rPr>
          <w:i/>
        </w:rPr>
        <w:t>Racing, Gaming and Liquor Regulations Amendment (Fees and Charges) Regulations 2018</w:t>
      </w:r>
      <w:r>
        <w:t xml:space="preserve"> Pt. 8 had not come into operation.  It reads as follows:</w:t>
      </w:r>
    </w:p>
    <w:p>
      <w:pPr>
        <w:pStyle w:val="BlankOpen"/>
      </w:pPr>
    </w:p>
    <w:p>
      <w:pPr>
        <w:pStyle w:val="nzHeading2"/>
      </w:pPr>
      <w:bookmarkStart w:id="26" w:name="_Toc519504917"/>
      <w:bookmarkStart w:id="27" w:name="_Toc519504945"/>
      <w:bookmarkStart w:id="28" w:name="_Toc519506863"/>
      <w:bookmarkStart w:id="29" w:name="_Toc519507258"/>
      <w:bookmarkStart w:id="30" w:name="_Toc519507601"/>
      <w:bookmarkStart w:id="31" w:name="_Toc519508234"/>
      <w:bookmarkStart w:id="32" w:name="_Toc519508386"/>
      <w:bookmarkStart w:id="33" w:name="_Toc519509826"/>
      <w:bookmarkStart w:id="34" w:name="_Toc519588408"/>
      <w:bookmarkStart w:id="35" w:name="_Toc519592082"/>
      <w:bookmarkStart w:id="36" w:name="_Toc519592151"/>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xml:space="preserve"> amended</w:t>
      </w:r>
      <w:bookmarkEnd w:id="26"/>
      <w:bookmarkEnd w:id="27"/>
      <w:bookmarkEnd w:id="28"/>
      <w:bookmarkEnd w:id="29"/>
      <w:bookmarkEnd w:id="30"/>
      <w:bookmarkEnd w:id="31"/>
      <w:bookmarkEnd w:id="32"/>
      <w:bookmarkEnd w:id="33"/>
      <w:bookmarkEnd w:id="34"/>
      <w:bookmarkEnd w:id="35"/>
      <w:bookmarkEnd w:id="36"/>
    </w:p>
    <w:p>
      <w:pPr>
        <w:pStyle w:val="nzHeading5"/>
        <w:rPr>
          <w:snapToGrid w:val="0"/>
        </w:rPr>
      </w:pPr>
      <w:bookmarkStart w:id="37" w:name="_Toc519508235"/>
      <w:bookmarkStart w:id="38" w:name="_Toc519592152"/>
      <w:r>
        <w:rPr>
          <w:rStyle w:val="CharSectno"/>
        </w:rPr>
        <w:t>16</w:t>
      </w:r>
      <w:r>
        <w:rPr>
          <w:snapToGrid w:val="0"/>
        </w:rPr>
        <w:t>.</w:t>
      </w:r>
      <w:r>
        <w:rPr>
          <w:snapToGrid w:val="0"/>
        </w:rPr>
        <w:tab/>
        <w:t>Regulations amended</w:t>
      </w:r>
      <w:bookmarkEnd w:id="37"/>
      <w:bookmarkEnd w:id="38"/>
    </w:p>
    <w:p>
      <w:pPr>
        <w:pStyle w:val="nzSubsection"/>
      </w:pPr>
      <w:r>
        <w:tab/>
      </w:r>
      <w:r>
        <w:tab/>
        <w:t xml:space="preserve">This Part amends the </w:t>
      </w:r>
      <w:r>
        <w:rPr>
          <w:i/>
        </w:rPr>
        <w:t>Racing Penalties (Appeals) Regulations 1991</w:t>
      </w:r>
      <w:r>
        <w:t>.</w:t>
      </w:r>
    </w:p>
    <w:p>
      <w:pPr>
        <w:pStyle w:val="nzHeading5"/>
      </w:pPr>
      <w:bookmarkStart w:id="39" w:name="_Toc519508236"/>
      <w:bookmarkStart w:id="40" w:name="_Toc519592153"/>
      <w:r>
        <w:rPr>
          <w:rStyle w:val="CharSectno"/>
        </w:rPr>
        <w:t>17</w:t>
      </w:r>
      <w:r>
        <w:t>.</w:t>
      </w:r>
      <w:r>
        <w:tab/>
        <w:t>Regulation 4 amended</w:t>
      </w:r>
      <w:bookmarkEnd w:id="39"/>
      <w:bookmarkEnd w:id="40"/>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4(1)(a)</w:t>
            </w:r>
          </w:p>
        </w:tc>
        <w:tc>
          <w:tcPr>
            <w:tcW w:w="2268" w:type="dxa"/>
          </w:tcPr>
          <w:p>
            <w:pPr>
              <w:pStyle w:val="TableAm"/>
              <w:rPr>
                <w:sz w:val="20"/>
              </w:rPr>
            </w:pPr>
            <w:r>
              <w:rPr>
                <w:sz w:val="20"/>
              </w:rPr>
              <w:t>$154</w:t>
            </w:r>
          </w:p>
        </w:tc>
        <w:tc>
          <w:tcPr>
            <w:tcW w:w="2268" w:type="dxa"/>
          </w:tcPr>
          <w:p>
            <w:pPr>
              <w:pStyle w:val="TableAm"/>
              <w:rPr>
                <w:sz w:val="20"/>
              </w:rPr>
            </w:pPr>
            <w:r>
              <w:rPr>
                <w:sz w:val="20"/>
              </w:rPr>
              <w:t>$156</w:t>
            </w:r>
          </w:p>
        </w:tc>
      </w:tr>
      <w:tr>
        <w:trPr>
          <w:cantSplit/>
          <w:jc w:val="center"/>
        </w:trPr>
        <w:tc>
          <w:tcPr>
            <w:tcW w:w="2268" w:type="dxa"/>
          </w:tcPr>
          <w:p>
            <w:pPr>
              <w:pStyle w:val="TableAm"/>
              <w:rPr>
                <w:sz w:val="20"/>
              </w:rPr>
            </w:pPr>
            <w:r>
              <w:rPr>
                <w:sz w:val="20"/>
              </w:rPr>
              <w:t>r. 4(1)(b)</w:t>
            </w:r>
          </w:p>
        </w:tc>
        <w:tc>
          <w:tcPr>
            <w:tcW w:w="2268" w:type="dxa"/>
          </w:tcPr>
          <w:p>
            <w:pPr>
              <w:pStyle w:val="TableAm"/>
              <w:rPr>
                <w:sz w:val="20"/>
              </w:rPr>
            </w:pPr>
            <w:r>
              <w:rPr>
                <w:sz w:val="20"/>
              </w:rPr>
              <w:t>$383</w:t>
            </w:r>
          </w:p>
        </w:tc>
        <w:tc>
          <w:tcPr>
            <w:tcW w:w="2268" w:type="dxa"/>
          </w:tcPr>
          <w:p>
            <w:pPr>
              <w:pStyle w:val="TableAm"/>
              <w:rPr>
                <w:sz w:val="20"/>
              </w:rPr>
            </w:pPr>
            <w:r>
              <w:rPr>
                <w:sz w:val="20"/>
              </w:rPr>
              <w:t>$388</w:t>
            </w:r>
          </w:p>
        </w:tc>
      </w:tr>
      <w:tr>
        <w:trPr>
          <w:cantSplit/>
          <w:jc w:val="center"/>
        </w:trPr>
        <w:tc>
          <w:tcPr>
            <w:tcW w:w="2268" w:type="dxa"/>
          </w:tcPr>
          <w:p>
            <w:pPr>
              <w:pStyle w:val="TableAm"/>
              <w:rPr>
                <w:sz w:val="20"/>
              </w:rPr>
            </w:pPr>
            <w:r>
              <w:rPr>
                <w:sz w:val="20"/>
              </w:rPr>
              <w:t>r. 4(2)(a)(i)</w:t>
            </w:r>
          </w:p>
        </w:tc>
        <w:tc>
          <w:tcPr>
            <w:tcW w:w="2268" w:type="dxa"/>
          </w:tcPr>
          <w:p>
            <w:pPr>
              <w:pStyle w:val="TableAm"/>
              <w:rPr>
                <w:sz w:val="20"/>
              </w:rPr>
            </w:pPr>
            <w:r>
              <w:rPr>
                <w:sz w:val="20"/>
              </w:rPr>
              <w:t>$154</w:t>
            </w:r>
          </w:p>
        </w:tc>
        <w:tc>
          <w:tcPr>
            <w:tcW w:w="2268" w:type="dxa"/>
          </w:tcPr>
          <w:p>
            <w:pPr>
              <w:pStyle w:val="TableAm"/>
              <w:rPr>
                <w:sz w:val="20"/>
              </w:rPr>
            </w:pPr>
            <w:r>
              <w:rPr>
                <w:sz w:val="20"/>
              </w:rPr>
              <w:t>$156</w:t>
            </w:r>
          </w:p>
        </w:tc>
      </w:tr>
      <w:tr>
        <w:trPr>
          <w:cantSplit/>
          <w:jc w:val="center"/>
        </w:trPr>
        <w:tc>
          <w:tcPr>
            <w:tcW w:w="2268" w:type="dxa"/>
          </w:tcPr>
          <w:p>
            <w:pPr>
              <w:pStyle w:val="TableAm"/>
              <w:rPr>
                <w:sz w:val="20"/>
              </w:rPr>
            </w:pPr>
            <w:r>
              <w:rPr>
                <w:sz w:val="20"/>
              </w:rPr>
              <w:t>r. 4(2)(a)(ii)</w:t>
            </w:r>
          </w:p>
        </w:tc>
        <w:tc>
          <w:tcPr>
            <w:tcW w:w="2268" w:type="dxa"/>
          </w:tcPr>
          <w:p>
            <w:pPr>
              <w:pStyle w:val="TableAm"/>
              <w:rPr>
                <w:sz w:val="20"/>
              </w:rPr>
            </w:pPr>
            <w:r>
              <w:rPr>
                <w:sz w:val="20"/>
              </w:rPr>
              <w:t>$383</w:t>
            </w:r>
          </w:p>
        </w:tc>
        <w:tc>
          <w:tcPr>
            <w:tcW w:w="2268" w:type="dxa"/>
          </w:tcPr>
          <w:p>
            <w:pPr>
              <w:pStyle w:val="TableAm"/>
              <w:rPr>
                <w:sz w:val="20"/>
              </w:rPr>
            </w:pPr>
            <w:r>
              <w:rPr>
                <w:sz w:val="20"/>
              </w:rPr>
              <w:t>$388</w:t>
            </w:r>
          </w:p>
        </w:tc>
      </w:tr>
      <w:tr>
        <w:trPr>
          <w:cantSplit/>
          <w:jc w:val="center"/>
        </w:trPr>
        <w:tc>
          <w:tcPr>
            <w:tcW w:w="2268" w:type="dxa"/>
          </w:tcPr>
          <w:p>
            <w:pPr>
              <w:pStyle w:val="TableAm"/>
              <w:rPr>
                <w:sz w:val="20"/>
              </w:rPr>
            </w:pPr>
            <w:r>
              <w:rPr>
                <w:sz w:val="20"/>
              </w:rPr>
              <w:t>r. 4(2)</w:t>
            </w:r>
          </w:p>
        </w:tc>
        <w:tc>
          <w:tcPr>
            <w:tcW w:w="2268" w:type="dxa"/>
          </w:tcPr>
          <w:p>
            <w:pPr>
              <w:pStyle w:val="TableAm"/>
              <w:rPr>
                <w:sz w:val="20"/>
              </w:rPr>
            </w:pPr>
            <w:r>
              <w:rPr>
                <w:sz w:val="20"/>
              </w:rPr>
              <w:t>$75</w:t>
            </w:r>
          </w:p>
        </w:tc>
        <w:tc>
          <w:tcPr>
            <w:tcW w:w="2268" w:type="dxa"/>
          </w:tcPr>
          <w:p>
            <w:pPr>
              <w:pStyle w:val="TableAm"/>
              <w:rPr>
                <w:sz w:val="20"/>
              </w:rPr>
            </w:pPr>
            <w:r>
              <w:rPr>
                <w:sz w:val="20"/>
              </w:rPr>
              <w:t>$76</w:t>
            </w:r>
          </w:p>
        </w:tc>
      </w:tr>
    </w:tbl>
    <w:p>
      <w:pPr>
        <w:pStyle w:val="BlankClose"/>
      </w:pPr>
    </w:p>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0FFEF-AA9D-46E0-BC7E-171C8CF38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1864</Words>
  <Characters>8540</Characters>
  <Application>Microsoft Office Word</Application>
  <DocSecurity>0</DocSecurity>
  <Lines>341</Lines>
  <Paragraphs>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1991 - 03-j0-00</dc:title>
  <dc:subject/>
  <dc:creator/>
  <cp:keywords/>
  <dc:description/>
  <cp:lastModifiedBy>svcMRProcess</cp:lastModifiedBy>
  <cp:revision>4</cp:revision>
  <cp:lastPrinted>2014-04-15T02:09:00Z</cp:lastPrinted>
  <dcterms:created xsi:type="dcterms:W3CDTF">2020-02-27T18:58:00Z</dcterms:created>
  <dcterms:modified xsi:type="dcterms:W3CDTF">2020-02-27T18:58:00Z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07 Sep 2018</vt:lpwstr>
  </property>
  <property fmtid="{D5CDD505-2E9C-101B-9397-08002B2CF9AE}" pid="8" name="Suffix">
    <vt:lpwstr>03-j0-00</vt:lpwstr>
  </property>
  <property fmtid="{D5CDD505-2E9C-101B-9397-08002B2CF9AE}" pid="9" name="CommencementDate">
    <vt:lpwstr>20180907</vt:lpwstr>
  </property>
</Properties>
</file>