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rPr>
          <w:sz w:val="48"/>
        </w:rPr>
      </w:pPr>
      <w:r>
        <w:rPr>
          <w:sz w:val="48"/>
        </w:rPr>
        <w:fldChar w:fldCharType="begin"/>
      </w:r>
      <w:r>
        <w:rPr>
          <w:sz w:val="48"/>
        </w:rPr>
        <w:instrText xml:space="preserve"> STYLEREF "Name Of Act/Reg"</w:instrText>
      </w:r>
      <w:r>
        <w:rPr>
          <w:sz w:val="48"/>
        </w:rPr>
        <w:fldChar w:fldCharType="separate"/>
      </w:r>
      <w:r>
        <w:rPr>
          <w:noProof/>
          <w:sz w:val="48"/>
        </w:rPr>
        <w:t>Construction Industry Portable Paid Long Service Leave Act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 November 2005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Construction Industry Portable Paid Long Service Leave Act 1985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_Toc120001165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_Toc120001166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_Toc120001167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_Toc120001168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5</w:t>
      </w:r>
      <w:r>
        <w:rPr>
          <w:snapToGrid w:val="0"/>
          <w:szCs w:val="24"/>
        </w:rPr>
        <w:t>.</w:t>
      </w:r>
      <w:r>
        <w:rPr>
          <w:snapToGrid w:val="0"/>
          <w:szCs w:val="24"/>
        </w:rPr>
        <w:tab/>
        <w:t>Construction Industry Long Service Leave Payments Board established</w:t>
      </w:r>
      <w:r>
        <w:tab/>
      </w:r>
      <w:r>
        <w:fldChar w:fldCharType="begin"/>
      </w:r>
      <w:r>
        <w:instrText xml:space="preserve"> PAGEREF _Toc120001170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Membership of the Board</w:t>
      </w:r>
      <w:r>
        <w:tab/>
      </w:r>
      <w:r>
        <w:fldChar w:fldCharType="begin"/>
      </w:r>
      <w:r>
        <w:instrText xml:space="preserve"> PAGEREF _Toc120001171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Acting members</w:t>
      </w:r>
      <w:r>
        <w:tab/>
      </w:r>
      <w:r>
        <w:fldChar w:fldCharType="begin"/>
      </w:r>
      <w:r>
        <w:instrText xml:space="preserve"> PAGEREF _Toc120001172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Vacation of office</w:t>
      </w:r>
      <w:r>
        <w:tab/>
      </w:r>
      <w:r>
        <w:fldChar w:fldCharType="begin"/>
      </w:r>
      <w:r>
        <w:instrText xml:space="preserve"> PAGEREF _Toc120001173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Fees and allowances</w:t>
      </w:r>
      <w:r>
        <w:tab/>
      </w:r>
      <w:r>
        <w:fldChar w:fldCharType="begin"/>
      </w:r>
      <w:r>
        <w:instrText xml:space="preserve"> PAGEREF _Toc120001174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Meetings of the Board and disclosure of interest</w:t>
      </w:r>
      <w:r>
        <w:tab/>
      </w:r>
      <w:r>
        <w:fldChar w:fldCharType="begin"/>
      </w:r>
      <w:r>
        <w:instrText xml:space="preserve"> PAGEREF _Toc120001175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Minister may require Board to give information</w:t>
      </w:r>
      <w:r>
        <w:tab/>
      </w:r>
      <w:r>
        <w:fldChar w:fldCharType="begin"/>
      </w:r>
      <w:r>
        <w:instrText xml:space="preserve"> PAGEREF _Toc120001176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Indemnity</w:t>
      </w:r>
      <w:r>
        <w:tab/>
      </w:r>
      <w:r>
        <w:fldChar w:fldCharType="begin"/>
      </w:r>
      <w:r>
        <w:instrText xml:space="preserve"> PAGEREF _Toc120001177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Staff</w:t>
      </w:r>
      <w:r>
        <w:tab/>
      </w:r>
      <w:r>
        <w:fldChar w:fldCharType="begin"/>
      </w:r>
      <w:r>
        <w:instrText xml:space="preserve"> PAGEREF _Toc120001178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Functions of the Board</w:t>
      </w:r>
      <w:r>
        <w:tab/>
      </w:r>
      <w:r>
        <w:fldChar w:fldCharType="begin"/>
      </w:r>
      <w:r>
        <w:instrText xml:space="preserve"> PAGEREF _Toc120001179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Funds of the Board</w:t>
      </w:r>
      <w:r>
        <w:tab/>
      </w:r>
      <w:r>
        <w:fldChar w:fldCharType="begin"/>
      </w:r>
      <w:r>
        <w:instrText xml:space="preserve"> PAGEREF _Toc120001180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Power to borrow and guarantee</w:t>
      </w:r>
      <w:r>
        <w:tab/>
      </w:r>
      <w:r>
        <w:fldChar w:fldCharType="begin"/>
      </w:r>
      <w:r>
        <w:instrText xml:space="preserve"> PAGEREF _Toc120001181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Notification of certain contracts to be given to Minister</w:t>
      </w:r>
      <w:r>
        <w:tab/>
      </w:r>
      <w:r>
        <w:fldChar w:fldCharType="begin"/>
      </w:r>
      <w:r>
        <w:instrText xml:space="preserve"> PAGEREF _Toc120001182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_Toc120001183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Investigations by actuary</w:t>
      </w:r>
      <w:r>
        <w:tab/>
      </w:r>
      <w:r>
        <w:fldChar w:fldCharType="begin"/>
      </w:r>
      <w:r>
        <w:instrText xml:space="preserve"> PAGEREF _Toc120001184 \h </w:instrText>
      </w:r>
      <w:r>
        <w:fldChar w:fldCharType="separate"/>
      </w:r>
      <w:r>
        <w:t>14</w:t>
      </w:r>
      <w:r>
        <w:fldChar w:fldCharType="end"/>
      </w:r>
    </w:p>
    <w:p>
      <w:pPr>
        <w:pStyle w:val="TOC2"/>
        <w:tabs>
          <w:tab w:val="right" w:leader="dot" w:pos="7086"/>
        </w:tabs>
        <w:rPr>
          <w:b w:val="0"/>
          <w:sz w:val="24"/>
          <w:szCs w:val="24"/>
        </w:rPr>
      </w:pPr>
      <w:r>
        <w:rPr>
          <w:szCs w:val="30"/>
        </w:rPr>
        <w:t>Part III — Entitlement to long service leave and pay</w:t>
      </w:r>
    </w:p>
    <w:p>
      <w:pPr>
        <w:pStyle w:val="TOC8"/>
        <w:rPr>
          <w:sz w:val="24"/>
          <w:szCs w:val="24"/>
        </w:rPr>
      </w:pPr>
      <w:r>
        <w:rPr>
          <w:szCs w:val="24"/>
        </w:rPr>
        <w:t>21</w:t>
      </w:r>
      <w:r>
        <w:rPr>
          <w:snapToGrid w:val="0"/>
          <w:szCs w:val="24"/>
        </w:rPr>
        <w:t>.</w:t>
      </w:r>
      <w:r>
        <w:rPr>
          <w:snapToGrid w:val="0"/>
          <w:szCs w:val="24"/>
        </w:rPr>
        <w:tab/>
        <w:t>Entitlement to paid long service leave and pay</w:t>
      </w:r>
      <w:r>
        <w:tab/>
      </w:r>
      <w:r>
        <w:fldChar w:fldCharType="begin"/>
      </w:r>
      <w:r>
        <w:instrText xml:space="preserve"> PAGEREF _Toc120001186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Lump sum payments</w:t>
      </w:r>
      <w:r>
        <w:tab/>
      </w:r>
      <w:r>
        <w:fldChar w:fldCharType="begin"/>
      </w:r>
      <w:r>
        <w:instrText xml:space="preserve"> PAGEREF _Toc120001187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Cessation of continuous service entitlement</w:t>
      </w:r>
      <w:r>
        <w:tab/>
      </w:r>
      <w:r>
        <w:fldChar w:fldCharType="begin"/>
      </w:r>
      <w:r>
        <w:instrText xml:space="preserve"> PAGEREF _Toc120001188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Taking of leave</w:t>
      </w:r>
      <w:r>
        <w:tab/>
      </w:r>
      <w:r>
        <w:fldChar w:fldCharType="begin"/>
      </w:r>
      <w:r>
        <w:instrText xml:space="preserve"> PAGEREF _Toc120001189 \h </w:instrText>
      </w:r>
      <w:r>
        <w:fldChar w:fldCharType="separate"/>
      </w:r>
      <w:r>
        <w:t>18</w:t>
      </w:r>
      <w:r>
        <w:fldChar w:fldCharType="end"/>
      </w:r>
    </w:p>
    <w:p>
      <w:pPr>
        <w:pStyle w:val="TOC8"/>
        <w:rPr>
          <w:sz w:val="24"/>
          <w:szCs w:val="24"/>
        </w:rPr>
      </w:pPr>
      <w:r>
        <w:rPr>
          <w:szCs w:val="24"/>
        </w:rPr>
        <w:t>24A</w:t>
      </w:r>
      <w:r>
        <w:rPr>
          <w:snapToGrid w:val="0"/>
          <w:szCs w:val="24"/>
        </w:rPr>
        <w:t xml:space="preserve">. </w:t>
      </w:r>
      <w:r>
        <w:rPr>
          <w:snapToGrid w:val="0"/>
          <w:szCs w:val="24"/>
        </w:rPr>
        <w:tab/>
        <w:t>Proportional leave in advance after 10 years service</w:t>
      </w:r>
      <w:r>
        <w:tab/>
      </w:r>
      <w:r>
        <w:fldChar w:fldCharType="begin"/>
      </w:r>
      <w:r>
        <w:instrText xml:space="preserve"> PAGEREF _Toc120001190 \h </w:instrText>
      </w:r>
      <w:r>
        <w:fldChar w:fldCharType="separate"/>
      </w:r>
      <w:r>
        <w:t>19</w:t>
      </w:r>
      <w:r>
        <w:fldChar w:fldCharType="end"/>
      </w:r>
    </w:p>
    <w:p>
      <w:pPr>
        <w:pStyle w:val="TOC8"/>
        <w:rPr>
          <w:sz w:val="24"/>
          <w:szCs w:val="24"/>
        </w:rPr>
      </w:pPr>
      <w:r>
        <w:rPr>
          <w:szCs w:val="24"/>
        </w:rPr>
        <w:t>25</w:t>
      </w:r>
      <w:r>
        <w:rPr>
          <w:snapToGrid w:val="0"/>
          <w:szCs w:val="24"/>
        </w:rPr>
        <w:t>.</w:t>
      </w:r>
      <w:r>
        <w:rPr>
          <w:snapToGrid w:val="0"/>
          <w:szCs w:val="24"/>
        </w:rPr>
        <w:tab/>
        <w:t>Payment when due</w:t>
      </w:r>
      <w:r>
        <w:tab/>
      </w:r>
      <w:r>
        <w:fldChar w:fldCharType="begin"/>
      </w:r>
      <w:r>
        <w:instrText xml:space="preserve"> PAGEREF _Toc120001191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Increase in ordinary pay during long service leave</w:t>
      </w:r>
      <w:r>
        <w:tab/>
      </w:r>
      <w:r>
        <w:fldChar w:fldCharType="begin"/>
      </w:r>
      <w:r>
        <w:instrText xml:space="preserve"> PAGEREF _Toc120001192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Prohibition on other employment</w:t>
      </w:r>
      <w:r>
        <w:tab/>
      </w:r>
      <w:r>
        <w:fldChar w:fldCharType="begin"/>
      </w:r>
      <w:r>
        <w:instrText xml:space="preserve"> PAGEREF _Toc120001193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Public holidays</w:t>
      </w:r>
      <w:r>
        <w:tab/>
      </w:r>
      <w:r>
        <w:fldChar w:fldCharType="begin"/>
      </w:r>
      <w:r>
        <w:instrText xml:space="preserve"> PAGEREF _Toc120001194 \h </w:instrText>
      </w:r>
      <w:r>
        <w:fldChar w:fldCharType="separate"/>
      </w:r>
      <w:r>
        <w:t>21</w:t>
      </w:r>
      <w:r>
        <w:fldChar w:fldCharType="end"/>
      </w:r>
    </w:p>
    <w:p>
      <w:pPr>
        <w:pStyle w:val="TOC8"/>
        <w:rPr>
          <w:sz w:val="24"/>
          <w:szCs w:val="24"/>
        </w:rPr>
      </w:pPr>
      <w:r>
        <w:rPr>
          <w:szCs w:val="24"/>
        </w:rPr>
        <w:t>29A</w:t>
      </w:r>
      <w:r>
        <w:rPr>
          <w:snapToGrid w:val="0"/>
          <w:szCs w:val="24"/>
        </w:rPr>
        <w:t xml:space="preserve">. </w:t>
      </w:r>
      <w:r>
        <w:rPr>
          <w:snapToGrid w:val="0"/>
          <w:szCs w:val="24"/>
        </w:rPr>
        <w:tab/>
        <w:t>Reciprocal arrangements</w:t>
      </w:r>
      <w:r>
        <w:tab/>
      </w:r>
      <w:r>
        <w:fldChar w:fldCharType="begin"/>
      </w:r>
      <w:r>
        <w:instrText xml:space="preserve"> PAGEREF _Toc120001195 \h </w:instrText>
      </w:r>
      <w:r>
        <w:fldChar w:fldCharType="separate"/>
      </w:r>
      <w:r>
        <w:t>21</w:t>
      </w:r>
      <w:r>
        <w:fldChar w:fldCharType="end"/>
      </w:r>
    </w:p>
    <w:p>
      <w:pPr>
        <w:pStyle w:val="TOC2"/>
        <w:tabs>
          <w:tab w:val="right" w:leader="dot" w:pos="7086"/>
        </w:tabs>
        <w:rPr>
          <w:b w:val="0"/>
          <w:sz w:val="24"/>
          <w:szCs w:val="24"/>
        </w:rPr>
      </w:pPr>
      <w:r>
        <w:rPr>
          <w:szCs w:val="30"/>
        </w:rPr>
        <w:t>Part IV — Registration</w:t>
      </w:r>
    </w:p>
    <w:p>
      <w:pPr>
        <w:pStyle w:val="TOC8"/>
        <w:rPr>
          <w:sz w:val="24"/>
          <w:szCs w:val="24"/>
        </w:rPr>
      </w:pPr>
      <w:r>
        <w:rPr>
          <w:szCs w:val="24"/>
        </w:rPr>
        <w:t>30</w:t>
      </w:r>
      <w:r>
        <w:rPr>
          <w:snapToGrid w:val="0"/>
          <w:szCs w:val="24"/>
        </w:rPr>
        <w:t>.</w:t>
      </w:r>
      <w:r>
        <w:rPr>
          <w:snapToGrid w:val="0"/>
          <w:szCs w:val="24"/>
        </w:rPr>
        <w:tab/>
        <w:t>Registration of employers and employees</w:t>
      </w:r>
      <w:r>
        <w:tab/>
      </w:r>
      <w:r>
        <w:fldChar w:fldCharType="begin"/>
      </w:r>
      <w:r>
        <w:instrText xml:space="preserve"> PAGEREF _Toc120001197 \h </w:instrText>
      </w:r>
      <w:r>
        <w:fldChar w:fldCharType="separate"/>
      </w:r>
      <w:r>
        <w:t>23</w:t>
      </w:r>
      <w:r>
        <w:fldChar w:fldCharType="end"/>
      </w:r>
    </w:p>
    <w:p>
      <w:pPr>
        <w:pStyle w:val="TOC8"/>
        <w:rPr>
          <w:sz w:val="24"/>
          <w:szCs w:val="24"/>
        </w:rPr>
      </w:pPr>
      <w:r>
        <w:rPr>
          <w:szCs w:val="24"/>
        </w:rPr>
        <w:t>31</w:t>
      </w:r>
      <w:r>
        <w:rPr>
          <w:snapToGrid w:val="0"/>
          <w:szCs w:val="24"/>
        </w:rPr>
        <w:t>.</w:t>
      </w:r>
      <w:r>
        <w:rPr>
          <w:snapToGrid w:val="0"/>
          <w:szCs w:val="24"/>
        </w:rPr>
        <w:tab/>
        <w:t>Return to be made by employer</w:t>
      </w:r>
      <w:r>
        <w:tab/>
      </w:r>
      <w:r>
        <w:fldChar w:fldCharType="begin"/>
      </w:r>
      <w:r>
        <w:instrText xml:space="preserve"> PAGEREF _Toc120001198 \h </w:instrText>
      </w:r>
      <w:r>
        <w:fldChar w:fldCharType="separate"/>
      </w:r>
      <w:r>
        <w:t>24</w:t>
      </w:r>
      <w:r>
        <w:fldChar w:fldCharType="end"/>
      </w:r>
    </w:p>
    <w:p>
      <w:pPr>
        <w:pStyle w:val="TOC8"/>
        <w:rPr>
          <w:sz w:val="24"/>
          <w:szCs w:val="24"/>
        </w:rPr>
      </w:pPr>
      <w:r>
        <w:rPr>
          <w:szCs w:val="24"/>
        </w:rPr>
        <w:t>32</w:t>
      </w:r>
      <w:r>
        <w:rPr>
          <w:snapToGrid w:val="0"/>
          <w:szCs w:val="24"/>
        </w:rPr>
        <w:t>.</w:t>
      </w:r>
      <w:r>
        <w:rPr>
          <w:snapToGrid w:val="0"/>
          <w:szCs w:val="24"/>
        </w:rPr>
        <w:tab/>
        <w:t>Employer to maintain record of employees</w:t>
      </w:r>
      <w:r>
        <w:tab/>
      </w:r>
      <w:r>
        <w:fldChar w:fldCharType="begin"/>
      </w:r>
      <w:r>
        <w:instrText xml:space="preserve"> PAGEREF _Toc120001199 \h </w:instrText>
      </w:r>
      <w:r>
        <w:fldChar w:fldCharType="separate"/>
      </w:r>
      <w:r>
        <w:t>25</w:t>
      </w:r>
      <w:r>
        <w:fldChar w:fldCharType="end"/>
      </w:r>
    </w:p>
    <w:p>
      <w:pPr>
        <w:pStyle w:val="TOC8"/>
        <w:rPr>
          <w:sz w:val="24"/>
          <w:szCs w:val="24"/>
        </w:rPr>
      </w:pPr>
      <w:r>
        <w:rPr>
          <w:szCs w:val="24"/>
        </w:rPr>
        <w:t>33</w:t>
      </w:r>
      <w:r>
        <w:rPr>
          <w:snapToGrid w:val="0"/>
          <w:szCs w:val="24"/>
        </w:rPr>
        <w:t>.</w:t>
      </w:r>
      <w:r>
        <w:rPr>
          <w:snapToGrid w:val="0"/>
          <w:szCs w:val="24"/>
        </w:rPr>
        <w:tab/>
        <w:t>Exempt employer</w:t>
      </w:r>
      <w:r>
        <w:tab/>
      </w:r>
      <w:r>
        <w:fldChar w:fldCharType="begin"/>
      </w:r>
      <w:r>
        <w:instrText xml:space="preserve"> PAGEREF _Toc120001200 \h </w:instrText>
      </w:r>
      <w:r>
        <w:fldChar w:fldCharType="separate"/>
      </w:r>
      <w:r>
        <w:t>25</w:t>
      </w:r>
      <w:r>
        <w:fldChar w:fldCharType="end"/>
      </w:r>
    </w:p>
    <w:p>
      <w:pPr>
        <w:pStyle w:val="TOC8"/>
        <w:rPr>
          <w:sz w:val="24"/>
          <w:szCs w:val="24"/>
        </w:rPr>
      </w:pPr>
      <w:r>
        <w:rPr>
          <w:szCs w:val="24"/>
        </w:rPr>
        <w:t>34</w:t>
      </w:r>
      <w:r>
        <w:rPr>
          <w:snapToGrid w:val="0"/>
          <w:szCs w:val="24"/>
        </w:rPr>
        <w:t>.</w:t>
      </w:r>
      <w:r>
        <w:rPr>
          <w:snapToGrid w:val="0"/>
          <w:szCs w:val="24"/>
        </w:rPr>
        <w:tab/>
        <w:t>Contribution by employer and assessment by the Board</w:t>
      </w:r>
      <w:r>
        <w:tab/>
      </w:r>
      <w:r>
        <w:fldChar w:fldCharType="begin"/>
      </w:r>
      <w:r>
        <w:instrText xml:space="preserve"> PAGEREF _Toc120001201 \h </w:instrText>
      </w:r>
      <w:r>
        <w:fldChar w:fldCharType="separate"/>
      </w:r>
      <w:r>
        <w:t>25</w:t>
      </w:r>
      <w:r>
        <w:fldChar w:fldCharType="end"/>
      </w:r>
    </w:p>
    <w:p>
      <w:pPr>
        <w:pStyle w:val="TOC8"/>
        <w:rPr>
          <w:sz w:val="24"/>
          <w:szCs w:val="24"/>
        </w:rPr>
      </w:pPr>
      <w:r>
        <w:rPr>
          <w:szCs w:val="24"/>
        </w:rPr>
        <w:t>35</w:t>
      </w:r>
      <w:r>
        <w:rPr>
          <w:snapToGrid w:val="0"/>
          <w:szCs w:val="24"/>
        </w:rPr>
        <w:t>.</w:t>
      </w:r>
      <w:r>
        <w:rPr>
          <w:snapToGrid w:val="0"/>
          <w:szCs w:val="24"/>
        </w:rPr>
        <w:tab/>
        <w:t>Register of Employers and Register of Employees</w:t>
      </w:r>
      <w:r>
        <w:tab/>
      </w:r>
      <w:r>
        <w:fldChar w:fldCharType="begin"/>
      </w:r>
      <w:r>
        <w:instrText xml:space="preserve"> PAGEREF _Toc120001202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Employer leaving Western Australia</w:t>
      </w:r>
      <w:r>
        <w:tab/>
      </w:r>
      <w:r>
        <w:fldChar w:fldCharType="begin"/>
      </w:r>
      <w:r>
        <w:instrText xml:space="preserve"> PAGEREF _Toc120001203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Recovery of long service leave contribution</w:t>
      </w:r>
      <w:r>
        <w:tab/>
      </w:r>
      <w:r>
        <w:fldChar w:fldCharType="begin"/>
      </w:r>
      <w:r>
        <w:instrText xml:space="preserve"> PAGEREF _Toc120001204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Liquidator to give notice</w:t>
      </w:r>
      <w:r>
        <w:tab/>
      </w:r>
      <w:r>
        <w:fldChar w:fldCharType="begin"/>
      </w:r>
      <w:r>
        <w:instrText xml:space="preserve"> PAGEREF _Toc120001205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Agent for absentee principal winding up business</w:t>
      </w:r>
      <w:r>
        <w:tab/>
      </w:r>
      <w:r>
        <w:fldChar w:fldCharType="begin"/>
      </w:r>
      <w:r>
        <w:instrText xml:space="preserve"> PAGEREF _Toc120001206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Where long service leave charges are not paid during lifetime</w:t>
      </w:r>
      <w:r>
        <w:tab/>
      </w:r>
      <w:r>
        <w:fldChar w:fldCharType="begin"/>
      </w:r>
      <w:r>
        <w:instrText xml:space="preserve"> PAGEREF _Toc120001207 \h </w:instrText>
      </w:r>
      <w:r>
        <w:fldChar w:fldCharType="separate"/>
      </w:r>
      <w:r>
        <w:t>30</w:t>
      </w:r>
      <w:r>
        <w:fldChar w:fldCharType="end"/>
      </w:r>
    </w:p>
    <w:p>
      <w:pPr>
        <w:pStyle w:val="TOC8"/>
        <w:rPr>
          <w:sz w:val="24"/>
          <w:szCs w:val="24"/>
        </w:rPr>
      </w:pPr>
      <w:r>
        <w:rPr>
          <w:szCs w:val="24"/>
        </w:rPr>
        <w:t>41</w:t>
      </w:r>
      <w:r>
        <w:rPr>
          <w:snapToGrid w:val="0"/>
          <w:szCs w:val="24"/>
        </w:rPr>
        <w:t>.</w:t>
      </w:r>
      <w:r>
        <w:rPr>
          <w:snapToGrid w:val="0"/>
          <w:szCs w:val="24"/>
        </w:rPr>
        <w:tab/>
        <w:t>Provisions for payment of long service leave charges by executors or administrators</w:t>
      </w:r>
      <w:r>
        <w:tab/>
      </w:r>
      <w:r>
        <w:fldChar w:fldCharType="begin"/>
      </w:r>
      <w:r>
        <w:instrText xml:space="preserve"> PAGEREF _Toc120001208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Contributions by joint employers</w:t>
      </w:r>
      <w:r>
        <w:tab/>
      </w:r>
      <w:r>
        <w:fldChar w:fldCharType="begin"/>
      </w:r>
      <w:r>
        <w:instrText xml:space="preserve"> PAGEREF _Toc120001209 \h </w:instrText>
      </w:r>
      <w:r>
        <w:fldChar w:fldCharType="separate"/>
      </w:r>
      <w:r>
        <w:t>32</w:t>
      </w:r>
      <w:r>
        <w:fldChar w:fldCharType="end"/>
      </w:r>
    </w:p>
    <w:p>
      <w:pPr>
        <w:pStyle w:val="TOC8"/>
        <w:rPr>
          <w:sz w:val="24"/>
          <w:szCs w:val="24"/>
        </w:rPr>
      </w:pPr>
      <w:r>
        <w:rPr>
          <w:szCs w:val="24"/>
        </w:rPr>
        <w:t>43</w:t>
      </w:r>
      <w:r>
        <w:rPr>
          <w:snapToGrid w:val="0"/>
          <w:szCs w:val="24"/>
        </w:rPr>
        <w:t>.</w:t>
      </w:r>
      <w:r>
        <w:rPr>
          <w:snapToGrid w:val="0"/>
          <w:szCs w:val="24"/>
        </w:rPr>
        <w:tab/>
        <w:t>Payment of penalties no relief from contributions</w:t>
      </w:r>
      <w:r>
        <w:tab/>
      </w:r>
      <w:r>
        <w:fldChar w:fldCharType="begin"/>
      </w:r>
      <w:r>
        <w:instrText xml:space="preserve"> PAGEREF _Toc120001210 \h </w:instrText>
      </w:r>
      <w:r>
        <w:fldChar w:fldCharType="separate"/>
      </w:r>
      <w:r>
        <w:t>32</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44</w:t>
      </w:r>
      <w:r>
        <w:rPr>
          <w:snapToGrid w:val="0"/>
          <w:szCs w:val="24"/>
        </w:rPr>
        <w:t>.</w:t>
      </w:r>
      <w:r>
        <w:rPr>
          <w:snapToGrid w:val="0"/>
          <w:szCs w:val="24"/>
        </w:rPr>
        <w:tab/>
        <w:t>Inspectors</w:t>
      </w:r>
      <w:r>
        <w:tab/>
      </w:r>
      <w:r>
        <w:fldChar w:fldCharType="begin"/>
      </w:r>
      <w:r>
        <w:instrText xml:space="preserve"> PAGEREF _Toc120001212 \h </w:instrText>
      </w:r>
      <w:r>
        <w:fldChar w:fldCharType="separate"/>
      </w:r>
      <w:r>
        <w:t>33</w:t>
      </w:r>
      <w:r>
        <w:fldChar w:fldCharType="end"/>
      </w:r>
    </w:p>
    <w:p>
      <w:pPr>
        <w:pStyle w:val="TOC8"/>
        <w:rPr>
          <w:sz w:val="24"/>
          <w:szCs w:val="24"/>
        </w:rPr>
      </w:pPr>
      <w:r>
        <w:rPr>
          <w:szCs w:val="24"/>
        </w:rPr>
        <w:t>45</w:t>
      </w:r>
      <w:r>
        <w:rPr>
          <w:snapToGrid w:val="0"/>
          <w:szCs w:val="24"/>
        </w:rPr>
        <w:t>.</w:t>
      </w:r>
      <w:r>
        <w:rPr>
          <w:snapToGrid w:val="0"/>
          <w:szCs w:val="24"/>
        </w:rPr>
        <w:tab/>
        <w:t>Power to obtain information and evidence</w:t>
      </w:r>
      <w:r>
        <w:tab/>
      </w:r>
      <w:r>
        <w:fldChar w:fldCharType="begin"/>
      </w:r>
      <w:r>
        <w:instrText xml:space="preserve"> PAGEREF _Toc120001213 \h </w:instrText>
      </w:r>
      <w:r>
        <w:fldChar w:fldCharType="separate"/>
      </w:r>
      <w:r>
        <w:t>33</w:t>
      </w:r>
      <w:r>
        <w:fldChar w:fldCharType="end"/>
      </w:r>
    </w:p>
    <w:p>
      <w:pPr>
        <w:pStyle w:val="TOC8"/>
        <w:rPr>
          <w:sz w:val="24"/>
          <w:szCs w:val="24"/>
        </w:rPr>
      </w:pPr>
      <w:r>
        <w:rPr>
          <w:szCs w:val="24"/>
        </w:rPr>
        <w:t>46</w:t>
      </w:r>
      <w:r>
        <w:rPr>
          <w:snapToGrid w:val="0"/>
          <w:szCs w:val="24"/>
        </w:rPr>
        <w:t>.</w:t>
      </w:r>
      <w:r>
        <w:rPr>
          <w:snapToGrid w:val="0"/>
          <w:szCs w:val="24"/>
        </w:rPr>
        <w:tab/>
        <w:t>Access to books etc.</w:t>
      </w:r>
      <w:r>
        <w:tab/>
      </w:r>
      <w:r>
        <w:fldChar w:fldCharType="begin"/>
      </w:r>
      <w:r>
        <w:instrText xml:space="preserve"> PAGEREF _Toc120001214 \h </w:instrText>
      </w:r>
      <w:r>
        <w:fldChar w:fldCharType="separate"/>
      </w:r>
      <w:r>
        <w:t>33</w:t>
      </w:r>
      <w:r>
        <w:fldChar w:fldCharType="end"/>
      </w:r>
    </w:p>
    <w:p>
      <w:pPr>
        <w:pStyle w:val="TOC8"/>
        <w:rPr>
          <w:sz w:val="24"/>
          <w:szCs w:val="24"/>
        </w:rPr>
      </w:pPr>
      <w:r>
        <w:rPr>
          <w:szCs w:val="24"/>
        </w:rPr>
        <w:t>47</w:t>
      </w:r>
      <w:r>
        <w:rPr>
          <w:snapToGrid w:val="0"/>
          <w:szCs w:val="24"/>
        </w:rPr>
        <w:t>.</w:t>
      </w:r>
      <w:r>
        <w:rPr>
          <w:snapToGrid w:val="0"/>
          <w:szCs w:val="24"/>
        </w:rPr>
        <w:tab/>
        <w:t>Proceedings for offences against this Act</w:t>
      </w:r>
      <w:r>
        <w:tab/>
      </w:r>
      <w:r>
        <w:fldChar w:fldCharType="begin"/>
      </w:r>
      <w:r>
        <w:instrText xml:space="preserve"> PAGEREF _Toc120001215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Institution of proceedings</w:t>
      </w:r>
      <w:r>
        <w:tab/>
      </w:r>
      <w:r>
        <w:fldChar w:fldCharType="begin"/>
      </w:r>
      <w:r>
        <w:instrText xml:space="preserve"> PAGEREF _Toc120001216 \h </w:instrText>
      </w:r>
      <w:r>
        <w:fldChar w:fldCharType="separate"/>
      </w:r>
      <w:r>
        <w:t>34</w:t>
      </w:r>
      <w:r>
        <w:fldChar w:fldCharType="end"/>
      </w:r>
    </w:p>
    <w:p>
      <w:pPr>
        <w:pStyle w:val="TOC8"/>
        <w:rPr>
          <w:sz w:val="24"/>
          <w:szCs w:val="24"/>
        </w:rPr>
      </w:pPr>
      <w:r>
        <w:rPr>
          <w:szCs w:val="24"/>
        </w:rPr>
        <w:t>49</w:t>
      </w:r>
      <w:r>
        <w:rPr>
          <w:snapToGrid w:val="0"/>
          <w:szCs w:val="24"/>
        </w:rPr>
        <w:t>.</w:t>
      </w:r>
      <w:r>
        <w:rPr>
          <w:snapToGrid w:val="0"/>
          <w:szCs w:val="24"/>
        </w:rPr>
        <w:tab/>
        <w:t>Evidence</w:t>
      </w:r>
      <w:r>
        <w:tab/>
      </w:r>
      <w:r>
        <w:fldChar w:fldCharType="begin"/>
      </w:r>
      <w:r>
        <w:instrText xml:space="preserve"> PAGEREF _Toc120001217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Appeals</w:t>
      </w:r>
      <w:r>
        <w:tab/>
      </w:r>
      <w:r>
        <w:fldChar w:fldCharType="begin"/>
      </w:r>
      <w:r>
        <w:instrText xml:space="preserve"> PAGEREF _Toc120001218 \h </w:instrText>
      </w:r>
      <w:r>
        <w:fldChar w:fldCharType="separate"/>
      </w:r>
      <w:r>
        <w:t>36</w:t>
      </w:r>
      <w:r>
        <w:fldChar w:fldCharType="end"/>
      </w:r>
    </w:p>
    <w:p>
      <w:pPr>
        <w:pStyle w:val="TOC8"/>
        <w:rPr>
          <w:sz w:val="24"/>
          <w:szCs w:val="24"/>
        </w:rPr>
      </w:pPr>
      <w:r>
        <w:rPr>
          <w:szCs w:val="24"/>
        </w:rPr>
        <w:t>51</w:t>
      </w:r>
      <w:r>
        <w:rPr>
          <w:snapToGrid w:val="0"/>
          <w:szCs w:val="24"/>
        </w:rPr>
        <w:t>.</w:t>
      </w:r>
      <w:r>
        <w:rPr>
          <w:snapToGrid w:val="0"/>
          <w:szCs w:val="24"/>
        </w:rPr>
        <w:tab/>
        <w:t>Employee accumulating continuous service in more than one capacity</w:t>
      </w:r>
      <w:r>
        <w:tab/>
      </w:r>
      <w:r>
        <w:fldChar w:fldCharType="begin"/>
      </w:r>
      <w:r>
        <w:instrText xml:space="preserve"> PAGEREF _Toc120001219 \h </w:instrText>
      </w:r>
      <w:r>
        <w:fldChar w:fldCharType="separate"/>
      </w:r>
      <w:r>
        <w:t>36</w:t>
      </w:r>
      <w:r>
        <w:fldChar w:fldCharType="end"/>
      </w:r>
    </w:p>
    <w:p>
      <w:pPr>
        <w:pStyle w:val="TOC8"/>
        <w:rPr>
          <w:sz w:val="24"/>
          <w:szCs w:val="24"/>
        </w:rPr>
      </w:pPr>
      <w:r>
        <w:rPr>
          <w:szCs w:val="24"/>
        </w:rPr>
        <w:t>52</w:t>
      </w:r>
      <w:r>
        <w:rPr>
          <w:snapToGrid w:val="0"/>
          <w:szCs w:val="24"/>
        </w:rPr>
        <w:t>.</w:t>
      </w:r>
      <w:r>
        <w:rPr>
          <w:snapToGrid w:val="0"/>
          <w:szCs w:val="24"/>
        </w:rPr>
        <w:tab/>
        <w:t>Obstructing an inspector or other persons</w:t>
      </w:r>
      <w:r>
        <w:tab/>
      </w:r>
      <w:r>
        <w:fldChar w:fldCharType="begin"/>
      </w:r>
      <w:r>
        <w:instrText xml:space="preserve"> PAGEREF _Toc120001220 \h </w:instrText>
      </w:r>
      <w:r>
        <w:fldChar w:fldCharType="separate"/>
      </w:r>
      <w:r>
        <w:t>37</w:t>
      </w:r>
      <w:r>
        <w:fldChar w:fldCharType="end"/>
      </w:r>
    </w:p>
    <w:p>
      <w:pPr>
        <w:pStyle w:val="TOC8"/>
        <w:rPr>
          <w:sz w:val="24"/>
          <w:szCs w:val="24"/>
        </w:rPr>
      </w:pPr>
      <w:r>
        <w:rPr>
          <w:szCs w:val="24"/>
        </w:rPr>
        <w:t>53</w:t>
      </w:r>
      <w:r>
        <w:rPr>
          <w:snapToGrid w:val="0"/>
          <w:szCs w:val="24"/>
        </w:rPr>
        <w:t>.</w:t>
      </w:r>
      <w:r>
        <w:rPr>
          <w:snapToGrid w:val="0"/>
          <w:szCs w:val="24"/>
        </w:rPr>
        <w:tab/>
        <w:t>Protection of persons giving information under this Act</w:t>
      </w:r>
      <w:r>
        <w:tab/>
      </w:r>
      <w:r>
        <w:fldChar w:fldCharType="begin"/>
      </w:r>
      <w:r>
        <w:instrText xml:space="preserve"> PAGEREF _Toc120001221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Secrecy</w:t>
      </w:r>
      <w:r>
        <w:tab/>
      </w:r>
      <w:r>
        <w:fldChar w:fldCharType="begin"/>
      </w:r>
      <w:r>
        <w:instrText xml:space="preserve"> PAGEREF _Toc120001222 \h </w:instrText>
      </w:r>
      <w:r>
        <w:fldChar w:fldCharType="separate"/>
      </w:r>
      <w:r>
        <w:t>38</w:t>
      </w:r>
      <w:r>
        <w:fldChar w:fldCharType="end"/>
      </w:r>
    </w:p>
    <w:p>
      <w:pPr>
        <w:pStyle w:val="TOC8"/>
        <w:rPr>
          <w:sz w:val="24"/>
          <w:szCs w:val="24"/>
        </w:rPr>
      </w:pPr>
      <w:r>
        <w:rPr>
          <w:szCs w:val="24"/>
        </w:rPr>
        <w:t>55</w:t>
      </w:r>
      <w:r>
        <w:rPr>
          <w:snapToGrid w:val="0"/>
          <w:szCs w:val="24"/>
        </w:rPr>
        <w:t>.</w:t>
      </w:r>
      <w:r>
        <w:rPr>
          <w:snapToGrid w:val="0"/>
          <w:szCs w:val="24"/>
        </w:rPr>
        <w:tab/>
        <w:t>Effect of other awards or agreements</w:t>
      </w:r>
      <w:r>
        <w:tab/>
      </w:r>
      <w:r>
        <w:fldChar w:fldCharType="begin"/>
      </w:r>
      <w:r>
        <w:instrText xml:space="preserve"> PAGEREF _Toc120001223 \h </w:instrText>
      </w:r>
      <w:r>
        <w:fldChar w:fldCharType="separate"/>
      </w:r>
      <w:r>
        <w:t>38</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_Toc120001224 \h </w:instrText>
      </w:r>
      <w:r>
        <w:fldChar w:fldCharType="separate"/>
      </w:r>
      <w:r>
        <w:t>38</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8"/>
        </w:rPr>
        <w:t>Transitional</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_Toc120001228 \h </w:instrText>
      </w:r>
      <w:r>
        <w:fldChar w:fldCharType="separate"/>
      </w:r>
      <w:r>
        <w:t>41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w:t>
            </w:r>
            <w:r>
              <w:rPr>
                <w:b/>
                <w:snapToGrid w:val="0"/>
                <w:sz w:val="22"/>
              </w:rPr>
              <w:t xml:space="preserve"> November 2005</w:t>
            </w:r>
          </w:p>
        </w:tc>
      </w:tr>
    </w:tbl>
    <w:p>
      <w:pPr>
        <w:pStyle w:val="WA"/>
        <w:spacing w:before="120"/>
      </w:pPr>
      <w:r>
        <w:t>Western Australia</w:t>
      </w:r>
    </w:p>
    <w:p>
      <w:pPr>
        <w:pStyle w:val="NameofActReg"/>
        <w:spacing w:before="1400" w:after="1400"/>
      </w:pPr>
      <w:r>
        <w:t>Construction Industry Portable Paid Long Service Leave Act 1985</w:t>
      </w:r>
    </w:p>
    <w:p>
      <w:pPr>
        <w:pStyle w:val="LongTitle"/>
        <w:rPr>
          <w:snapToGrid w:val="0"/>
        </w:rPr>
      </w:pPr>
      <w:r>
        <w:rPr>
          <w:snapToGrid w:val="0"/>
        </w:rPr>
        <w:t>An Act to make provision for paid long service leave to employees engaged in the construction industry and for incidental and other purposes.</w:t>
      </w:r>
    </w:p>
    <w:p>
      <w:pPr>
        <w:pStyle w:val="Heading2"/>
      </w:pPr>
      <w:bookmarkStart w:id="1" w:name="_Toc95729722"/>
      <w:bookmarkStart w:id="2" w:name="_Toc95729787"/>
      <w:bookmarkStart w:id="3" w:name="_Toc95730139"/>
      <w:bookmarkStart w:id="4" w:name="_Toc95730213"/>
      <w:bookmarkStart w:id="5" w:name="_Toc97003700"/>
      <w:bookmarkStart w:id="6" w:name="_Toc102810419"/>
      <w:bookmarkStart w:id="7" w:name="_Toc116956518"/>
      <w:bookmarkStart w:id="8" w:name="_Toc116956582"/>
      <w:bookmarkStart w:id="9" w:name="_Toc116960847"/>
      <w:bookmarkStart w:id="10" w:name="_Toc118525482"/>
      <w:bookmarkStart w:id="11" w:name="_Toc118525788"/>
      <w:bookmarkStart w:id="12" w:name="_Toc12000116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spacing w:before="180"/>
        <w:rPr>
          <w:snapToGrid w:val="0"/>
        </w:rPr>
      </w:pPr>
      <w:bookmarkStart w:id="13" w:name="_Toc95730140"/>
      <w:bookmarkStart w:id="14" w:name="_Toc120001165"/>
      <w:r>
        <w:rPr>
          <w:rStyle w:val="CharSectno"/>
        </w:rPr>
        <w:t>1</w:t>
      </w:r>
      <w:r>
        <w:rPr>
          <w:snapToGrid w:val="0"/>
        </w:rPr>
        <w:t>.</w:t>
      </w:r>
      <w:r>
        <w:rPr>
          <w:snapToGrid w:val="0"/>
        </w:rPr>
        <w:tab/>
        <w:t>Short title</w:t>
      </w:r>
      <w:bookmarkEnd w:id="13"/>
      <w:bookmarkEnd w:id="14"/>
    </w:p>
    <w:p>
      <w:pPr>
        <w:pStyle w:val="Subsection"/>
        <w:spacing w:before="140"/>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spacing w:before="200"/>
        <w:rPr>
          <w:snapToGrid w:val="0"/>
        </w:rPr>
      </w:pPr>
      <w:bookmarkStart w:id="15" w:name="_Toc95730141"/>
      <w:bookmarkStart w:id="16" w:name="_Toc120001166"/>
      <w:r>
        <w:rPr>
          <w:rStyle w:val="CharSectno"/>
        </w:rPr>
        <w:t>2</w:t>
      </w:r>
      <w:r>
        <w:rPr>
          <w:snapToGrid w:val="0"/>
        </w:rPr>
        <w:t>.</w:t>
      </w:r>
      <w:r>
        <w:rPr>
          <w:snapToGrid w:val="0"/>
        </w:rPr>
        <w:tab/>
        <w:t>Commencement</w:t>
      </w:r>
      <w:bookmarkEnd w:id="15"/>
      <w:bookmarkEnd w:id="16"/>
    </w:p>
    <w:p>
      <w:pPr>
        <w:pStyle w:val="Subsection"/>
        <w:spacing w:before="140"/>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rPr>
          <w:snapToGrid w:val="0"/>
        </w:rPr>
      </w:pPr>
      <w:bookmarkStart w:id="17" w:name="_Toc95730142"/>
      <w:bookmarkStart w:id="18" w:name="_Toc120001167"/>
      <w:r>
        <w:rPr>
          <w:rStyle w:val="CharSectno"/>
        </w:rPr>
        <w:t>3</w:t>
      </w:r>
      <w:r>
        <w:rPr>
          <w:snapToGrid w:val="0"/>
        </w:rPr>
        <w:t>.</w:t>
      </w:r>
      <w:r>
        <w:rPr>
          <w:snapToGrid w:val="0"/>
        </w:rPr>
        <w:tab/>
        <w:t>Interpretation</w:t>
      </w:r>
      <w:bookmarkEnd w:id="17"/>
      <w:bookmarkEnd w:id="18"/>
    </w:p>
    <w:p>
      <w:pPr>
        <w:pStyle w:val="Subsection"/>
        <w:spacing w:before="140"/>
        <w:rPr>
          <w:snapToGrid w:val="0"/>
        </w:rPr>
      </w:pPr>
      <w:r>
        <w:rPr>
          <w:snapToGrid w:val="0"/>
        </w:rPr>
        <w:tab/>
        <w:t>(1)</w:t>
      </w:r>
      <w:r>
        <w:rPr>
          <w:snapToGrid w:val="0"/>
        </w:rPr>
        <w:tab/>
        <w:t>In this Act unless the contrary intention appears —</w:t>
      </w:r>
    </w:p>
    <w:p>
      <w:pPr>
        <w:pStyle w:val="Defstart"/>
        <w:spacing w:before="60"/>
      </w:pPr>
      <w:r>
        <w:rPr>
          <w:b/>
        </w:rPr>
        <w:tab/>
        <w:t>“</w:t>
      </w:r>
      <w:r>
        <w:rPr>
          <w:rStyle w:val="CharDefText"/>
        </w:rPr>
        <w:t>appointed day</w:t>
      </w:r>
      <w:r>
        <w:rPr>
          <w:b/>
        </w:rPr>
        <w:t>”</w:t>
      </w:r>
      <w:r>
        <w:t xml:space="preserve"> means the day fixed by the Minister under subsection (2);</w:t>
      </w:r>
    </w:p>
    <w:p>
      <w:pPr>
        <w:pStyle w:val="Defstart"/>
        <w:spacing w:before="60"/>
      </w:pPr>
      <w:r>
        <w:rPr>
          <w:b/>
        </w:rPr>
        <w:tab/>
        <w:t>“</w:t>
      </w:r>
      <w:r>
        <w:rPr>
          <w:rStyle w:val="CharDefText"/>
        </w:rPr>
        <w:t>award</w:t>
      </w:r>
      <w:r>
        <w:rPr>
          <w:b/>
        </w:rPr>
        <w:t>”</w:t>
      </w:r>
      <w:r>
        <w:t xml:space="preserve"> means any award or agreement made under the </w:t>
      </w:r>
      <w:r>
        <w:rPr>
          <w:i/>
        </w:rPr>
        <w:t>Industrial Relations Act 1979</w:t>
      </w:r>
      <w:r>
        <w:t xml:space="preserve">, or an award or agreement in force under the </w:t>
      </w:r>
      <w:r>
        <w:rPr>
          <w:i/>
        </w:rPr>
        <w:t>Conciliation and Arbitration Act 1904</w:t>
      </w:r>
      <w:r>
        <w:rPr>
          <w:iCs/>
        </w:rPr>
        <w:t> </w:t>
      </w:r>
      <w:r>
        <w:rPr>
          <w:iCs/>
          <w:vertAlign w:val="superscript"/>
        </w:rPr>
        <w:t>2</w:t>
      </w:r>
      <w:r>
        <w:t xml:space="preserve"> of the Commonwealth;</w:t>
      </w:r>
    </w:p>
    <w:p>
      <w:pPr>
        <w:pStyle w:val="Defstart"/>
        <w:spacing w:before="60"/>
      </w:pPr>
      <w:r>
        <w:rPr>
          <w:b/>
        </w:rPr>
        <w:tab/>
        <w:t>“</w:t>
      </w:r>
      <w:r>
        <w:rPr>
          <w:rStyle w:val="CharDefText"/>
        </w:rPr>
        <w:t>Board</w:t>
      </w:r>
      <w:r>
        <w:rPr>
          <w:b/>
        </w:rPr>
        <w:t>”</w:t>
      </w:r>
      <w:r>
        <w:t xml:space="preserve"> means the Construction Industry Long Service Leave Payments Board established under section 5;</w:t>
      </w:r>
    </w:p>
    <w:p>
      <w:pPr>
        <w:pStyle w:val="Defstart"/>
        <w:spacing w:before="60"/>
      </w:pPr>
      <w:r>
        <w:rPr>
          <w:b/>
        </w:rPr>
        <w:tab/>
        <w:t>“</w:t>
      </w:r>
      <w:r>
        <w:rPr>
          <w:rStyle w:val="CharDefText"/>
        </w:rPr>
        <w:t>books</w:t>
      </w:r>
      <w:r>
        <w:rPr>
          <w:b/>
        </w:rPr>
        <w:t>”</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spacing w:before="60"/>
      </w:pPr>
      <w:r>
        <w:rPr>
          <w:b/>
        </w:rPr>
        <w:tab/>
        <w:t>“</w:t>
      </w:r>
      <w:r>
        <w:rPr>
          <w:rStyle w:val="CharDefText"/>
        </w:rPr>
        <w:t>chief executive officer</w:t>
      </w:r>
      <w:r>
        <w:rPr>
          <w:b/>
        </w:rPr>
        <w:t>”</w:t>
      </w:r>
      <w:r>
        <w:t xml:space="preserve"> means the person, however designated, appointed by the Board under section 13 to carry out the duties and functions of the chief executive officer under this Act;</w:t>
      </w:r>
    </w:p>
    <w:p>
      <w:pPr>
        <w:pStyle w:val="Defstart"/>
        <w:spacing w:before="60"/>
      </w:pPr>
      <w:r>
        <w:rPr>
          <w:b/>
        </w:rPr>
        <w:tab/>
        <w:t>“</w:t>
      </w:r>
      <w:r>
        <w:rPr>
          <w:rStyle w:val="CharDefText"/>
        </w:rPr>
        <w:t>construction industry</w:t>
      </w:r>
      <w:r>
        <w:rPr>
          <w:b/>
        </w:rPr>
        <w:t>”</w:t>
      </w:r>
      <w:r>
        <w:t xml:space="preserve"> means the industry —</w:t>
      </w:r>
    </w:p>
    <w:p>
      <w:pPr>
        <w:pStyle w:val="Defpara"/>
        <w:spacing w:before="60"/>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spacing w:before="60"/>
        <w:rPr>
          <w:snapToGrid w:val="0"/>
        </w:rPr>
      </w:pPr>
      <w:r>
        <w:rPr>
          <w:snapToGrid w:val="0"/>
        </w:rPr>
        <w:tab/>
        <w:t>(i)</w:t>
      </w:r>
      <w:r>
        <w:rPr>
          <w:snapToGrid w:val="0"/>
        </w:rPr>
        <w:tab/>
        <w:t>buildings;</w:t>
      </w:r>
    </w:p>
    <w:p>
      <w:pPr>
        <w:pStyle w:val="Defsubpara"/>
        <w:spacing w:before="60"/>
        <w:rPr>
          <w:snapToGrid w:val="0"/>
        </w:rPr>
      </w:pPr>
      <w:r>
        <w:rPr>
          <w:snapToGrid w:val="0"/>
        </w:rPr>
        <w:tab/>
        <w:t>(ii)</w:t>
      </w:r>
      <w:r>
        <w:rPr>
          <w:snapToGrid w:val="0"/>
        </w:rPr>
        <w:tab/>
        <w:t>roads, railways, airfields or other works for the passage of persons, animals or vehicles;</w:t>
      </w:r>
    </w:p>
    <w:p>
      <w:pPr>
        <w:pStyle w:val="Defsubpara"/>
        <w:spacing w:before="60"/>
        <w:rPr>
          <w:snapToGrid w:val="0"/>
        </w:rPr>
      </w:pPr>
      <w:r>
        <w:rPr>
          <w:snapToGrid w:val="0"/>
        </w:rPr>
        <w:tab/>
        <w:t>(iii)</w:t>
      </w:r>
      <w:r>
        <w:rPr>
          <w:snapToGrid w:val="0"/>
        </w:rPr>
        <w:tab/>
        <w:t>breakwaters, docks, jetties, piers, wharves or works for the improvement or alteration of any harbour, river or watercourse for the purposes of navigation;</w:t>
      </w:r>
    </w:p>
    <w:p>
      <w:pPr>
        <w:pStyle w:val="Defsubpara"/>
        <w:spacing w:before="60"/>
        <w:rPr>
          <w:snapToGrid w:val="0"/>
        </w:rPr>
      </w:pPr>
      <w:r>
        <w:rPr>
          <w:snapToGrid w:val="0"/>
        </w:rPr>
        <w:tab/>
        <w:t>(iv)</w:t>
      </w:r>
      <w:r>
        <w:rPr>
          <w:snapToGrid w:val="0"/>
        </w:rPr>
        <w:tab/>
        <w:t>works for the storage or supply of water or for the irrigation of land;</w:t>
      </w:r>
    </w:p>
    <w:p>
      <w:pPr>
        <w:pStyle w:val="Defsubpara"/>
        <w:spacing w:before="60"/>
        <w:rPr>
          <w:snapToGrid w:val="0"/>
        </w:rPr>
      </w:pPr>
      <w:r>
        <w:rPr>
          <w:snapToGrid w:val="0"/>
        </w:rPr>
        <w:tab/>
        <w:t>(v)</w:t>
      </w:r>
      <w:r>
        <w:rPr>
          <w:snapToGrid w:val="0"/>
        </w:rPr>
        <w:tab/>
        <w:t>works for the conveyance, treatment or disposal of sewage or of the effluent from any premises;</w:t>
      </w:r>
    </w:p>
    <w:p>
      <w:pPr>
        <w:pStyle w:val="Defsubpara"/>
        <w:spacing w:before="60"/>
        <w:rPr>
          <w:snapToGrid w:val="0"/>
        </w:rPr>
      </w:pPr>
      <w:r>
        <w:rPr>
          <w:snapToGrid w:val="0"/>
        </w:rPr>
        <w:tab/>
        <w:t>(vi)</w:t>
      </w:r>
      <w:r>
        <w:rPr>
          <w:snapToGrid w:val="0"/>
        </w:rPr>
        <w:tab/>
        <w:t>works for the extraction, refining, processing or treatment of materials or for the production or extraction of products and by</w:t>
      </w:r>
      <w:r>
        <w:rPr>
          <w:snapToGrid w:val="0"/>
        </w:rPr>
        <w:noBreakHyphen/>
        <w:t>products from materials;</w:t>
      </w:r>
    </w:p>
    <w:p>
      <w:pPr>
        <w:pStyle w:val="Defsubpara"/>
        <w:spacing w:before="60"/>
        <w:rPr>
          <w:snapToGrid w:val="0"/>
        </w:rPr>
      </w:pPr>
      <w:r>
        <w:rPr>
          <w:snapToGrid w:val="0"/>
        </w:rPr>
        <w:tab/>
        <w:t>(vii)</w:t>
      </w:r>
      <w:r>
        <w:rPr>
          <w:snapToGrid w:val="0"/>
        </w:rPr>
        <w:tab/>
        <w:t>bridges, viaducts, aqueducts or tunnels;</w:t>
      </w:r>
    </w:p>
    <w:p>
      <w:pPr>
        <w:pStyle w:val="Defsubpara"/>
        <w:spacing w:before="60"/>
        <w:rPr>
          <w:snapToGrid w:val="0"/>
        </w:rPr>
      </w:pPr>
      <w:r>
        <w:rPr>
          <w:snapToGrid w:val="0"/>
        </w:rPr>
        <w:tab/>
        <w:t>(viii)</w:t>
      </w:r>
      <w:r>
        <w:rPr>
          <w:snapToGrid w:val="0"/>
        </w:rPr>
        <w:tab/>
        <w:t>chimney stacks, cooling towers, drilling rigs, gas</w:t>
      </w:r>
      <w:r>
        <w:rPr>
          <w:snapToGrid w:val="0"/>
        </w:rPr>
        <w:noBreakHyphen/>
        <w:t>holders or silos;</w:t>
      </w:r>
    </w:p>
    <w:p>
      <w:pPr>
        <w:pStyle w:val="Defsubpara"/>
        <w:spacing w:before="60"/>
        <w:rPr>
          <w:snapToGrid w:val="0"/>
        </w:rPr>
      </w:pPr>
      <w:r>
        <w:rPr>
          <w:snapToGrid w:val="0"/>
        </w:rPr>
        <w:tab/>
        <w:t>(ix)</w:t>
      </w:r>
      <w:r>
        <w:rPr>
          <w:snapToGrid w:val="0"/>
        </w:rPr>
        <w:tab/>
        <w:t>pipelines;</w:t>
      </w:r>
    </w:p>
    <w:p>
      <w:pPr>
        <w:pStyle w:val="Defsubpara"/>
        <w:spacing w:before="60"/>
        <w:rPr>
          <w:snapToGrid w:val="0"/>
        </w:rPr>
      </w:pPr>
      <w:r>
        <w:rPr>
          <w:snapToGrid w:val="0"/>
        </w:rPr>
        <w:tab/>
        <w:t>(x)</w:t>
      </w:r>
      <w:r>
        <w:rPr>
          <w:snapToGrid w:val="0"/>
        </w:rPr>
        <w:tab/>
        <w:t>navigational lights, beacons or markers;</w:t>
      </w:r>
    </w:p>
    <w:p>
      <w:pPr>
        <w:pStyle w:val="Defsubpara"/>
        <w:spacing w:before="60"/>
        <w:rPr>
          <w:snapToGrid w:val="0"/>
        </w:rPr>
      </w:pPr>
      <w:r>
        <w:rPr>
          <w:snapToGrid w:val="0"/>
        </w:rPr>
        <w:tab/>
        <w:t>(xi)</w:t>
      </w:r>
      <w:r>
        <w:rPr>
          <w:snapToGrid w:val="0"/>
        </w:rPr>
        <w:tab/>
        <w:t>works for the drainage of land;</w:t>
      </w:r>
    </w:p>
    <w:p>
      <w:pPr>
        <w:pStyle w:val="Defsubpara"/>
        <w:spacing w:before="60"/>
        <w:rPr>
          <w:snapToGrid w:val="0"/>
        </w:rPr>
      </w:pPr>
      <w:r>
        <w:rPr>
          <w:snapToGrid w:val="0"/>
        </w:rPr>
        <w:tab/>
        <w:t>(xii)</w:t>
      </w:r>
      <w:r>
        <w:rPr>
          <w:snapToGrid w:val="0"/>
        </w:rPr>
        <w:tab/>
        <w:t>works for the storage of liquids (other than water) or gases;</w:t>
      </w:r>
    </w:p>
    <w:p>
      <w:pPr>
        <w:pStyle w:val="Defsubpara"/>
        <w:spacing w:before="60"/>
        <w:rPr>
          <w:snapToGrid w:val="0"/>
        </w:rPr>
      </w:pPr>
      <w:r>
        <w:rPr>
          <w:snapToGrid w:val="0"/>
        </w:rPr>
        <w:tab/>
        <w:t>(xiii)</w:t>
      </w:r>
      <w:r>
        <w:rPr>
          <w:snapToGrid w:val="0"/>
        </w:rPr>
        <w:tab/>
        <w:t>works for the generation, supply or transmission of electric power;</w:t>
      </w:r>
    </w:p>
    <w:p>
      <w:pPr>
        <w:pStyle w:val="Defsubpara"/>
        <w:spacing w:before="60"/>
        <w:rPr>
          <w:snapToGrid w:val="0"/>
        </w:rPr>
      </w:pPr>
      <w:r>
        <w:rPr>
          <w:snapToGrid w:val="0"/>
        </w:rPr>
        <w:tab/>
        <w:t>(xiv)</w:t>
      </w:r>
      <w:r>
        <w:rPr>
          <w:snapToGrid w:val="0"/>
        </w:rPr>
        <w:tab/>
        <w:t>works for the transmission of wireless or telegraphic communications;</w:t>
      </w:r>
    </w:p>
    <w:p>
      <w:pPr>
        <w:pStyle w:val="Defsubpara"/>
        <w:spacing w:before="60"/>
        <w:rPr>
          <w:snapToGrid w:val="0"/>
        </w:rPr>
      </w:pPr>
      <w:r>
        <w:rPr>
          <w:snapToGrid w:val="0"/>
        </w:rPr>
        <w:tab/>
        <w:t>(xv)</w:t>
      </w:r>
      <w:r>
        <w:rPr>
          <w:snapToGrid w:val="0"/>
        </w:rPr>
        <w:tab/>
        <w:t>pile driving works;</w:t>
      </w:r>
    </w:p>
    <w:p>
      <w:pPr>
        <w:pStyle w:val="Defsubpara"/>
        <w:spacing w:before="60"/>
        <w:rPr>
          <w:snapToGrid w:val="0"/>
        </w:rPr>
      </w:pPr>
      <w:r>
        <w:rPr>
          <w:snapToGrid w:val="0"/>
        </w:rPr>
        <w:tab/>
        <w:t>(xvi)</w:t>
      </w:r>
      <w:r>
        <w:rPr>
          <w:snapToGrid w:val="0"/>
        </w:rPr>
        <w:tab/>
        <w:t>structures, fixtures or works for the use on any buildings or works of a kind referred to in subparagraphs (i) to (xv);</w:t>
      </w:r>
    </w:p>
    <w:p>
      <w:pPr>
        <w:pStyle w:val="Defsubpara"/>
        <w:spacing w:before="60"/>
        <w:rPr>
          <w:snapToGrid w:val="0"/>
        </w:rPr>
      </w:pPr>
      <w:r>
        <w:rPr>
          <w:snapToGrid w:val="0"/>
        </w:rPr>
        <w:tab/>
        <w:t>(xvii)</w:t>
      </w:r>
      <w:r>
        <w:rPr>
          <w:snapToGrid w:val="0"/>
        </w:rPr>
        <w:tab/>
        <w:t>works for the preparation of sites for any buildings or works of a kind referred to in subparagraphs (i) to (xvi); and</w:t>
      </w:r>
    </w:p>
    <w:p>
      <w:pPr>
        <w:pStyle w:val="Defsubpara"/>
        <w:keepLines w:val="0"/>
        <w:spacing w:before="60"/>
        <w:rPr>
          <w:snapToGrid w:val="0"/>
        </w:rPr>
      </w:pPr>
      <w:r>
        <w:rPr>
          <w:snapToGrid w:val="0"/>
        </w:rPr>
        <w:tab/>
        <w:t>(xviii)</w:t>
      </w:r>
      <w:r>
        <w:rPr>
          <w:snapToGrid w:val="0"/>
        </w:rP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pPr>
      <w:r>
        <w:tab/>
      </w:r>
      <w:r>
        <w:tab/>
        <w:t>but does not include —</w:t>
      </w:r>
    </w:p>
    <w:p>
      <w:pPr>
        <w:pStyle w:val="Defpara"/>
      </w:pPr>
      <w:r>
        <w:tab/>
        <w:t>(d)</w:t>
      </w:r>
      <w:r>
        <w:tab/>
        <w:t>the carrying out of any work on ships;</w:t>
      </w:r>
    </w:p>
    <w:p>
      <w:pPr>
        <w:pStyle w:val="Defpara"/>
      </w:pPr>
      <w:r>
        <w:tab/>
        <w:t>(e)</w:t>
      </w:r>
      <w:r>
        <w:tab/>
        <w:t>the maintenance of or repairs or minor alterations to lifts or escalators; or</w:t>
      </w:r>
    </w:p>
    <w:p>
      <w:pPr>
        <w:pStyle w:val="Defpara"/>
      </w:pPr>
      <w:r>
        <w:tab/>
        <w:t>(f)</w:t>
      </w:r>
      <w:r>
        <w:tab/>
        <w:t>the carrying out of maintenance or repairs of a routine or minor nature by employees for an employer who is not substantially engaged in the industry described in this interpretation;</w:t>
      </w:r>
    </w:p>
    <w:p>
      <w:pPr>
        <w:pStyle w:val="Defstart"/>
      </w:pPr>
      <w:r>
        <w:rPr>
          <w:b/>
        </w:rPr>
        <w:tab/>
        <w:t>“</w:t>
      </w:r>
      <w:r>
        <w:rPr>
          <w:rStyle w:val="CharDefText"/>
        </w:rPr>
        <w:t>day of service</w:t>
      </w:r>
      <w:r>
        <w:rPr>
          <w:b/>
        </w:rPr>
        <w:t>”</w:t>
      </w:r>
      <w:r>
        <w:t xml:space="preserve"> means any day on which an employee is entitled to receive ordinary pay and includes any day on which the employee in question is —</w:t>
      </w:r>
    </w:p>
    <w:p>
      <w:pPr>
        <w:pStyle w:val="Defpara"/>
      </w:pPr>
      <w:r>
        <w:tab/>
        <w:t>(a)</w:t>
      </w:r>
      <w:r>
        <w:tab/>
        <w:t>on long service leave under this Act;</w:t>
      </w:r>
    </w:p>
    <w:p>
      <w:pPr>
        <w:pStyle w:val="Defpara"/>
      </w:pPr>
      <w:r>
        <w:tab/>
        <w:t>(b)</w:t>
      </w:r>
      <w:r>
        <w:tab/>
        <w:t>on annual leave in excess of 4 weeks in any period of 12 months;</w:t>
      </w:r>
    </w:p>
    <w:p>
      <w:pPr>
        <w:pStyle w:val="Defpara"/>
      </w:pPr>
      <w:r>
        <w:tab/>
        <w:t>(c)</w:t>
      </w:r>
      <w:r>
        <w:tab/>
        <w:t>on paid sick leave;</w:t>
      </w:r>
    </w:p>
    <w:p>
      <w:pPr>
        <w:pStyle w:val="Defstart"/>
      </w:pPr>
      <w:r>
        <w:rPr>
          <w:b/>
        </w:rPr>
        <w:tab/>
        <w:t>“</w:t>
      </w:r>
      <w:r>
        <w:rPr>
          <w:rStyle w:val="CharDefText"/>
        </w:rPr>
        <w:t>employee</w:t>
      </w:r>
      <w:r>
        <w:rPr>
          <w:b/>
        </w:rPr>
        <w:t>”</w:t>
      </w:r>
      <w:r>
        <w:t xml:space="preserve"> means a person who is employed under contract of service or apprenticeship in a classification of work referred to in a prescribed award relating to the construction industry that is a prescribed classification;</w:t>
      </w:r>
    </w:p>
    <w:p>
      <w:pPr>
        <w:pStyle w:val="Defstart"/>
      </w:pPr>
      <w:r>
        <w:rPr>
          <w:b/>
        </w:rPr>
        <w:tab/>
        <w:t>“</w:t>
      </w:r>
      <w:r>
        <w:rPr>
          <w:rStyle w:val="CharDefText"/>
        </w:rPr>
        <w:t>employees register</w:t>
      </w:r>
      <w:r>
        <w:rPr>
          <w:b/>
        </w:rPr>
        <w:t>”</w:t>
      </w:r>
      <w:r>
        <w:t xml:space="preserve"> means the register of employees established and maintained under Part IV;</w:t>
      </w:r>
    </w:p>
    <w:p>
      <w:pPr>
        <w:pStyle w:val="Defstart"/>
      </w:pPr>
      <w:r>
        <w:rPr>
          <w:b/>
        </w:rPr>
        <w:tab/>
        <w:t>“</w:t>
      </w:r>
      <w:r>
        <w:rPr>
          <w:rStyle w:val="CharDefText"/>
        </w:rPr>
        <w:t>employer</w:t>
      </w:r>
      <w:r>
        <w:rPr>
          <w:b/>
        </w:rPr>
        <w:t>”</w:t>
      </w:r>
      <w:r>
        <w:t xml:space="preserve"> means a natural person or firm or body corporate, as the case may be, who or which engages persons as employees in the construction industry but does not include a Minister, authority or local government prescribed under subsection (4)(c);</w:t>
      </w:r>
    </w:p>
    <w:p>
      <w:pPr>
        <w:pStyle w:val="Defstart"/>
      </w:pPr>
      <w:r>
        <w:rPr>
          <w:b/>
        </w:rPr>
        <w:tab/>
        <w:t>“</w:t>
      </w:r>
      <w:r>
        <w:rPr>
          <w:rStyle w:val="CharDefText"/>
        </w:rPr>
        <w:t>employers register</w:t>
      </w:r>
      <w:r>
        <w:rPr>
          <w:b/>
        </w:rPr>
        <w:t>”</w:t>
      </w:r>
      <w:r>
        <w:t xml:space="preserve"> means the register of employers established and maintained under Part IV;</w:t>
      </w:r>
    </w:p>
    <w:p>
      <w:pPr>
        <w:pStyle w:val="Defstart"/>
      </w:pPr>
      <w:r>
        <w:rPr>
          <w:b/>
        </w:rPr>
        <w:tab/>
        <w:t>“</w:t>
      </w:r>
      <w:r>
        <w:rPr>
          <w:rStyle w:val="CharDefText"/>
        </w:rPr>
        <w:t>member</w:t>
      </w:r>
      <w:r>
        <w:rPr>
          <w:b/>
        </w:rPr>
        <w:t>”</w:t>
      </w:r>
      <w:r>
        <w:t xml:space="preserve"> means a member of the Board and includes the chairman;</w:t>
      </w:r>
    </w:p>
    <w:p>
      <w:pPr>
        <w:pStyle w:val="Defstart"/>
      </w:pPr>
      <w:r>
        <w:rPr>
          <w:b/>
        </w:rPr>
        <w:tab/>
        <w:t>“</w:t>
      </w:r>
      <w:r>
        <w:rPr>
          <w:rStyle w:val="CharDefText"/>
        </w:rPr>
        <w:t>ordinary pay</w:t>
      </w:r>
      <w:r>
        <w:rPr>
          <w:b/>
        </w:rPr>
        <w:t>”</w:t>
      </w:r>
      <w:r>
        <w:t xml:space="preserve"> means the ordinary rate of wage payable under the relevant prescribed award to an employee performing work within a prescribed classification referred to in a prescribed award but does not include any amount payable to the employee (whether or not under the relevant prescribed award) in respect of —</w:t>
      </w:r>
    </w:p>
    <w:p>
      <w:pPr>
        <w:pStyle w:val="Defpara"/>
      </w:pPr>
      <w:r>
        <w:tab/>
        <w:t>(a)</w:t>
      </w:r>
      <w:r>
        <w:tab/>
        <w:t>any payment (however described) payable only with reference to the site on which the employee is employed for the time being;</w:t>
      </w:r>
    </w:p>
    <w:p>
      <w:pPr>
        <w:pStyle w:val="Defpara"/>
      </w:pPr>
      <w:r>
        <w:tab/>
        <w:t>(b)</w:t>
      </w:r>
      <w:r>
        <w:tab/>
        <w:t>any shift allowance;</w:t>
      </w:r>
    </w:p>
    <w:p>
      <w:pPr>
        <w:pStyle w:val="Defpara"/>
      </w:pPr>
      <w:r>
        <w:tab/>
        <w:t>(c)</w:t>
      </w:r>
      <w:r>
        <w:tab/>
        <w:t>any amount payable in respect of fares or travelling allowances;</w:t>
      </w:r>
    </w:p>
    <w:p>
      <w:pPr>
        <w:pStyle w:val="Defpara"/>
      </w:pPr>
      <w:r>
        <w:tab/>
        <w:t>(d)</w:t>
      </w:r>
      <w:r>
        <w:tab/>
        <w:t>penalty rates or disability payments, however described;</w:t>
      </w:r>
    </w:p>
    <w:p>
      <w:pPr>
        <w:pStyle w:val="Defstart"/>
      </w:pPr>
      <w:r>
        <w:rPr>
          <w:b/>
        </w:rPr>
        <w:tab/>
        <w:t>“</w:t>
      </w:r>
      <w:r>
        <w:rPr>
          <w:rStyle w:val="CharDefText"/>
        </w:rPr>
        <w:t>union</w:t>
      </w:r>
      <w:r>
        <w:rPr>
          <w:b/>
        </w:rPr>
        <w:t>”</w:t>
      </w:r>
      <w:r>
        <w:t xml:space="preserve"> means an organization of workers or employees registered under the </w:t>
      </w:r>
      <w:r>
        <w:rPr>
          <w:i/>
        </w:rPr>
        <w:t>Conciliation and Arbitration Act 1904</w:t>
      </w:r>
      <w:r>
        <w:rPr>
          <w:iCs/>
        </w:rPr>
        <w:t> </w:t>
      </w:r>
      <w:r>
        <w:rPr>
          <w:iCs/>
          <w:vertAlign w:val="superscript"/>
        </w:rPr>
        <w:t>2</w:t>
      </w:r>
      <w:r>
        <w:t xml:space="preserve"> of the Commonwealth or the </w:t>
      </w:r>
      <w:r>
        <w:rPr>
          <w:i/>
        </w:rPr>
        <w:t>Industrial Relations Act 1979</w:t>
      </w:r>
      <w:r>
        <w:t>;</w:t>
      </w:r>
    </w:p>
    <w:p>
      <w:pPr>
        <w:pStyle w:val="Defstart"/>
      </w:pPr>
      <w:r>
        <w:rPr>
          <w:b/>
        </w:rPr>
        <w:tab/>
        <w:t>“</w:t>
      </w:r>
      <w:r>
        <w:rPr>
          <w:rStyle w:val="CharDefText"/>
        </w:rPr>
        <w:t>year of service</w:t>
      </w:r>
      <w:r>
        <w:rPr>
          <w:b/>
        </w:rPr>
        <w:t>”</w:t>
      </w:r>
      <w:r>
        <w:t xml:space="preserve"> means a year of service as determined in accordance with section 21(2).</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Subsection"/>
        <w:rPr>
          <w:snapToGrid w:val="0"/>
        </w:rPr>
      </w:pPr>
      <w:r>
        <w:rPr>
          <w:snapToGrid w:val="0"/>
        </w:rPr>
        <w:tab/>
        <w:t>(3)</w:t>
      </w:r>
      <w:r>
        <w:rPr>
          <w:snapToGrid w:val="0"/>
        </w:rPr>
        <w:tab/>
        <w:t>For the purposes of this Act a reference to an employee does not include an apprentice under and for the purposes of any Act of this State or any other State of the Commonwealth relating to apprentices but service as an apprentice shall be included as service for the purposes of this Act.</w:t>
      </w:r>
    </w:p>
    <w:p>
      <w:pPr>
        <w:pStyle w:val="Subsection"/>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any classification of work referred to in a prescribed award to be a prescribed classification of work for the purposes of the definition of “employee”;</w:t>
      </w:r>
    </w:p>
    <w:p>
      <w:pPr>
        <w:pStyle w:val="Indenta"/>
        <w:rPr>
          <w:snapToGrid w:val="0"/>
        </w:rPr>
      </w:pPr>
      <w:r>
        <w:rPr>
          <w:snapToGrid w:val="0"/>
        </w:rPr>
        <w:tab/>
        <w:t>(b)</w:t>
      </w:r>
      <w:r>
        <w:rPr>
          <w:snapToGrid w:val="0"/>
        </w:rPr>
        <w:tab/>
        <w:t>any award made with respect to employment in the construction industry to be a prescribed award for the purposes of this Act;</w:t>
      </w:r>
    </w:p>
    <w:p>
      <w:pPr>
        <w:pStyle w:val="Indenta"/>
        <w:rPr>
          <w:snapToGrid w:val="0"/>
        </w:rPr>
      </w:pPr>
      <w:r>
        <w:rPr>
          <w:snapToGrid w:val="0"/>
        </w:rPr>
        <w:tab/>
        <w:t>(c)</w:t>
      </w:r>
      <w:r>
        <w:rPr>
          <w:snapToGrid w:val="0"/>
        </w:rPr>
        <w:tab/>
        <w:t>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“employer” in subsection (1).</w:t>
      </w:r>
    </w:p>
    <w:p>
      <w:pPr>
        <w:pStyle w:val="Footnotesection"/>
      </w:pPr>
      <w:r>
        <w:tab/>
        <w:t>[Section 3 amended by No. 30 of 1989 s. 4; No. 14 of 1996 s. 4; No. 57 of 1997 s. 38; No. 10 of 2001 s. 44.]</w:t>
      </w:r>
    </w:p>
    <w:p>
      <w:pPr>
        <w:pStyle w:val="Heading5"/>
        <w:rPr>
          <w:snapToGrid w:val="0"/>
        </w:rPr>
      </w:pPr>
      <w:bookmarkStart w:id="19" w:name="_Toc95730143"/>
      <w:bookmarkStart w:id="20" w:name="_Toc120001168"/>
      <w:r>
        <w:rPr>
          <w:rStyle w:val="CharSectno"/>
        </w:rPr>
        <w:t>4</w:t>
      </w:r>
      <w:r>
        <w:rPr>
          <w:snapToGrid w:val="0"/>
        </w:rPr>
        <w:t>.</w:t>
      </w:r>
      <w:r>
        <w:rPr>
          <w:snapToGrid w:val="0"/>
        </w:rPr>
        <w:tab/>
        <w:t>Crown bound</w:t>
      </w:r>
      <w:bookmarkEnd w:id="19"/>
      <w:bookmarkEnd w:id="20"/>
    </w:p>
    <w:p>
      <w:pPr>
        <w:pStyle w:val="Subsection"/>
        <w:rPr>
          <w:snapToGrid w:val="0"/>
        </w:rPr>
      </w:pPr>
      <w:r>
        <w:rPr>
          <w:snapToGrid w:val="0"/>
        </w:rPr>
        <w:tab/>
      </w:r>
      <w:r>
        <w:rPr>
          <w:snapToGrid w:val="0"/>
        </w:rPr>
        <w:tab/>
        <w:t>This Act binds the Crown in right of the State.</w:t>
      </w:r>
    </w:p>
    <w:p>
      <w:pPr>
        <w:pStyle w:val="Heading2"/>
      </w:pPr>
      <w:bookmarkStart w:id="21" w:name="_Toc95729727"/>
      <w:bookmarkStart w:id="22" w:name="_Toc95729792"/>
      <w:bookmarkStart w:id="23" w:name="_Toc95730144"/>
      <w:bookmarkStart w:id="24" w:name="_Toc95730218"/>
      <w:bookmarkStart w:id="25" w:name="_Toc97003705"/>
      <w:bookmarkStart w:id="26" w:name="_Toc102810424"/>
      <w:bookmarkStart w:id="27" w:name="_Toc116956523"/>
      <w:bookmarkStart w:id="28" w:name="_Toc116956587"/>
      <w:bookmarkStart w:id="29" w:name="_Toc116960852"/>
      <w:bookmarkStart w:id="30" w:name="_Toc118525487"/>
      <w:bookmarkStart w:id="31" w:name="_Toc118525793"/>
      <w:bookmarkStart w:id="32" w:name="_Toc120001169"/>
      <w:r>
        <w:rPr>
          <w:rStyle w:val="CharPartNo"/>
        </w:rPr>
        <w:t>Part II</w:t>
      </w:r>
      <w:r>
        <w:rPr>
          <w:rStyle w:val="CharDivNo"/>
        </w:rPr>
        <w:t> </w:t>
      </w:r>
      <w:r>
        <w:t>—</w:t>
      </w:r>
      <w:r>
        <w:rPr>
          <w:rStyle w:val="CharDivText"/>
        </w:rPr>
        <w:t> </w:t>
      </w:r>
      <w:r>
        <w:rPr>
          <w:rStyle w:val="CharPartText"/>
        </w:rPr>
        <w:t>Administration</w:t>
      </w:r>
      <w:bookmarkEnd w:id="21"/>
      <w:bookmarkEnd w:id="22"/>
      <w:bookmarkEnd w:id="23"/>
      <w:bookmarkEnd w:id="24"/>
      <w:bookmarkEnd w:id="25"/>
      <w:bookmarkEnd w:id="26"/>
      <w:bookmarkEnd w:id="27"/>
      <w:bookmarkEnd w:id="28"/>
      <w:bookmarkEnd w:id="29"/>
      <w:bookmarkEnd w:id="30"/>
      <w:bookmarkEnd w:id="31"/>
      <w:bookmarkEnd w:id="32"/>
    </w:p>
    <w:p>
      <w:pPr>
        <w:pStyle w:val="Heading5"/>
        <w:spacing w:before="180"/>
        <w:rPr>
          <w:snapToGrid w:val="0"/>
        </w:rPr>
      </w:pPr>
      <w:bookmarkStart w:id="33" w:name="_Toc95730145"/>
      <w:bookmarkStart w:id="34" w:name="_Toc120001170"/>
      <w:r>
        <w:rPr>
          <w:rStyle w:val="CharSectno"/>
        </w:rPr>
        <w:t>5</w:t>
      </w:r>
      <w:r>
        <w:rPr>
          <w:snapToGrid w:val="0"/>
        </w:rPr>
        <w:t>.</w:t>
      </w:r>
      <w:r>
        <w:rPr>
          <w:snapToGrid w:val="0"/>
        </w:rPr>
        <w:tab/>
        <w:t>Construction Industry Long Service Leave Payments Board established</w:t>
      </w:r>
      <w:bookmarkEnd w:id="33"/>
      <w:bookmarkEnd w:id="34"/>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spacing w:before="60"/>
        <w:rPr>
          <w:snapToGrid w:val="0"/>
        </w:rPr>
      </w:pPr>
      <w:r>
        <w:rPr>
          <w:snapToGrid w:val="0"/>
        </w:rPr>
        <w:tab/>
        <w:t>(a)</w:t>
      </w:r>
      <w:r>
        <w:rPr>
          <w:snapToGrid w:val="0"/>
        </w:rPr>
        <w:tab/>
        <w:t>has perpetual succession and a common seal;</w:t>
      </w:r>
    </w:p>
    <w:p>
      <w:pPr>
        <w:pStyle w:val="Indenta"/>
        <w:spacing w:before="60"/>
        <w:rPr>
          <w:snapToGrid w:val="0"/>
        </w:rPr>
      </w:pPr>
      <w:r>
        <w:rPr>
          <w:snapToGrid w:val="0"/>
        </w:rPr>
        <w:tab/>
        <w:t>(b)</w:t>
      </w:r>
      <w:r>
        <w:rPr>
          <w:snapToGrid w:val="0"/>
        </w:rPr>
        <w:tab/>
        <w:t>may sue and be sued in any court;</w:t>
      </w:r>
    </w:p>
    <w:p>
      <w:pPr>
        <w:pStyle w:val="Indenta"/>
        <w:spacing w:before="60"/>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spacing w:before="60"/>
        <w:rPr>
          <w:snapToGrid w:val="0"/>
        </w:rPr>
      </w:pPr>
      <w:r>
        <w:rPr>
          <w:snapToGrid w:val="0"/>
        </w:rPr>
        <w:tab/>
        <w:t>(a)</w:t>
      </w:r>
      <w:r>
        <w:rPr>
          <w:snapToGrid w:val="0"/>
        </w:rPr>
        <w:tab/>
        <w:t>the seal is the common seal of the Board; and</w:t>
      </w:r>
    </w:p>
    <w:p>
      <w:pPr>
        <w:pStyle w:val="Indenta"/>
        <w:spacing w:before="60"/>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35" w:name="_Toc95730146"/>
      <w:bookmarkStart w:id="36" w:name="_Toc120001171"/>
      <w:r>
        <w:rPr>
          <w:rStyle w:val="CharSectno"/>
        </w:rPr>
        <w:t>6</w:t>
      </w:r>
      <w:r>
        <w:rPr>
          <w:snapToGrid w:val="0"/>
        </w:rPr>
        <w:t>.</w:t>
      </w:r>
      <w:r>
        <w:rPr>
          <w:snapToGrid w:val="0"/>
        </w:rPr>
        <w:tab/>
        <w:t>Membership of the Board</w:t>
      </w:r>
      <w:bookmarkEnd w:id="35"/>
      <w:bookmarkEnd w:id="36"/>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spacing w:before="60"/>
        <w:rPr>
          <w:snapToGrid w:val="0"/>
        </w:rPr>
      </w:pPr>
      <w:r>
        <w:rPr>
          <w:snapToGrid w:val="0"/>
        </w:rPr>
        <w:tab/>
        <w:t xml:space="preserve">(a) </w:t>
      </w:r>
      <w:r>
        <w:rPr>
          <w:snapToGrid w:val="0"/>
        </w:rPr>
        <w:tab/>
        <w:t>one person who shall be chairman;</w:t>
      </w:r>
    </w:p>
    <w:p>
      <w:pPr>
        <w:pStyle w:val="Indenta"/>
        <w:spacing w:before="60"/>
        <w:rPr>
          <w:snapToGrid w:val="0"/>
        </w:rPr>
      </w:pPr>
      <w:r>
        <w:rPr>
          <w:snapToGrid w:val="0"/>
        </w:rPr>
        <w:tab/>
        <w:t>(b)</w:t>
      </w:r>
      <w:r>
        <w:rPr>
          <w:snapToGrid w:val="0"/>
        </w:rPr>
        <w:tab/>
        <w:t>3 persons appointed from among persons whose names are on a panel of 6 names comprised of 3 names submitted by the body known as the Master Builders’ Association of Western Australia and 3 names submitted by the body known as The Confederation of Western Australian Industry (Incorporated); and</w:t>
      </w:r>
    </w:p>
    <w:p>
      <w:pPr>
        <w:pStyle w:val="Indenta"/>
        <w:rPr>
          <w:snapToGrid w:val="0"/>
        </w:rPr>
      </w:pPr>
      <w:r>
        <w:rPr>
          <w:snapToGrid w:val="0"/>
        </w:rPr>
        <w:tab/>
        <w:t>(c)</w:t>
      </w:r>
      <w:r>
        <w:rPr>
          <w:snapToGrid w:val="0"/>
        </w:rPr>
        <w:tab/>
        <w:t>3 persons appointed from among persons whose names are on a panel of 6 names comprised of 3 names submitted by the body known as the Trades and Labor Council of Western Australia and 3 names submitted by the body known as The Building Trades Association of Unions of Western Australia (Association of Workers).</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Heading5"/>
        <w:rPr>
          <w:snapToGrid w:val="0"/>
        </w:rPr>
      </w:pPr>
      <w:bookmarkStart w:id="37" w:name="_Toc95730147"/>
      <w:bookmarkStart w:id="38" w:name="_Toc120001172"/>
      <w:r>
        <w:rPr>
          <w:rStyle w:val="CharSectno"/>
        </w:rPr>
        <w:t>7</w:t>
      </w:r>
      <w:r>
        <w:rPr>
          <w:snapToGrid w:val="0"/>
        </w:rPr>
        <w:t>.</w:t>
      </w:r>
      <w:r>
        <w:rPr>
          <w:snapToGrid w:val="0"/>
        </w:rPr>
        <w:tab/>
        <w:t>Acting members</w:t>
      </w:r>
      <w:bookmarkEnd w:id="37"/>
      <w:bookmarkEnd w:id="38"/>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 member other than the chairman is absent or temporarily incapable of fulfilling the duties of a member; or</w:t>
      </w:r>
    </w:p>
    <w:p>
      <w:pPr>
        <w:pStyle w:val="Indenta"/>
        <w:spacing w:before="60"/>
        <w:rPr>
          <w:snapToGrid w:val="0"/>
        </w:rPr>
      </w:pPr>
      <w:r>
        <w:rPr>
          <w:snapToGrid w:val="0"/>
        </w:rPr>
        <w:tab/>
        <w:t>(b)</w:t>
      </w:r>
      <w:r>
        <w:rPr>
          <w:snapToGrid w:val="0"/>
        </w:rPr>
        <w:tab/>
        <w:t>the office of a member other than the chairman is vacant and has not been filled in accordance with this Act,</w:t>
      </w:r>
    </w:p>
    <w:p>
      <w:pPr>
        <w:pStyle w:val="Subsection"/>
        <w:rPr>
          <w:snapToGrid w:val="0"/>
        </w:rPr>
      </w:pPr>
      <w:r>
        <w:rPr>
          <w:snapToGrid w:val="0"/>
        </w:rPr>
        <w:tab/>
      </w:r>
      <w:r>
        <w:rPr>
          <w:snapToGrid w:val="0"/>
        </w:rPr>
        <w:tab/>
        <w:t>the Minister may on the nomination of the relevant body referred in section 6(1)(b) or (c) appoint a person to act in the place of that member during that absence or incapacity,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spacing w:val="-6"/>
        </w:rPr>
        <w:tab/>
        <w:t>(2)</w:t>
      </w:r>
      <w:r>
        <w:rPr>
          <w:snapToGrid w:val="0"/>
          <w:spacing w:val="-6"/>
        </w:rPr>
        <w:tab/>
      </w:r>
      <w:r>
        <w:rPr>
          <w:snapToGrid w:val="0"/>
        </w:rPr>
        <w:t>A nomination for the purposes of subsection (1) may be made from time to time and may be expressed to operate for a period or in such circumstances as are specified in the instrument of nomination.</w:t>
      </w:r>
    </w:p>
    <w:p>
      <w:pPr>
        <w:pStyle w:val="Subsection"/>
        <w:rPr>
          <w:snapToGrid w:val="0"/>
        </w:rPr>
      </w:pPr>
      <w:r>
        <w:rPr>
          <w:snapToGrid w:val="0"/>
        </w:rPr>
        <w:tab/>
        <w:t>(3)</w:t>
      </w:r>
      <w:r>
        <w:rPr>
          <w:snapToGrid w:val="0"/>
        </w:rPr>
        <w:tab/>
        <w:t>The Minister, in the absence or incapacity of the chairman or if that office is vacant, may appoint a person to act as chairman and that person, while the appointment subsists, has all the functions, powers and duties of the chairman.</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Heading5"/>
        <w:rPr>
          <w:snapToGrid w:val="0"/>
        </w:rPr>
      </w:pPr>
      <w:bookmarkStart w:id="39" w:name="_Toc95730148"/>
      <w:bookmarkStart w:id="40" w:name="_Toc120001173"/>
      <w:r>
        <w:rPr>
          <w:rStyle w:val="CharSectno"/>
        </w:rPr>
        <w:t>8</w:t>
      </w:r>
      <w:r>
        <w:rPr>
          <w:snapToGrid w:val="0"/>
        </w:rPr>
        <w:t>.</w:t>
      </w:r>
      <w:r>
        <w:rPr>
          <w:snapToGrid w:val="0"/>
        </w:rPr>
        <w:tab/>
        <w:t>Vacation of office</w:t>
      </w:r>
      <w:bookmarkEnd w:id="39"/>
      <w:bookmarkEnd w:id="40"/>
    </w:p>
    <w:p>
      <w:pPr>
        <w:pStyle w:val="Subsection"/>
        <w:rPr>
          <w:snapToGrid w:val="0"/>
        </w:rPr>
      </w:pPr>
      <w:r>
        <w:rPr>
          <w:snapToGrid w:val="0"/>
        </w:rPr>
        <w:tab/>
        <w:t>(1)</w:t>
      </w:r>
      <w:r>
        <w:rPr>
          <w:snapToGrid w:val="0"/>
        </w:rPr>
        <w:tab/>
        <w:t>The Minister may terminate the appointment of a member for inability, inefficiency or misbehaviour.</w:t>
      </w:r>
    </w:p>
    <w:p>
      <w:pPr>
        <w:pStyle w:val="Subsection"/>
        <w:rPr>
          <w:snapToGrid w:val="0"/>
        </w:rPr>
      </w:pPr>
      <w:r>
        <w:rPr>
          <w:snapToGrid w:val="0"/>
        </w:rPr>
        <w:tab/>
        <w:t>(2)</w:t>
      </w:r>
      <w:r>
        <w:rPr>
          <w:snapToGrid w:val="0"/>
        </w:rPr>
        <w:tab/>
        <w:t>The office of a member becomes vacant if —</w:t>
      </w:r>
    </w:p>
    <w:p>
      <w:pPr>
        <w:pStyle w:val="Indenta"/>
        <w:rPr>
          <w:snapToGrid w:val="0"/>
        </w:rPr>
      </w:pPr>
      <w:r>
        <w:rPr>
          <w:snapToGrid w:val="0"/>
        </w:rPr>
        <w:tab/>
        <w:t>(a)</w:t>
      </w:r>
      <w:r>
        <w:rPr>
          <w:snapToGrid w:val="0"/>
        </w:rPr>
        <w:tab/>
        <w:t>he is or becomes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his appointment is terminated by the Minister under subsection (1);</w:t>
      </w:r>
    </w:p>
    <w:p>
      <w:pPr>
        <w:pStyle w:val="Indenta"/>
        <w:rPr>
          <w:snapToGrid w:val="0"/>
        </w:rPr>
      </w:pPr>
      <w:r>
        <w:rPr>
          <w:snapToGrid w:val="0"/>
        </w:rPr>
        <w:tab/>
        <w:t>(c)</w:t>
      </w:r>
      <w:r>
        <w:rPr>
          <w:snapToGrid w:val="0"/>
        </w:rPr>
        <w:tab/>
        <w:t>he is absent, except on leave duly granted by the Minister, from 3 consecutive meetings of the Board of which he has had notice;</w:t>
      </w:r>
    </w:p>
    <w:p>
      <w:pPr>
        <w:pStyle w:val="Indenta"/>
        <w:rPr>
          <w:snapToGrid w:val="0"/>
        </w:rPr>
      </w:pPr>
      <w:r>
        <w:rPr>
          <w:snapToGrid w:val="0"/>
        </w:rPr>
        <w:tab/>
        <w:t>(d)</w:t>
      </w:r>
      <w:r>
        <w:rPr>
          <w:snapToGrid w:val="0"/>
        </w:rPr>
        <w:tab/>
        <w:t>he resigns his office by written notice addressed to the Minister;</w:t>
      </w:r>
    </w:p>
    <w:p>
      <w:pPr>
        <w:pStyle w:val="Indenta"/>
        <w:rPr>
          <w:snapToGrid w:val="0"/>
        </w:rPr>
      </w:pPr>
      <w:r>
        <w:rPr>
          <w:snapToGrid w:val="0"/>
        </w:rPr>
        <w:tab/>
        <w:t>(e)</w:t>
      </w:r>
      <w:r>
        <w:rPr>
          <w:snapToGrid w:val="0"/>
        </w:rPr>
        <w:tab/>
        <w:t>being a member appointed under section 6(1)(b) or (c) the body by whom he was nominated withdraws its nomination;</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Heading5"/>
        <w:rPr>
          <w:snapToGrid w:val="0"/>
        </w:rPr>
      </w:pPr>
      <w:bookmarkStart w:id="41" w:name="_Toc95730149"/>
      <w:bookmarkStart w:id="42" w:name="_Toc120001174"/>
      <w:r>
        <w:rPr>
          <w:rStyle w:val="CharSectno"/>
        </w:rPr>
        <w:t>9</w:t>
      </w:r>
      <w:r>
        <w:rPr>
          <w:snapToGrid w:val="0"/>
        </w:rPr>
        <w:t>.</w:t>
      </w:r>
      <w:r>
        <w:rPr>
          <w:snapToGrid w:val="0"/>
        </w:rPr>
        <w:tab/>
        <w:t>Fees and allowances</w:t>
      </w:r>
      <w:bookmarkEnd w:id="41"/>
      <w:bookmarkEnd w:id="42"/>
    </w:p>
    <w:p>
      <w:pPr>
        <w:pStyle w:val="Subsection"/>
        <w:rPr>
          <w:snapToGrid w:val="0"/>
        </w:rPr>
      </w:pPr>
      <w:r>
        <w:rPr>
          <w:snapToGrid w:val="0"/>
        </w:rPr>
        <w:tab/>
        <w:t>(1)</w:t>
      </w:r>
      <w:r>
        <w:rPr>
          <w:snapToGrid w:val="0"/>
        </w:rPr>
        <w:tab/>
        <w:t>A member is entitled to such fees and allowances as the Minister determines from time to time after consultation with the Minister for Public Sector Management</w:t>
      </w:r>
      <w:r>
        <w:rPr>
          <w:snapToGrid w:val="0"/>
          <w:vertAlign w:val="superscript"/>
        </w:rPr>
        <w:t> 3</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 by No. 32 of 1994 s. 3(2).]</w:t>
      </w:r>
    </w:p>
    <w:p>
      <w:pPr>
        <w:pStyle w:val="Heading5"/>
        <w:rPr>
          <w:snapToGrid w:val="0"/>
        </w:rPr>
      </w:pPr>
      <w:bookmarkStart w:id="43" w:name="_Toc95730150"/>
      <w:bookmarkStart w:id="44" w:name="_Toc120001175"/>
      <w:r>
        <w:rPr>
          <w:rStyle w:val="CharSectno"/>
        </w:rPr>
        <w:t>10</w:t>
      </w:r>
      <w:r>
        <w:rPr>
          <w:snapToGrid w:val="0"/>
        </w:rPr>
        <w:t>.</w:t>
      </w:r>
      <w:r>
        <w:rPr>
          <w:snapToGrid w:val="0"/>
        </w:rPr>
        <w:tab/>
        <w:t>Meetings of the Board and disclosure of interest</w:t>
      </w:r>
      <w:bookmarkEnd w:id="43"/>
      <w:bookmarkEnd w:id="44"/>
    </w:p>
    <w:p>
      <w:pPr>
        <w:pStyle w:val="Subsection"/>
        <w:rPr>
          <w:snapToGrid w:val="0"/>
        </w:rPr>
      </w:pPr>
      <w:r>
        <w:rPr>
          <w:snapToGrid w:val="0"/>
          <w:spacing w:val="-6"/>
        </w:rPr>
        <w:tab/>
        <w:t>(1)</w:t>
      </w:r>
      <w:r>
        <w:rPr>
          <w:snapToGrid w:val="0"/>
          <w:spacing w:val="-6"/>
        </w:rPr>
        <w:tab/>
      </w:r>
      <w:r>
        <w:rPr>
          <w:snapToGrid w:val="0"/>
        </w:rPr>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spacing w:val="-8"/>
        </w:rPr>
      </w:pPr>
      <w:r>
        <w:rPr>
          <w:snapToGrid w:val="0"/>
          <w:spacing w:val="-8"/>
        </w:rPr>
        <w:tab/>
        <w:t>(b)</w:t>
      </w:r>
      <w:r>
        <w:rPr>
          <w:snapToGrid w:val="0"/>
          <w:spacing w:val="-8"/>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spacing w:val="6"/>
        </w:rPr>
      </w:pPr>
      <w:r>
        <w:rPr>
          <w:snapToGrid w:val="0"/>
          <w:spacing w:val="6"/>
        </w:rPr>
        <w:tab/>
        <w:t>(6)</w:t>
      </w:r>
      <w:r>
        <w:rPr>
          <w:snapToGrid w:val="0"/>
          <w:spacing w:val="6"/>
        </w:rPr>
        <w:tab/>
      </w:r>
      <w:r>
        <w:rPr>
          <w:snapToGrid w:val="0"/>
        </w:rPr>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spacing w:val="-6"/>
        </w:rPr>
      </w:pPr>
      <w:r>
        <w:rPr>
          <w:snapToGrid w:val="0"/>
          <w:spacing w:val="-6"/>
        </w:rPr>
        <w:tab/>
        <w:t>(7)</w:t>
      </w:r>
      <w:r>
        <w:rPr>
          <w:snapToGrid w:val="0"/>
          <w:spacing w:val="-6"/>
        </w:rPr>
        <w:tab/>
      </w:r>
      <w:r>
        <w:rPr>
          <w:snapToGrid w:val="0"/>
        </w:rPr>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45" w:name="_Toc95730151"/>
      <w:bookmarkStart w:id="46" w:name="_Toc120001176"/>
      <w:r>
        <w:rPr>
          <w:rStyle w:val="CharSectno"/>
        </w:rPr>
        <w:t>11</w:t>
      </w:r>
      <w:r>
        <w:rPr>
          <w:snapToGrid w:val="0"/>
        </w:rPr>
        <w:t>.</w:t>
      </w:r>
      <w:r>
        <w:rPr>
          <w:snapToGrid w:val="0"/>
        </w:rPr>
        <w:tab/>
        <w:t>Minister may require Board to give information</w:t>
      </w:r>
      <w:bookmarkEnd w:id="45"/>
      <w:bookmarkEnd w:id="46"/>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47" w:name="_Toc95730152"/>
      <w:bookmarkStart w:id="48" w:name="_Toc120001177"/>
      <w:r>
        <w:rPr>
          <w:rStyle w:val="CharSectno"/>
        </w:rPr>
        <w:t>12</w:t>
      </w:r>
      <w:r>
        <w:rPr>
          <w:snapToGrid w:val="0"/>
        </w:rPr>
        <w:t>.</w:t>
      </w:r>
      <w:r>
        <w:rPr>
          <w:snapToGrid w:val="0"/>
        </w:rPr>
        <w:tab/>
        <w:t>Indemnity</w:t>
      </w:r>
      <w:bookmarkEnd w:id="47"/>
      <w:bookmarkEnd w:id="48"/>
    </w:p>
    <w:p>
      <w:pPr>
        <w:pStyle w:val="Subsection"/>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49" w:name="_Toc95730153"/>
      <w:bookmarkStart w:id="50" w:name="_Toc120001178"/>
      <w:r>
        <w:rPr>
          <w:rStyle w:val="CharSectno"/>
        </w:rPr>
        <w:t>13</w:t>
      </w:r>
      <w:r>
        <w:rPr>
          <w:snapToGrid w:val="0"/>
        </w:rPr>
        <w:t>.</w:t>
      </w:r>
      <w:r>
        <w:rPr>
          <w:snapToGrid w:val="0"/>
        </w:rPr>
        <w:tab/>
        <w:t>Staff</w:t>
      </w:r>
      <w:bookmarkEnd w:id="49"/>
      <w:bookmarkEnd w:id="50"/>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51" w:name="_Toc95730154"/>
      <w:bookmarkStart w:id="52" w:name="_Toc120001179"/>
      <w:r>
        <w:rPr>
          <w:rStyle w:val="CharSectno"/>
        </w:rPr>
        <w:t>14</w:t>
      </w:r>
      <w:r>
        <w:rPr>
          <w:snapToGrid w:val="0"/>
        </w:rPr>
        <w:t>.</w:t>
      </w:r>
      <w:r>
        <w:rPr>
          <w:snapToGrid w:val="0"/>
        </w:rPr>
        <w:tab/>
        <w:t>Functions of the Board</w:t>
      </w:r>
      <w:bookmarkEnd w:id="51"/>
      <w:bookmarkEnd w:id="52"/>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rPr>
          <w:snapToGrid w:val="0"/>
        </w:rPr>
      </w:pPr>
      <w:r>
        <w:rPr>
          <w:snapToGrid w:val="0"/>
        </w:rPr>
        <w:tab/>
        <w:t>(a)</w:t>
      </w:r>
      <w:r>
        <w:rPr>
          <w:snapToGrid w:val="0"/>
        </w:rPr>
        <w:tab/>
        <w:t>to maintain the register of employers and register of employees;</w:t>
      </w:r>
    </w:p>
    <w:p>
      <w:pPr>
        <w:pStyle w:val="Indenta"/>
        <w:rPr>
          <w:snapToGrid w:val="0"/>
        </w:rPr>
      </w:pPr>
      <w:r>
        <w:rPr>
          <w:snapToGrid w:val="0"/>
        </w:rPr>
        <w:tab/>
        <w:t>(b)</w:t>
      </w:r>
      <w:r>
        <w:rPr>
          <w:snapToGrid w:val="0"/>
        </w:rPr>
        <w:tab/>
        <w:t>to administer the scheme of payment to employees during long service leave established under this Act;</w:t>
      </w:r>
    </w:p>
    <w:p>
      <w:pPr>
        <w:pStyle w:val="Indenta"/>
        <w:rPr>
          <w:snapToGrid w:val="0"/>
        </w:rPr>
      </w:pPr>
      <w:r>
        <w:rPr>
          <w:snapToGrid w:val="0"/>
        </w:rPr>
        <w:tab/>
        <w:t>(c)</w:t>
      </w:r>
      <w:r>
        <w:rPr>
          <w:snapToGrid w:val="0"/>
        </w:rPr>
        <w:tab/>
        <w:t>to advise the Minister on the administration of this Act;</w:t>
      </w:r>
    </w:p>
    <w:p>
      <w:pPr>
        <w:pStyle w:val="Indenta"/>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53" w:name="_Toc95730155"/>
      <w:bookmarkStart w:id="54" w:name="_Toc120001180"/>
      <w:r>
        <w:rPr>
          <w:rStyle w:val="CharSectno"/>
        </w:rPr>
        <w:t>15</w:t>
      </w:r>
      <w:r>
        <w:rPr>
          <w:snapToGrid w:val="0"/>
        </w:rPr>
        <w:t>.</w:t>
      </w:r>
      <w:r>
        <w:rPr>
          <w:snapToGrid w:val="0"/>
        </w:rPr>
        <w:tab/>
        <w:t>Funds of the Board</w:t>
      </w:r>
      <w:bookmarkEnd w:id="53"/>
      <w:bookmarkEnd w:id="54"/>
    </w:p>
    <w:p>
      <w:pPr>
        <w:pStyle w:val="Subsection"/>
        <w:rPr>
          <w:snapToGrid w:val="0"/>
        </w:rPr>
      </w:pPr>
      <w:r>
        <w:rPr>
          <w:snapToGrid w:val="0"/>
        </w:rPr>
        <w:tab/>
        <w:t>(1)</w:t>
      </w:r>
      <w:r>
        <w:rPr>
          <w:snapToGrid w:val="0"/>
        </w:rPr>
        <w:tab/>
        <w:t>The funds of the Board shall consist of —</w:t>
      </w:r>
    </w:p>
    <w:p>
      <w:pPr>
        <w:pStyle w:val="Indenta"/>
        <w:rPr>
          <w:snapToGrid w:val="0"/>
        </w:rPr>
      </w:pPr>
      <w:r>
        <w:rPr>
          <w:snapToGrid w:val="0"/>
        </w:rPr>
        <w:tab/>
        <w:t>(a)</w:t>
      </w:r>
      <w:r>
        <w:rPr>
          <w:snapToGrid w:val="0"/>
        </w:rPr>
        <w:tab/>
        <w:t>such moneys as are paid to the Board under section 34;</w:t>
      </w:r>
    </w:p>
    <w:p>
      <w:pPr>
        <w:pStyle w:val="Indenta"/>
        <w:rPr>
          <w:snapToGrid w:val="0"/>
        </w:rPr>
      </w:pPr>
      <w:r>
        <w:rPr>
          <w:snapToGrid w:val="0"/>
        </w:rPr>
        <w:tab/>
        <w:t>(b)</w:t>
      </w:r>
      <w:r>
        <w:rPr>
          <w:snapToGrid w:val="0"/>
        </w:rPr>
        <w:tab/>
        <w:t>proceeds from investments made by the Board under subsection (3);</w:t>
      </w:r>
    </w:p>
    <w:p>
      <w:pPr>
        <w:pStyle w:val="Indenta"/>
        <w:rPr>
          <w:snapToGrid w:val="0"/>
        </w:rPr>
      </w:pPr>
      <w:r>
        <w:rPr>
          <w:snapToGrid w:val="0"/>
        </w:rPr>
        <w:tab/>
        <w:t>(c)</w:t>
      </w:r>
      <w:r>
        <w:rPr>
          <w:snapToGrid w:val="0"/>
        </w:rPr>
        <w:tab/>
        <w:t>such moneys as the Board may borrow under this Act;</w:t>
      </w:r>
    </w:p>
    <w:p>
      <w:pPr>
        <w:pStyle w:val="Indenta"/>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w:t>
      </w:r>
    </w:p>
    <w:p>
      <w:pPr>
        <w:pStyle w:val="Indenta"/>
        <w:rPr>
          <w:snapToGrid w:val="0"/>
        </w:rPr>
      </w:pPr>
      <w:r>
        <w:rPr>
          <w:snapToGrid w:val="0"/>
        </w:rPr>
        <w:tab/>
        <w:t>(b)</w:t>
      </w:r>
      <w:r>
        <w:rPr>
          <w:snapToGrid w:val="0"/>
        </w:rPr>
        <w:tab/>
        <w:t>for the repayment of moneys borrowed under section 16;</w:t>
      </w:r>
    </w:p>
    <w:p>
      <w:pPr>
        <w:pStyle w:val="Indenta"/>
        <w:rPr>
          <w:snapToGrid w:val="0"/>
        </w:rPr>
      </w:pPr>
      <w:r>
        <w:rPr>
          <w:snapToGrid w:val="0"/>
        </w:rPr>
        <w:tab/>
        <w:t>(c)</w:t>
      </w:r>
      <w:r>
        <w:rPr>
          <w:snapToGrid w:val="0"/>
        </w:rPr>
        <w:tab/>
        <w:t>in payment of remuneration and allowances to members;</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spacing w:val="-8"/>
        </w:rPr>
        <w:tab/>
        <w:t>(3)</w:t>
      </w:r>
      <w:r>
        <w:rPr>
          <w:snapToGrid w:val="0"/>
          <w:spacing w:val="-8"/>
        </w:rPr>
        <w:tab/>
      </w:r>
      <w:r>
        <w:rPr>
          <w:snapToGrid w:val="0"/>
        </w:rPr>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 by No. 30 of 1989 s. 5; No. 1 of 1997 s. 18.]</w:t>
      </w:r>
    </w:p>
    <w:p>
      <w:pPr>
        <w:pStyle w:val="Heading5"/>
        <w:rPr>
          <w:snapToGrid w:val="0"/>
        </w:rPr>
      </w:pPr>
      <w:bookmarkStart w:id="55" w:name="_Toc95730156"/>
      <w:bookmarkStart w:id="56" w:name="_Toc120001181"/>
      <w:r>
        <w:rPr>
          <w:rStyle w:val="CharSectno"/>
        </w:rPr>
        <w:t>16</w:t>
      </w:r>
      <w:r>
        <w:rPr>
          <w:snapToGrid w:val="0"/>
        </w:rPr>
        <w:t>.</w:t>
      </w:r>
      <w:r>
        <w:rPr>
          <w:snapToGrid w:val="0"/>
        </w:rPr>
        <w:tab/>
        <w:t>Power to borrow and guarantee</w:t>
      </w:r>
      <w:bookmarkEnd w:id="55"/>
      <w:bookmarkEnd w:id="56"/>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Fund, which account is hereby to the necessary extent appropriated accordingly, and shall cause any sums received or recovered by the Treasurer from the Board or otherwise in respect of a sum so charged by the Treasurer to be credited to the Consolidated Fund.</w:t>
      </w:r>
    </w:p>
    <w:p>
      <w:pPr>
        <w:pStyle w:val="Footnotesection"/>
        <w:spacing w:before="160"/>
        <w:ind w:left="890" w:hanging="890"/>
      </w:pPr>
      <w:r>
        <w:tab/>
        <w:t>[Section 16 amended by No. 4 of 1986, s. 4; No. 6 of 1993 s. 11; No. 49 of 1996 s. 64.]</w:t>
      </w:r>
    </w:p>
    <w:p>
      <w:pPr>
        <w:pStyle w:val="Heading5"/>
        <w:spacing w:before="180"/>
        <w:rPr>
          <w:snapToGrid w:val="0"/>
        </w:rPr>
      </w:pPr>
      <w:bookmarkStart w:id="57" w:name="_Toc95730157"/>
      <w:bookmarkStart w:id="58" w:name="_Toc120001182"/>
      <w:r>
        <w:rPr>
          <w:rStyle w:val="CharSectno"/>
        </w:rPr>
        <w:t>17</w:t>
      </w:r>
      <w:r>
        <w:rPr>
          <w:snapToGrid w:val="0"/>
        </w:rPr>
        <w:t>.</w:t>
      </w:r>
      <w:r>
        <w:rPr>
          <w:snapToGrid w:val="0"/>
        </w:rPr>
        <w:tab/>
        <w:t>Notification of certain contracts to be given to Minister</w:t>
      </w:r>
      <w:bookmarkEnd w:id="57"/>
      <w:bookmarkEnd w:id="58"/>
    </w:p>
    <w:p>
      <w:pPr>
        <w:pStyle w:val="Subsection"/>
        <w:rPr>
          <w:snapToGrid w:val="0"/>
        </w:rPr>
      </w:pPr>
      <w:r>
        <w:rPr>
          <w:snapToGrid w:val="0"/>
          <w:spacing w:val="-4"/>
        </w:rPr>
        <w:tab/>
        <w:t>(1)</w:t>
      </w:r>
      <w:r>
        <w:rPr>
          <w:snapToGrid w:val="0"/>
          <w:spacing w:val="-4"/>
        </w:rPr>
        <w:tab/>
      </w:r>
      <w:r>
        <w:rPr>
          <w:snapToGrid w:val="0"/>
        </w:rPr>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spacing w:val="-4"/>
        </w:rPr>
        <w:tab/>
        <w:t>(2)</w:t>
      </w:r>
      <w:r>
        <w:rPr>
          <w:snapToGrid w:val="0"/>
          <w:spacing w:val="-4"/>
        </w:rPr>
        <w:tab/>
      </w:r>
      <w:r>
        <w:rPr>
          <w:snapToGrid w:val="0"/>
        </w:rPr>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59" w:name="_Toc95730158"/>
      <w:bookmarkStart w:id="60" w:name="_Toc120001183"/>
      <w:r>
        <w:rPr>
          <w:rStyle w:val="CharSectno"/>
        </w:rPr>
        <w:t>18</w:t>
      </w:r>
      <w:r>
        <w:rPr>
          <w:snapToGrid w:val="0"/>
        </w:rPr>
        <w:t>.</w:t>
      </w:r>
      <w:r>
        <w:rPr>
          <w:snapToGrid w:val="0"/>
        </w:rPr>
        <w:tab/>
        <w:t xml:space="preserve">Application of </w:t>
      </w:r>
      <w:r>
        <w:rPr>
          <w:i/>
          <w:snapToGrid w:val="0"/>
        </w:rPr>
        <w:t>Financial Administration and Audit Act 1985</w:t>
      </w:r>
      <w:bookmarkEnd w:id="59"/>
      <w:bookmarkEnd w:id="60"/>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relating the financial administration, audit and reporting of statutory authorities apply to and in respect of the Board and its operations.</w:t>
      </w:r>
    </w:p>
    <w:p>
      <w:pPr>
        <w:pStyle w:val="Footnotesection"/>
      </w:pPr>
      <w:r>
        <w:tab/>
        <w:t>[Section 18 inserted by No. 4 of 1986 s. 4.]</w:t>
      </w:r>
    </w:p>
    <w:p>
      <w:pPr>
        <w:pStyle w:val="Heading5"/>
        <w:rPr>
          <w:snapToGrid w:val="0"/>
        </w:rPr>
      </w:pPr>
      <w:bookmarkStart w:id="61" w:name="_Toc95730159"/>
      <w:bookmarkStart w:id="62" w:name="_Toc120001184"/>
      <w:r>
        <w:rPr>
          <w:rStyle w:val="CharSectno"/>
        </w:rPr>
        <w:t>19</w:t>
      </w:r>
      <w:r>
        <w:rPr>
          <w:snapToGrid w:val="0"/>
        </w:rPr>
        <w:t>.</w:t>
      </w:r>
      <w:r>
        <w:rPr>
          <w:snapToGrid w:val="0"/>
        </w:rPr>
        <w:tab/>
        <w:t>Investigations by actuary</w:t>
      </w:r>
      <w:bookmarkEnd w:id="61"/>
      <w:bookmarkEnd w:id="62"/>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Repealed by No. 4 of 1986 s. 4.]</w:t>
      </w:r>
    </w:p>
    <w:p>
      <w:pPr>
        <w:pStyle w:val="Heading2"/>
      </w:pPr>
      <w:bookmarkStart w:id="63" w:name="_Toc95729743"/>
      <w:bookmarkStart w:id="64" w:name="_Toc95729808"/>
      <w:bookmarkStart w:id="65" w:name="_Toc95730160"/>
      <w:bookmarkStart w:id="66" w:name="_Toc95730234"/>
      <w:bookmarkStart w:id="67" w:name="_Toc97003721"/>
      <w:bookmarkStart w:id="68" w:name="_Toc102810440"/>
      <w:bookmarkStart w:id="69" w:name="_Toc116956539"/>
      <w:bookmarkStart w:id="70" w:name="_Toc116956603"/>
      <w:bookmarkStart w:id="71" w:name="_Toc116960868"/>
      <w:bookmarkStart w:id="72" w:name="_Toc118525503"/>
      <w:bookmarkStart w:id="73" w:name="_Toc118525809"/>
      <w:bookmarkStart w:id="74" w:name="_Toc120001185"/>
      <w:r>
        <w:rPr>
          <w:rStyle w:val="CharPartNo"/>
        </w:rPr>
        <w:t>Part III</w:t>
      </w:r>
      <w:r>
        <w:rPr>
          <w:rStyle w:val="CharDivNo"/>
        </w:rPr>
        <w:t> </w:t>
      </w:r>
      <w:r>
        <w:t>—</w:t>
      </w:r>
      <w:r>
        <w:rPr>
          <w:rStyle w:val="CharDivText"/>
        </w:rPr>
        <w:t> </w:t>
      </w:r>
      <w:r>
        <w:rPr>
          <w:rStyle w:val="CharPartText"/>
        </w:rPr>
        <w:t>Entitlement to long service leave and pay</w:t>
      </w:r>
      <w:bookmarkEnd w:id="63"/>
      <w:bookmarkEnd w:id="64"/>
      <w:bookmarkEnd w:id="65"/>
      <w:bookmarkEnd w:id="66"/>
      <w:bookmarkEnd w:id="67"/>
      <w:bookmarkEnd w:id="68"/>
      <w:bookmarkEnd w:id="69"/>
      <w:bookmarkEnd w:id="70"/>
      <w:bookmarkEnd w:id="71"/>
      <w:bookmarkEnd w:id="72"/>
      <w:bookmarkEnd w:id="73"/>
      <w:bookmarkEnd w:id="74"/>
    </w:p>
    <w:p>
      <w:pPr>
        <w:pStyle w:val="Heading5"/>
        <w:rPr>
          <w:snapToGrid w:val="0"/>
        </w:rPr>
      </w:pPr>
      <w:bookmarkStart w:id="75" w:name="_Toc95730161"/>
      <w:bookmarkStart w:id="76" w:name="_Toc120001186"/>
      <w:r>
        <w:rPr>
          <w:rStyle w:val="CharSectno"/>
        </w:rPr>
        <w:t>21</w:t>
      </w:r>
      <w:r>
        <w:rPr>
          <w:snapToGrid w:val="0"/>
        </w:rPr>
        <w:t>.</w:t>
      </w:r>
      <w:r>
        <w:rPr>
          <w:snapToGrid w:val="0"/>
        </w:rPr>
        <w:tab/>
        <w:t>Entitlement to paid long service leave and pay</w:t>
      </w:r>
      <w:bookmarkEnd w:id="75"/>
      <w:bookmarkEnd w:id="76"/>
    </w:p>
    <w:p>
      <w:pPr>
        <w:pStyle w:val="Subsection"/>
        <w:rPr>
          <w:snapToGrid w:val="0"/>
        </w:rPr>
      </w:pPr>
      <w:r>
        <w:rPr>
          <w:snapToGrid w:val="0"/>
        </w:rPr>
        <w:tab/>
        <w:t>(1)</w:t>
      </w:r>
      <w:r>
        <w:rPr>
          <w:snapToGrid w:val="0"/>
        </w:rPr>
        <w:tab/>
        <w:t>Notwithstanding any other Act or award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t>13 weeks after completing 15 years of service; and</w:t>
      </w:r>
    </w:p>
    <w:p>
      <w:pPr>
        <w:pStyle w:val="Indenta"/>
        <w:rPr>
          <w:snapToGrid w:val="0"/>
        </w:rPr>
      </w:pPr>
      <w:r>
        <w:rPr>
          <w:snapToGrid w:val="0"/>
        </w:rPr>
        <w:tab/>
        <w:t>(b)</w:t>
      </w:r>
      <w:r>
        <w:rPr>
          <w:snapToGrid w:val="0"/>
        </w:rPr>
        <w:tab/>
        <w:t>8</w:t>
      </w:r>
      <w:r>
        <w:rPr>
          <w:snapToGrid w:val="0"/>
          <w:vertAlign w:val="superscript"/>
        </w:rPr>
        <w:t>2</w:t>
      </w:r>
      <w:r>
        <w:rPr>
          <w:snapToGrid w:val="0"/>
        </w:rPr>
        <w:t>/</w:t>
      </w:r>
      <w:r>
        <w:rPr>
          <w:snapToGrid w:val="0"/>
          <w:vertAlign w:val="subscript"/>
        </w:rPr>
        <w:t>3</w:t>
      </w:r>
      <w:r>
        <w:rPr>
          <w:snapToGrid w:val="0"/>
        </w:rPr>
        <w:t xml:space="preserve"> weeks after completing 10 years of service subsequently to completing the period of service referred to in paragraph (a),</w:t>
      </w:r>
    </w:p>
    <w:p>
      <w:pPr>
        <w:pStyle w:val="Subsection"/>
        <w:spacing w:before="120"/>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rPr>
          <w:snapToGrid w:val="0"/>
        </w:rPr>
      </w:pPr>
      <w:r>
        <w:rPr>
          <w:snapToGrid w:val="0"/>
        </w:rPr>
        <w:tab/>
        <w:t>(3)</w:t>
      </w:r>
      <w:r>
        <w:rPr>
          <w:snapToGrid w:val="0"/>
        </w:rPr>
        <w:tab/>
        <w:t>The provisions of the Schedule have effect in relation to the several matters specified therein.</w:t>
      </w:r>
    </w:p>
    <w:p>
      <w:pPr>
        <w:pStyle w:val="Footnotesection"/>
        <w:keepLines w:val="0"/>
        <w:spacing w:before="80"/>
        <w:ind w:left="890" w:hanging="890"/>
      </w:pPr>
      <w:r>
        <w:tab/>
        <w:t>[Section 21 amended by No. 30 of 1989 s. 6.]</w:t>
      </w:r>
    </w:p>
    <w:p>
      <w:pPr>
        <w:pStyle w:val="Heading5"/>
        <w:rPr>
          <w:snapToGrid w:val="0"/>
        </w:rPr>
      </w:pPr>
      <w:bookmarkStart w:id="77" w:name="_Toc95730162"/>
      <w:bookmarkStart w:id="78" w:name="_Toc120001187"/>
      <w:r>
        <w:rPr>
          <w:rStyle w:val="CharSectno"/>
        </w:rPr>
        <w:t>22</w:t>
      </w:r>
      <w:r>
        <w:rPr>
          <w:snapToGrid w:val="0"/>
        </w:rPr>
        <w:t>.</w:t>
      </w:r>
      <w:r>
        <w:rPr>
          <w:snapToGrid w:val="0"/>
        </w:rPr>
        <w:tab/>
        <w:t>Lump sum payments</w:t>
      </w:r>
      <w:bookmarkEnd w:id="77"/>
      <w:bookmarkEnd w:id="78"/>
    </w:p>
    <w:p>
      <w:pPr>
        <w:pStyle w:val="Subsection"/>
        <w:spacing w:before="18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spacing w:before="120"/>
        <w:rPr>
          <w:snapToGrid w:val="0"/>
        </w:rPr>
      </w:pPr>
      <w:r>
        <w:rPr>
          <w:snapToGrid w:val="0"/>
        </w:rPr>
        <w:tab/>
        <w:t>(a)</w:t>
      </w:r>
      <w:r>
        <w:rPr>
          <w:snapToGrid w:val="0"/>
        </w:rPr>
        <w:tab/>
        <w:t>where he has completed at least 10 years of service but less than 15 years of service, a sum which bears the same proportion to the money value of the entitlement referred to in section 21(1)(a) as the period of service completed bears to 15 years; or</w:t>
      </w:r>
    </w:p>
    <w:p>
      <w:pPr>
        <w:pStyle w:val="Indenta"/>
        <w:spacing w:before="120"/>
        <w:rPr>
          <w:snapToGrid w:val="0"/>
        </w:rPr>
      </w:pPr>
      <w:r>
        <w:rPr>
          <w:snapToGrid w:val="0"/>
        </w:rPr>
        <w:tab/>
        <w:t>(b)</w:t>
      </w:r>
      <w:r>
        <w:rPr>
          <w:snapToGrid w:val="0"/>
        </w:rPr>
        <w:tab/>
        <w:t>where he has completed at least 15 years of service —</w:t>
      </w:r>
    </w:p>
    <w:p>
      <w:pPr>
        <w:pStyle w:val="Indenti"/>
        <w:spacing w:before="120"/>
        <w:rPr>
          <w:snapToGrid w:val="0"/>
        </w:rPr>
      </w:pPr>
      <w:r>
        <w:rPr>
          <w:snapToGrid w:val="0"/>
        </w:rPr>
        <w:tab/>
        <w:t>(i)</w:t>
      </w:r>
      <w:r>
        <w:rPr>
          <w:snapToGrid w:val="0"/>
        </w:rPr>
        <w:tab/>
        <w:t>where an accrued entitlement under section 21(1) has not been taken, the money value of that entitlement; and</w:t>
      </w:r>
    </w:p>
    <w:p>
      <w:pPr>
        <w:pStyle w:val="Indenti"/>
        <w:spacing w:before="120"/>
        <w:rPr>
          <w:snapToGrid w:val="0"/>
        </w:rPr>
      </w:pPr>
      <w:r>
        <w:rPr>
          <w:snapToGrid w:val="0"/>
        </w:rPr>
        <w:tab/>
        <w:t>(ii)</w:t>
      </w:r>
      <w:r>
        <w:rPr>
          <w:snapToGrid w:val="0"/>
        </w:rPr>
        <w:tab/>
        <w:t>for each year of service after the completion of 15 years of service which is not part of the period of an accrued entitlement under section 21(1), one</w:t>
      </w:r>
      <w:r>
        <w:rPr>
          <w:snapToGrid w:val="0"/>
        </w:rPr>
        <w:noBreakHyphen/>
        <w:t>fifteenth of the money value of the entitlement referred to in section 21(1)(a).</w:t>
      </w:r>
    </w:p>
    <w:p>
      <w:pPr>
        <w:pStyle w:val="Subsection"/>
        <w:spacing w:before="180"/>
        <w:rPr>
          <w:snapToGrid w:val="0"/>
        </w:rPr>
      </w:pPr>
      <w:r>
        <w:rPr>
          <w:snapToGrid w:val="0"/>
        </w:rPr>
        <w:tab/>
        <w:t>(2)</w:t>
      </w:r>
      <w:r>
        <w:rPr>
          <w:snapToGrid w:val="0"/>
        </w:rPr>
        <w:tab/>
        <w:t>Where an employee dies after completing at least 10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spacing w:before="120"/>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15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120"/>
        <w:rPr>
          <w:snapToGrid w:val="0"/>
        </w:rPr>
      </w:pPr>
      <w:r>
        <w:tab/>
        <w:t>(d)</w:t>
      </w:r>
      <w:r>
        <w:tab/>
        <w:t>the estate of the deceased employee.</w:t>
      </w:r>
    </w:p>
    <w:p>
      <w:pPr>
        <w:pStyle w:val="Footnotesection"/>
      </w:pPr>
      <w:r>
        <w:tab/>
        <w:t>[Section 22 inserted by No. 30 of 1989 s. 7; amended by No. 28 of 2003 s. 23.]</w:t>
      </w:r>
    </w:p>
    <w:p>
      <w:pPr>
        <w:pStyle w:val="Heading5"/>
        <w:rPr>
          <w:snapToGrid w:val="0"/>
        </w:rPr>
      </w:pPr>
      <w:bookmarkStart w:id="79" w:name="_Toc95730163"/>
      <w:bookmarkStart w:id="80" w:name="_Toc120001188"/>
      <w:r>
        <w:rPr>
          <w:rStyle w:val="CharSectno"/>
        </w:rPr>
        <w:t>23</w:t>
      </w:r>
      <w:r>
        <w:rPr>
          <w:snapToGrid w:val="0"/>
        </w:rPr>
        <w:t>.</w:t>
      </w:r>
      <w:r>
        <w:rPr>
          <w:snapToGrid w:val="0"/>
        </w:rPr>
        <w:tab/>
        <w:t>Cessation of continuous service entitlement</w:t>
      </w:r>
      <w:bookmarkEnd w:id="79"/>
      <w:bookmarkEnd w:id="80"/>
    </w:p>
    <w:p>
      <w:pPr>
        <w:pStyle w:val="Subsection"/>
        <w:rPr>
          <w:snapToGrid w:val="0"/>
        </w:rPr>
      </w:pPr>
      <w:r>
        <w:rPr>
          <w:snapToGrid w:val="0"/>
        </w:rPr>
        <w:tab/>
        <w:t>(1)</w:t>
      </w:r>
      <w:r>
        <w:rPr>
          <w:snapToGrid w:val="0"/>
        </w:rPr>
        <w:tab/>
        <w:t>Where a person has been engaged as an employee —</w:t>
      </w:r>
    </w:p>
    <w:p>
      <w:pPr>
        <w:pStyle w:val="Indenta"/>
        <w:rPr>
          <w:snapToGrid w:val="0"/>
        </w:rPr>
      </w:pPr>
      <w:r>
        <w:rPr>
          <w:snapToGrid w:val="0"/>
        </w:rPr>
        <w:tab/>
        <w:t>(a)</w:t>
      </w:r>
      <w:r>
        <w:rPr>
          <w:snapToGrid w:val="0"/>
        </w:rPr>
        <w:tab/>
        <w:t>for any number of days that does not exceed 1 100 days and has not been so engaged within the period of 2 years commencing from the last of such days; or</w:t>
      </w:r>
    </w:p>
    <w:p>
      <w:pPr>
        <w:pStyle w:val="Indenta"/>
        <w:rPr>
          <w:snapToGrid w:val="0"/>
        </w:rPr>
      </w:pPr>
      <w:r>
        <w:rPr>
          <w:snapToGrid w:val="0"/>
        </w:rPr>
        <w:tab/>
        <w:t>(b)</w:t>
      </w:r>
      <w:r>
        <w:rPr>
          <w:snapToGrid w:val="0"/>
        </w:rPr>
        <w:tab/>
        <w:t>for any number of days exceeding 1 100 days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Heading5"/>
        <w:rPr>
          <w:snapToGrid w:val="0"/>
        </w:rPr>
      </w:pPr>
      <w:bookmarkStart w:id="81" w:name="_Toc95730164"/>
      <w:bookmarkStart w:id="82" w:name="_Toc120001189"/>
      <w:r>
        <w:rPr>
          <w:rStyle w:val="CharSectno"/>
        </w:rPr>
        <w:t>24</w:t>
      </w:r>
      <w:r>
        <w:rPr>
          <w:snapToGrid w:val="0"/>
        </w:rPr>
        <w:t>.</w:t>
      </w:r>
      <w:r>
        <w:rPr>
          <w:snapToGrid w:val="0"/>
        </w:rPr>
        <w:tab/>
        <w:t>Taking of leave</w:t>
      </w:r>
      <w:bookmarkEnd w:id="81"/>
      <w:bookmarkEnd w:id="82"/>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Subsection"/>
        <w:rPr>
          <w:snapToGrid w:val="0"/>
        </w:rPr>
      </w:pPr>
      <w:r>
        <w:rPr>
          <w:snapToGrid w:val="0"/>
        </w:rPr>
        <w:tab/>
        <w:t>(2)</w:t>
      </w:r>
      <w:r>
        <w:rPr>
          <w:snapToGrid w:val="0"/>
        </w:rPr>
        <w:tab/>
        <w:t>The Board shall within 2 months before the day that an employee becomes entitled to take long service leave notify the employee and his employer of that fact.</w:t>
      </w:r>
    </w:p>
    <w:p>
      <w:pPr>
        <w:pStyle w:val="Subsection"/>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 by No. 30 of 1989 s. 8.]</w:t>
      </w:r>
    </w:p>
    <w:p>
      <w:pPr>
        <w:pStyle w:val="Heading5"/>
        <w:rPr>
          <w:snapToGrid w:val="0"/>
        </w:rPr>
      </w:pPr>
      <w:bookmarkStart w:id="83" w:name="_Toc95730165"/>
      <w:bookmarkStart w:id="84" w:name="_Toc120001190"/>
      <w:r>
        <w:rPr>
          <w:rStyle w:val="CharSectno"/>
        </w:rPr>
        <w:t>24A</w:t>
      </w:r>
      <w:r>
        <w:rPr>
          <w:snapToGrid w:val="0"/>
        </w:rPr>
        <w:t xml:space="preserve">. </w:t>
      </w:r>
      <w:r>
        <w:rPr>
          <w:snapToGrid w:val="0"/>
        </w:rPr>
        <w:tab/>
        <w:t>Proportional leave in advance after 10 years service</w:t>
      </w:r>
      <w:bookmarkEnd w:id="83"/>
      <w:bookmarkEnd w:id="84"/>
    </w:p>
    <w:p>
      <w:pPr>
        <w:pStyle w:val="Subsection"/>
        <w:rPr>
          <w:snapToGrid w:val="0"/>
        </w:rPr>
      </w:pPr>
      <w:r>
        <w:rPr>
          <w:snapToGrid w:val="0"/>
          <w:spacing w:val="-6"/>
        </w:rPr>
        <w:tab/>
        <w:t>(1)</w:t>
      </w:r>
      <w:r>
        <w:rPr>
          <w:snapToGrid w:val="0"/>
          <w:spacing w:val="-6"/>
        </w:rPr>
        <w:tab/>
      </w:r>
      <w:r>
        <w:rPr>
          <w:snapToGrid w:val="0"/>
        </w:rPr>
        <w:t>An employee with at least 10 years of service in the construction industry may, with the consent of his employer, take advance long service leave for not longer than the period which bears the same proportion to the length of his service then completed as the period of 13 weeks bears to 15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pPr>
      <w:r>
        <w:tab/>
        <w:t>[Section 24A inserted by No. 30 of 1989 s. 9.]</w:t>
      </w:r>
    </w:p>
    <w:p>
      <w:pPr>
        <w:pStyle w:val="Heading5"/>
        <w:rPr>
          <w:snapToGrid w:val="0"/>
        </w:rPr>
      </w:pPr>
      <w:bookmarkStart w:id="85" w:name="_Toc95730166"/>
      <w:bookmarkStart w:id="86" w:name="_Toc120001191"/>
      <w:r>
        <w:rPr>
          <w:rStyle w:val="CharSectno"/>
        </w:rPr>
        <w:t>25</w:t>
      </w:r>
      <w:r>
        <w:rPr>
          <w:snapToGrid w:val="0"/>
        </w:rPr>
        <w:t>.</w:t>
      </w:r>
      <w:r>
        <w:rPr>
          <w:snapToGrid w:val="0"/>
        </w:rPr>
        <w:tab/>
        <w:t>Payment when due</w:t>
      </w:r>
      <w:bookmarkEnd w:id="85"/>
      <w:bookmarkEnd w:id="86"/>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Repealed by No. 30 of 1989 s. 10.]</w:t>
      </w:r>
    </w:p>
    <w:p>
      <w:pPr>
        <w:pStyle w:val="Heading5"/>
        <w:rPr>
          <w:snapToGrid w:val="0"/>
        </w:rPr>
      </w:pPr>
      <w:bookmarkStart w:id="87" w:name="_Toc95730167"/>
      <w:bookmarkStart w:id="88" w:name="_Toc120001192"/>
      <w:r>
        <w:rPr>
          <w:rStyle w:val="CharSectno"/>
        </w:rPr>
        <w:t>27</w:t>
      </w:r>
      <w:r>
        <w:rPr>
          <w:snapToGrid w:val="0"/>
        </w:rPr>
        <w:t>.</w:t>
      </w:r>
      <w:r>
        <w:rPr>
          <w:snapToGrid w:val="0"/>
        </w:rPr>
        <w:tab/>
        <w:t>Increase in ordinary pay during long service leave</w:t>
      </w:r>
      <w:bookmarkEnd w:id="87"/>
      <w:bookmarkEnd w:id="88"/>
    </w:p>
    <w:p>
      <w:pPr>
        <w:pStyle w:val="Subsection"/>
        <w:rPr>
          <w:snapToGrid w:val="0"/>
        </w:rPr>
      </w:pPr>
      <w:r>
        <w:rPr>
          <w:snapToGrid w:val="0"/>
        </w:rPr>
        <w:tab/>
      </w:r>
      <w:r>
        <w:rPr>
          <w:snapToGrid w:val="0"/>
        </w:rPr>
        <w:tab/>
        <w:t>Where an employee is on long service leave and the amount of ordinary pay payable under the relevant prescribed award is increased during that period the employee is entitled to be paid any such increase during his period of long service leave commencing from the date of the increase.</w:t>
      </w:r>
    </w:p>
    <w:p>
      <w:pPr>
        <w:pStyle w:val="Heading5"/>
        <w:rPr>
          <w:snapToGrid w:val="0"/>
        </w:rPr>
      </w:pPr>
      <w:bookmarkStart w:id="89" w:name="_Toc95730168"/>
      <w:bookmarkStart w:id="90" w:name="_Toc120001193"/>
      <w:r>
        <w:rPr>
          <w:rStyle w:val="CharSectno"/>
        </w:rPr>
        <w:t>28</w:t>
      </w:r>
      <w:r>
        <w:rPr>
          <w:snapToGrid w:val="0"/>
        </w:rPr>
        <w:t>.</w:t>
      </w:r>
      <w:r>
        <w:rPr>
          <w:snapToGrid w:val="0"/>
        </w:rPr>
        <w:tab/>
        <w:t>Prohibition on other employment</w:t>
      </w:r>
      <w:bookmarkEnd w:id="89"/>
      <w:bookmarkEnd w:id="90"/>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Penstart"/>
        <w:rPr>
          <w:snapToGrid w:val="0"/>
        </w:rPr>
      </w:pPr>
      <w:r>
        <w:rPr>
          <w:snapToGrid w:val="0"/>
        </w:rPr>
        <w:tab/>
        <w:t>Penalty: For a first offence $200, for a second or subsequent offence $400.</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Heading5"/>
        <w:spacing w:before="120"/>
        <w:rPr>
          <w:snapToGrid w:val="0"/>
        </w:rPr>
      </w:pPr>
      <w:bookmarkStart w:id="91" w:name="_Toc95730169"/>
      <w:bookmarkStart w:id="92" w:name="_Toc120001194"/>
      <w:r>
        <w:rPr>
          <w:rStyle w:val="CharSectno"/>
        </w:rPr>
        <w:t>29</w:t>
      </w:r>
      <w:r>
        <w:rPr>
          <w:snapToGrid w:val="0"/>
        </w:rPr>
        <w:t>.</w:t>
      </w:r>
      <w:r>
        <w:rPr>
          <w:snapToGrid w:val="0"/>
        </w:rPr>
        <w:tab/>
        <w:t>Public holidays</w:t>
      </w:r>
      <w:bookmarkEnd w:id="91"/>
      <w:bookmarkEnd w:id="92"/>
    </w:p>
    <w:p>
      <w:pPr>
        <w:pStyle w:val="Subsection"/>
        <w:rPr>
          <w:snapToGrid w:val="0"/>
        </w:rPr>
      </w:pPr>
      <w:r>
        <w:rPr>
          <w:snapToGrid w:val="0"/>
        </w:rPr>
        <w:tab/>
      </w:r>
      <w:r>
        <w:rPr>
          <w:snapToGrid w:val="0"/>
        </w:rPr>
        <w:tab/>
        <w:t xml:space="preserve">Where a public holiday as defined by the </w:t>
      </w:r>
      <w:r>
        <w:rPr>
          <w:i/>
          <w:snapToGrid w:val="0"/>
        </w:rPr>
        <w:t>Public and Bank Holidays Act 1972</w:t>
      </w:r>
      <w:r>
        <w:rPr>
          <w:snapToGrid w:val="0"/>
        </w:rPr>
        <w:t xml:space="preserve"> occurs during any period of long service leave an employee is not entitled to any additional days of long service leave in respect of that public holiday.</w:t>
      </w:r>
    </w:p>
    <w:p>
      <w:pPr>
        <w:pStyle w:val="Heading5"/>
        <w:spacing w:before="120"/>
        <w:rPr>
          <w:snapToGrid w:val="0"/>
        </w:rPr>
      </w:pPr>
      <w:bookmarkStart w:id="93" w:name="_Toc95730170"/>
      <w:bookmarkStart w:id="94" w:name="_Toc120001195"/>
      <w:r>
        <w:rPr>
          <w:rStyle w:val="CharSectno"/>
        </w:rPr>
        <w:t>29A</w:t>
      </w:r>
      <w:r>
        <w:rPr>
          <w:snapToGrid w:val="0"/>
        </w:rPr>
        <w:t xml:space="preserve">. </w:t>
      </w:r>
      <w:r>
        <w:rPr>
          <w:snapToGrid w:val="0"/>
        </w:rPr>
        <w:tab/>
        <w:t>Reciprocal arrangements</w:t>
      </w:r>
      <w:bookmarkEnd w:id="93"/>
      <w:bookmarkEnd w:id="94"/>
    </w:p>
    <w:p>
      <w:pPr>
        <w:pStyle w:val="Subsection"/>
        <w:rPr>
          <w:snapToGrid w:val="0"/>
        </w:rPr>
      </w:pPr>
      <w:r>
        <w:rPr>
          <w:snapToGrid w:val="0"/>
        </w:rPr>
        <w:tab/>
        <w:t>(1)</w:t>
      </w:r>
      <w:r>
        <w:rPr>
          <w:snapToGrid w:val="0"/>
        </w:rPr>
        <w:tab/>
        <w:t>In this section —</w:t>
      </w:r>
    </w:p>
    <w:p>
      <w:pPr>
        <w:pStyle w:val="Defstart"/>
        <w:spacing w:before="60"/>
        <w:rPr>
          <w:spacing w:val="-6"/>
        </w:rPr>
      </w:pPr>
      <w:r>
        <w:rPr>
          <w:b/>
          <w:spacing w:val="-6"/>
        </w:rPr>
        <w:tab/>
        <w:t>“</w:t>
      </w:r>
      <w:r>
        <w:rPr>
          <w:rStyle w:val="CharDefText"/>
          <w:spacing w:val="-6"/>
        </w:rPr>
        <w:t>construction industry</w:t>
      </w:r>
      <w:r>
        <w:rPr>
          <w:b/>
          <w:spacing w:val="-6"/>
        </w:rPr>
        <w:t>”</w:t>
      </w:r>
      <w:r>
        <w:rPr>
          <w:spacing w:val="-6"/>
        </w:rPr>
        <w:t xml:space="preserve"> has the same meaning as in section 3(1);</w:t>
      </w:r>
    </w:p>
    <w:p>
      <w:pPr>
        <w:pStyle w:val="Defstart"/>
        <w:spacing w:before="60"/>
      </w:pPr>
      <w:r>
        <w:rPr>
          <w:b/>
        </w:rPr>
        <w:tab/>
        <w:t>“</w:t>
      </w:r>
      <w:r>
        <w:rPr>
          <w:rStyle w:val="CharDefText"/>
        </w:rPr>
        <w:t>corresponding law</w:t>
      </w:r>
      <w:r>
        <w:rPr>
          <w:b/>
        </w:rPr>
        <w:t>”</w:t>
      </w:r>
      <w:r>
        <w:t xml:space="preserve"> means a law of another State or of a Territory which —</w:t>
      </w:r>
    </w:p>
    <w:p>
      <w:pPr>
        <w:pStyle w:val="Defpara"/>
        <w:spacing w:before="60"/>
      </w:pPr>
      <w:r>
        <w:tab/>
        <w:t>(a)</w:t>
      </w:r>
      <w:r>
        <w:tab/>
        <w:t>provides for long service leave payments for persons employed in the construction industry; and</w:t>
      </w:r>
    </w:p>
    <w:p>
      <w:pPr>
        <w:pStyle w:val="Defpara"/>
        <w:spacing w:before="60"/>
      </w:pPr>
      <w:r>
        <w:tab/>
        <w:t>(b)</w:t>
      </w:r>
      <w:r>
        <w:tab/>
        <w:t>is prescribed as a corresponding law for the purposes of this section;</w:t>
      </w:r>
    </w:p>
    <w:p>
      <w:pPr>
        <w:pStyle w:val="Defstart"/>
        <w:spacing w:before="60"/>
      </w:pPr>
      <w:r>
        <w:rPr>
          <w:b/>
        </w:rPr>
        <w:tab/>
        <w:t>“</w:t>
      </w:r>
      <w:r>
        <w:rPr>
          <w:rStyle w:val="CharDefText"/>
        </w:rPr>
        <w:t>corresponding public employer in this State</w:t>
      </w:r>
      <w:r>
        <w:rPr>
          <w:b/>
        </w:rPr>
        <w:t>”</w:t>
      </w:r>
      <w:r>
        <w:t xml:space="preserve"> means —</w:t>
      </w:r>
    </w:p>
    <w:p>
      <w:pPr>
        <w:pStyle w:val="Defpara"/>
        <w:spacing w:before="60"/>
      </w:pPr>
      <w:r>
        <w:tab/>
        <w:t>(a)</w:t>
      </w:r>
      <w:r>
        <w:tab/>
        <w:t>a Minister in the Government;</w:t>
      </w:r>
    </w:p>
    <w:p>
      <w:pPr>
        <w:pStyle w:val="Defpara"/>
        <w:spacing w:before="60"/>
      </w:pPr>
      <w:r>
        <w:tab/>
        <w:t>(b)</w:t>
      </w:r>
      <w:r>
        <w:tab/>
        <w:t>an authority, whether a body corporate or not, constituted by a written law; or</w:t>
      </w:r>
    </w:p>
    <w:p>
      <w:pPr>
        <w:pStyle w:val="Defpara"/>
        <w:spacing w:before="60"/>
      </w:pPr>
      <w:r>
        <w:tab/>
        <w:t>(c)</w:t>
      </w:r>
      <w:r>
        <w:tab/>
        <w:t>a local government</w:t>
      </w:r>
    </w:p>
    <w:p>
      <w:pPr>
        <w:pStyle w:val="Defstart"/>
        <w:spacing w:before="60"/>
      </w:pPr>
      <w:r>
        <w:tab/>
      </w: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spacing w:before="60"/>
        <w:rPr>
          <w:snapToGrid w:val="0"/>
        </w:rPr>
      </w:pPr>
      <w:r>
        <w:rPr>
          <w:snapToGrid w:val="0"/>
        </w:rPr>
        <w:tab/>
        <w:t>(a)</w:t>
      </w:r>
      <w:r>
        <w:rPr>
          <w:snapToGrid w:val="0"/>
        </w:rPr>
        <w:tab/>
        <w:t>the Minister of State of another State or of a Territory responsible for the administration of a corresponding law; or</w:t>
      </w:r>
    </w:p>
    <w:p>
      <w:pPr>
        <w:pStyle w:val="Indenta"/>
        <w:spacing w:before="60"/>
        <w:rPr>
          <w:snapToGrid w:val="0"/>
        </w:rPr>
      </w:pPr>
      <w:r>
        <w:rPr>
          <w:snapToGrid w:val="0"/>
        </w:rPr>
        <w:tab/>
        <w:t>(b)</w:t>
      </w:r>
      <w:r>
        <w:rPr>
          <w:snapToGrid w:val="0"/>
        </w:rPr>
        <w:tab/>
        <w:t>a corresponding public employer in this State;</w:t>
      </w:r>
    </w:p>
    <w:p>
      <w:pPr>
        <w:pStyle w:val="Subsection"/>
        <w:spacing w:before="120"/>
        <w:rPr>
          <w:snapToGrid w:val="0"/>
        </w:rPr>
      </w:pPr>
      <w:r>
        <w:rPr>
          <w:snapToGrid w:val="0"/>
        </w:rPr>
        <w:tab/>
      </w:r>
      <w:r>
        <w:rPr>
          <w:snapToGrid w:val="0"/>
        </w:rPr>
        <w:tab/>
        <w:t>being a reciprocal arrangement relating to —</w:t>
      </w:r>
    </w:p>
    <w:p>
      <w:pPr>
        <w:pStyle w:val="Indenta"/>
        <w:spacing w:before="60"/>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 by No. 30 of 1989 s. 11; amended by No. 14 of 1996 s. 4.]</w:t>
      </w:r>
    </w:p>
    <w:p>
      <w:pPr>
        <w:pStyle w:val="Heading2"/>
      </w:pPr>
      <w:bookmarkStart w:id="95" w:name="_Toc95729754"/>
      <w:bookmarkStart w:id="96" w:name="_Toc95729819"/>
      <w:bookmarkStart w:id="97" w:name="_Toc95730171"/>
      <w:bookmarkStart w:id="98" w:name="_Toc95730245"/>
      <w:bookmarkStart w:id="99" w:name="_Toc97003732"/>
      <w:bookmarkStart w:id="100" w:name="_Toc102810451"/>
      <w:bookmarkStart w:id="101" w:name="_Toc116956550"/>
      <w:bookmarkStart w:id="102" w:name="_Toc116956614"/>
      <w:bookmarkStart w:id="103" w:name="_Toc116960879"/>
      <w:bookmarkStart w:id="104" w:name="_Toc118525514"/>
      <w:bookmarkStart w:id="105" w:name="_Toc118525820"/>
      <w:bookmarkStart w:id="106" w:name="_Toc120001196"/>
      <w:r>
        <w:rPr>
          <w:rStyle w:val="CharPartNo"/>
        </w:rPr>
        <w:t>Part IV</w:t>
      </w:r>
      <w:r>
        <w:rPr>
          <w:rStyle w:val="CharDivNo"/>
        </w:rPr>
        <w:t> </w:t>
      </w:r>
      <w:r>
        <w:t>—</w:t>
      </w:r>
      <w:r>
        <w:rPr>
          <w:rStyle w:val="CharDivText"/>
        </w:rPr>
        <w:t> </w:t>
      </w:r>
      <w:r>
        <w:rPr>
          <w:rStyle w:val="CharPartText"/>
        </w:rPr>
        <w:t>Registration</w:t>
      </w:r>
      <w:bookmarkEnd w:id="95"/>
      <w:bookmarkEnd w:id="96"/>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95730172"/>
      <w:bookmarkStart w:id="108" w:name="_Toc120001197"/>
      <w:r>
        <w:rPr>
          <w:rStyle w:val="CharSectno"/>
        </w:rPr>
        <w:t>30</w:t>
      </w:r>
      <w:r>
        <w:rPr>
          <w:snapToGrid w:val="0"/>
        </w:rPr>
        <w:t>.</w:t>
      </w:r>
      <w:r>
        <w:rPr>
          <w:snapToGrid w:val="0"/>
        </w:rPr>
        <w:tab/>
        <w:t>Registration of employers and employees</w:t>
      </w:r>
      <w:bookmarkEnd w:id="107"/>
      <w:bookmarkEnd w:id="108"/>
    </w:p>
    <w:p>
      <w:pPr>
        <w:pStyle w:val="Subsection"/>
        <w:rPr>
          <w:snapToGrid w:val="0"/>
        </w:rPr>
      </w:pPr>
      <w:r>
        <w:rPr>
          <w:snapToGrid w:val="0"/>
        </w:rPr>
        <w:tab/>
        <w:t>(1)</w:t>
      </w:r>
      <w:r>
        <w:rPr>
          <w:snapToGrid w:val="0"/>
        </w:rPr>
        <w:tab/>
        <w:t>Every natural person, firm or body corporate that is an employer in the construction industry (whether or not he or it carries on any other business) shall register as an employer under this Act.</w:t>
      </w:r>
    </w:p>
    <w:p>
      <w:pPr>
        <w:pStyle w:val="Subsection"/>
        <w:rPr>
          <w:snapToGrid w:val="0"/>
        </w:rPr>
      </w:pPr>
      <w:r>
        <w:rPr>
          <w:snapToGrid w:val="0"/>
        </w:rPr>
        <w:tab/>
        <w:t>(2)</w:t>
      </w:r>
      <w:r>
        <w:rPr>
          <w:snapToGrid w:val="0"/>
        </w:rPr>
        <w:tab/>
        <w:t>On and after the appointed day a natural person, firm or body corporate who or which fails to comply with subsection (1) commits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natural person, firm or body corporate who or which desires to register as an employer under this Act shall apply in writing to the Board for registration in the form of a form approved by the Board.</w:t>
      </w:r>
    </w:p>
    <w:p>
      <w:pPr>
        <w:pStyle w:val="Subsection"/>
        <w:rPr>
          <w:snapToGrid w:val="0"/>
        </w:rPr>
      </w:pPr>
      <w:r>
        <w:rPr>
          <w:snapToGrid w:val="0"/>
        </w:rPr>
        <w:tab/>
        <w:t>(4)</w:t>
      </w:r>
      <w:r>
        <w:rPr>
          <w:snapToGrid w:val="0"/>
        </w:rPr>
        <w:tab/>
        <w:t>A person who desires to register as an employee under this Act shall apply in writing to the Board for registration in the form of a form approved by the Board.</w:t>
      </w:r>
    </w:p>
    <w:p>
      <w:pPr>
        <w:pStyle w:val="Subsection"/>
        <w:rPr>
          <w:snapToGrid w:val="0"/>
        </w:rPr>
      </w:pPr>
      <w:r>
        <w:rPr>
          <w:snapToGrid w:val="0"/>
        </w:rPr>
        <w:tab/>
        <w:t>(5)</w:t>
      </w:r>
      <w:r>
        <w:rPr>
          <w:snapToGrid w:val="0"/>
        </w:rPr>
        <w:tab/>
        <w:t>An application under this section by an employer shall contain every name and address under which the employer is engaged in the construction industry.</w:t>
      </w:r>
    </w:p>
    <w:p>
      <w:pPr>
        <w:pStyle w:val="Subsection"/>
        <w:rPr>
          <w:snapToGrid w:val="0"/>
        </w:rPr>
      </w:pPr>
      <w:r>
        <w:rPr>
          <w:snapToGrid w:val="0"/>
        </w:rPr>
        <w:tab/>
        <w:t>(6)</w:t>
      </w:r>
      <w:r>
        <w:rPr>
          <w:snapToGrid w:val="0"/>
        </w:rPr>
        <w:tab/>
        <w:t>Where an employer ceases to operate under any name or at any address notified in an application the employer shall notify the Board or cause the Board to be notified of that fact.</w:t>
      </w:r>
    </w:p>
    <w:p>
      <w:pPr>
        <w:pStyle w:val="Subsection"/>
        <w:rPr>
          <w:snapToGrid w:val="0"/>
        </w:rPr>
      </w:pPr>
      <w:r>
        <w:rPr>
          <w:snapToGrid w:val="0"/>
        </w:rPr>
        <w:tab/>
        <w:t>(7)</w:t>
      </w:r>
      <w:r>
        <w:rPr>
          <w:snapToGrid w:val="0"/>
        </w:rPr>
        <w:tab/>
        <w:t>A person who fails to comply with subsection (5) or (6)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An application made under subsection (3) or (4) shall contain such information as is required by the form.</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register the applicant as an employer or employee as the case requires; and</w:t>
      </w:r>
    </w:p>
    <w:p>
      <w:pPr>
        <w:pStyle w:val="Indenta"/>
        <w:rPr>
          <w:snapToGrid w:val="0"/>
        </w:rPr>
      </w:pPr>
      <w:r>
        <w:rPr>
          <w:snapToGrid w:val="0"/>
        </w:rPr>
        <w:tab/>
        <w:t>(b)</w:t>
      </w:r>
      <w:r>
        <w:rPr>
          <w:snapToGrid w:val="0"/>
        </w:rPr>
        <w:tab/>
        <w:t>issue to the applicant a certificate of registration.</w:t>
      </w:r>
    </w:p>
    <w:p>
      <w:pPr>
        <w:pStyle w:val="Subsection"/>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Heading5"/>
        <w:rPr>
          <w:snapToGrid w:val="0"/>
        </w:rPr>
      </w:pPr>
      <w:bookmarkStart w:id="109" w:name="_Toc95730173"/>
      <w:bookmarkStart w:id="110" w:name="_Toc120001198"/>
      <w:r>
        <w:rPr>
          <w:rStyle w:val="CharSectno"/>
        </w:rPr>
        <w:t>31</w:t>
      </w:r>
      <w:r>
        <w:rPr>
          <w:snapToGrid w:val="0"/>
        </w:rPr>
        <w:t>.</w:t>
      </w:r>
      <w:r>
        <w:rPr>
          <w:snapToGrid w:val="0"/>
        </w:rPr>
        <w:tab/>
        <w:t>Return to be made by employer</w:t>
      </w:r>
      <w:bookmarkEnd w:id="109"/>
      <w:bookmarkEnd w:id="110"/>
    </w:p>
    <w:p>
      <w:pPr>
        <w:pStyle w:val="Subsection"/>
        <w:rPr>
          <w:snapToGrid w:val="0"/>
        </w:rPr>
      </w:pPr>
      <w:r>
        <w:rPr>
          <w:snapToGrid w:val="0"/>
        </w:rPr>
        <w:tab/>
        <w:t>(1)</w:t>
      </w:r>
      <w:r>
        <w:rPr>
          <w:snapToGrid w:val="0"/>
        </w:rPr>
        <w:tab/>
        <w:t>A person who is registered under this Act or required to be registered as an employer shall lodge with the Board in respect of each prescribed period —</w:t>
      </w:r>
    </w:p>
    <w:p>
      <w:pPr>
        <w:pStyle w:val="Indenta"/>
        <w:rPr>
          <w:snapToGrid w:val="0"/>
        </w:rPr>
      </w:pPr>
      <w:r>
        <w:rPr>
          <w:snapToGrid w:val="0"/>
        </w:rPr>
        <w:tab/>
        <w:t>(a)</w:t>
      </w:r>
      <w:r>
        <w:rPr>
          <w:snapToGrid w:val="0"/>
        </w:rPr>
        <w:tab/>
        <w:t>a statement in writing in the form of a form approved by the Board, within 15 days after the end of the prescribed period to which the statement relates, giving such information as is required by the form; and</w:t>
      </w:r>
    </w:p>
    <w:p>
      <w:pPr>
        <w:pStyle w:val="Indenta"/>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rPr>
          <w:snapToGrid w:val="0"/>
        </w:rPr>
      </w:pPr>
      <w:r>
        <w:rPr>
          <w:snapToGrid w:val="0"/>
        </w:rPr>
        <w:tab/>
        <w:t>(2)</w:t>
      </w:r>
      <w:r>
        <w:rPr>
          <w:snapToGrid w:val="0"/>
        </w:rPr>
        <w:tab/>
        <w:t>On and from the appointed day an employer who fails to comply with subsection (1) commits an offence.</w:t>
      </w:r>
    </w:p>
    <w:p>
      <w:pPr>
        <w:pStyle w:val="Penstart"/>
        <w:rPr>
          <w:snapToGrid w:val="0"/>
        </w:rPr>
      </w:pPr>
      <w:r>
        <w:rPr>
          <w:snapToGrid w:val="0"/>
        </w:rPr>
        <w:tab/>
        <w:t>Penalty: $2 500.</w:t>
      </w:r>
    </w:p>
    <w:p>
      <w:pPr>
        <w:pStyle w:val="Heading5"/>
        <w:rPr>
          <w:snapToGrid w:val="0"/>
        </w:rPr>
      </w:pPr>
      <w:bookmarkStart w:id="111" w:name="_Toc95730174"/>
      <w:bookmarkStart w:id="112" w:name="_Toc120001199"/>
      <w:r>
        <w:rPr>
          <w:rStyle w:val="CharSectno"/>
        </w:rPr>
        <w:t>32</w:t>
      </w:r>
      <w:r>
        <w:rPr>
          <w:snapToGrid w:val="0"/>
        </w:rPr>
        <w:t>.</w:t>
      </w:r>
      <w:r>
        <w:rPr>
          <w:snapToGrid w:val="0"/>
        </w:rPr>
        <w:tab/>
        <w:t>Employer to maintain record of employees</w:t>
      </w:r>
      <w:bookmarkEnd w:id="111"/>
      <w:bookmarkEnd w:id="112"/>
    </w:p>
    <w:p>
      <w:pPr>
        <w:pStyle w:val="Subsection"/>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spacing w:before="120"/>
        <w:rPr>
          <w:snapToGrid w:val="0"/>
        </w:rPr>
      </w:pPr>
      <w:r>
        <w:rPr>
          <w:snapToGrid w:val="0"/>
        </w:rPr>
        <w:tab/>
        <w:t>(2)</w:t>
      </w:r>
      <w:r>
        <w:rPr>
          <w:snapToGrid w:val="0"/>
        </w:rPr>
        <w:tab/>
        <w:t>An employer shall retain any record established and maintained under subsection (1) for a period of not less than 7 years.</w:t>
      </w:r>
    </w:p>
    <w:p>
      <w:pPr>
        <w:pStyle w:val="Subsection"/>
        <w:spacing w:before="120"/>
        <w:rPr>
          <w:snapToGrid w:val="0"/>
        </w:rPr>
      </w:pPr>
      <w:r>
        <w:rPr>
          <w:snapToGrid w:val="0"/>
        </w:rPr>
        <w:tab/>
        <w:t>(3)</w:t>
      </w:r>
      <w:r>
        <w:rPr>
          <w:snapToGrid w:val="0"/>
        </w:rPr>
        <w:tab/>
        <w:t>An employer who fails to comply with subsection (1) or (2) commits an offence.</w:t>
      </w:r>
    </w:p>
    <w:p>
      <w:pPr>
        <w:pStyle w:val="Penstart"/>
        <w:rPr>
          <w:snapToGrid w:val="0"/>
        </w:rPr>
      </w:pPr>
      <w:r>
        <w:rPr>
          <w:snapToGrid w:val="0"/>
        </w:rPr>
        <w:tab/>
        <w:t>Penalty: $500.</w:t>
      </w:r>
    </w:p>
    <w:p>
      <w:pPr>
        <w:pStyle w:val="Heading5"/>
        <w:rPr>
          <w:snapToGrid w:val="0"/>
        </w:rPr>
      </w:pPr>
      <w:bookmarkStart w:id="113" w:name="_Toc95730175"/>
      <w:bookmarkStart w:id="114" w:name="_Toc120001200"/>
      <w:r>
        <w:rPr>
          <w:rStyle w:val="CharSectno"/>
        </w:rPr>
        <w:t>33</w:t>
      </w:r>
      <w:r>
        <w:rPr>
          <w:snapToGrid w:val="0"/>
        </w:rPr>
        <w:t>.</w:t>
      </w:r>
      <w:r>
        <w:rPr>
          <w:snapToGrid w:val="0"/>
        </w:rPr>
        <w:tab/>
        <w:t>Exempt employer</w:t>
      </w:r>
      <w:bookmarkEnd w:id="113"/>
      <w:bookmarkEnd w:id="114"/>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spacing w:before="120"/>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115" w:name="_Toc95730176"/>
      <w:bookmarkStart w:id="116" w:name="_Toc120001201"/>
      <w:r>
        <w:rPr>
          <w:rStyle w:val="CharSectno"/>
        </w:rPr>
        <w:t>34</w:t>
      </w:r>
      <w:r>
        <w:rPr>
          <w:snapToGrid w:val="0"/>
        </w:rPr>
        <w:t>.</w:t>
      </w:r>
      <w:r>
        <w:rPr>
          <w:snapToGrid w:val="0"/>
        </w:rPr>
        <w:tab/>
        <w:t>Contribution by employer and assessment by the Board</w:t>
      </w:r>
      <w:bookmarkEnd w:id="115"/>
      <w:bookmarkEnd w:id="116"/>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employer fails or neglects to duly furnish a return or information as and when required under this Act or by the Board;</w:t>
      </w:r>
    </w:p>
    <w:p>
      <w:pPr>
        <w:pStyle w:val="Indenta"/>
        <w:rPr>
          <w:snapToGrid w:val="0"/>
        </w:rPr>
      </w:pPr>
      <w:r>
        <w:rPr>
          <w:snapToGrid w:val="0"/>
        </w:rPr>
        <w:tab/>
        <w:t>(b)</w:t>
      </w:r>
      <w:r>
        <w:rPr>
          <w:snapToGrid w:val="0"/>
        </w:rPr>
        <w:tab/>
        <w:t>the Board is not satisfied with a return made or information furnished by an employer;</w:t>
      </w:r>
    </w:p>
    <w:p>
      <w:pPr>
        <w:pStyle w:val="Indenta"/>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rPr>
          <w:snapToGrid w:val="0"/>
        </w:rPr>
      </w:pPr>
      <w:r>
        <w:rPr>
          <w:snapToGrid w:val="0"/>
        </w:rPr>
        <w:tab/>
        <w:t>(d)</w:t>
      </w:r>
      <w:r>
        <w:rPr>
          <w:snapToGrid w:val="0"/>
        </w:rPr>
        <w:tab/>
        <w:t>the Board is of the opinion —</w:t>
      </w:r>
    </w:p>
    <w:p>
      <w:pPr>
        <w:pStyle w:val="Indenti"/>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rPr>
          <w:snapToGrid w:val="0"/>
        </w:rPr>
      </w:pPr>
      <w:r>
        <w:rPr>
          <w:snapToGrid w:val="0"/>
          <w:spacing w:val="-6"/>
        </w:rPr>
        <w:tab/>
        <w:t>(ii)</w:t>
      </w:r>
      <w:r>
        <w:rPr>
          <w:snapToGrid w:val="0"/>
          <w:spacing w:val="-6"/>
        </w:rPr>
        <w:tab/>
      </w:r>
      <w:r>
        <w:rPr>
          <w:snapToGrid w:val="0"/>
        </w:rPr>
        <w:t>that the ordinary pay in relation to which the moneys payable under subsection (1) is not assessed in accordance with the provisions of this Act,</w:t>
      </w:r>
    </w:p>
    <w:p>
      <w:pPr>
        <w:pStyle w:val="Subsection"/>
        <w:spacing w:before="80"/>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spacing w:before="140"/>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spacing w:before="140"/>
        <w:rPr>
          <w:snapToGrid w:val="0"/>
        </w:rPr>
      </w:pPr>
      <w:r>
        <w:rPr>
          <w:snapToGrid w:val="0"/>
        </w:rPr>
        <w:tab/>
        <w:t>(4)</w:t>
      </w:r>
      <w:r>
        <w:rPr>
          <w:snapToGrid w:val="0"/>
        </w:rPr>
        <w:tab/>
        <w:t>A determination for the purposes of subsection (3) may be expressed as —</w:t>
      </w:r>
    </w:p>
    <w:p>
      <w:pPr>
        <w:pStyle w:val="Indenta"/>
        <w:rPr>
          <w:snapToGrid w:val="0"/>
        </w:rPr>
      </w:pPr>
      <w:r>
        <w:rPr>
          <w:snapToGrid w:val="0"/>
        </w:rPr>
        <w:tab/>
        <w:t>(a)</w:t>
      </w:r>
      <w:r>
        <w:rPr>
          <w:snapToGrid w:val="0"/>
        </w:rPr>
        <w:tab/>
        <w:t>a fixed amount; or</w:t>
      </w:r>
    </w:p>
    <w:p>
      <w:pPr>
        <w:pStyle w:val="Indenta"/>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Heading5"/>
        <w:rPr>
          <w:snapToGrid w:val="0"/>
        </w:rPr>
      </w:pPr>
      <w:bookmarkStart w:id="117" w:name="_Toc95730177"/>
      <w:bookmarkStart w:id="118" w:name="_Toc120001202"/>
      <w:r>
        <w:rPr>
          <w:rStyle w:val="CharSectno"/>
        </w:rPr>
        <w:t>35</w:t>
      </w:r>
      <w:r>
        <w:rPr>
          <w:snapToGrid w:val="0"/>
        </w:rPr>
        <w:t>.</w:t>
      </w:r>
      <w:r>
        <w:rPr>
          <w:snapToGrid w:val="0"/>
        </w:rPr>
        <w:tab/>
        <w:t>Register of Employers and Register of Employees</w:t>
      </w:r>
      <w:bookmarkEnd w:id="117"/>
      <w:bookmarkEnd w:id="118"/>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119" w:name="_Toc95730178"/>
      <w:bookmarkStart w:id="120" w:name="_Toc120001203"/>
      <w:r>
        <w:rPr>
          <w:rStyle w:val="CharSectno"/>
        </w:rPr>
        <w:t>36</w:t>
      </w:r>
      <w:r>
        <w:rPr>
          <w:snapToGrid w:val="0"/>
        </w:rPr>
        <w:t>.</w:t>
      </w:r>
      <w:r>
        <w:rPr>
          <w:snapToGrid w:val="0"/>
        </w:rPr>
        <w:tab/>
        <w:t>Employer leaving Western Australia</w:t>
      </w:r>
      <w:bookmarkEnd w:id="119"/>
      <w:bookmarkEnd w:id="120"/>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121" w:name="_Toc95730179"/>
      <w:bookmarkStart w:id="122" w:name="_Toc120001204"/>
      <w:r>
        <w:rPr>
          <w:rStyle w:val="CharSectno"/>
        </w:rPr>
        <w:t>37</w:t>
      </w:r>
      <w:r>
        <w:rPr>
          <w:snapToGrid w:val="0"/>
        </w:rPr>
        <w:t>.</w:t>
      </w:r>
      <w:r>
        <w:rPr>
          <w:snapToGrid w:val="0"/>
        </w:rPr>
        <w:tab/>
        <w:t>Recovery of long service leave contribution</w:t>
      </w:r>
      <w:bookmarkEnd w:id="121"/>
      <w:bookmarkEnd w:id="122"/>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123" w:name="_Toc95730180"/>
      <w:bookmarkStart w:id="124" w:name="_Toc120001205"/>
      <w:r>
        <w:rPr>
          <w:rStyle w:val="CharSectno"/>
        </w:rPr>
        <w:t>38</w:t>
      </w:r>
      <w:r>
        <w:rPr>
          <w:snapToGrid w:val="0"/>
        </w:rPr>
        <w:t>.</w:t>
      </w:r>
      <w:r>
        <w:rPr>
          <w:snapToGrid w:val="0"/>
        </w:rPr>
        <w:tab/>
        <w:t>Liquidator to give notice</w:t>
      </w:r>
      <w:bookmarkEnd w:id="123"/>
      <w:bookmarkEnd w:id="124"/>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Subsection"/>
        <w:rPr>
          <w:snapToGrid w:val="0"/>
        </w:rPr>
      </w:pPr>
      <w:r>
        <w:rPr>
          <w:snapToGrid w:val="0"/>
        </w:rPr>
        <w:tab/>
        <w:t>(3)</w:t>
      </w:r>
      <w:r>
        <w:rPr>
          <w:snapToGrid w:val="0"/>
        </w:rPr>
        <w:tab/>
        <w:t>The liquidator —</w:t>
      </w:r>
    </w:p>
    <w:p>
      <w:pPr>
        <w:pStyle w:val="Indenta"/>
        <w:rPr>
          <w:snapToGrid w:val="0"/>
        </w:rPr>
      </w:pPr>
      <w:r>
        <w:rPr>
          <w:snapToGrid w:val="0"/>
        </w:rPr>
        <w:tab/>
        <w:t>(a)</w:t>
      </w:r>
      <w:r>
        <w:rPr>
          <w:snapToGrid w:val="0"/>
        </w:rPr>
        <w:tab/>
        <w:t>shall not without leave of the chief executive officer part with any of the assets of the company until he has been so notified;</w:t>
      </w:r>
    </w:p>
    <w:p>
      <w:pPr>
        <w:pStyle w:val="Indenta"/>
        <w:rPr>
          <w:snapToGrid w:val="0"/>
        </w:rPr>
      </w:pPr>
      <w:r>
        <w:rPr>
          <w:snapToGrid w:val="0"/>
        </w:rPr>
        <w:tab/>
        <w:t>(b)</w:t>
      </w:r>
      <w:r>
        <w:rPr>
          <w:snapToGrid w:val="0"/>
        </w:rPr>
        <w:tab/>
        <w:t>shall set aside out of the assets available for payment of the long service leave contributions and surcharges to the value of the amount so notified, or the whole of the assets so available if they are of less than that value; and</w:t>
      </w:r>
    </w:p>
    <w:p>
      <w:pPr>
        <w:pStyle w:val="Indenta"/>
        <w:rPr>
          <w:snapToGrid w:val="0"/>
        </w:rPr>
      </w:pPr>
      <w:r>
        <w:rPr>
          <w:snapToGrid w:val="0"/>
        </w:rPr>
        <w:tab/>
        <w:t>(c)</w:t>
      </w:r>
      <w:r>
        <w:rPr>
          <w:snapToGrid w:val="0"/>
        </w:rPr>
        <w:tab/>
        <w:t>shall to the extent of the value of the assets which he is so required to set aside, be liable as trustee to pay those contributions and surcharges.</w:t>
      </w:r>
    </w:p>
    <w:p>
      <w:pPr>
        <w:pStyle w:val="Subsection"/>
        <w:rPr>
          <w:snapToGrid w:val="0"/>
        </w:rPr>
      </w:pPr>
      <w:r>
        <w:rPr>
          <w:snapToGrid w:val="0"/>
        </w:rPr>
        <w:tab/>
        <w:t>(4)</w:t>
      </w:r>
      <w:r>
        <w:rPr>
          <w:snapToGrid w:val="0"/>
        </w:rPr>
        <w:tab/>
        <w:t>If the liquidator fails to comply with any provision of this section (or fails as trustee duly to pay the long service leave contributions and surcharges for which he is liable under subsection (3)), he shall, to the extent of the value of the assets of which he has taken possession and which are, or were at any time, available to him for payment, be personally liable to pay the long service leave contribution and surcharge and shall be guilty of an offence.</w:t>
      </w:r>
    </w:p>
    <w:p>
      <w:pPr>
        <w:pStyle w:val="Penstart"/>
        <w:rPr>
          <w:snapToGrid w:val="0"/>
        </w:rPr>
      </w:pPr>
      <w:r>
        <w:rPr>
          <w:snapToGrid w:val="0"/>
        </w:rPr>
        <w:tab/>
        <w:t>Penalty: $1 000.</w:t>
      </w:r>
    </w:p>
    <w:p>
      <w:pPr>
        <w:pStyle w:val="Subsection"/>
        <w:rPr>
          <w:snapToGrid w:val="0"/>
        </w:rPr>
      </w:pPr>
      <w:r>
        <w:rPr>
          <w:snapToGrid w:val="0"/>
        </w:rPr>
        <w:tab/>
        <w:t>(5)</w:t>
      </w:r>
      <w:r>
        <w:rPr>
          <w:snapToGrid w:val="0"/>
        </w:rPr>
        <w:tab/>
        <w:t>Where more persons than one are appointed liquidators or required by law to carry out the winding</w:t>
      </w:r>
      <w:r>
        <w:rPr>
          <w:snapToGrid w:val="0"/>
        </w:rPr>
        <w:noBreakHyphen/>
        <w:t>up, the obligations and liabilities attaching to a liquidator under this section shall attach to each of those persons and, where any one of those persons has paid the charges due in respect of the company being wound</w:t>
      </w:r>
      <w:r>
        <w:rPr>
          <w:snapToGrid w:val="0"/>
        </w:rPr>
        <w:noBreakHyphen/>
        <w:t>up, the other person of persons shall be liable to pay that person his equal share of the amount of the long service leave contributions and surcharges so paid.</w:t>
      </w:r>
    </w:p>
    <w:p>
      <w:pPr>
        <w:pStyle w:val="Subsection"/>
        <w:rPr>
          <w:snapToGrid w:val="0"/>
        </w:rPr>
      </w:pPr>
      <w:r>
        <w:rPr>
          <w:snapToGrid w:val="0"/>
        </w:rPr>
        <w:tab/>
        <w:t>(6)</w:t>
      </w:r>
      <w:r>
        <w:rPr>
          <w:snapToGrid w:val="0"/>
        </w:rPr>
        <w:tab/>
        <w:t>Notwithstanding anything contained in this section, all costs, charges and expenses which, in the opinion of the chief executive officer have been properly incurred, by the liquidator, may be paid out of the assets of the company in priority to any long service leave contributions and surcharges payable in respect of the company.</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 by No. 10 of 2001 s. 45.]</w:t>
      </w:r>
    </w:p>
    <w:p>
      <w:pPr>
        <w:pStyle w:val="Heading5"/>
        <w:rPr>
          <w:snapToGrid w:val="0"/>
        </w:rPr>
      </w:pPr>
      <w:bookmarkStart w:id="125" w:name="_Toc95730181"/>
      <w:bookmarkStart w:id="126" w:name="_Toc120001206"/>
      <w:r>
        <w:rPr>
          <w:rStyle w:val="CharSectno"/>
        </w:rPr>
        <w:t>39</w:t>
      </w:r>
      <w:r>
        <w:rPr>
          <w:snapToGrid w:val="0"/>
        </w:rPr>
        <w:t>.</w:t>
      </w:r>
      <w:r>
        <w:rPr>
          <w:snapToGrid w:val="0"/>
        </w:rPr>
        <w:tab/>
        <w:t>Agent for absentee principal winding up business</w:t>
      </w:r>
      <w:bookmarkEnd w:id="125"/>
      <w:bookmarkEnd w:id="126"/>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rPr>
          <w:snapToGrid w:val="0"/>
        </w:rPr>
      </w:pPr>
      <w:bookmarkStart w:id="127" w:name="_Toc95730182"/>
      <w:bookmarkStart w:id="128" w:name="_Toc120001207"/>
      <w:r>
        <w:rPr>
          <w:rStyle w:val="CharSectno"/>
        </w:rPr>
        <w:t>40</w:t>
      </w:r>
      <w:r>
        <w:rPr>
          <w:snapToGrid w:val="0"/>
        </w:rPr>
        <w:t>.</w:t>
      </w:r>
      <w:r>
        <w:rPr>
          <w:snapToGrid w:val="0"/>
        </w:rPr>
        <w:tab/>
        <w:t>Where long service leave charges are not paid during lifetime</w:t>
      </w:r>
      <w:bookmarkEnd w:id="127"/>
      <w:bookmarkEnd w:id="128"/>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129" w:name="_Toc95730183"/>
      <w:bookmarkStart w:id="130" w:name="_Toc120001208"/>
      <w:r>
        <w:rPr>
          <w:rStyle w:val="CharSectno"/>
        </w:rPr>
        <w:t>41</w:t>
      </w:r>
      <w:r>
        <w:rPr>
          <w:snapToGrid w:val="0"/>
        </w:rPr>
        <w:t>.</w:t>
      </w:r>
      <w:r>
        <w:rPr>
          <w:snapToGrid w:val="0"/>
        </w:rPr>
        <w:tab/>
        <w:t>Provisions for payment of long service leave charges by executors or administrators</w:t>
      </w:r>
      <w:bookmarkEnd w:id="129"/>
      <w:bookmarkEnd w:id="130"/>
    </w:p>
    <w:p>
      <w:pPr>
        <w:pStyle w:val="Subsection"/>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rPr>
          <w:snapToGrid w:val="0"/>
        </w:rPr>
      </w:pPr>
      <w:bookmarkStart w:id="131" w:name="_Toc95730184"/>
      <w:bookmarkStart w:id="132" w:name="_Toc120001209"/>
      <w:r>
        <w:rPr>
          <w:rStyle w:val="CharSectno"/>
        </w:rPr>
        <w:t>42</w:t>
      </w:r>
      <w:r>
        <w:rPr>
          <w:snapToGrid w:val="0"/>
        </w:rPr>
        <w:t>.</w:t>
      </w:r>
      <w:r>
        <w:rPr>
          <w:snapToGrid w:val="0"/>
        </w:rPr>
        <w:tab/>
        <w:t>Contributions by joint employers</w:t>
      </w:r>
      <w:bookmarkEnd w:id="131"/>
      <w:bookmarkEnd w:id="132"/>
    </w:p>
    <w:p>
      <w:pPr>
        <w:pStyle w:val="Subsection"/>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rPr>
          <w:snapToGrid w:val="0"/>
        </w:rPr>
      </w:pPr>
      <w:bookmarkStart w:id="133" w:name="_Toc95730185"/>
      <w:bookmarkStart w:id="134" w:name="_Toc120001210"/>
      <w:r>
        <w:rPr>
          <w:rStyle w:val="CharSectno"/>
        </w:rPr>
        <w:t>43</w:t>
      </w:r>
      <w:r>
        <w:rPr>
          <w:snapToGrid w:val="0"/>
        </w:rPr>
        <w:t>.</w:t>
      </w:r>
      <w:r>
        <w:rPr>
          <w:snapToGrid w:val="0"/>
        </w:rPr>
        <w:tab/>
        <w:t>Payment of penalties no relief from contributions</w:t>
      </w:r>
      <w:bookmarkEnd w:id="133"/>
      <w:bookmarkEnd w:id="134"/>
    </w:p>
    <w:p>
      <w:pPr>
        <w:pStyle w:val="Subsection"/>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135" w:name="_Toc95729769"/>
      <w:bookmarkStart w:id="136" w:name="_Toc95729834"/>
      <w:bookmarkStart w:id="137" w:name="_Toc95730186"/>
      <w:bookmarkStart w:id="138" w:name="_Toc95730260"/>
      <w:bookmarkStart w:id="139" w:name="_Toc97003747"/>
      <w:bookmarkStart w:id="140" w:name="_Toc102810466"/>
      <w:bookmarkStart w:id="141" w:name="_Toc116956565"/>
      <w:bookmarkStart w:id="142" w:name="_Toc116956629"/>
      <w:bookmarkStart w:id="143" w:name="_Toc116960894"/>
      <w:bookmarkStart w:id="144" w:name="_Toc118525529"/>
      <w:bookmarkStart w:id="145" w:name="_Toc118525835"/>
      <w:bookmarkStart w:id="146" w:name="_Toc120001211"/>
      <w:r>
        <w:rPr>
          <w:rStyle w:val="CharPartNo"/>
        </w:rPr>
        <w:t>Part V</w:t>
      </w:r>
      <w:r>
        <w:rPr>
          <w:rStyle w:val="CharDivNo"/>
        </w:rPr>
        <w:t> </w:t>
      </w:r>
      <w:r>
        <w:t>—</w:t>
      </w:r>
      <w:r>
        <w:rPr>
          <w:rStyle w:val="CharDivText"/>
        </w:rPr>
        <w:t> </w:t>
      </w:r>
      <w:r>
        <w:rPr>
          <w:rStyle w:val="CharPartText"/>
        </w:rPr>
        <w:t>Miscellaneous</w:t>
      </w:r>
      <w:bookmarkEnd w:id="135"/>
      <w:bookmarkEnd w:id="136"/>
      <w:bookmarkEnd w:id="137"/>
      <w:bookmarkEnd w:id="138"/>
      <w:bookmarkEnd w:id="139"/>
      <w:bookmarkEnd w:id="140"/>
      <w:bookmarkEnd w:id="141"/>
      <w:bookmarkEnd w:id="142"/>
      <w:bookmarkEnd w:id="143"/>
      <w:bookmarkEnd w:id="144"/>
      <w:bookmarkEnd w:id="145"/>
      <w:bookmarkEnd w:id="146"/>
    </w:p>
    <w:p>
      <w:pPr>
        <w:pStyle w:val="Heading5"/>
        <w:rPr>
          <w:snapToGrid w:val="0"/>
        </w:rPr>
      </w:pPr>
      <w:bookmarkStart w:id="147" w:name="_Toc95730187"/>
      <w:bookmarkStart w:id="148" w:name="_Toc120001212"/>
      <w:r>
        <w:rPr>
          <w:rStyle w:val="CharSectno"/>
        </w:rPr>
        <w:t>44</w:t>
      </w:r>
      <w:r>
        <w:rPr>
          <w:snapToGrid w:val="0"/>
        </w:rPr>
        <w:t>.</w:t>
      </w:r>
      <w:r>
        <w:rPr>
          <w:snapToGrid w:val="0"/>
        </w:rPr>
        <w:tab/>
        <w:t>Inspectors</w:t>
      </w:r>
      <w:bookmarkEnd w:id="147"/>
      <w:bookmarkEnd w:id="148"/>
    </w:p>
    <w:p>
      <w:pPr>
        <w:pStyle w:val="Subsection"/>
        <w:rPr>
          <w:snapToGrid w:val="0"/>
        </w:rPr>
      </w:pPr>
      <w:r>
        <w:rPr>
          <w:snapToGrid w:val="0"/>
        </w:rPr>
        <w:tab/>
        <w:t>(1)</w:t>
      </w:r>
      <w:r>
        <w:rPr>
          <w:snapToGrid w:val="0"/>
        </w:rPr>
        <w:tab/>
        <w:t>The Board may engage or appoint such inspectors as are necessary for the purposes of this Act.</w:t>
      </w:r>
    </w:p>
    <w:p>
      <w:pPr>
        <w:pStyle w:val="Subsection"/>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149" w:name="_Toc95730188"/>
      <w:bookmarkStart w:id="150" w:name="_Toc120001213"/>
      <w:r>
        <w:rPr>
          <w:rStyle w:val="CharSectno"/>
        </w:rPr>
        <w:t>45</w:t>
      </w:r>
      <w:r>
        <w:rPr>
          <w:snapToGrid w:val="0"/>
        </w:rPr>
        <w:t>.</w:t>
      </w:r>
      <w:r>
        <w:rPr>
          <w:snapToGrid w:val="0"/>
        </w:rPr>
        <w:tab/>
        <w:t>Power to obtain information and evidence</w:t>
      </w:r>
      <w:bookmarkEnd w:id="149"/>
      <w:bookmarkEnd w:id="150"/>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rPr>
          <w:snapToGrid w:val="0"/>
        </w:rPr>
      </w:pPr>
      <w:r>
        <w:rPr>
          <w:snapToGrid w:val="0"/>
        </w:rPr>
        <w:tab/>
        <w:t>(2)</w:t>
      </w:r>
      <w:r>
        <w:rPr>
          <w:snapToGrid w:val="0"/>
        </w:rPr>
        <w:tab/>
        <w:t>A person who fails to comply with a request by the chief executive officer under subsection (1) commits an offence.</w:t>
      </w:r>
    </w:p>
    <w:p>
      <w:pPr>
        <w:pStyle w:val="Penstart"/>
        <w:rPr>
          <w:snapToGrid w:val="0"/>
        </w:rPr>
      </w:pPr>
      <w:r>
        <w:rPr>
          <w:snapToGrid w:val="0"/>
        </w:rPr>
        <w:tab/>
        <w:t>Penalty: $500.</w:t>
      </w:r>
    </w:p>
    <w:p>
      <w:pPr>
        <w:pStyle w:val="Heading5"/>
        <w:rPr>
          <w:snapToGrid w:val="0"/>
        </w:rPr>
      </w:pPr>
      <w:bookmarkStart w:id="151" w:name="_Toc95730189"/>
      <w:bookmarkStart w:id="152" w:name="_Toc120001214"/>
      <w:r>
        <w:rPr>
          <w:rStyle w:val="CharSectno"/>
        </w:rPr>
        <w:t>46</w:t>
      </w:r>
      <w:r>
        <w:rPr>
          <w:snapToGrid w:val="0"/>
        </w:rPr>
        <w:t>.</w:t>
      </w:r>
      <w:r>
        <w:rPr>
          <w:snapToGrid w:val="0"/>
        </w:rPr>
        <w:tab/>
        <w:t>Access to books etc.</w:t>
      </w:r>
      <w:bookmarkEnd w:id="151"/>
      <w:bookmarkEnd w:id="152"/>
    </w:p>
    <w:p>
      <w:pPr>
        <w:pStyle w:val="Subsection"/>
        <w:rPr>
          <w:snapToGrid w:val="0"/>
        </w:rPr>
      </w:pPr>
      <w:r>
        <w:rPr>
          <w:snapToGrid w:val="0"/>
          <w:spacing w:val="-6"/>
        </w:rPr>
        <w:tab/>
      </w:r>
      <w:r>
        <w:rPr>
          <w:snapToGrid w:val="0"/>
          <w:spacing w:val="-6"/>
        </w:rPr>
        <w:tab/>
      </w:r>
      <w:r>
        <w:rPr>
          <w:snapToGrid w:val="0"/>
        </w:rPr>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153" w:name="_Toc95730190"/>
      <w:bookmarkStart w:id="154" w:name="_Toc120001215"/>
      <w:r>
        <w:rPr>
          <w:rStyle w:val="CharSectno"/>
        </w:rPr>
        <w:t>47</w:t>
      </w:r>
      <w:r>
        <w:rPr>
          <w:snapToGrid w:val="0"/>
        </w:rPr>
        <w:t>.</w:t>
      </w:r>
      <w:r>
        <w:rPr>
          <w:snapToGrid w:val="0"/>
        </w:rPr>
        <w:tab/>
        <w:t>Proceedings for offences against this Act</w:t>
      </w:r>
      <w:bookmarkEnd w:id="153"/>
      <w:bookmarkEnd w:id="154"/>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155" w:name="_Toc95730191"/>
      <w:bookmarkStart w:id="156" w:name="_Toc120001216"/>
      <w:r>
        <w:rPr>
          <w:rStyle w:val="CharSectno"/>
        </w:rPr>
        <w:t>48</w:t>
      </w:r>
      <w:r>
        <w:rPr>
          <w:snapToGrid w:val="0"/>
        </w:rPr>
        <w:t>.</w:t>
      </w:r>
      <w:r>
        <w:rPr>
          <w:snapToGrid w:val="0"/>
        </w:rPr>
        <w:tab/>
        <w:t>Institution of proceedings</w:t>
      </w:r>
      <w:bookmarkEnd w:id="155"/>
      <w:bookmarkEnd w:id="156"/>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 by No. 84 of 2004 s. 80.]</w:t>
      </w:r>
    </w:p>
    <w:p>
      <w:pPr>
        <w:pStyle w:val="Heading5"/>
        <w:rPr>
          <w:snapToGrid w:val="0"/>
        </w:rPr>
      </w:pPr>
      <w:bookmarkStart w:id="157" w:name="_Toc95730192"/>
      <w:bookmarkStart w:id="158" w:name="_Toc120001217"/>
      <w:r>
        <w:rPr>
          <w:rStyle w:val="CharSectno"/>
        </w:rPr>
        <w:t>49</w:t>
      </w:r>
      <w:r>
        <w:rPr>
          <w:snapToGrid w:val="0"/>
        </w:rPr>
        <w:t>.</w:t>
      </w:r>
      <w:r>
        <w:rPr>
          <w:snapToGrid w:val="0"/>
        </w:rPr>
        <w:tab/>
        <w:t>Evidence</w:t>
      </w:r>
      <w:bookmarkEnd w:id="157"/>
      <w:bookmarkEnd w:id="158"/>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spacing w:before="120"/>
        <w:rPr>
          <w:snapToGrid w:val="0"/>
        </w:rPr>
      </w:pPr>
      <w:r>
        <w:rPr>
          <w:snapToGrid w:val="0"/>
        </w:rPr>
        <w:tab/>
        <w:t>(a)</w:t>
      </w:r>
      <w:r>
        <w:rPr>
          <w:snapToGrid w:val="0"/>
        </w:rPr>
        <w:tab/>
        <w:t>the employer named in the certificate was liable to pay the long service leave charges for the period specified in the certificate;</w:t>
      </w:r>
    </w:p>
    <w:p>
      <w:pPr>
        <w:pStyle w:val="Indenta"/>
        <w:spacing w:before="120"/>
        <w:rPr>
          <w:snapToGrid w:val="0"/>
        </w:rPr>
      </w:pPr>
      <w:r>
        <w:rPr>
          <w:snapToGrid w:val="0"/>
        </w:rPr>
        <w:tab/>
        <w:t>(b)</w:t>
      </w:r>
      <w:r>
        <w:rPr>
          <w:snapToGrid w:val="0"/>
        </w:rPr>
        <w:tab/>
        <w:t>an assessment of the long service leave contributions and surcharges was duly made against him;</w:t>
      </w:r>
    </w:p>
    <w:p>
      <w:pPr>
        <w:pStyle w:val="Indenta"/>
        <w:rPr>
          <w:snapToGrid w:val="0"/>
        </w:rPr>
      </w:pPr>
      <w:r>
        <w:rPr>
          <w:snapToGrid w:val="0"/>
        </w:rPr>
        <w:tab/>
        <w:t>(c)</w:t>
      </w:r>
      <w:r>
        <w:rPr>
          <w:snapToGrid w:val="0"/>
        </w:rPr>
        <w:tab/>
        <w:t>the particulars of the assessment are as stated in the certificate;</w:t>
      </w:r>
    </w:p>
    <w:p>
      <w:pPr>
        <w:pStyle w:val="Indenta"/>
        <w:rPr>
          <w:snapToGrid w:val="0"/>
          <w:spacing w:val="-8"/>
        </w:rPr>
      </w:pPr>
      <w:r>
        <w:rPr>
          <w:snapToGrid w:val="0"/>
          <w:spacing w:val="-8"/>
        </w:rPr>
        <w:tab/>
        <w:t>(d)</w:t>
      </w:r>
      <w:r>
        <w:rPr>
          <w:snapToGrid w:val="0"/>
          <w:spacing w:val="-8"/>
        </w:rPr>
        <w:tab/>
        <w:t>notice of the assessment was duly served upon the person; or</w:t>
      </w:r>
    </w:p>
    <w:p>
      <w:pPr>
        <w:pStyle w:val="Indenta"/>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2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spacing w:before="120"/>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spacing w:before="120"/>
        <w:rPr>
          <w:snapToGrid w:val="0"/>
        </w:rPr>
      </w:pPr>
      <w:r>
        <w:rPr>
          <w:snapToGrid w:val="0"/>
        </w:rPr>
        <w:tab/>
        <w:t>(b)</w:t>
      </w:r>
      <w:r>
        <w:rPr>
          <w:snapToGrid w:val="0"/>
        </w:rPr>
        <w:tab/>
        <w:t>the accused failed or neglected duly to furnish the information as and when required by the chief executive officer,</w:t>
      </w:r>
    </w:p>
    <w:p>
      <w:pPr>
        <w:pStyle w:val="Subsection"/>
        <w:spacing w:before="180"/>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spacing w:before="180"/>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 by No. 30 of 1989 s. 12; No. 84 of 2004 s. 82.]</w:t>
      </w:r>
    </w:p>
    <w:p>
      <w:pPr>
        <w:pStyle w:val="Heading5"/>
        <w:rPr>
          <w:snapToGrid w:val="0"/>
        </w:rPr>
      </w:pPr>
      <w:bookmarkStart w:id="159" w:name="_Toc95730193"/>
      <w:bookmarkStart w:id="160" w:name="_Toc120001218"/>
      <w:r>
        <w:rPr>
          <w:rStyle w:val="CharSectno"/>
        </w:rPr>
        <w:t>50</w:t>
      </w:r>
      <w:r>
        <w:rPr>
          <w:snapToGrid w:val="0"/>
        </w:rPr>
        <w:t>.</w:t>
      </w:r>
      <w:r>
        <w:rPr>
          <w:snapToGrid w:val="0"/>
        </w:rPr>
        <w:tab/>
        <w:t>Appeals</w:t>
      </w:r>
      <w:bookmarkEnd w:id="159"/>
      <w:bookmarkEnd w:id="160"/>
    </w:p>
    <w:p>
      <w:pPr>
        <w:pStyle w:val="Subsection"/>
        <w:rPr>
          <w:snapToGrid w:val="0"/>
        </w:rPr>
      </w:pPr>
      <w:r>
        <w:rPr>
          <w:snapToGrid w:val="0"/>
        </w:rPr>
        <w:tab/>
      </w:r>
      <w:r>
        <w:rPr>
          <w:snapToGrid w:val="0"/>
        </w:rPr>
        <w:tab/>
        <w:t>All claims arising out of the —</w:t>
      </w:r>
    </w:p>
    <w:p>
      <w:pPr>
        <w:pStyle w:val="Indenta"/>
        <w:rPr>
          <w:snapToGrid w:val="0"/>
        </w:rPr>
      </w:pPr>
      <w:r>
        <w:rPr>
          <w:snapToGrid w:val="0"/>
        </w:rPr>
        <w:tab/>
        <w:t>(a)</w:t>
      </w:r>
      <w:r>
        <w:rPr>
          <w:snapToGrid w:val="0"/>
        </w:rPr>
        <w:tab/>
        <w:t>refusal of the registration of an employee;</w:t>
      </w:r>
    </w:p>
    <w:p>
      <w:pPr>
        <w:pStyle w:val="Indenta"/>
        <w:rPr>
          <w:snapToGrid w:val="0"/>
        </w:rPr>
      </w:pPr>
      <w:r>
        <w:rPr>
          <w:snapToGrid w:val="0"/>
        </w:rPr>
        <w:tab/>
        <w:t>(b)</w:t>
      </w:r>
      <w:r>
        <w:rPr>
          <w:snapToGrid w:val="0"/>
        </w:rPr>
        <w:tab/>
        <w:t>requirement that an employer register under this Act;</w:t>
      </w:r>
    </w:p>
    <w:p>
      <w:pPr>
        <w:pStyle w:val="Indenta"/>
        <w:rPr>
          <w:snapToGrid w:val="0"/>
          <w:spacing w:val="-6"/>
        </w:rPr>
      </w:pPr>
      <w:r>
        <w:rPr>
          <w:snapToGrid w:val="0"/>
          <w:spacing w:val="-6"/>
        </w:rPr>
        <w:tab/>
        <w:t>(c)</w:t>
      </w:r>
      <w:r>
        <w:rPr>
          <w:snapToGrid w:val="0"/>
          <w:spacing w:val="-6"/>
        </w:rPr>
        <w:tab/>
        <w:t>removal of the name of an employer or employee from the employers register or the employees register respectively;</w:t>
      </w:r>
    </w:p>
    <w:p>
      <w:pPr>
        <w:pStyle w:val="Indenta"/>
        <w:rPr>
          <w:snapToGrid w:val="0"/>
        </w:rPr>
      </w:pPr>
      <w:r>
        <w:rPr>
          <w:snapToGrid w:val="0"/>
        </w:rPr>
        <w:tab/>
        <w:t>(d)</w:t>
      </w:r>
      <w:r>
        <w:rPr>
          <w:snapToGrid w:val="0"/>
        </w:rPr>
        <w:tab/>
        <w:t>assessment of the amount of ordinary pay of an employee under section 34;</w:t>
      </w:r>
    </w:p>
    <w:p>
      <w:pPr>
        <w:pStyle w:val="Indenta"/>
        <w:rPr>
          <w:snapToGrid w:val="0"/>
        </w:rPr>
      </w:pPr>
      <w:r>
        <w:rPr>
          <w:snapToGrid w:val="0"/>
        </w:rPr>
        <w:tab/>
        <w:t>(e)</w:t>
      </w:r>
      <w:r>
        <w:rPr>
          <w:snapToGrid w:val="0"/>
        </w:rPr>
        <w:tab/>
        <w:t>the entitlement of an employee to long service leave;</w:t>
      </w:r>
    </w:p>
    <w:p>
      <w:pPr>
        <w:pStyle w:val="Indenta"/>
        <w:rPr>
          <w:snapToGrid w:val="0"/>
        </w:rPr>
      </w:pPr>
      <w:r>
        <w:rPr>
          <w:snapToGrid w:val="0"/>
        </w:rPr>
        <w:tab/>
        <w:t>(f)</w:t>
      </w:r>
      <w:r>
        <w:rPr>
          <w:snapToGrid w:val="0"/>
        </w:rPr>
        <w:tab/>
        <w:t xml:space="preserve">the amount of any moneys to be paid in respect of a long service leave entitlement whether </w:t>
      </w:r>
      <w:r>
        <w:rPr>
          <w:i/>
          <w:snapToGrid w:val="0"/>
        </w:rPr>
        <w:t>pro rata</w:t>
      </w:r>
      <w:r>
        <w:rPr>
          <w:snapToGrid w:val="0"/>
        </w:rPr>
        <w:t xml:space="preserve"> or otherwise,</w:t>
      </w:r>
    </w:p>
    <w:p>
      <w:pPr>
        <w:pStyle w:val="Subsection"/>
        <w:rPr>
          <w:snapToGrid w:val="0"/>
        </w:rPr>
      </w:pPr>
      <w:r>
        <w:rPr>
          <w:snapToGrid w:val="0"/>
        </w:rPr>
        <w:tab/>
      </w:r>
      <w:r>
        <w:rPr>
          <w:snapToGrid w:val="0"/>
        </w:rPr>
        <w:tab/>
        <w:t xml:space="preserve">may be made to the Board of Reference constituted under the </w:t>
      </w:r>
      <w:r>
        <w:rPr>
          <w:i/>
          <w:snapToGrid w:val="0"/>
        </w:rPr>
        <w:t>Industrial Relations Act 1979</w:t>
      </w:r>
      <w:r>
        <w:rPr>
          <w:snapToGrid w:val="0"/>
        </w:rPr>
        <w:t xml:space="preserve"> in relation to long service leave and the provisions of section 48(8), (9), (10), (11), and (12) of the </w:t>
      </w:r>
      <w:r>
        <w:rPr>
          <w:i/>
          <w:snapToGrid w:val="0"/>
        </w:rPr>
        <w:t>Industrial Relations Act 1979</w:t>
      </w:r>
      <w:r>
        <w:rPr>
          <w:snapToGrid w:val="0"/>
        </w:rPr>
        <w:t xml:space="preserve"> apply as though the claim were a claim under that section.</w:t>
      </w:r>
    </w:p>
    <w:p>
      <w:pPr>
        <w:pStyle w:val="Heading5"/>
        <w:rPr>
          <w:snapToGrid w:val="0"/>
        </w:rPr>
      </w:pPr>
      <w:bookmarkStart w:id="161" w:name="_Toc95730194"/>
      <w:bookmarkStart w:id="162" w:name="_Toc120001219"/>
      <w:r>
        <w:rPr>
          <w:rStyle w:val="CharSectno"/>
        </w:rPr>
        <w:t>51</w:t>
      </w:r>
      <w:r>
        <w:rPr>
          <w:snapToGrid w:val="0"/>
        </w:rPr>
        <w:t>.</w:t>
      </w:r>
      <w:r>
        <w:rPr>
          <w:snapToGrid w:val="0"/>
        </w:rPr>
        <w:tab/>
        <w:t>Employee accumulating continuous service in more than one capacity</w:t>
      </w:r>
      <w:bookmarkEnd w:id="161"/>
      <w:bookmarkEnd w:id="162"/>
    </w:p>
    <w:p>
      <w:pPr>
        <w:pStyle w:val="Subsection"/>
        <w:rPr>
          <w:snapToGrid w:val="0"/>
        </w:rPr>
      </w:pPr>
      <w:r>
        <w:rPr>
          <w:snapToGrid w:val="0"/>
        </w:rPr>
        <w:tab/>
      </w:r>
      <w:r>
        <w:rPr>
          <w:snapToGrid w:val="0"/>
        </w:rPr>
        <w:tab/>
        <w:t>Where a person becomes entitled to paid long service leave by virtue of continuous service with an employer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Heading5"/>
        <w:rPr>
          <w:snapToGrid w:val="0"/>
        </w:rPr>
      </w:pPr>
      <w:bookmarkStart w:id="163" w:name="_Toc95730195"/>
      <w:bookmarkStart w:id="164" w:name="_Toc120001220"/>
      <w:r>
        <w:rPr>
          <w:rStyle w:val="CharSectno"/>
        </w:rPr>
        <w:t>52</w:t>
      </w:r>
      <w:r>
        <w:rPr>
          <w:snapToGrid w:val="0"/>
        </w:rPr>
        <w:t>.</w:t>
      </w:r>
      <w:r>
        <w:rPr>
          <w:snapToGrid w:val="0"/>
        </w:rPr>
        <w:tab/>
        <w:t>Obstructing an inspector or other persons</w:t>
      </w:r>
      <w:bookmarkEnd w:id="163"/>
      <w:bookmarkEnd w:id="164"/>
    </w:p>
    <w:p>
      <w:pPr>
        <w:pStyle w:val="Subsection"/>
        <w:rPr>
          <w:snapToGrid w:val="0"/>
        </w:rPr>
      </w:pPr>
      <w:r>
        <w:rPr>
          <w:snapToGrid w:val="0"/>
        </w:rPr>
        <w:tab/>
      </w:r>
      <w:r>
        <w:rPr>
          <w:snapToGrid w:val="0"/>
        </w:rPr>
        <w:tab/>
        <w:t>A person who —</w:t>
      </w:r>
    </w:p>
    <w:p>
      <w:pPr>
        <w:pStyle w:val="Indenta"/>
        <w:rPr>
          <w:snapToGrid w:val="0"/>
          <w:spacing w:val="-6"/>
        </w:rPr>
      </w:pPr>
      <w:r>
        <w:rPr>
          <w:snapToGrid w:val="0"/>
          <w:spacing w:val="-6"/>
        </w:rPr>
        <w:tab/>
        <w:t>(a)</w:t>
      </w:r>
      <w:r>
        <w:rPr>
          <w:snapToGrid w:val="0"/>
          <w:spacing w:val="-6"/>
        </w:rPr>
        <w:tab/>
        <w:t>obstructs or hinders an inspector appointed under this Act;</w:t>
      </w:r>
    </w:p>
    <w:p>
      <w:pPr>
        <w:pStyle w:val="Indenta"/>
        <w:rPr>
          <w:snapToGrid w:val="0"/>
        </w:rPr>
      </w:pPr>
      <w:r>
        <w:rPr>
          <w:snapToGrid w:val="0"/>
        </w:rPr>
        <w:tab/>
        <w:t>(b)</w:t>
      </w:r>
      <w:r>
        <w:rPr>
          <w:snapToGrid w:val="0"/>
        </w:rPr>
        <w:tab/>
        <w:t>fails to comply with any requirements or directions of an inspector appointed under this Act to furnish any information or any document which he is required to furnish to an inspector;</w:t>
      </w:r>
    </w:p>
    <w:p>
      <w:pPr>
        <w:pStyle w:val="Indenta"/>
        <w:rPr>
          <w:snapToGrid w:val="0"/>
        </w:rPr>
      </w:pPr>
      <w:r>
        <w:rPr>
          <w:snapToGrid w:val="0"/>
        </w:rPr>
        <w:tab/>
        <w:t>(c)</w:t>
      </w:r>
      <w:r>
        <w:rPr>
          <w:snapToGrid w:val="0"/>
        </w:rPr>
        <w:tab/>
        <w:t>conceals any person from, or prevents any person from appearing before, an inspector, or attempts to conceal a person from, or prevent a person from appearing before, an inspector; or</w:t>
      </w:r>
    </w:p>
    <w:p>
      <w:pPr>
        <w:pStyle w:val="Indenta"/>
        <w:rPr>
          <w:snapToGrid w:val="0"/>
        </w:rPr>
      </w:pPr>
      <w:r>
        <w:rPr>
          <w:snapToGrid w:val="0"/>
        </w:rPr>
        <w:tab/>
        <w:t>(d)</w:t>
      </w:r>
      <w:r>
        <w:rPr>
          <w:snapToGrid w:val="0"/>
        </w:rPr>
        <w:tab/>
        <w:t>hinders a person authorised by a union in that behalf from inspecting any records required to be maintained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Heading5"/>
        <w:rPr>
          <w:snapToGrid w:val="0"/>
        </w:rPr>
      </w:pPr>
      <w:bookmarkStart w:id="165" w:name="_Toc95730196"/>
      <w:bookmarkStart w:id="166" w:name="_Toc120001221"/>
      <w:r>
        <w:rPr>
          <w:rStyle w:val="CharSectno"/>
        </w:rPr>
        <w:t>53</w:t>
      </w:r>
      <w:r>
        <w:rPr>
          <w:snapToGrid w:val="0"/>
        </w:rPr>
        <w:t>.</w:t>
      </w:r>
      <w:r>
        <w:rPr>
          <w:snapToGrid w:val="0"/>
        </w:rPr>
        <w:tab/>
        <w:t>Protection of persons giving information under this Act</w:t>
      </w:r>
      <w:bookmarkEnd w:id="165"/>
      <w:bookmarkEnd w:id="166"/>
    </w:p>
    <w:p>
      <w:pPr>
        <w:pStyle w:val="Subsection"/>
        <w:rPr>
          <w:snapToGrid w:val="0"/>
        </w:rPr>
      </w:pPr>
      <w:r>
        <w:rPr>
          <w:snapToGrid w:val="0"/>
        </w:rPr>
        <w:tab/>
        <w:t>(1)</w:t>
      </w:r>
      <w:r>
        <w:rPr>
          <w:snapToGrid w:val="0"/>
        </w:rPr>
        <w:tab/>
        <w:t>A person who —</w:t>
      </w:r>
    </w:p>
    <w:p>
      <w:pPr>
        <w:pStyle w:val="Indenta"/>
        <w:rPr>
          <w:snapToGrid w:val="0"/>
          <w:spacing w:val="-6"/>
        </w:rPr>
      </w:pPr>
      <w:r>
        <w:rPr>
          <w:snapToGrid w:val="0"/>
          <w:spacing w:val="-6"/>
        </w:rPr>
        <w:tab/>
        <w:t>(a)</w:t>
      </w:r>
      <w:r>
        <w:rPr>
          <w:snapToGrid w:val="0"/>
          <w:spacing w:val="-6"/>
        </w:rPr>
        <w:tab/>
        <w:t>dismisses a person from or injures him in, his employment or alters his position in his employment to his prejudice or refuses to promote him in his employment;</w:t>
      </w:r>
    </w:p>
    <w:p>
      <w:pPr>
        <w:pStyle w:val="Indenta"/>
        <w:rPr>
          <w:snapToGrid w:val="0"/>
        </w:rPr>
      </w:pPr>
      <w:r>
        <w:rPr>
          <w:snapToGrid w:val="0"/>
        </w:rPr>
        <w:tab/>
        <w:t>(b)</w:t>
      </w:r>
      <w:r>
        <w:rPr>
          <w:snapToGrid w:val="0"/>
        </w:rPr>
        <w:tab/>
        <w:t>refuses to employ another person; or</w:t>
      </w:r>
    </w:p>
    <w:p>
      <w:pPr>
        <w:pStyle w:val="Indenta"/>
        <w:rPr>
          <w:snapToGrid w:val="0"/>
        </w:rPr>
      </w:pPr>
      <w:r>
        <w:rPr>
          <w:snapToGrid w:val="0"/>
        </w:rPr>
        <w:tab/>
        <w:t>(c)</w:t>
      </w:r>
      <w:r>
        <w:rPr>
          <w:snapToGrid w:val="0"/>
        </w:rPr>
        <w:tab/>
        <w:t>directly or indirectly hinders or prevents the employment of another person or the promotion in his employment of a person,</w:t>
      </w:r>
    </w:p>
    <w:p>
      <w:pPr>
        <w:pStyle w:val="Subsection"/>
        <w:rPr>
          <w:snapToGrid w:val="0"/>
        </w:rPr>
      </w:pPr>
      <w:r>
        <w:rPr>
          <w:snapToGrid w:val="0"/>
        </w:rPr>
        <w:tab/>
      </w:r>
      <w:r>
        <w:rPr>
          <w:snapToGrid w:val="0"/>
        </w:rPr>
        <w:tab/>
        <w:t>when a reason for doing so is that that person or that other person has given information to an inspector or to the chief executive officer under this Act,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 xml:space="preserve">The provisions of section 96I of the </w:t>
      </w:r>
      <w:r>
        <w:rPr>
          <w:i/>
          <w:snapToGrid w:val="0"/>
        </w:rPr>
        <w:t>Industrial Relations Act 1979</w:t>
      </w:r>
      <w:r>
        <w:rPr>
          <w:snapToGrid w:val="0"/>
        </w:rPr>
        <w:t xml:space="preserve"> apply to and in relation to a conviction under subsection (1) as though the conviction were a conviction against section 96B of that Act and as though the reference to an industrial magistrate in section 96I of the </w:t>
      </w:r>
      <w:r>
        <w:rPr>
          <w:i/>
          <w:snapToGrid w:val="0"/>
        </w:rPr>
        <w:t>Industrial Relations Act 1979</w:t>
      </w:r>
      <w:r>
        <w:rPr>
          <w:snapToGrid w:val="0"/>
        </w:rPr>
        <w:t xml:space="preserve"> were a reference to a court.</w:t>
      </w:r>
    </w:p>
    <w:p>
      <w:pPr>
        <w:pStyle w:val="Heading5"/>
        <w:spacing w:before="180"/>
        <w:rPr>
          <w:snapToGrid w:val="0"/>
        </w:rPr>
      </w:pPr>
      <w:bookmarkStart w:id="167" w:name="_Toc95730197"/>
      <w:bookmarkStart w:id="168" w:name="_Toc120001222"/>
      <w:r>
        <w:rPr>
          <w:rStyle w:val="CharSectno"/>
        </w:rPr>
        <w:t>54</w:t>
      </w:r>
      <w:r>
        <w:rPr>
          <w:snapToGrid w:val="0"/>
        </w:rPr>
        <w:t>.</w:t>
      </w:r>
      <w:r>
        <w:rPr>
          <w:snapToGrid w:val="0"/>
        </w:rPr>
        <w:tab/>
        <w:t>Secrecy</w:t>
      </w:r>
      <w:bookmarkEnd w:id="167"/>
      <w:bookmarkEnd w:id="168"/>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169" w:name="_Toc95730198"/>
      <w:bookmarkStart w:id="170" w:name="_Toc120001223"/>
      <w:r>
        <w:rPr>
          <w:rStyle w:val="CharSectno"/>
        </w:rPr>
        <w:t>55</w:t>
      </w:r>
      <w:r>
        <w:rPr>
          <w:snapToGrid w:val="0"/>
        </w:rPr>
        <w:t>.</w:t>
      </w:r>
      <w:r>
        <w:rPr>
          <w:snapToGrid w:val="0"/>
        </w:rPr>
        <w:tab/>
        <w:t>Effect of other awards or agreements</w:t>
      </w:r>
      <w:bookmarkEnd w:id="169"/>
      <w:bookmarkEnd w:id="170"/>
    </w:p>
    <w:p>
      <w:pPr>
        <w:pStyle w:val="Subsection"/>
        <w:rPr>
          <w:snapToGrid w:val="0"/>
        </w:rPr>
      </w:pPr>
      <w:r>
        <w:rPr>
          <w:snapToGrid w:val="0"/>
        </w:rPr>
        <w:tab/>
      </w:r>
      <w:r>
        <w:rPr>
          <w:snapToGrid w:val="0"/>
        </w:rPr>
        <w:tab/>
        <w:t>This Act has effect notwithstanding any other Act or award to the contrary.</w:t>
      </w:r>
    </w:p>
    <w:p>
      <w:pPr>
        <w:pStyle w:val="Ednotesection"/>
        <w:ind w:left="890" w:hanging="890"/>
      </w:pPr>
      <w:r>
        <w:t>[</w:t>
      </w:r>
      <w:r>
        <w:rPr>
          <w:b/>
        </w:rPr>
        <w:t>56.</w:t>
      </w:r>
      <w:r>
        <w:rPr>
          <w:b/>
        </w:rPr>
        <w:tab/>
      </w:r>
      <w:r>
        <w:t>Repealed by No. 4 of 1986 s. 4.]</w:t>
      </w:r>
    </w:p>
    <w:p>
      <w:pPr>
        <w:pStyle w:val="Heading5"/>
        <w:rPr>
          <w:snapToGrid w:val="0"/>
        </w:rPr>
      </w:pPr>
      <w:bookmarkStart w:id="171" w:name="_Toc95730199"/>
      <w:bookmarkStart w:id="172" w:name="_Toc120001224"/>
      <w:r>
        <w:rPr>
          <w:rStyle w:val="CharSectno"/>
        </w:rPr>
        <w:t>57</w:t>
      </w:r>
      <w:r>
        <w:rPr>
          <w:snapToGrid w:val="0"/>
        </w:rPr>
        <w:t>.</w:t>
      </w:r>
      <w:r>
        <w:rPr>
          <w:snapToGrid w:val="0"/>
        </w:rPr>
        <w:tab/>
        <w:t>Regulations</w:t>
      </w:r>
      <w:bookmarkEnd w:id="171"/>
      <w:bookmarkEnd w:id="172"/>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73" w:name="_Toc95729783"/>
      <w:bookmarkStart w:id="174" w:name="_Toc95729848"/>
      <w:bookmarkStart w:id="175" w:name="_Toc95730200"/>
      <w:bookmarkStart w:id="176" w:name="_Toc116956579"/>
      <w:bookmarkStart w:id="177" w:name="_Toc116956643"/>
      <w:bookmarkStart w:id="178" w:name="_Toc116960908"/>
      <w:bookmarkStart w:id="179" w:name="_Toc118525543"/>
      <w:bookmarkStart w:id="180" w:name="_Toc118525849"/>
      <w:bookmarkStart w:id="181" w:name="_Toc120001225"/>
      <w:r>
        <w:rPr>
          <w:rStyle w:val="CharSchNo"/>
        </w:rPr>
        <w:t>Schedule</w:t>
      </w:r>
      <w:bookmarkEnd w:id="173"/>
      <w:bookmarkEnd w:id="174"/>
      <w:bookmarkEnd w:id="175"/>
      <w:bookmarkEnd w:id="176"/>
      <w:bookmarkEnd w:id="177"/>
      <w:bookmarkEnd w:id="178"/>
      <w:bookmarkEnd w:id="179"/>
      <w:bookmarkEnd w:id="180"/>
      <w:bookmarkEnd w:id="181"/>
    </w:p>
    <w:p>
      <w:pPr>
        <w:pStyle w:val="yShoulderClause"/>
        <w:rPr>
          <w:snapToGrid w:val="0"/>
        </w:rPr>
      </w:pPr>
      <w:r>
        <w:rPr>
          <w:snapToGrid w:val="0"/>
        </w:rPr>
        <w:t>[Section 21(3)]</w:t>
      </w:r>
    </w:p>
    <w:p>
      <w:pPr>
        <w:pStyle w:val="yHeading2"/>
      </w:pPr>
      <w:bookmarkStart w:id="182" w:name="_Toc116960909"/>
      <w:bookmarkStart w:id="183" w:name="_Toc118525544"/>
      <w:bookmarkStart w:id="184" w:name="_Toc118525850"/>
      <w:bookmarkStart w:id="185" w:name="_Toc120001226"/>
      <w:r>
        <w:rPr>
          <w:rStyle w:val="CharSchText"/>
        </w:rPr>
        <w:t>Transitional</w:t>
      </w:r>
      <w:bookmarkEnd w:id="182"/>
      <w:bookmarkEnd w:id="183"/>
      <w:bookmarkEnd w:id="184"/>
      <w:bookmarkEnd w:id="185"/>
    </w:p>
    <w:p>
      <w:pPr>
        <w:pStyle w:val="yHeading5"/>
        <w:rPr>
          <w:snapToGrid w:val="0"/>
        </w:rPr>
      </w:pPr>
      <w:r>
        <w:rPr>
          <w:snapToGrid w:val="0"/>
        </w:rPr>
        <w:t>1.</w:t>
      </w:r>
      <w:r>
        <w:rPr>
          <w:snapToGrid w:val="0"/>
        </w:rPr>
        <w:tab/>
      </w:r>
    </w:p>
    <w:p>
      <w:pPr>
        <w:pStyle w:val="ySubsection"/>
        <w:rPr>
          <w:snapToGrid w:val="0"/>
        </w:rPr>
      </w:pPr>
      <w:r>
        <w:rPr>
          <w:snapToGrid w:val="0"/>
        </w:rPr>
        <w:tab/>
      </w:r>
      <w:r>
        <w:rPr>
          <w:snapToGrid w:val="0"/>
        </w:rP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rPr>
          <w:snapToGrid w:val="0"/>
        </w:rPr>
      </w:pPr>
      <w:r>
        <w:rPr>
          <w:snapToGrid w:val="0"/>
        </w:rPr>
        <w:t>2.</w:t>
      </w:r>
      <w:r>
        <w:rPr>
          <w:snapToGrid w:val="0"/>
        </w:rPr>
        <w:tab/>
      </w:r>
    </w:p>
    <w:p>
      <w:pPr>
        <w:pStyle w:val="ySubsection"/>
        <w:rPr>
          <w:snapToGrid w:val="0"/>
        </w:rPr>
      </w:pPr>
      <w:r>
        <w:rPr>
          <w:snapToGrid w:val="0"/>
        </w:rPr>
        <w:tab/>
        <w:t>(1)</w:t>
      </w:r>
      <w:r>
        <w:rPr>
          <w:snapToGrid w:val="0"/>
        </w:rPr>
        <w:tab/>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86" w:name="_Toc95729784"/>
      <w:bookmarkStart w:id="187" w:name="_Toc95729849"/>
      <w:bookmarkStart w:id="188" w:name="_Toc95730201"/>
      <w:bookmarkStart w:id="189" w:name="_Toc95730275"/>
      <w:bookmarkStart w:id="190" w:name="_Toc97003762"/>
      <w:bookmarkStart w:id="191" w:name="_Toc102810481"/>
      <w:bookmarkStart w:id="192" w:name="_Toc116956580"/>
      <w:bookmarkStart w:id="193" w:name="_Toc116956644"/>
      <w:bookmarkStart w:id="194" w:name="_Toc116960910"/>
      <w:bookmarkStart w:id="195" w:name="_Toc118525545"/>
      <w:bookmarkStart w:id="196" w:name="_Toc118525851"/>
      <w:bookmarkStart w:id="197" w:name="_Toc120001227"/>
      <w:r>
        <w:t>Notes</w:t>
      </w:r>
      <w:bookmarkEnd w:id="186"/>
      <w:bookmarkEnd w:id="187"/>
      <w:bookmarkEnd w:id="188"/>
      <w:bookmarkEnd w:id="189"/>
      <w:bookmarkEnd w:id="190"/>
      <w:bookmarkEnd w:id="191"/>
      <w:bookmarkEnd w:id="192"/>
      <w:bookmarkEnd w:id="193"/>
      <w:bookmarkEnd w:id="194"/>
      <w:bookmarkEnd w:id="195"/>
      <w:bookmarkEnd w:id="196"/>
      <w:bookmarkEnd w:id="197"/>
    </w:p>
    <w:p>
      <w:pPr>
        <w:pStyle w:val="nSubsection"/>
        <w:rPr>
          <w:snapToGrid w:val="0"/>
        </w:rPr>
      </w:pPr>
      <w:r>
        <w:rPr>
          <w:snapToGrid w:val="0"/>
          <w:vertAlign w:val="superscript"/>
        </w:rPr>
        <w:t>1</w:t>
      </w:r>
      <w:r>
        <w:rPr>
          <w:snapToGrid w:val="0"/>
        </w:rPr>
        <w:tab/>
        <w:t xml:space="preserve">This reprint is a compilation as at 4 November 2005 of the </w:t>
      </w:r>
      <w:r>
        <w:rPr>
          <w:i/>
          <w:noProof/>
          <w:snapToGrid w:val="0"/>
        </w:rPr>
        <w:t>Construction Industry Portable Paid Long Service Leave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8" w:name="_Toc120001228"/>
      <w:r>
        <w:rPr>
          <w:snapToGrid w:val="0"/>
        </w:rPr>
        <w:t>Compilation table</w:t>
      </w:r>
      <w:bookmarkEnd w:id="19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Construction Industry Portable Paid Long Service Leave Act 1985</w:t>
            </w:r>
          </w:p>
        </w:tc>
        <w:tc>
          <w:tcPr>
            <w:tcW w:w="1134" w:type="dxa"/>
          </w:tcPr>
          <w:p>
            <w:pPr>
              <w:pStyle w:val="nTable"/>
              <w:spacing w:after="40"/>
              <w:rPr>
                <w:sz w:val="19"/>
              </w:rPr>
            </w:pPr>
            <w:r>
              <w:rPr>
                <w:sz w:val="19"/>
              </w:rPr>
              <w:t>72 of 1985</w:t>
            </w:r>
          </w:p>
        </w:tc>
        <w:tc>
          <w:tcPr>
            <w:tcW w:w="1134" w:type="dxa"/>
          </w:tcPr>
          <w:p>
            <w:pPr>
              <w:pStyle w:val="nTable"/>
              <w:spacing w:after="40"/>
              <w:rPr>
                <w:sz w:val="19"/>
              </w:rPr>
            </w:pPr>
            <w:r>
              <w:rPr>
                <w:sz w:val="19"/>
              </w:rPr>
              <w:t>13 Dec 1985</w:t>
            </w:r>
          </w:p>
        </w:tc>
        <w:tc>
          <w:tcPr>
            <w:tcW w:w="2551" w:type="dxa"/>
          </w:tcPr>
          <w:p>
            <w:pPr>
              <w:pStyle w:val="nTable"/>
              <w:spacing w:after="40"/>
              <w:rPr>
                <w:sz w:val="19"/>
              </w:rPr>
            </w:pPr>
            <w:r>
              <w:rPr>
                <w:sz w:val="19"/>
              </w:rPr>
              <w:t xml:space="preserve">19 Dec 1986 (see s. 2 and </w:t>
            </w:r>
            <w:r>
              <w:rPr>
                <w:i/>
                <w:sz w:val="19"/>
              </w:rPr>
              <w:t>Gazette</w:t>
            </w:r>
            <w:r>
              <w:rPr>
                <w:sz w:val="19"/>
              </w:rPr>
              <w:t xml:space="preserve"> 19 Dec 1986 p. 4860)</w:t>
            </w:r>
          </w:p>
        </w:tc>
      </w:tr>
      <w:tr>
        <w:trPr>
          <w:cantSplit/>
        </w:trPr>
        <w:tc>
          <w:tcPr>
            <w:tcW w:w="2268" w:type="dxa"/>
          </w:tcPr>
          <w:p>
            <w:pPr>
              <w:pStyle w:val="nTable"/>
              <w:spacing w:after="40"/>
              <w:ind w:right="170"/>
              <w:rPr>
                <w:sz w:val="19"/>
              </w:rPr>
            </w:pPr>
            <w:r>
              <w:rPr>
                <w:i/>
                <w:sz w:val="19"/>
              </w:rPr>
              <w:t>Act Amendment (Financial Administration and Audit) Act 1986</w:t>
            </w:r>
            <w:r>
              <w:rPr>
                <w:sz w:val="19"/>
              </w:rPr>
              <w:t xml:space="preserve"> s. 4</w:t>
            </w:r>
          </w:p>
        </w:tc>
        <w:tc>
          <w:tcPr>
            <w:tcW w:w="1134"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1"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Construction Industry Portable Paid Long Service Leave Amendment Act 1989</w:t>
            </w:r>
            <w:r>
              <w:rPr>
                <w:iCs/>
                <w:sz w:val="19"/>
                <w:vertAlign w:val="superscript"/>
              </w:rPr>
              <w:t> 4</w:t>
            </w:r>
          </w:p>
        </w:tc>
        <w:tc>
          <w:tcPr>
            <w:tcW w:w="1134" w:type="dxa"/>
          </w:tcPr>
          <w:p>
            <w:pPr>
              <w:pStyle w:val="nTable"/>
              <w:spacing w:after="40"/>
              <w:rPr>
                <w:sz w:val="19"/>
              </w:rPr>
            </w:pPr>
            <w:r>
              <w:rPr>
                <w:sz w:val="19"/>
              </w:rPr>
              <w:t>30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 xml:space="preserve">29 Dec 1989 (see s. 2 and </w:t>
            </w:r>
            <w:r>
              <w:rPr>
                <w:i/>
                <w:sz w:val="19"/>
              </w:rPr>
              <w:t>Gazette</w:t>
            </w:r>
            <w:r>
              <w:rPr>
                <w:sz w:val="19"/>
              </w:rPr>
              <w:t xml:space="preserve"> 29 Dec 1989 p. 4665)</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64</w:t>
            </w:r>
          </w:p>
        </w:tc>
        <w:tc>
          <w:tcPr>
            <w:tcW w:w="1134" w:type="dxa"/>
          </w:tcPr>
          <w:p>
            <w:pPr>
              <w:pStyle w:val="nTable"/>
              <w:keepNext/>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38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bCs/>
                <w:sz w:val="19"/>
              </w:rPr>
              <w:t xml:space="preserve">Reprint of the </w:t>
            </w:r>
            <w:r>
              <w:rPr>
                <w:b/>
                <w:bCs/>
                <w:i/>
                <w:sz w:val="19"/>
              </w:rPr>
              <w:t>Construction Industry Portable Paid Long Service Leave Act 1985</w:t>
            </w:r>
            <w:r>
              <w:rPr>
                <w:b/>
                <w:bCs/>
                <w:sz w:val="19"/>
              </w:rPr>
              <w:t xml:space="preserve"> as at 5 Mar 1999</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 xml:space="preserve">Corporations (Consequential Amendments) Act 2001 </w:t>
            </w:r>
            <w:r>
              <w:rPr>
                <w:sz w:val="19"/>
              </w:rPr>
              <w:t>Pt. 14</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70"/>
              <w:rPr>
                <w:i/>
                <w:sz w:val="19"/>
              </w:rPr>
            </w:pPr>
            <w:r>
              <w:rPr>
                <w:i/>
                <w:sz w:val="19"/>
              </w:rPr>
              <w:t xml:space="preserve">Acts Amendment (Equality of Status) Act 2003 </w:t>
            </w:r>
            <w:r>
              <w:rPr>
                <w:sz w:val="19"/>
              </w:rPr>
              <w:t>Pt. 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2: The </w:t>
            </w:r>
            <w:r>
              <w:rPr>
                <w:b/>
                <w:bCs/>
                <w:i/>
                <w:sz w:val="19"/>
              </w:rPr>
              <w:t>Construction Industry Portable Paid Long Service Leave Act 1985</w:t>
            </w:r>
            <w:r>
              <w:rPr>
                <w:b/>
                <w:bCs/>
                <w:sz w:val="19"/>
              </w:rPr>
              <w:t xml:space="preserve"> as at 4 Nov 2005</w:t>
            </w:r>
            <w:r>
              <w:rPr>
                <w:sz w:val="19"/>
              </w:rPr>
              <w:t xml:space="preserve"> (includes amendments listed above)</w:t>
            </w:r>
          </w:p>
        </w:tc>
      </w:tr>
    </w:tbl>
    <w:p>
      <w:pPr>
        <w:pStyle w:val="nSubsection"/>
        <w:rPr>
          <w:snapToGrid w:val="0"/>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p>
    <w:p>
      <w:pPr>
        <w:pStyle w:val="nSubsection"/>
        <w:rPr>
          <w:snapToGrid w:val="0"/>
        </w:rPr>
      </w:pPr>
      <w:r>
        <w:rPr>
          <w:snapToGrid w:val="0"/>
          <w:vertAlign w:val="superscript"/>
        </w:rPr>
        <w:t>3</w:t>
      </w:r>
      <w:r>
        <w:rPr>
          <w:snapToGrid w:val="0"/>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4</w:t>
      </w:r>
      <w:r>
        <w:rPr>
          <w:snapToGrid w:val="0"/>
        </w:rPr>
        <w:tab/>
        <w:t xml:space="preserve">The </w:t>
      </w:r>
      <w:r>
        <w:rPr>
          <w:i/>
        </w:rPr>
        <w:t>Construction Industry Portable Paid Long Service Leave Amendment Act 1989</w:t>
      </w:r>
      <w:r>
        <w:rPr>
          <w:snapToGrid w:val="0"/>
        </w:rPr>
        <w:t xml:space="preserve"> s. 13 and 14 read as follows:</w:t>
      </w:r>
    </w:p>
    <w:p>
      <w:pPr>
        <w:pStyle w:val="MiscOpen"/>
        <w:rPr>
          <w:snapToGrid w:val="0"/>
        </w:rPr>
      </w:pPr>
      <w:r>
        <w:rPr>
          <w:snapToGrid w:val="0"/>
        </w:rPr>
        <w:t>“</w:t>
      </w: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b/>
          <w:bCs/>
        </w:rPr>
        <w:t>“</w:t>
      </w:r>
      <w:r>
        <w:rPr>
          <w:b/>
        </w:rPr>
        <w:t>Board</w:t>
      </w:r>
      <w:r>
        <w:rPr>
          <w:b/>
          <w:bCs/>
        </w:rPr>
        <w:t>”</w:t>
      </w:r>
      <w:r>
        <w:t xml:space="preserve">, </w:t>
      </w:r>
      <w:r>
        <w:rPr>
          <w:b/>
        </w:rPr>
        <w:t>“day of service”</w:t>
      </w:r>
      <w:r>
        <w:t xml:space="preserve">, </w:t>
      </w:r>
      <w:r>
        <w:rPr>
          <w:b/>
        </w:rPr>
        <w:t>“employee”</w:t>
      </w:r>
      <w:r>
        <w:t xml:space="preserve"> and </w:t>
      </w:r>
      <w:r>
        <w:rPr>
          <w:b/>
        </w:rPr>
        <w:t>“employer”</w:t>
      </w:r>
      <w:r>
        <w:t xml:space="preserve"> have the same meaning as in the principal Act; and</w:t>
      </w:r>
    </w:p>
    <w:p>
      <w:pPr>
        <w:pStyle w:val="nzDefstart"/>
      </w:pPr>
      <w:r>
        <w:rPr>
          <w:b/>
        </w:rPr>
        <w:tab/>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MiscClose"/>
      </w:pPr>
      <w:r>
        <w:t>”.</w:t>
      </w:r>
    </w:p>
    <w:p>
      <w:pPr>
        <w:rPr>
          <w:snapToGrid w:val="0"/>
        </w:rPr>
      </w:pPr>
    </w:p>
    <w:p>
      <w:pPr>
        <w:rPr>
          <w:snapToGrid w:val="0"/>
        </w:rPr>
        <w:sectPr>
          <w:headerReference w:type="even" r:id="rId31"/>
          <w:headerReference w:type="default" r:id="rId32"/>
          <w:headerReference w:type="first" r:id="rId33"/>
          <w:pgSz w:w="11906" w:h="16838" w:code="9"/>
          <w:pgMar w:top="2376" w:right="2404" w:bottom="3544" w:left="2404" w:header="709" w:footer="3380" w:gutter="0"/>
          <w:cols w:space="720"/>
          <w:noEndnote/>
          <w:docGrid w:linePitch="326"/>
        </w:sectPr>
      </w:pPr>
    </w:p>
    <w:p>
      <w:pPr>
        <w:rPr>
          <w:snapToGrid w:val="0"/>
        </w:rPr>
      </w:pPr>
    </w:p>
    <w:sectPr>
      <w:headerReference w:type="even" r:id="rId34"/>
      <w:headerReference w:type="default" r:id="rId35"/>
      <w:headerReference w:type="first" r:id="rId36"/>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Construction Industry Portable Paid Long Service Leave Act 1985</w:t>
            </w:r>
          </w:fldSimple>
        </w:p>
      </w:tc>
    </w:tr>
    <w:tr>
      <w:tc>
        <w:tcPr>
          <w:tcW w:w="5715" w:type="dxa"/>
          <w:vAlign w:val="bottom"/>
        </w:tcPr>
        <w:p>
          <w:pPr>
            <w:pStyle w:val="HeaderTextRight"/>
          </w:pPr>
          <w:fldSimple w:instr=" styleref CharSchText ">
            <w:r>
              <w:rPr>
                <w:noProof/>
              </w:rPr>
              <w:t>Transitional</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Construction Industry Portable Paid Long Service Leave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Construction Industry Portable Paid Long Service Leave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Construction Industry Portable Paid Long Service Leave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95042"/>
    <w:docVar w:name="WAFER_20151209095042" w:val="RemoveTrackChanges"/>
    <w:docVar w:name="WAFER_20151209095042_GUID" w:val="f2a22c4a-2fa9-466d-aa27-f4c705de0d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NotesPerm2">
    <w:name w:val="NotesPerm(2)"/>
    <w:basedOn w:val="NotesPerm"/>
    <w:pPr>
      <w:numPr>
        <w:numId w:val="13"/>
      </w:numPr>
      <w:tabs>
        <w:tab w:val="clear" w:pos="879"/>
      </w:tabs>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lang w:val="en-AU"/>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11587</Words>
  <Characters>54807</Characters>
  <Application>Microsoft Office Word</Application>
  <DocSecurity>0</DocSecurity>
  <Lines>1442</Lines>
  <Paragraphs>721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65673</CharactersWithSpaces>
  <SharedDoc>false</SharedDoc>
  <HLinks>
    <vt:vector size="12" baseType="variant">
      <vt:variant>
        <vt:i4>3014716</vt:i4>
      </vt:variant>
      <vt:variant>
        <vt:i4>5798</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1985 - 02-a0-04</dc:title>
  <dc:subject/>
  <dc:creator/>
  <cp:keywords/>
  <dc:description/>
  <cp:lastModifiedBy>svcMRProcess</cp:lastModifiedBy>
  <cp:revision>4</cp:revision>
  <cp:lastPrinted>2005-11-03T04:09:00Z</cp:lastPrinted>
  <dcterms:created xsi:type="dcterms:W3CDTF">2018-08-21T21:49:00Z</dcterms:created>
  <dcterms:modified xsi:type="dcterms:W3CDTF">2018-08-21T21:49:00Z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20051104</vt:lpwstr>
  </property>
  <property fmtid="{D5CDD505-2E9C-101B-9397-08002B2CF9AE}" pid="4" name="DocumentType">
    <vt:lpwstr>Act</vt:lpwstr>
  </property>
  <property fmtid="{D5CDD505-2E9C-101B-9397-08002B2CF9AE}" pid="5" name="OwlsUID">
    <vt:i4>175</vt:i4>
  </property>
  <property fmtid="{D5CDD505-2E9C-101B-9397-08002B2CF9AE}" pid="6" name="ReprintNo">
    <vt:lpwstr>2</vt:lpwstr>
  </property>
  <property fmtid="{D5CDD505-2E9C-101B-9397-08002B2CF9AE}" pid="7" name="AsAtDate">
    <vt:lpwstr>04 Nov 2005</vt:lpwstr>
  </property>
  <property fmtid="{D5CDD505-2E9C-101B-9397-08002B2CF9AE}" pid="8" name="Suffix">
    <vt:lpwstr>02-a0-04</vt:lpwstr>
  </property>
</Properties>
</file>