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_Toc525286527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_Toc525286528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_Toc525286529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_Toc525286532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_Toc525286533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_Toc525286534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_Toc525286535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_Toc525286536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_Toc525286537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_Toc525286538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_Toc525286539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_Toc525286541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_Toc525286542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_Toc525286543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_Toc525286544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_Toc525286545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_Toc525286546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_Toc525286548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_Toc525286549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_Toc525286550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_Toc525286551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_Toc525286552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_Toc525286553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_Toc525286554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_Toc525286555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_Toc525286556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_Toc525286557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_Toc525286558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_Toc525286560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_Toc525286561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_Toc525286562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_Toc525286563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_Toc525286565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_Toc525286566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_Toc525286567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_Toc525286568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_Toc525286569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_Toc525286570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_Toc525286584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_Toc525286585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25286465"/>
      <w:bookmarkStart w:id="4" w:name="_Toc52528652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240"/>
        <w:rPr>
          <w:snapToGrid w:val="0"/>
        </w:rPr>
      </w:pPr>
      <w:bookmarkStart w:id="5" w:name="_Toc52528652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525286528"/>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525286529"/>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525286469"/>
      <w:bookmarkStart w:id="9" w:name="_Toc525286530"/>
      <w:r>
        <w:rPr>
          <w:rStyle w:val="CharPartNo"/>
        </w:rPr>
        <w:t>Part I</w:t>
      </w:r>
      <w:r>
        <w:t> — </w:t>
      </w:r>
      <w:r>
        <w:rPr>
          <w:rStyle w:val="CharPartText"/>
        </w:rPr>
        <w:t>Legislature</w:t>
      </w:r>
      <w:bookmarkEnd w:id="8"/>
      <w:bookmarkEnd w:id="9"/>
    </w:p>
    <w:p>
      <w:pPr>
        <w:pStyle w:val="Heading3"/>
      </w:pPr>
      <w:bookmarkStart w:id="10" w:name="_Toc525286470"/>
      <w:bookmarkStart w:id="11" w:name="_Toc525286531"/>
      <w:r>
        <w:rPr>
          <w:rStyle w:val="CharDivNo"/>
        </w:rPr>
        <w:t>Division 1</w:t>
      </w:r>
      <w:r>
        <w:t> — </w:t>
      </w:r>
      <w:r>
        <w:rPr>
          <w:rStyle w:val="CharDivText"/>
        </w:rPr>
        <w:t>Legislative Council</w:t>
      </w:r>
      <w:bookmarkEnd w:id="10"/>
      <w:bookmarkEnd w:id="11"/>
    </w:p>
    <w:p>
      <w:pPr>
        <w:pStyle w:val="Footnoteheading"/>
      </w:pPr>
      <w:r>
        <w:tab/>
        <w:t>[Heading inserted by No. 19 of 2010 s. 44(2).]</w:t>
      </w:r>
    </w:p>
    <w:p>
      <w:pPr>
        <w:pStyle w:val="Heading5"/>
        <w:rPr>
          <w:snapToGrid w:val="0"/>
        </w:rPr>
      </w:pPr>
      <w:bookmarkStart w:id="12" w:name="_Toc525286532"/>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3" w:name="_Toc525286533"/>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4" w:name="_Toc525286534"/>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5" w:name="_Toc525286535"/>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 w:name="_Toc525286536"/>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7" w:name="_Toc525286537"/>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18" w:name="_Toc525286538"/>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525286539"/>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0" w:name="_Toc525286479"/>
      <w:bookmarkStart w:id="21" w:name="_Toc525286540"/>
      <w:r>
        <w:rPr>
          <w:rStyle w:val="CharDivNo"/>
        </w:rPr>
        <w:t>Division 2</w:t>
      </w:r>
      <w:r>
        <w:t> — </w:t>
      </w:r>
      <w:r>
        <w:rPr>
          <w:rStyle w:val="CharDivText"/>
        </w:rPr>
        <w:t>Legislative Assembly</w:t>
      </w:r>
      <w:bookmarkEnd w:id="20"/>
      <w:bookmarkEnd w:id="21"/>
    </w:p>
    <w:p>
      <w:pPr>
        <w:pStyle w:val="Footnoteheading"/>
        <w:spacing w:before="140"/>
      </w:pPr>
      <w:r>
        <w:tab/>
        <w:t>[Heading inserted by No. 19 of 2010 s. 44(2).]</w:t>
      </w:r>
    </w:p>
    <w:p>
      <w:pPr>
        <w:pStyle w:val="Heading5"/>
        <w:keepNext w:val="0"/>
        <w:keepLines w:val="0"/>
        <w:spacing w:before="240"/>
      </w:pPr>
      <w:bookmarkStart w:id="22" w:name="_Toc525286541"/>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 w:name="_Toc525286542"/>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 w:name="_Toc525286543"/>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525286544"/>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525286545"/>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525286546"/>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 w:name="_Toc525286486"/>
      <w:bookmarkStart w:id="29" w:name="_Toc525286547"/>
      <w:r>
        <w:rPr>
          <w:rStyle w:val="CharDivNo"/>
        </w:rPr>
        <w:t>Division 3</w:t>
      </w:r>
      <w:r>
        <w:t> — </w:t>
      </w:r>
      <w:r>
        <w:rPr>
          <w:rStyle w:val="CharDivText"/>
        </w:rPr>
        <w:t>General</w:t>
      </w:r>
      <w:bookmarkEnd w:id="28"/>
      <w:bookmarkEnd w:id="2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 w:name="_Toc525286548"/>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 w:name="_Toc525286549"/>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 w:name="_Toc525286550"/>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3" w:name="_Toc525286551"/>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4" w:name="_Toc525286552"/>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 w:name="_Toc525286553"/>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6" w:name="_Toc525286554"/>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 w:name="_Toc525286555"/>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 w:name="_Toc525286556"/>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9" w:name="_Toc525286557"/>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0" w:name="_Toc525286558"/>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 w:name="_Toc525286498"/>
      <w:bookmarkStart w:id="42" w:name="_Toc525286559"/>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525286560"/>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 w:name="_Toc525286561"/>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525286562"/>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 w:name="_Toc525286563"/>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7" w:name="_Toc525286503"/>
      <w:bookmarkStart w:id="48" w:name="_Toc525286564"/>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525286565"/>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 w:name="_Toc525286566"/>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525286567"/>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525286568"/>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 w:name="_Toc525286569"/>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4" w:name="_Toc525286570"/>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5" w:name="_Toc525286510"/>
      <w:bookmarkStart w:id="56" w:name="_Toc525286571"/>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57" w:name="_Toc525286511"/>
      <w:bookmarkStart w:id="58" w:name="_Toc525286572"/>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59" w:name="_Toc525286512"/>
      <w:bookmarkStart w:id="60" w:name="_Toc525286573"/>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by No. 19 of 2010 s. 14(3).]</w:t>
      </w:r>
    </w:p>
    <w:p>
      <w:pPr>
        <w:pStyle w:val="yHeading4"/>
        <w:spacing w:before="260"/>
        <w:rPr>
          <w:rFonts w:eastAsia="MS Mincho"/>
        </w:rPr>
      </w:pPr>
      <w:bookmarkStart w:id="61" w:name="_Toc525286513"/>
      <w:bookmarkStart w:id="62" w:name="_Toc525286574"/>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63" w:name="_Toc525286514"/>
      <w:bookmarkStart w:id="64" w:name="_Toc525286575"/>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65" w:name="_Toc525286515"/>
      <w:bookmarkStart w:id="66" w:name="_Toc525286576"/>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by No. 19 of 2010 s. 14(5).]</w:t>
      </w:r>
    </w:p>
    <w:p>
      <w:pPr>
        <w:pStyle w:val="yHeading4"/>
        <w:spacing w:before="260"/>
        <w:rPr>
          <w:rFonts w:eastAsia="MS Mincho"/>
        </w:rPr>
      </w:pPr>
      <w:bookmarkStart w:id="67" w:name="_Toc525286516"/>
      <w:bookmarkStart w:id="68" w:name="_Toc525286577"/>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69" w:name="_Toc525286517"/>
      <w:bookmarkStart w:id="70" w:name="_Toc525286578"/>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71" w:name="_Toc525286518"/>
      <w:bookmarkStart w:id="72" w:name="_Toc525286579"/>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73" w:name="_Toc525286519"/>
      <w:bookmarkStart w:id="74" w:name="_Toc525286580"/>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by No. 24 of 2005 s. 12.]</w:t>
      </w:r>
    </w:p>
    <w:p>
      <w:pPr>
        <w:pStyle w:val="yHeading3"/>
      </w:pPr>
      <w:bookmarkStart w:id="75" w:name="_Toc525286520"/>
      <w:bookmarkStart w:id="76" w:name="_Toc525286581"/>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 w:name="_Toc525286521"/>
      <w:bookmarkStart w:id="78" w:name="_Toc525286582"/>
      <w:r>
        <w:rPr>
          <w:rStyle w:val="CharSDivNo"/>
        </w:rPr>
        <w:t>Division 2</w:t>
      </w:r>
      <w:r>
        <w:t> — </w:t>
      </w:r>
      <w:r>
        <w:rPr>
          <w:rStyle w:val="CharSDivText"/>
        </w:rPr>
        <w:t>Members of the Executive Council</w:t>
      </w:r>
      <w:bookmarkEnd w:id="77"/>
      <w:bookmarkEnd w:id="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80" w:name="_Toc525286522"/>
      <w:bookmarkStart w:id="81" w:name="_Toc525286583"/>
      <w:r>
        <w:t>Notes</w:t>
      </w:r>
      <w:bookmarkEnd w:id="80"/>
      <w:bookmarkEnd w:id="8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82" w:name="_Toc525286584"/>
      <w:r>
        <w:t>Compilation table</w:t>
      </w:r>
      <w:bookmarkEnd w:id="82"/>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 w:name="_Toc525286585"/>
      <w:r>
        <w:t>Provisions that have not come into operation</w:t>
      </w:r>
      <w:bookmarkEnd w:id="8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 xml:space="preserve">Health Practitioner Regulation National Law (WA) Amendment Act 2018 </w:t>
            </w:r>
            <w:r>
              <w:rPr>
                <w:snapToGrid w:val="0"/>
              </w:rPr>
              <w:t>s. 104 </w:t>
            </w:r>
            <w:r>
              <w:rPr>
                <w:snapToGrid w:val="0"/>
                <w:vertAlign w:val="superscript"/>
              </w:rPr>
              <w:t>57</w:t>
            </w:r>
          </w:p>
        </w:tc>
        <w:tc>
          <w:tcPr>
            <w:tcW w:w="1064" w:type="dxa"/>
            <w:tcBorders>
              <w:top w:val="nil"/>
              <w:left w:val="nil"/>
              <w:bottom w:val="nil"/>
              <w:right w:val="nil"/>
            </w:tcBorders>
            <w:shd w:val="clear" w:color="auto" w:fill="auto"/>
          </w:tcPr>
          <w:p>
            <w:pPr>
              <w:pStyle w:val="nTable"/>
              <w:spacing w:after="40"/>
            </w:pPr>
            <w:r>
              <w:t>4 of 2018</w:t>
            </w:r>
          </w:p>
        </w:tc>
        <w:tc>
          <w:tcPr>
            <w:tcW w:w="1134" w:type="dxa"/>
            <w:tcBorders>
              <w:top w:val="nil"/>
              <w:left w:val="nil"/>
              <w:bottom w:val="nil"/>
              <w:right w:val="nil"/>
            </w:tcBorders>
            <w:shd w:val="clear" w:color="auto" w:fill="auto"/>
          </w:tcPr>
          <w:p>
            <w:pPr>
              <w:pStyle w:val="nTable"/>
              <w:spacing w:after="40"/>
            </w:pPr>
            <w:r>
              <w:t>19 Apr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single" w:sz="4" w:space="0" w:color="auto"/>
              <w:right w:val="nil"/>
            </w:tcBorders>
            <w:shd w:val="clear" w:color="auto" w:fill="auto"/>
          </w:tcPr>
          <w:p>
            <w:pPr>
              <w:pStyle w:val="nTable"/>
              <w:spacing w:after="40"/>
            </w:pPr>
            <w:r>
              <w:t>22 of 2018</w:t>
            </w:r>
          </w:p>
        </w:tc>
        <w:tc>
          <w:tcPr>
            <w:tcW w:w="1134" w:type="dxa"/>
            <w:tcBorders>
              <w:top w:val="nil"/>
              <w:left w:val="nil"/>
              <w:bottom w:val="single" w:sz="4" w:space="0" w:color="auto"/>
              <w:right w:val="nil"/>
            </w:tcBorders>
            <w:shd w:val="clear" w:color="auto" w:fill="auto"/>
          </w:tcPr>
          <w:p>
            <w:pPr>
              <w:pStyle w:val="nTable"/>
              <w:spacing w:after="40"/>
            </w:pPr>
            <w:r>
              <w:t>18 Sep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Pr>
        <w:pStyle w:val="nSubsection"/>
        <w:spacing w:before="200"/>
        <w:rPr>
          <w:snapToGrid w:val="0"/>
        </w:rPr>
      </w:pPr>
      <w:r>
        <w:rPr>
          <w:snapToGrid w:val="0"/>
          <w:vertAlign w:val="superscript"/>
        </w:rPr>
        <w:t>57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104 </w:t>
      </w:r>
      <w:r>
        <w:rPr>
          <w:snapToGrid w:val="0"/>
        </w:rPr>
        <w:t>had not come into operation.  It reads as follows:</w:t>
      </w:r>
    </w:p>
    <w:p>
      <w:pPr>
        <w:pStyle w:val="BlankOpen"/>
      </w:pPr>
    </w:p>
    <w:p>
      <w:pPr>
        <w:pStyle w:val="nzHeading5"/>
      </w:pPr>
      <w:r>
        <w:rPr>
          <w:rStyle w:val="CharSectno"/>
        </w:rPr>
        <w:t>104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nzDeleteListSub"/>
      </w:pPr>
      <w:r>
        <w:rPr>
          <w:sz w:val="22"/>
          <w:szCs w:val="22"/>
        </w:rPr>
        <w:t>The Aboriginal and Torres Strait Islander Health Practice Board of Australia</w:t>
      </w:r>
    </w:p>
    <w:p>
      <w:pPr>
        <w:pStyle w:val="nzDeleteListSub"/>
      </w:pPr>
      <w:r>
        <w:t>The Chinese Medicine Board of Australia</w:t>
      </w:r>
    </w:p>
    <w:p>
      <w:pPr>
        <w:pStyle w:val="nzDeleteListSub"/>
      </w:pPr>
      <w:r>
        <w:t>The Chiropractic Board of Australia</w:t>
      </w:r>
    </w:p>
    <w:p>
      <w:pPr>
        <w:pStyle w:val="nzDeleteListSub"/>
      </w:pPr>
      <w:r>
        <w:t>The Dental Board of Australia</w:t>
      </w:r>
    </w:p>
    <w:p>
      <w:pPr>
        <w:pStyle w:val="nzDeleteListSub"/>
      </w:pPr>
      <w:r>
        <w:t>The Medical Board of Australia</w:t>
      </w:r>
    </w:p>
    <w:p>
      <w:pPr>
        <w:pStyle w:val="nzDeleteListSub"/>
      </w:pPr>
      <w:r>
        <w:t>The Medical Radiation Practice Board of Australia</w:t>
      </w:r>
    </w:p>
    <w:p>
      <w:pPr>
        <w:pStyle w:val="nzDeleteListSub"/>
      </w:pPr>
      <w:r>
        <w:t>The Nursing and Midwifery Board of Australia</w:t>
      </w:r>
    </w:p>
    <w:p>
      <w:pPr>
        <w:pStyle w:val="nzDeleteListSub"/>
      </w:pPr>
      <w:r>
        <w:t>The Occupational Therapy Board of Australia</w:t>
      </w:r>
    </w:p>
    <w:p>
      <w:pPr>
        <w:pStyle w:val="nzDeleteListSub"/>
      </w:pPr>
      <w:r>
        <w:t>The Optometry Board of Australia</w:t>
      </w:r>
    </w:p>
    <w:p>
      <w:pPr>
        <w:pStyle w:val="nzDeleteListSub"/>
      </w:pPr>
      <w:r>
        <w:t>The Osteopathy Board of Australia</w:t>
      </w:r>
    </w:p>
    <w:p>
      <w:pPr>
        <w:pStyle w:val="nzDeleteListSub"/>
      </w:pPr>
      <w:r>
        <w:t>The Pharmacy Board of Australia</w:t>
      </w:r>
    </w:p>
    <w:p>
      <w:pPr>
        <w:pStyle w:val="nzDeleteListSub"/>
      </w:pPr>
      <w:r>
        <w:t>The Physiotherapy Board of Australia</w:t>
      </w:r>
    </w:p>
    <w:p>
      <w:pPr>
        <w:pStyle w:val="nzDeleteListSub"/>
      </w:pPr>
      <w:r>
        <w:t>The Podiatry Board of Australia</w:t>
      </w:r>
    </w:p>
    <w:p>
      <w:pPr>
        <w:pStyle w:val="nzDeleteListSub"/>
      </w:pPr>
      <w:r>
        <w:t>The Psychology Board of Australia</w:t>
      </w:r>
    </w:p>
    <w:p>
      <w:pPr>
        <w:pStyle w:val="nzSubsection"/>
      </w:pPr>
      <w:r>
        <w:tab/>
        <w:t>(3)</w:t>
      </w:r>
      <w:r>
        <w:tab/>
        <w:t>In Schedule V Part 3 after the item relating to the Health Education Council of Western Australia insert:</w:t>
      </w:r>
    </w:p>
    <w:p>
      <w:pPr>
        <w:pStyle w:val="BlankOpen"/>
      </w:pPr>
    </w:p>
    <w:p>
      <w:pPr>
        <w:pStyle w:val="nzNumberedItem"/>
      </w:pPr>
      <w:r>
        <w:t xml:space="preserve">Any National Health Practitioner Board established under the </w:t>
      </w:r>
      <w:r>
        <w:rPr>
          <w:i/>
        </w:rPr>
        <w:t>Health Practitioner Regulation National Law (Western Australia)</w:t>
      </w:r>
      <w:r>
        <w:t>.</w:t>
      </w:r>
    </w:p>
    <w:p>
      <w:pPr>
        <w:pStyle w:val="BlankClose"/>
      </w:pPr>
    </w:p>
    <w:p>
      <w:pPr>
        <w:pStyle w:val="BlankClose"/>
      </w:pP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85" w:name="_Toc525286525"/>
      <w:bookmarkStart w:id="86" w:name="_Toc525286586"/>
      <w:r>
        <w:rPr>
          <w:sz w:val="28"/>
        </w:rPr>
        <w:t>Defined terms</w:t>
      </w:r>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08295-8822-49B6-B89C-08BB0C49D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22782</Words>
  <Characters>102751</Characters>
  <Application>Microsoft Office Word</Application>
  <DocSecurity>0</DocSecurity>
  <Lines>3805</Lines>
  <Paragraphs>2324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1899 - 21-c0-00</dc:title>
  <dc:subject/>
  <dc:creator/>
  <cp:keywords/>
  <dc:description/>
  <cp:lastModifiedBy>svcMRProcess</cp:lastModifiedBy>
  <cp:revision>4</cp:revision>
  <cp:lastPrinted>2017-07-17T06:10:00Z</cp:lastPrinted>
  <dcterms:created xsi:type="dcterms:W3CDTF">2018-09-21T02:52:00Z</dcterms:created>
  <dcterms:modified xsi:type="dcterms:W3CDTF">2018-09-21T02:52:00Z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18 Sep 2018</vt:lpwstr>
  </property>
  <property fmtid="{D5CDD505-2E9C-101B-9397-08002B2CF9AE}" pid="9" name="Suffix">
    <vt:lpwstr>21-c0-00</vt:lpwstr>
  </property>
  <property fmtid="{D5CDD505-2E9C-101B-9397-08002B2CF9AE}" pid="10" name="CommencementDate">
    <vt:lpwstr>20180918</vt:lpwstr>
  </property>
</Properties>
</file>