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_Toc525901049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_Toc525901050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_Toc525901051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_Toc525901052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_Toc525901053 \h </w:instrText>
      </w:r>
      <w:r>
        <w:fldChar w:fldCharType="separate"/>
      </w:r>
      <w:r>
        <w:t>7</w:t>
      </w:r>
      <w:r>
        <w:fldChar w:fldCharType="end"/>
      </w:r>
    </w:p>
    <w:p>
      <w:pPr>
        <w:pStyle w:val="TOC8"/>
        <w:rPr>
          <w:rFonts w:asciiTheme="minorHAnsi" w:eastAsiaTheme="minorEastAsia" w:hAnsiTheme="minorHAnsi" w:cstheme="minorBidi"/>
          <w:szCs w:val="22"/>
        </w:rPr>
      </w:pPr>
      <w:r>
        <w:t>6.</w:t>
      </w:r>
      <w:r>
        <w:tab/>
        <w:t>Term used: child</w:t>
      </w:r>
      <w:r>
        <w:noBreakHyphen/>
        <w:t>related work</w:t>
      </w:r>
      <w:r>
        <w:tab/>
      </w:r>
      <w:r>
        <w:fldChar w:fldCharType="begin"/>
      </w:r>
      <w:r>
        <w:instrText xml:space="preserve"> PAGEREF _Toc525901054 \h </w:instrText>
      </w:r>
      <w:r>
        <w:fldChar w:fldCharType="separate"/>
      </w:r>
      <w:r>
        <w:t>7</w:t>
      </w:r>
      <w:r>
        <w:fldChar w:fldCharType="end"/>
      </w:r>
    </w:p>
    <w:p>
      <w:pPr>
        <w:pStyle w:val="TOC8"/>
        <w:rPr>
          <w:rFonts w:asciiTheme="minorHAnsi" w:eastAsiaTheme="minorEastAsia" w:hAnsiTheme="minorHAnsi" w:cstheme="minorBidi"/>
          <w:szCs w:val="22"/>
        </w:rPr>
      </w:pPr>
      <w:r>
        <w:t>7.</w:t>
      </w:r>
      <w:r>
        <w:tab/>
        <w:t>Terms used: Class 1 offence, Class 2 offence</w:t>
      </w:r>
      <w:r>
        <w:tab/>
      </w:r>
      <w:r>
        <w:fldChar w:fldCharType="begin"/>
      </w:r>
      <w:r>
        <w:instrText xml:space="preserve"> PAGEREF _Toc525901055 \h </w:instrText>
      </w:r>
      <w:r>
        <w:fldChar w:fldCharType="separate"/>
      </w:r>
      <w:r>
        <w:t>10</w:t>
      </w:r>
      <w:r>
        <w:fldChar w:fldCharType="end"/>
      </w:r>
    </w:p>
    <w:p>
      <w:pPr>
        <w:pStyle w:val="TOC8"/>
        <w:rPr>
          <w:rFonts w:asciiTheme="minorHAnsi" w:eastAsiaTheme="minorEastAsia" w:hAnsiTheme="minorHAnsi" w:cstheme="minorBidi"/>
          <w:szCs w:val="22"/>
        </w:rPr>
      </w:pPr>
      <w:r>
        <w:t>8.</w:t>
      </w:r>
      <w:r>
        <w:tab/>
        <w:t>Term used: conviction</w:t>
      </w:r>
      <w:r>
        <w:tab/>
      </w:r>
      <w:r>
        <w:fldChar w:fldCharType="begin"/>
      </w:r>
      <w:r>
        <w:instrText xml:space="preserve"> PAGEREF _Toc525901056 \h </w:instrText>
      </w:r>
      <w:r>
        <w:fldChar w:fldCharType="separate"/>
      </w:r>
      <w:r>
        <w:t>11</w:t>
      </w:r>
      <w:r>
        <w:fldChar w:fldCharType="end"/>
      </w:r>
    </w:p>
    <w:p>
      <w:pPr>
        <w:pStyle w:val="TOC8"/>
        <w:rPr>
          <w:rFonts w:asciiTheme="minorHAnsi" w:eastAsiaTheme="minorEastAsia" w:hAnsiTheme="minorHAnsi" w:cstheme="minorBidi"/>
          <w:szCs w:val="22"/>
        </w:rPr>
      </w:pPr>
      <w:r>
        <w:t>9A.</w:t>
      </w:r>
      <w:r>
        <w:tab/>
        <w:t>Students, application of certain provisions to</w:t>
      </w:r>
      <w:r>
        <w:tab/>
      </w:r>
      <w:r>
        <w:fldChar w:fldCharType="begin"/>
      </w:r>
      <w:r>
        <w:instrText xml:space="preserve"> PAGEREF _Toc525901057 \h </w:instrText>
      </w:r>
      <w:r>
        <w:fldChar w:fldCharType="separate"/>
      </w:r>
      <w:r>
        <w:t>12</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_Toc525901058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Assessment notice (child</w:t>
      </w:r>
      <w:r>
        <w:noBreakHyphen/>
        <w:t>related employment), application for</w:t>
      </w:r>
      <w:r>
        <w:tab/>
      </w:r>
      <w:r>
        <w:fldChar w:fldCharType="begin"/>
      </w:r>
      <w:r>
        <w:instrText xml:space="preserve"> PAGEREF _Toc525901061 \h </w:instrText>
      </w:r>
      <w:r>
        <w:fldChar w:fldCharType="separate"/>
      </w:r>
      <w:r>
        <w:t>16</w:t>
      </w:r>
      <w:r>
        <w:fldChar w:fldCharType="end"/>
      </w:r>
    </w:p>
    <w:p>
      <w:pPr>
        <w:pStyle w:val="TOC8"/>
        <w:rPr>
          <w:rFonts w:asciiTheme="minorHAnsi" w:eastAsiaTheme="minorEastAsia" w:hAnsiTheme="minorHAnsi" w:cstheme="minorBidi"/>
          <w:szCs w:val="22"/>
        </w:rPr>
      </w:pPr>
      <w:r>
        <w:t>10.</w:t>
      </w:r>
      <w:r>
        <w:tab/>
        <w:t>Assessment notice (child</w:t>
      </w:r>
      <w:r>
        <w:noBreakHyphen/>
        <w:t>related business), application for</w:t>
      </w:r>
      <w:r>
        <w:tab/>
      </w:r>
      <w:r>
        <w:fldChar w:fldCharType="begin"/>
      </w:r>
      <w:r>
        <w:instrText xml:space="preserve"> PAGEREF _Toc525901062 \h </w:instrText>
      </w:r>
      <w:r>
        <w:fldChar w:fldCharType="separate"/>
      </w:r>
      <w:r>
        <w:t>16</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_Toc525901063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_Toc525901065 \h </w:instrText>
      </w:r>
      <w:r>
        <w:fldChar w:fldCharType="separate"/>
      </w:r>
      <w:r>
        <w:t>18</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_Toc525901066 \h </w:instrText>
      </w:r>
      <w:r>
        <w:fldChar w:fldCharType="separate"/>
      </w:r>
      <w:r>
        <w:t>21</w:t>
      </w:r>
      <w:r>
        <w:fldChar w:fldCharType="end"/>
      </w:r>
    </w:p>
    <w:p>
      <w:pPr>
        <w:pStyle w:val="TOC8"/>
        <w:rPr>
          <w:rFonts w:asciiTheme="minorHAnsi" w:eastAsiaTheme="minorEastAsia" w:hAnsiTheme="minorHAnsi" w:cstheme="minorBidi"/>
          <w:szCs w:val="22"/>
        </w:rPr>
      </w:pPr>
      <w:r>
        <w:t>13.</w:t>
      </w:r>
      <w:r>
        <w:tab/>
        <w:t>Intended issue of negative notice, CEO to notify applicant of etc.; interim negative notices, issue of</w:t>
      </w:r>
      <w:r>
        <w:tab/>
      </w:r>
      <w:r>
        <w:fldChar w:fldCharType="begin"/>
      </w:r>
      <w:r>
        <w:instrText xml:space="preserve"> PAGEREF _Toc525901067 \h </w:instrText>
      </w:r>
      <w:r>
        <w:fldChar w:fldCharType="separate"/>
      </w:r>
      <w:r>
        <w:t>22</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_Toc525901068 \h </w:instrText>
      </w:r>
      <w:r>
        <w:fldChar w:fldCharType="separate"/>
      </w:r>
      <w:r>
        <w:t>23</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_Toc525901069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_Toc525901071 \h </w:instrText>
      </w:r>
      <w:r>
        <w:fldChar w:fldCharType="separate"/>
      </w:r>
      <w:r>
        <w:t>24</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_Toc525901072 \h </w:instrText>
      </w:r>
      <w:r>
        <w:fldChar w:fldCharType="separate"/>
      </w:r>
      <w:r>
        <w:t>25</w:t>
      </w:r>
      <w:r>
        <w:fldChar w:fldCharType="end"/>
      </w:r>
    </w:p>
    <w:p>
      <w:pPr>
        <w:pStyle w:val="TOC8"/>
        <w:rPr>
          <w:rFonts w:asciiTheme="minorHAnsi" w:eastAsiaTheme="minorEastAsia" w:hAnsiTheme="minorHAnsi" w:cstheme="minorBidi"/>
          <w:szCs w:val="22"/>
        </w:rPr>
      </w:pPr>
      <w:r>
        <w:t>18.</w:t>
      </w:r>
      <w:r>
        <w:tab/>
        <w:t>CEO may issue negative notice if notice issued under s. 16 or 17 not obeyed</w:t>
      </w:r>
      <w:r>
        <w:tab/>
      </w:r>
      <w:r>
        <w:fldChar w:fldCharType="begin"/>
      </w:r>
      <w:r>
        <w:instrText xml:space="preserve"> PAGEREF _Toc525901073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Negative notice, application for cancellation of</w:t>
      </w:r>
      <w:r>
        <w:tab/>
      </w:r>
      <w:r>
        <w:fldChar w:fldCharType="begin"/>
      </w:r>
      <w:r>
        <w:instrText xml:space="preserve"> PAGEREF _Toc525901075 \h </w:instrText>
      </w:r>
      <w:r>
        <w:fldChar w:fldCharType="separate"/>
      </w:r>
      <w:r>
        <w:t>27</w:t>
      </w:r>
      <w:r>
        <w:fldChar w:fldCharType="end"/>
      </w:r>
    </w:p>
    <w:p>
      <w:pPr>
        <w:pStyle w:val="TOC8"/>
        <w:rPr>
          <w:rFonts w:asciiTheme="minorHAnsi" w:eastAsiaTheme="minorEastAsia" w:hAnsiTheme="minorHAnsi" w:cstheme="minorBidi"/>
          <w:szCs w:val="22"/>
        </w:rPr>
      </w:pPr>
      <w:r>
        <w:t>20.</w:t>
      </w:r>
      <w:r>
        <w:tab/>
        <w:t>Assessment notice or negative notice, CEO may cancel if issued on wrong etc. information</w:t>
      </w:r>
      <w:r>
        <w:tab/>
      </w:r>
      <w:r>
        <w:fldChar w:fldCharType="begin"/>
      </w:r>
      <w:r>
        <w:instrText xml:space="preserve"> PAGEREF _Toc525901076 \h </w:instrText>
      </w:r>
      <w:r>
        <w:fldChar w:fldCharType="separate"/>
      </w:r>
      <w:r>
        <w:t>29</w:t>
      </w:r>
      <w:r>
        <w:fldChar w:fldCharType="end"/>
      </w:r>
    </w:p>
    <w:p>
      <w:pPr>
        <w:pStyle w:val="TOC8"/>
        <w:rPr>
          <w:rFonts w:asciiTheme="minorHAnsi" w:eastAsiaTheme="minorEastAsia" w:hAnsiTheme="minorHAnsi" w:cstheme="minorBidi"/>
          <w:szCs w:val="22"/>
        </w:rPr>
      </w:pPr>
      <w:r>
        <w:t>21A.</w:t>
      </w:r>
      <w:r>
        <w:tab/>
        <w:t>Assessment notices of certain people not involved in child</w:t>
      </w:r>
      <w:r>
        <w:noBreakHyphen/>
        <w:t>related work, cancellation of</w:t>
      </w:r>
      <w:r>
        <w:tab/>
      </w:r>
      <w:r>
        <w:fldChar w:fldCharType="begin"/>
      </w:r>
      <w:r>
        <w:instrText xml:space="preserve"> PAGEREF _Toc525901077 \h </w:instrText>
      </w:r>
      <w:r>
        <w:fldChar w:fldCharType="separate"/>
      </w:r>
      <w:r>
        <w:t>30</w:t>
      </w:r>
      <w:r>
        <w:fldChar w:fldCharType="end"/>
      </w:r>
    </w:p>
    <w:p>
      <w:pPr>
        <w:pStyle w:val="TOC8"/>
        <w:rPr>
          <w:rFonts w:asciiTheme="minorHAnsi" w:eastAsiaTheme="minorEastAsia" w:hAnsiTheme="minorHAnsi" w:cstheme="minorBidi"/>
          <w:szCs w:val="22"/>
        </w:rPr>
      </w:pPr>
      <w:r>
        <w:t>21B.</w:t>
      </w:r>
      <w:r>
        <w:tab/>
        <w:t>Assessment notice, cancellation of on person’s request</w:t>
      </w:r>
      <w:r>
        <w:tab/>
      </w:r>
      <w:r>
        <w:fldChar w:fldCharType="begin"/>
      </w:r>
      <w:r>
        <w:instrText xml:space="preserve"> PAGEREF _Toc525901078 \h </w:instrText>
      </w:r>
      <w:r>
        <w:fldChar w:fldCharType="separate"/>
      </w:r>
      <w:r>
        <w:t>31</w:t>
      </w:r>
      <w:r>
        <w:fldChar w:fldCharType="end"/>
      </w:r>
    </w:p>
    <w:p>
      <w:pPr>
        <w:pStyle w:val="TOC8"/>
        <w:rPr>
          <w:rFonts w:asciiTheme="minorHAnsi" w:eastAsiaTheme="minorEastAsia" w:hAnsiTheme="minorHAnsi" w:cstheme="minorBidi"/>
          <w:szCs w:val="22"/>
        </w:rPr>
      </w:pPr>
      <w:r>
        <w:t>21C.</w:t>
      </w:r>
      <w:r>
        <w:tab/>
        <w:t>Assessment notices of certain people to whom s. 32 applies, cancellation of</w:t>
      </w:r>
      <w:r>
        <w:tab/>
      </w:r>
      <w:r>
        <w:fldChar w:fldCharType="begin"/>
      </w:r>
      <w:r>
        <w:instrText xml:space="preserve"> PAGEREF _Toc525901079 \h </w:instrText>
      </w:r>
      <w:r>
        <w:fldChar w:fldCharType="separate"/>
      </w:r>
      <w:r>
        <w:t>31</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_Toc525901080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_Toc525901082 \h </w:instrText>
      </w:r>
      <w:r>
        <w:fldChar w:fldCharType="separate"/>
      </w:r>
      <w:r>
        <w:t>32</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_Toc525901083 \h </w:instrText>
      </w:r>
      <w:r>
        <w:fldChar w:fldCharType="separate"/>
      </w:r>
      <w:r>
        <w:t>33</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_Toc525901084 \h </w:instrText>
      </w:r>
      <w:r>
        <w:fldChar w:fldCharType="separate"/>
      </w:r>
      <w:r>
        <w:t>34</w:t>
      </w:r>
      <w:r>
        <w:fldChar w:fldCharType="end"/>
      </w:r>
    </w:p>
    <w:p>
      <w:pPr>
        <w:pStyle w:val="TOC8"/>
        <w:rPr>
          <w:rFonts w:asciiTheme="minorHAnsi" w:eastAsiaTheme="minorEastAsia" w:hAnsiTheme="minorHAnsi" w:cstheme="minorBidi"/>
          <w:szCs w:val="22"/>
        </w:rPr>
      </w:pPr>
      <w:r>
        <w:t>25.</w:t>
      </w:r>
      <w:r>
        <w:tab/>
        <w:t>Defences for s. 24</w:t>
      </w:r>
      <w:r>
        <w:tab/>
      </w:r>
      <w:r>
        <w:fldChar w:fldCharType="begin"/>
      </w:r>
      <w:r>
        <w:instrText xml:space="preserve"> PAGEREF _Toc525901085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_Toc525901087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_Toc525901090 \h </w:instrText>
      </w:r>
      <w:r>
        <w:fldChar w:fldCharType="separate"/>
      </w:r>
      <w:r>
        <w:t>37</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_Toc525901091 \h </w:instrText>
      </w:r>
      <w:r>
        <w:fldChar w:fldCharType="separate"/>
      </w:r>
      <w:r>
        <w:t>37</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_Toc525901092 \h </w:instrText>
      </w:r>
      <w:r>
        <w:fldChar w:fldCharType="separate"/>
      </w:r>
      <w:r>
        <w:t>37</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_Toc525901093 \h </w:instrText>
      </w:r>
      <w:r>
        <w:fldChar w:fldCharType="separate"/>
      </w:r>
      <w:r>
        <w:t>38</w:t>
      </w:r>
      <w:r>
        <w:fldChar w:fldCharType="end"/>
      </w:r>
    </w:p>
    <w:p>
      <w:pPr>
        <w:pStyle w:val="TOC8"/>
        <w:rPr>
          <w:rFonts w:asciiTheme="minorHAnsi" w:eastAsiaTheme="minorEastAsia" w:hAnsiTheme="minorHAnsi" w:cstheme="minorBidi"/>
          <w:szCs w:val="22"/>
        </w:rPr>
      </w:pPr>
      <w:r>
        <w:t>31.</w:t>
      </w:r>
      <w:r>
        <w:tab/>
        <w:t>People with assessment notice who have relevant change in criminal record, duties and employment of</w:t>
      </w:r>
      <w:r>
        <w:tab/>
      </w:r>
      <w:r>
        <w:fldChar w:fldCharType="begin"/>
      </w:r>
      <w:r>
        <w:instrText xml:space="preserve"> PAGEREF _Toc525901094 \h </w:instrText>
      </w:r>
      <w:r>
        <w:fldChar w:fldCharType="separate"/>
      </w:r>
      <w:r>
        <w:t>38</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_Toc525901095 \h </w:instrText>
      </w:r>
      <w:r>
        <w:fldChar w:fldCharType="separate"/>
      </w:r>
      <w:r>
        <w:t>39</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_Toc525901096 \h </w:instrText>
      </w:r>
      <w:r>
        <w:fldChar w:fldCharType="separate"/>
      </w:r>
      <w:r>
        <w:t>40</w:t>
      </w:r>
      <w:r>
        <w:fldChar w:fldCharType="end"/>
      </w:r>
    </w:p>
    <w:p>
      <w:pPr>
        <w:pStyle w:val="TOC8"/>
        <w:rPr>
          <w:rFonts w:asciiTheme="minorHAnsi" w:eastAsiaTheme="minorEastAsia" w:hAnsiTheme="minorHAnsi" w:cstheme="minorBidi"/>
          <w:szCs w:val="22"/>
        </w:rPr>
      </w:pPr>
      <w:r>
        <w:t>33.</w:t>
      </w:r>
      <w:r>
        <w:tab/>
        <w:t>People convicted of Class 1 offence not to start or continue child</w:t>
      </w:r>
      <w:r>
        <w:noBreakHyphen/>
        <w:t>related work</w:t>
      </w:r>
      <w:r>
        <w:tab/>
      </w:r>
      <w:r>
        <w:fldChar w:fldCharType="begin"/>
      </w:r>
      <w:r>
        <w:instrText xml:space="preserve"> PAGEREF _Toc525901097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_Toc525901099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 offence</w:t>
      </w:r>
      <w:r>
        <w:tab/>
      </w:r>
      <w:r>
        <w:fldChar w:fldCharType="begin"/>
      </w:r>
      <w:r>
        <w:instrText xml:space="preserve"> PAGEREF _Toc525901101 \h </w:instrText>
      </w:r>
      <w:r>
        <w:fldChar w:fldCharType="separate"/>
      </w:r>
      <w:r>
        <w:t>43</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_Toc525901102 \h </w:instrText>
      </w:r>
      <w:r>
        <w:fldChar w:fldCharType="separate"/>
      </w:r>
      <w:r>
        <w:t>43</w:t>
      </w:r>
      <w:r>
        <w:fldChar w:fldCharType="end"/>
      </w:r>
    </w:p>
    <w:p>
      <w:pPr>
        <w:pStyle w:val="TOC8"/>
        <w:rPr>
          <w:rFonts w:asciiTheme="minorHAnsi" w:eastAsiaTheme="minorEastAsia" w:hAnsiTheme="minorHAnsi" w:cstheme="minorBidi"/>
          <w:szCs w:val="22"/>
        </w:rPr>
      </w:pPr>
      <w:r>
        <w:t>37.</w:t>
      </w:r>
      <w:r>
        <w:tab/>
        <w:t>Exchange of information with corresponding authorities</w:t>
      </w:r>
      <w:r>
        <w:tab/>
      </w:r>
      <w:r>
        <w:fldChar w:fldCharType="begin"/>
      </w:r>
      <w:r>
        <w:instrText xml:space="preserve"> PAGEREF _Toc525901103 \h </w:instrText>
      </w:r>
      <w:r>
        <w:fldChar w:fldCharType="separate"/>
      </w:r>
      <w:r>
        <w:t>43</w:t>
      </w:r>
      <w:r>
        <w:fldChar w:fldCharType="end"/>
      </w:r>
    </w:p>
    <w:p>
      <w:pPr>
        <w:pStyle w:val="TOC8"/>
        <w:rPr>
          <w:rFonts w:asciiTheme="minorHAnsi" w:eastAsiaTheme="minorEastAsia" w:hAnsiTheme="minorHAnsi" w:cstheme="minorBidi"/>
          <w:szCs w:val="22"/>
        </w:rPr>
      </w:pPr>
      <w:r>
        <w:t>38.</w:t>
      </w:r>
      <w:r>
        <w:tab/>
        <w:t>Disclosure of information by CEO to certain bodies</w:t>
      </w:r>
      <w:r>
        <w:tab/>
      </w:r>
      <w:r>
        <w:fldChar w:fldCharType="begin"/>
      </w:r>
      <w:r>
        <w:instrText xml:space="preserve"> PAGEREF _Toc525901104 \h </w:instrText>
      </w:r>
      <w:r>
        <w:fldChar w:fldCharType="separate"/>
      </w:r>
      <w:r>
        <w:t>44</w:t>
      </w:r>
      <w:r>
        <w:fldChar w:fldCharType="end"/>
      </w:r>
    </w:p>
    <w:p>
      <w:pPr>
        <w:pStyle w:val="TOC8"/>
        <w:rPr>
          <w:rFonts w:asciiTheme="minorHAnsi" w:eastAsiaTheme="minorEastAsia" w:hAnsiTheme="minorHAnsi" w:cstheme="minorBidi"/>
          <w:szCs w:val="22"/>
        </w:rPr>
      </w:pPr>
      <w:r>
        <w:t>39.</w:t>
      </w:r>
      <w:r>
        <w:tab/>
        <w:t>Information obtained officially, use and disclosure of</w:t>
      </w:r>
      <w:r>
        <w:tab/>
      </w:r>
      <w:r>
        <w:fldChar w:fldCharType="begin"/>
      </w:r>
      <w:r>
        <w:instrText xml:space="preserve"> PAGEREF _Toc525901105 \h </w:instrText>
      </w:r>
      <w:r>
        <w:fldChar w:fldCharType="separate"/>
      </w:r>
      <w:r>
        <w:t>46</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_Toc525901106 \h </w:instrText>
      </w:r>
      <w:r>
        <w:fldChar w:fldCharType="separate"/>
      </w:r>
      <w:r>
        <w:t>47</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_Toc525901107 \h </w:instrText>
      </w:r>
      <w:r>
        <w:fldChar w:fldCharType="separate"/>
      </w:r>
      <w:r>
        <w:t>47</w:t>
      </w:r>
      <w:r>
        <w:fldChar w:fldCharType="end"/>
      </w:r>
    </w:p>
    <w:p>
      <w:pPr>
        <w:pStyle w:val="TOC8"/>
        <w:rPr>
          <w:rFonts w:asciiTheme="minorHAnsi" w:eastAsiaTheme="minorEastAsia" w:hAnsiTheme="minorHAnsi" w:cstheme="minorBidi"/>
          <w:szCs w:val="22"/>
        </w:rPr>
      </w:pPr>
      <w:r>
        <w:t>42.</w:t>
      </w:r>
      <w:r>
        <w:tab/>
        <w:t>CEO may require information to confirm compliance with Act</w:t>
      </w:r>
      <w:r>
        <w:tab/>
      </w:r>
      <w:r>
        <w:fldChar w:fldCharType="begin"/>
      </w:r>
      <w:r>
        <w:instrText xml:space="preserve"> PAGEREF _Toc525901108 \h </w:instrText>
      </w:r>
      <w:r>
        <w:fldChar w:fldCharType="separate"/>
      </w:r>
      <w:r>
        <w:t>48</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_Toc525901109 \h </w:instrText>
      </w:r>
      <w:r>
        <w:fldChar w:fldCharType="separate"/>
      </w:r>
      <w:r>
        <w:t>48</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_Toc525901110 \h </w:instrText>
      </w:r>
      <w:r>
        <w:fldChar w:fldCharType="separate"/>
      </w:r>
      <w:r>
        <w:t>49</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_Toc525901111 \h </w:instrText>
      </w:r>
      <w:r>
        <w:fldChar w:fldCharType="separate"/>
      </w:r>
      <w:r>
        <w:t>50</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_Toc525901112 \h </w:instrText>
      </w:r>
      <w:r>
        <w:fldChar w:fldCharType="separate"/>
      </w:r>
      <w:r>
        <w:t>51</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_Toc525901113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_Toc525901115 \h </w:instrText>
      </w:r>
      <w:r>
        <w:fldChar w:fldCharType="separate"/>
      </w:r>
      <w:r>
        <w:t>52</w:t>
      </w:r>
      <w:r>
        <w:fldChar w:fldCharType="end"/>
      </w:r>
    </w:p>
    <w:p>
      <w:pPr>
        <w:pStyle w:val="TOC8"/>
        <w:rPr>
          <w:rFonts w:asciiTheme="minorHAnsi" w:eastAsiaTheme="minorEastAsia" w:hAnsiTheme="minorHAnsi" w:cstheme="minorBidi"/>
          <w:szCs w:val="22"/>
        </w:rPr>
      </w:pPr>
      <w:r>
        <w:t>57.</w:t>
      </w:r>
      <w:r>
        <w:tab/>
        <w:t>People carrying on a child</w:t>
      </w:r>
      <w:r>
        <w:noBreakHyphen/>
        <w:t>related business, when s. 24(b) applies to</w:t>
      </w:r>
      <w:r>
        <w:tab/>
      </w:r>
      <w:r>
        <w:fldChar w:fldCharType="begin"/>
      </w:r>
      <w:r>
        <w:instrText xml:space="preserve"> PAGEREF _Toc525901116 \h </w:instrText>
      </w:r>
      <w:r>
        <w:fldChar w:fldCharType="separate"/>
      </w:r>
      <w:r>
        <w:t>52</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_Toc525901117 \h </w:instrText>
      </w:r>
      <w:r>
        <w:fldChar w:fldCharType="separate"/>
      </w:r>
      <w:r>
        <w:t>53</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_Toc525901118 \h </w:instrText>
      </w:r>
      <w:r>
        <w:fldChar w:fldCharType="separate"/>
      </w:r>
      <w:r>
        <w:t>53</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_Toc525901119 \h </w:instrText>
      </w:r>
      <w:r>
        <w:fldChar w:fldCharType="separate"/>
      </w:r>
      <w:r>
        <w:t>54</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_Toc525901120 \h </w:instrText>
      </w:r>
      <w:r>
        <w:fldChar w:fldCharType="separate"/>
      </w:r>
      <w:r>
        <w:t>55</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_Toc525901121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 1 offences</w:t>
      </w:r>
    </w:p>
    <w:p>
      <w:pPr>
        <w:pStyle w:val="TOC2"/>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_Toc525901125 \h </w:instrText>
      </w:r>
      <w:r>
        <w:fldChar w:fldCharType="separate"/>
      </w:r>
      <w:r>
        <w:t>64</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_Toc525901126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3" w:name="_Toc525896735"/>
      <w:bookmarkStart w:id="4" w:name="_Toc525896887"/>
      <w:bookmarkStart w:id="5" w:name="_Toc52590104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525901049"/>
      <w:r>
        <w:rPr>
          <w:rStyle w:val="CharSectno"/>
        </w:rPr>
        <w:t>1</w:t>
      </w:r>
      <w:r>
        <w:rPr>
          <w:snapToGrid w:val="0"/>
        </w:rPr>
        <w:t>.</w:t>
      </w:r>
      <w:r>
        <w:rPr>
          <w:snapToGrid w:val="0"/>
        </w:rPr>
        <w:tab/>
        <w:t>Short title</w:t>
      </w:r>
      <w:bookmarkEnd w:id="6"/>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iCs/>
          <w:snapToGrid w:val="0"/>
          <w:vertAlign w:val="superscript"/>
        </w:rPr>
        <w:t> 1</w:t>
      </w:r>
      <w:r>
        <w:rPr>
          <w:snapToGrid w:val="0"/>
        </w:rPr>
        <w:t>.</w:t>
      </w:r>
    </w:p>
    <w:p>
      <w:pPr>
        <w:pStyle w:val="Heading5"/>
      </w:pPr>
      <w:bookmarkStart w:id="7" w:name="_Toc525901050"/>
      <w:r>
        <w:rPr>
          <w:rStyle w:val="CharSectno"/>
        </w:rPr>
        <w:t>2</w:t>
      </w:r>
      <w:r>
        <w:t>.</w:t>
      </w:r>
      <w:r>
        <w:tab/>
        <w:t>Commencement</w:t>
      </w:r>
      <w:bookmarkEnd w:id="7"/>
    </w:p>
    <w:p>
      <w:pPr>
        <w:pStyle w:val="Subsection"/>
        <w:rPr>
          <w:spacing w:val="-2"/>
        </w:rPr>
      </w:pPr>
      <w:r>
        <w:tab/>
        <w:t>(1)</w:t>
      </w:r>
      <w:r>
        <w:tab/>
        <w:t xml:space="preserve">This Act </w:t>
      </w:r>
      <w:r>
        <w:rPr>
          <w:spacing w:val="-2"/>
        </w:rPr>
        <w:t>comes into operation on a day fixed by proclamation</w:t>
      </w:r>
      <w:r>
        <w:rPr>
          <w:iCs/>
          <w:snapToGrid w:val="0"/>
          <w:vertAlign w:val="superscript"/>
        </w:rPr>
        <w:t> 1</w:t>
      </w:r>
      <w:r>
        <w:rPr>
          <w:spacing w:val="-2"/>
        </w:rPr>
        <w:t>.</w:t>
      </w:r>
    </w:p>
    <w:p>
      <w:pPr>
        <w:pStyle w:val="Subsection"/>
      </w:pPr>
      <w:r>
        <w:tab/>
        <w:t>(2)</w:t>
      </w:r>
      <w:r>
        <w:tab/>
        <w:t>Different days may be fixed under subsection (1) for different provisions.</w:t>
      </w:r>
    </w:p>
    <w:p>
      <w:pPr>
        <w:pStyle w:val="Heading5"/>
      </w:pPr>
      <w:bookmarkStart w:id="8" w:name="_Toc525901051"/>
      <w:r>
        <w:rPr>
          <w:rStyle w:val="CharSectno"/>
        </w:rPr>
        <w:t>3</w:t>
      </w:r>
      <w:r>
        <w:t>.</w:t>
      </w:r>
      <w:r>
        <w:tab/>
        <w:t>Principle that best interests of children are paramount</w:t>
      </w:r>
      <w:bookmarkEnd w:id="8"/>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9" w:name="_Toc525901052"/>
      <w:r>
        <w:rPr>
          <w:rStyle w:val="CharSectno"/>
        </w:rPr>
        <w:t>4</w:t>
      </w:r>
      <w:r>
        <w:t>.</w:t>
      </w:r>
      <w:r>
        <w:tab/>
        <w:t>Terms used</w:t>
      </w:r>
      <w:bookmarkEnd w:id="9"/>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w:t>
      </w:r>
      <w:smartTag w:uri="urn:schemas-microsoft-com:office:smarttags" w:element="State">
        <w:r>
          <w:t>Western Australia</w:t>
        </w:r>
      </w:smartTag>
      <w:r>
        <w:t xml:space="preserve"> (including jurisdictions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charge</w:t>
      </w:r>
      <w:r>
        <w:t xml:space="preserve"> means a non</w:t>
      </w:r>
      <w:r>
        <w:noBreakHyphen/>
        <w:t>conviction charge or a pending charge;</w:t>
      </w:r>
    </w:p>
    <w:p>
      <w:pPr>
        <w:pStyle w:val="Defstart"/>
      </w:pPr>
      <w:r>
        <w:rPr>
          <w:b/>
        </w:rPr>
        <w:tab/>
      </w:r>
      <w:r>
        <w:rPr>
          <w:rStyle w:val="CharDefText"/>
        </w:rPr>
        <w:t>child</w:t>
      </w:r>
      <w:r>
        <w:t xml:space="preserve"> means a person who is under 18 years of age;</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that is not a Class 1 offence or a Class 2 offence;</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keepNext/>
      </w:pPr>
      <w:r>
        <w:rPr>
          <w:b/>
        </w:rPr>
        <w:tab/>
      </w:r>
      <w:r>
        <w:rPr>
          <w:rStyle w:val="CharDefText"/>
        </w:rPr>
        <w:t>criminal record</w:t>
      </w:r>
      <w:r>
        <w:t xml:space="preserve">, in relation to a person, means — </w:t>
      </w:r>
    </w:p>
    <w:p>
      <w:pPr>
        <w:pStyle w:val="Defpara"/>
      </w:pPr>
      <w:r>
        <w:tab/>
        <w:t>(a)</w:t>
      </w:r>
      <w:r>
        <w:tab/>
        <w:t xml:space="preserve">every conviction of the person of an offence, in </w:t>
      </w:r>
      <w:smartTag w:uri="urn:schemas-microsoft-com:office:smarttags" w:element="place">
        <w:smartTag w:uri="urn:schemas-microsoft-com:office:smarttags" w:element="State">
          <w:r>
            <w:t>Western Australia</w:t>
          </w:r>
        </w:smartTag>
      </w:smartTag>
      <w:r>
        <w:t xml:space="preserve"> or another jurisdiction; and</w:t>
      </w:r>
    </w:p>
    <w:p>
      <w:pPr>
        <w:pStyle w:val="Defpara"/>
      </w:pPr>
      <w:r>
        <w:tab/>
        <w:t>(b)</w:t>
      </w:r>
      <w:r>
        <w:tab/>
        <w:t xml:space="preserve">every charge made against the person for an offence, in </w:t>
      </w:r>
      <w:smartTag w:uri="urn:schemas-microsoft-com:office:smarttags" w:element="place">
        <w:smartTag w:uri="urn:schemas-microsoft-com:office:smarttags" w:element="State">
          <w:r>
            <w:t>Western Australia</w:t>
          </w:r>
        </w:smartTag>
      </w:smartTag>
      <w:r>
        <w:t xml:space="preserve"> or another jurisdiction;</w:t>
      </w:r>
    </w:p>
    <w:p>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smartTag w:uri="urn:schemas-microsoft-com:office:smarttags" w:element="PlaceName">
        <w:r>
          <w:rPr>
            <w:i/>
            <w:iCs/>
          </w:rPr>
          <w:t>Bond</w:t>
        </w:r>
      </w:smartTag>
      <w:r>
        <w:rPr>
          <w:i/>
          <w:iCs/>
        </w:rPr>
        <w:t xml:space="preserve"> </w:t>
      </w:r>
      <w:smartTag w:uri="urn:schemas-microsoft-com:office:smarttags" w:element="PlaceName">
        <w:r>
          <w:rPr>
            <w:i/>
            <w:iCs/>
          </w:rPr>
          <w:t>University</w:t>
        </w:r>
      </w:smartTag>
      <w:r>
        <w:rPr>
          <w:i/>
          <w:iCs/>
        </w:rPr>
        <w:t xml:space="preserve"> Act 1987</w:t>
      </w:r>
      <w:r>
        <w:t xml:space="preserve"> (</w:t>
      </w:r>
      <w:smartTag w:uri="urn:schemas-microsoft-com:office:smarttags" w:element="place">
        <w:smartTag w:uri="urn:schemas-microsoft-com:office:smarttags" w:element="State">
          <w:r>
            <w:t>Queensland</w:t>
          </w:r>
        </w:smartTag>
      </w:smartTag>
      <w:r>
        <w:t>)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rPr>
          <w:b/>
        </w:rPr>
        <w:tab/>
      </w:r>
      <w:r>
        <w:rPr>
          <w:rStyle w:val="CharDefText"/>
        </w:rPr>
        <w:t>interim negative notice</w:t>
      </w:r>
      <w:r>
        <w:t xml:space="preserve"> means a written notice issued by the CEO under section 13;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Footnotesection"/>
      </w:pPr>
      <w:r>
        <w:tab/>
        <w:t>[Section 4 amended by No. 19 of 2007 s. 71; No. 7 of 2010 s. 4; No. 11 of 2012 s. 52.]</w:t>
      </w:r>
    </w:p>
    <w:p>
      <w:pPr>
        <w:pStyle w:val="Heading5"/>
      </w:pPr>
      <w:bookmarkStart w:id="10" w:name="_Toc525901053"/>
      <w:r>
        <w:rPr>
          <w:rStyle w:val="CharSectno"/>
        </w:rPr>
        <w:t>5</w:t>
      </w:r>
      <w:r>
        <w:t>.</w:t>
      </w:r>
      <w:r>
        <w:tab/>
        <w:t xml:space="preserve">Managerial officers of bodies corporate licensed under </w:t>
      </w:r>
      <w:r>
        <w:rPr>
          <w:i/>
        </w:rPr>
        <w:t>Child Care Service Act 2007</w:t>
      </w:r>
      <w:r>
        <w:t>, status of for this Act</w:t>
      </w:r>
      <w:bookmarkEnd w:id="10"/>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in relation to an education and care service under that Law.</w:t>
      </w:r>
    </w:p>
    <w:p>
      <w:pPr>
        <w:pStyle w:val="Subsection"/>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by No. 19 of 2007 s. 72; No. 11 of 2012 s. 53.]</w:t>
      </w:r>
    </w:p>
    <w:p>
      <w:pPr>
        <w:pStyle w:val="Heading5"/>
      </w:pPr>
      <w:bookmarkStart w:id="11" w:name="_Toc525901054"/>
      <w:r>
        <w:rPr>
          <w:rStyle w:val="CharSectno"/>
        </w:rPr>
        <w:t>6</w:t>
      </w:r>
      <w:r>
        <w:t>.</w:t>
      </w:r>
      <w:r>
        <w:tab/>
        <w:t>Term used: child</w:t>
      </w:r>
      <w:r>
        <w:noBreakHyphen/>
        <w:t>related work</w:t>
      </w:r>
      <w:bookmarkEnd w:id="11"/>
    </w:p>
    <w:p>
      <w:pPr>
        <w:pStyle w:val="Subsection"/>
      </w:pPr>
      <w:r>
        <w:tab/>
        <w:t>(1)</w:t>
      </w:r>
      <w:r>
        <w:tab/>
        <w:t xml:space="preserve">Subject to subsection (3),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Footnotesection"/>
      </w:pPr>
      <w:r>
        <w:tab/>
        <w:t>[Section 6 amended by No. 49 of 2010 s. 23.]</w:t>
      </w:r>
    </w:p>
    <w:p>
      <w:pPr>
        <w:pStyle w:val="Heading5"/>
      </w:pPr>
      <w:bookmarkStart w:id="12" w:name="_Toc525901055"/>
      <w:r>
        <w:rPr>
          <w:rStyle w:val="CharSectno"/>
        </w:rPr>
        <w:t>7</w:t>
      </w:r>
      <w:r>
        <w:t>.</w:t>
      </w:r>
      <w:r>
        <w:tab/>
        <w:t>Terms used: Class 1 offence, Class 2 offence</w:t>
      </w:r>
      <w:bookmarkEnd w:id="12"/>
    </w:p>
    <w:p>
      <w:pPr>
        <w:pStyle w:val="Subsection"/>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keepLines/>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 xml:space="preserve">an offence under a law of another jurisdiction the elements of which, if they had occurred in </w:t>
      </w:r>
      <w:smartTag w:uri="urn:schemas-microsoft-com:office:smarttags" w:element="place">
        <w:smartTag w:uri="urn:schemas-microsoft-com:office:smarttags" w:element="State">
          <w:r>
            <w:t>Western Australia</w:t>
          </w:r>
        </w:smartTag>
      </w:smartTag>
      <w:r>
        <w:t>,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pPr>
      <w:bookmarkStart w:id="13" w:name="_Toc525901056"/>
      <w:r>
        <w:rPr>
          <w:rStyle w:val="CharSectno"/>
        </w:rPr>
        <w:t>8</w:t>
      </w:r>
      <w:r>
        <w:t>.</w:t>
      </w:r>
      <w:r>
        <w:tab/>
        <w:t>Term used: conviction</w:t>
      </w:r>
      <w:bookmarkEnd w:id="13"/>
    </w:p>
    <w:p>
      <w:pPr>
        <w:pStyle w:val="Subsection"/>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5"/>
      </w:pPr>
      <w:bookmarkStart w:id="14" w:name="_Toc525901057"/>
      <w:r>
        <w:rPr>
          <w:rStyle w:val="CharSectno"/>
        </w:rPr>
        <w:t>9A</w:t>
      </w:r>
      <w:r>
        <w:t>.</w:t>
      </w:r>
      <w:r>
        <w:tab/>
        <w:t>Students, application of certain provisions to</w:t>
      </w:r>
      <w:bookmarkEnd w:id="14"/>
    </w:p>
    <w:p>
      <w:pPr>
        <w:pStyle w:val="Subsection"/>
      </w:pPr>
      <w:r>
        <w:tab/>
        <w:t>(1)</w:t>
      </w:r>
      <w:r>
        <w:tab/>
        <w:t>This section applies in relation to a student.</w:t>
      </w:r>
    </w:p>
    <w:p>
      <w:pPr>
        <w:pStyle w:val="Subsection"/>
      </w:pPr>
      <w:r>
        <w:tab/>
        <w:t>(2)</w:t>
      </w:r>
      <w:r>
        <w:tab/>
        <w:t xml:space="preserve">If this section applies — </w:t>
      </w:r>
    </w:p>
    <w:p>
      <w:pPr>
        <w:pStyle w:val="Indenta"/>
      </w:pPr>
      <w:r>
        <w:tab/>
        <w:t>(a)</w:t>
      </w:r>
      <w:r>
        <w:tab/>
        <w:t>section 9(3)(b) does not apply and the approved form is to include provision for a student’s education provider or employer to certify that the student is, or proposes to be, employed in child</w:t>
      </w:r>
      <w:r>
        <w:noBreakHyphen/>
        <w:t>related employment; and</w:t>
      </w:r>
    </w:p>
    <w:p>
      <w:pPr>
        <w:pStyle w:val="Indenta"/>
      </w:pPr>
      <w:r>
        <w:tab/>
        <w:t>(b)</w:t>
      </w:r>
      <w:r>
        <w:tab/>
        <w:t>section 11(3) applies as if the reference to the other person were a reference to the other person or the student’s education provider; and</w:t>
      </w:r>
    </w:p>
    <w:p>
      <w:pPr>
        <w:pStyle w:val="Indenta"/>
        <w:keepNext/>
      </w:pPr>
      <w:r>
        <w:tab/>
        <w:t>(c)</w:t>
      </w:r>
      <w:r>
        <w:tab/>
        <w:t xml:space="preserve">sections 13A(1)(b), 13(3)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pPr>
      <w:r>
        <w:tab/>
        <w:t>(ii)</w:t>
      </w:r>
      <w:r>
        <w:tab/>
        <w:t>the reference to the other person were a reference to the other person or the student’s education provider;</w:t>
      </w:r>
    </w:p>
    <w:p>
      <w:pPr>
        <w:pStyle w:val="Indenta"/>
      </w:pPr>
      <w:r>
        <w:tab/>
      </w:r>
      <w:r>
        <w:tab/>
        <w:t>and</w:t>
      </w:r>
    </w:p>
    <w:p>
      <w:pPr>
        <w:pStyle w:val="Indenta"/>
      </w:pPr>
      <w:r>
        <w:tab/>
        <w:t>(d)</w:t>
      </w:r>
      <w:r>
        <w:tab/>
        <w:t>section 16 applies as if section 16(1) were deleted and the following subsection were inserted:</w:t>
      </w:r>
    </w:p>
    <w:p>
      <w:pPr>
        <w:pStyle w:val="BlankOpen"/>
        <w:rPr>
          <w:sz w:val="16"/>
        </w:rPr>
      </w:pPr>
    </w:p>
    <w:p>
      <w:pPr>
        <w:pStyle w:val="zSubsection"/>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his or her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related employment as part of a course conducted by an education provider so that the student is under an obligation to give the CEO and his or her education provider written notice of the things referred to in paragraphs (a) and (b) of that subsection.</w:t>
      </w:r>
    </w:p>
    <w:p>
      <w:pPr>
        <w:pStyle w:val="Footnotesection"/>
      </w:pPr>
      <w:r>
        <w:tab/>
        <w:t>[Section 9A inserted by No. 7 of 2010 s. 5.]</w:t>
      </w:r>
    </w:p>
    <w:p>
      <w:pPr>
        <w:pStyle w:val="Heading5"/>
      </w:pPr>
      <w:bookmarkStart w:id="15" w:name="_Toc525901058"/>
      <w:r>
        <w:rPr>
          <w:rStyle w:val="CharSectno"/>
        </w:rPr>
        <w:t>9B</w:t>
      </w:r>
      <w:r>
        <w:t>.</w:t>
      </w:r>
      <w:r>
        <w:tab/>
        <w:t>Education provider not to procure employment for certain students in child</w:t>
      </w:r>
      <w:r>
        <w:noBreakHyphen/>
        <w:t>related employment</w:t>
      </w:r>
      <w:bookmarkEnd w:id="15"/>
    </w:p>
    <w:p>
      <w:pPr>
        <w:pStyle w:val="Subsection"/>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pPr>
      <w:r>
        <w:tab/>
        <w:t>(b)</w:t>
      </w:r>
      <w:r>
        <w:tab/>
        <w:t>the student does not have a current assessment notice and has not made an application for an assessment notice that is pending.</w:t>
      </w:r>
    </w:p>
    <w:p>
      <w:pPr>
        <w:pStyle w:val="Penstart"/>
      </w:pPr>
      <w:r>
        <w:tab/>
        <w:t>Penalty: a fine of $60 000.</w:t>
      </w:r>
    </w:p>
    <w:p>
      <w:pPr>
        <w:pStyle w:val="Subsection"/>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a fine of $60 000.</w:t>
      </w:r>
    </w:p>
    <w:p>
      <w:pPr>
        <w:pStyle w:val="Subsection"/>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a fine of $12 000.</w:t>
      </w:r>
    </w:p>
    <w:p>
      <w:pPr>
        <w:pStyle w:val="Subsection"/>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a fine of $12 000.</w:t>
      </w:r>
    </w:p>
    <w:p>
      <w:pPr>
        <w:pStyle w:val="Subsection"/>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pPr>
      <w:r>
        <w:tab/>
        <w:t>(b)</w:t>
      </w:r>
      <w:r>
        <w:tab/>
        <w:t>the student does not have a current assessment notice and has not made an application for an assessment notice that is pending.</w:t>
      </w:r>
    </w:p>
    <w:p>
      <w:pPr>
        <w:pStyle w:val="Penstart"/>
      </w:pPr>
      <w:r>
        <w:tab/>
        <w:t>Penalty: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pPr>
      <w:r>
        <w:tab/>
        <w:t>(7)</w:t>
      </w:r>
      <w:r>
        <w:tab/>
        <w:t>A person charged with an offence under this section may be convicted of another offence under this section if that offence is established by the evidence.</w:t>
      </w:r>
    </w:p>
    <w:p>
      <w:pPr>
        <w:pStyle w:val="Footnotesection"/>
      </w:pPr>
      <w:r>
        <w:tab/>
        <w:t>[Section 9B inserted by No. 7 of 2010 s. 5.]</w:t>
      </w:r>
    </w:p>
    <w:p>
      <w:pPr>
        <w:pStyle w:val="Heading2"/>
      </w:pPr>
      <w:bookmarkStart w:id="16" w:name="_Toc525896746"/>
      <w:bookmarkStart w:id="17" w:name="_Toc525896898"/>
      <w:bookmarkStart w:id="18" w:name="_Toc525901059"/>
      <w:r>
        <w:rPr>
          <w:rStyle w:val="CharPartNo"/>
        </w:rPr>
        <w:t>Part 2</w:t>
      </w:r>
      <w:r>
        <w:t> — </w:t>
      </w:r>
      <w:r>
        <w:rPr>
          <w:rStyle w:val="CharPartText"/>
        </w:rPr>
        <w:t>Assessment notices and negative notices</w:t>
      </w:r>
      <w:bookmarkEnd w:id="16"/>
      <w:bookmarkEnd w:id="17"/>
      <w:bookmarkEnd w:id="18"/>
    </w:p>
    <w:p>
      <w:pPr>
        <w:pStyle w:val="Heading3"/>
      </w:pPr>
      <w:bookmarkStart w:id="19" w:name="_Toc525896747"/>
      <w:bookmarkStart w:id="20" w:name="_Toc525896899"/>
      <w:bookmarkStart w:id="21" w:name="_Toc525901060"/>
      <w:r>
        <w:rPr>
          <w:rStyle w:val="CharDivNo"/>
        </w:rPr>
        <w:t>Division 1</w:t>
      </w:r>
      <w:r>
        <w:t> — </w:t>
      </w:r>
      <w:r>
        <w:rPr>
          <w:rStyle w:val="CharDivText"/>
        </w:rPr>
        <w:t>Application for assessment notice</w:t>
      </w:r>
      <w:bookmarkEnd w:id="19"/>
      <w:bookmarkEnd w:id="20"/>
      <w:bookmarkEnd w:id="21"/>
    </w:p>
    <w:p>
      <w:pPr>
        <w:pStyle w:val="Heading5"/>
      </w:pPr>
      <w:bookmarkStart w:id="22" w:name="_Toc525901061"/>
      <w:r>
        <w:rPr>
          <w:rStyle w:val="CharSectno"/>
        </w:rPr>
        <w:t>9</w:t>
      </w:r>
      <w:r>
        <w:t>.</w:t>
      </w:r>
      <w:r>
        <w:tab/>
        <w:t>Assessment notice (child</w:t>
      </w:r>
      <w:r>
        <w:noBreakHyphen/>
        <w:t>related employment), application for</w:t>
      </w:r>
      <w:bookmarkEnd w:id="22"/>
    </w:p>
    <w:p>
      <w:pPr>
        <w:pStyle w:val="Subsection"/>
      </w:pPr>
      <w:r>
        <w:tab/>
        <w:t>(1)</w:t>
      </w:r>
      <w:r>
        <w:tab/>
        <w:t>A person who is, or is proposed to be, employed in child</w:t>
      </w:r>
      <w:r>
        <w:noBreakHyphen/>
        <w:t xml:space="preserve">related employment by another person (the </w:t>
      </w:r>
      <w:r>
        <w:rPr>
          <w:rStyle w:val="CharDefText"/>
        </w:rPr>
        <w:t>employer</w:t>
      </w:r>
      <w:r>
        <w:t>)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3" w:name="_Toc525901062"/>
      <w:r>
        <w:rPr>
          <w:rStyle w:val="CharSectno"/>
        </w:rPr>
        <w:t>10</w:t>
      </w:r>
      <w:r>
        <w:t>.</w:t>
      </w:r>
      <w:r>
        <w:tab/>
        <w:t>Assessment notice (child</w:t>
      </w:r>
      <w:r>
        <w:noBreakHyphen/>
        <w:t>related business), application for</w:t>
      </w:r>
      <w:bookmarkEnd w:id="23"/>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4" w:name="_Toc525901063"/>
      <w:r>
        <w:rPr>
          <w:rStyle w:val="CharSectno"/>
        </w:rPr>
        <w:t>11</w:t>
      </w:r>
      <w:r>
        <w:t>.</w:t>
      </w:r>
      <w:r>
        <w:tab/>
        <w:t>Withdrawal of application for assessment notice</w:t>
      </w:r>
      <w:bookmarkEnd w:id="24"/>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Subsection"/>
      </w:pPr>
      <w:r>
        <w:tab/>
        <w:t>(4)</w:t>
      </w:r>
      <w:r>
        <w:tab/>
        <w:t>This section does not apply to an application taken to be made under section 9 or 10 in accordance with section 17(3)(d)(i).</w:t>
      </w:r>
    </w:p>
    <w:p>
      <w:pPr>
        <w:pStyle w:val="Footnotesection"/>
      </w:pPr>
      <w:r>
        <w:tab/>
        <w:t>[Section 11 amended by No. 7 of 2010 s. 6.]</w:t>
      </w:r>
    </w:p>
    <w:p>
      <w:pPr>
        <w:pStyle w:val="Heading3"/>
      </w:pPr>
      <w:bookmarkStart w:id="25" w:name="_Toc525896751"/>
      <w:bookmarkStart w:id="26" w:name="_Toc525896903"/>
      <w:bookmarkStart w:id="27" w:name="_Toc525901064"/>
      <w:r>
        <w:rPr>
          <w:rStyle w:val="CharDivNo"/>
        </w:rPr>
        <w:t>Division 2</w:t>
      </w:r>
      <w:r>
        <w:t> — </w:t>
      </w:r>
      <w:r>
        <w:rPr>
          <w:rStyle w:val="CharDivText"/>
        </w:rPr>
        <w:t>Issue of assessment notices and negative notices</w:t>
      </w:r>
      <w:bookmarkEnd w:id="25"/>
      <w:bookmarkEnd w:id="26"/>
      <w:bookmarkEnd w:id="27"/>
    </w:p>
    <w:p>
      <w:pPr>
        <w:pStyle w:val="Heading5"/>
      </w:pPr>
      <w:bookmarkStart w:id="28" w:name="_Toc525901065"/>
      <w:r>
        <w:rPr>
          <w:rStyle w:val="CharSectno"/>
        </w:rPr>
        <w:t>12</w:t>
      </w:r>
      <w:r>
        <w:t>.</w:t>
      </w:r>
      <w:r>
        <w:tab/>
        <w:t>Deciding applications for assessment notice</w:t>
      </w:r>
      <w:bookmarkEnd w:id="28"/>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w:t>
            </w:r>
          </w:p>
        </w:tc>
        <w:tc>
          <w:tcPr>
            <w:tcW w:w="1383" w:type="dxa"/>
          </w:tcPr>
          <w:p>
            <w:pPr>
              <w:pStyle w:val="TableNAm"/>
            </w:pPr>
          </w:p>
          <w:p>
            <w:pPr>
              <w:pStyle w:val="TableNAm"/>
              <w:spacing w:before="200"/>
            </w:pPr>
            <w:r>
              <w:br/>
            </w:r>
            <w:r>
              <w:br/>
            </w:r>
            <w:r>
              <w:b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tcPr>
          <w:p>
            <w:pPr>
              <w:pStyle w:val="TableNAm"/>
            </w:pPr>
            <w:r>
              <w:br/>
            </w:r>
            <w:r>
              <w:br/>
              <w:t>s. 12(4)</w:t>
            </w:r>
          </w:p>
        </w:tc>
      </w:tr>
      <w:tr>
        <w:trPr>
          <w:cantSplit/>
        </w:trPr>
        <w:tc>
          <w:tcPr>
            <w:tcW w:w="709" w:type="dxa"/>
          </w:tcPr>
          <w:p>
            <w:pPr>
              <w:pStyle w:val="TableNAm"/>
            </w:pPr>
            <w:r>
              <w:t>3.</w:t>
            </w:r>
          </w:p>
        </w:tc>
        <w:tc>
          <w:tcPr>
            <w:tcW w:w="4536" w:type="dxa"/>
          </w:tcPr>
          <w:p>
            <w:pPr>
              <w:pStyle w:val="TableNAm"/>
            </w:pPr>
            <w:r>
              <w:t>The CEO is aware, not as a result of a notice under section 16(1) or 17(1), of a pending charge against the applicant in respect of a Class 3 offence.</w:t>
            </w:r>
          </w:p>
        </w:tc>
        <w:tc>
          <w:tcPr>
            <w:tcW w:w="1383" w:type="dxa"/>
          </w:tcPr>
          <w:p>
            <w:pPr>
              <w:pStyle w:val="TableNAm"/>
            </w:pPr>
            <w:r>
              <w:br/>
            </w:r>
            <w:r>
              <w:br/>
            </w:r>
            <w:r>
              <w:br/>
              <w:t>s. 12(4)</w:t>
            </w:r>
          </w:p>
        </w:tc>
      </w:tr>
      <w:tr>
        <w:trPr>
          <w:cantSplit/>
        </w:trPr>
        <w:tc>
          <w:tcPr>
            <w:tcW w:w="709" w:type="dxa"/>
          </w:tcPr>
          <w:p>
            <w:pPr>
              <w:pStyle w:val="TableNAm"/>
            </w:pPr>
            <w:r>
              <w:t>4.</w:t>
            </w:r>
          </w:p>
        </w:tc>
        <w:tc>
          <w:tcPr>
            <w:tcW w:w="4536" w:type="dxa"/>
          </w:tcPr>
          <w:p>
            <w:pPr>
              <w:pStyle w:val="TableNAm"/>
            </w:pPr>
            <w:r>
              <w:t>The CEO is aware, as a result of a notice under section 16(1) or 17(1), of a pending charge against the applicant in respect of a Class 3 offence.</w:t>
            </w:r>
          </w:p>
        </w:tc>
        <w:tc>
          <w:tcPr>
            <w:tcW w:w="1383" w:type="dxa"/>
          </w:tcPr>
          <w:p>
            <w:pPr>
              <w:pStyle w:val="TableNAm"/>
            </w:pPr>
            <w:r>
              <w:br/>
            </w:r>
            <w:r>
              <w:br/>
            </w:r>
            <w:r>
              <w:b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tcPr>
          <w:p>
            <w:pPr>
              <w:pStyle w:val="TableNAm"/>
            </w:pPr>
            <w:r>
              <w:br/>
            </w:r>
            <w:r>
              <w:br/>
              <w:t>s. 12(5)</w:t>
            </w:r>
          </w:p>
        </w:tc>
      </w:tr>
      <w:tr>
        <w:trPr>
          <w:cantSplit/>
        </w:trPr>
        <w:tc>
          <w:tcPr>
            <w:tcW w:w="709" w:type="dxa"/>
          </w:tcPr>
          <w:p>
            <w:pPr>
              <w:pStyle w:val="TableNAm"/>
            </w:pPr>
            <w:r>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1 offence or a Class 2 offence.</w:t>
            </w:r>
          </w:p>
        </w:tc>
        <w:tc>
          <w:tcPr>
            <w:tcW w:w="1383" w:type="dxa"/>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tcPr>
          <w:p>
            <w:pPr>
              <w:pStyle w:val="TableNAm"/>
            </w:pPr>
            <w:r>
              <w:b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tcPr>
          <w:p>
            <w:pPr>
              <w:pStyle w:val="TableNAm"/>
            </w:pPr>
            <w:r>
              <w:br/>
            </w:r>
            <w:r>
              <w:br/>
              <w:t>s. 12(6)</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w:t>
            </w:r>
          </w:p>
        </w:tc>
        <w:tc>
          <w:tcPr>
            <w:tcW w:w="1383" w:type="dxa"/>
          </w:tcPr>
          <w:p>
            <w:pPr>
              <w:pStyle w:val="TableNAm"/>
            </w:pP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pPr>
      <w:r>
        <w:tab/>
        <w:t>(8)</w:t>
      </w:r>
      <w:r>
        <w:tab/>
        <w:t xml:space="preserve">If subsection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w:t>
      </w:r>
    </w:p>
    <w:p>
      <w:pPr>
        <w:pStyle w:val="Indenta"/>
      </w:pPr>
      <w:r>
        <w:tab/>
        <w:t>(f)</w:t>
      </w:r>
      <w:r>
        <w:tab/>
        <w:t>any information given by the applicant in, or in relation to, the application;</w:t>
      </w:r>
    </w:p>
    <w:p>
      <w:pPr>
        <w:pStyle w:val="Indenta"/>
      </w:pPr>
      <w:r>
        <w:tab/>
        <w:t>(g)</w:t>
      </w:r>
      <w:r>
        <w:tab/>
        <w:t>anything else that the CEO reasonably considers relevant to the decision.</w:t>
      </w:r>
    </w:p>
    <w:p>
      <w:pPr>
        <w:pStyle w:val="Footnotesection"/>
      </w:pPr>
      <w:r>
        <w:tab/>
        <w:t>[Section 12 inserted by No. 7 of 2010 s. 7.]</w:t>
      </w:r>
    </w:p>
    <w:p>
      <w:pPr>
        <w:pStyle w:val="Heading5"/>
      </w:pPr>
      <w:bookmarkStart w:id="29" w:name="_Toc525901066"/>
      <w:r>
        <w:rPr>
          <w:rStyle w:val="CharSectno"/>
        </w:rPr>
        <w:t>13A</w:t>
      </w:r>
      <w:r>
        <w:t>.</w:t>
      </w:r>
      <w:r>
        <w:tab/>
        <w:t>Issue of assessment notices and negative notices</w:t>
      </w:r>
      <w:bookmarkEnd w:id="29"/>
    </w:p>
    <w:p>
      <w:pPr>
        <w:pStyle w:val="Subsection"/>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Lines/>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pPr>
      <w:r>
        <w:tab/>
        <w:t>(c)</w:t>
      </w:r>
      <w:r>
        <w:tab/>
        <w:t>explains how the application for the review is made.</w:t>
      </w:r>
    </w:p>
    <w:p>
      <w:pPr>
        <w:pStyle w:val="Footnotesection"/>
      </w:pPr>
      <w:r>
        <w:tab/>
        <w:t>[Section 13A inserted by No. 7 of 2010 s. 7.]</w:t>
      </w:r>
    </w:p>
    <w:p>
      <w:pPr>
        <w:pStyle w:val="Heading5"/>
      </w:pPr>
      <w:bookmarkStart w:id="30" w:name="_Toc525901067"/>
      <w:r>
        <w:rPr>
          <w:rStyle w:val="CharSectno"/>
        </w:rPr>
        <w:t>13</w:t>
      </w:r>
      <w:r>
        <w:t>.</w:t>
      </w:r>
      <w:r>
        <w:tab/>
        <w:t>Intended issue of negative notice, CEO to notify applicant of etc.; interim negative notices, issue of</w:t>
      </w:r>
      <w:bookmarkEnd w:id="30"/>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 and</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keepLines/>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keepNext/>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Footnotesection"/>
      </w:pPr>
      <w:r>
        <w:tab/>
        <w:t>[Section 13 amended by No. 7 of 2010 s. 8.]</w:t>
      </w:r>
    </w:p>
    <w:p>
      <w:pPr>
        <w:pStyle w:val="Heading5"/>
      </w:pPr>
      <w:bookmarkStart w:id="31" w:name="_Toc525901068"/>
      <w:r>
        <w:rPr>
          <w:rStyle w:val="CharSectno"/>
        </w:rPr>
        <w:t>14</w:t>
      </w:r>
      <w:r>
        <w:t>.</w:t>
      </w:r>
      <w:r>
        <w:tab/>
        <w:t>Duration of assessment notices and negative notices</w:t>
      </w:r>
      <w:bookmarkEnd w:id="31"/>
    </w:p>
    <w:p>
      <w:pPr>
        <w:pStyle w:val="Subsection"/>
      </w:pPr>
      <w:r>
        <w:tab/>
        <w:t>(1)</w:t>
      </w:r>
      <w:r>
        <w:tab/>
        <w:t>An assessment notice has effect for 3 years unless sooner cancelled under this Act.</w:t>
      </w:r>
    </w:p>
    <w:p>
      <w:pPr>
        <w:pStyle w:val="Subsection"/>
        <w:keepNext/>
      </w:pPr>
      <w:r>
        <w:tab/>
        <w:t>(2)</w:t>
      </w:r>
      <w:r>
        <w:tab/>
        <w:t>A negative notice continues to have effect unless it is cancelled under this Act.</w:t>
      </w:r>
    </w:p>
    <w:p>
      <w:pPr>
        <w:pStyle w:val="Heading5"/>
      </w:pPr>
      <w:bookmarkStart w:id="32" w:name="_Toc525901069"/>
      <w:r>
        <w:rPr>
          <w:rStyle w:val="CharSectno"/>
        </w:rPr>
        <w:t>15</w:t>
      </w:r>
      <w:r>
        <w:t>.</w:t>
      </w:r>
      <w:r>
        <w:tab/>
        <w:t>Further assessment notice may be obtained</w:t>
      </w:r>
      <w:bookmarkEnd w:id="32"/>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33" w:name="_Toc525896757"/>
      <w:bookmarkStart w:id="34" w:name="_Toc525896909"/>
      <w:bookmarkStart w:id="35" w:name="_Toc525901070"/>
      <w:r>
        <w:rPr>
          <w:rStyle w:val="CharDivNo"/>
        </w:rPr>
        <w:t>Division 3</w:t>
      </w:r>
      <w:r>
        <w:t> — </w:t>
      </w:r>
      <w:r>
        <w:rPr>
          <w:rStyle w:val="CharDivText"/>
        </w:rPr>
        <w:t>CEO may require assessment notice to be applied for</w:t>
      </w:r>
      <w:bookmarkEnd w:id="33"/>
      <w:bookmarkEnd w:id="34"/>
      <w:bookmarkEnd w:id="35"/>
    </w:p>
    <w:p>
      <w:pPr>
        <w:pStyle w:val="Heading5"/>
      </w:pPr>
      <w:bookmarkStart w:id="36" w:name="_Toc525901071"/>
      <w:r>
        <w:rPr>
          <w:rStyle w:val="CharSectno"/>
        </w:rPr>
        <w:t>16</w:t>
      </w:r>
      <w:r>
        <w:t>.</w:t>
      </w:r>
      <w:r>
        <w:tab/>
        <w:t>CEO may require certain employees to apply for assessment notice</w:t>
      </w:r>
      <w:bookmarkEnd w:id="36"/>
    </w:p>
    <w:p>
      <w:pPr>
        <w:pStyle w:val="Subsection"/>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37" w:name="_Toc525901072"/>
      <w:r>
        <w:rPr>
          <w:rStyle w:val="CharSectno"/>
        </w:rPr>
        <w:t>17</w:t>
      </w:r>
      <w:r>
        <w:t>.</w:t>
      </w:r>
      <w:r>
        <w:tab/>
        <w:t>CEO may require certain people to apply for assessment notice</w:t>
      </w:r>
      <w:bookmarkEnd w:id="37"/>
    </w:p>
    <w:p>
      <w:pPr>
        <w:pStyle w:val="Subsection"/>
      </w:pPr>
      <w:r>
        <w:tab/>
        <w:t>(1)</w:t>
      </w:r>
      <w:r>
        <w:tab/>
        <w:t xml:space="preserve">If the Commissioner reasonably believes that a person charged with or convicted of an offence — </w:t>
      </w:r>
    </w:p>
    <w:p>
      <w:pPr>
        <w:pStyle w:val="Indenta"/>
      </w:pPr>
      <w:r>
        <w:tab/>
        <w:t>(a)</w:t>
      </w:r>
      <w:r>
        <w:tab/>
        <w:t>is a person in respect of whom the CEO may ask for information under section 34; or</w:t>
      </w:r>
    </w:p>
    <w:p>
      <w:pPr>
        <w:pStyle w:val="Indenta"/>
      </w:pPr>
      <w:r>
        <w:tab/>
        <w:t>(b)</w:t>
      </w:r>
      <w:r>
        <w:tab/>
        <w:t>carries out child</w:t>
      </w:r>
      <w:r>
        <w:noBreakHyphen/>
        <w:t>related work,</w:t>
      </w:r>
    </w:p>
    <w:p>
      <w:pPr>
        <w:pStyle w:val="Subsection"/>
      </w:pPr>
      <w:r>
        <w:tab/>
      </w:r>
      <w:r>
        <w:tab/>
        <w:t>and the Commissioner reasonably believes that the charge or conviction makes it inappropriate for the person to continue to carry out child</w:t>
      </w:r>
      <w:r>
        <w:noBreakHyphen/>
        <w:t xml:space="preserve">related work or have an assessment notice, the Commissioner may give the CEO notice of — </w:t>
      </w:r>
    </w:p>
    <w:p>
      <w:pPr>
        <w:pStyle w:val="Indenta"/>
      </w:pPr>
      <w:r>
        <w:tab/>
        <w:t>(c)</w:t>
      </w:r>
      <w:r>
        <w:tab/>
        <w:t>the person’s name and address; and</w:t>
      </w:r>
    </w:p>
    <w:p>
      <w:pPr>
        <w:pStyle w:val="Indenta"/>
      </w:pPr>
      <w:r>
        <w:tab/>
        <w:t>(d)</w:t>
      </w:r>
      <w:r>
        <w:tab/>
        <w:t>the person’s date of birth; and</w:t>
      </w:r>
    </w:p>
    <w:p>
      <w:pPr>
        <w:pStyle w:val="Indenta"/>
      </w:pPr>
      <w:r>
        <w:tab/>
        <w:t>(e)</w:t>
      </w:r>
      <w:r>
        <w:tab/>
        <w:t>the offence with which the person has been charged or of which the person has been convicted; and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keepLines/>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or has a current assessment notice; and</w:t>
      </w:r>
    </w:p>
    <w:p>
      <w:pPr>
        <w:pStyle w:val="Indenta"/>
      </w:pPr>
      <w:r>
        <w:tab/>
        <w:t>(b)</w:t>
      </w:r>
      <w:r>
        <w:tab/>
        <w:t>has been charged with or convicted of an offence, being a charge or conviction of which the CEO was not previously aware and the charge or conviction makes it inappropriate for the person to continue to carry out child</w:t>
      </w:r>
      <w:r>
        <w:noBreakHyphen/>
        <w:t>related work or have an assessment notice,</w:t>
      </w:r>
    </w:p>
    <w:p>
      <w:pPr>
        <w:pStyle w:val="Subsection"/>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pPr>
      <w:r>
        <w:tab/>
        <w:t>(4)</w:t>
      </w:r>
      <w:r>
        <w:tab/>
        <w:t>A person must comply with a notice given to the person under subsection (3)(c) within the period referred to in that paragraph.</w:t>
      </w:r>
    </w:p>
    <w:p>
      <w:pPr>
        <w:pStyle w:val="Penstart"/>
      </w:pPr>
      <w:r>
        <w:tab/>
        <w:t>Penalty: a fine of $1 000.</w:t>
      </w:r>
    </w:p>
    <w:p>
      <w:pPr>
        <w:pStyle w:val="Subsection"/>
      </w:pPr>
      <w:r>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by No. 7 of 2010 s. 9.]</w:t>
      </w:r>
    </w:p>
    <w:p>
      <w:pPr>
        <w:pStyle w:val="Heading5"/>
      </w:pPr>
      <w:bookmarkStart w:id="38" w:name="_Toc525901073"/>
      <w:r>
        <w:rPr>
          <w:rStyle w:val="CharSectno"/>
        </w:rPr>
        <w:t>18</w:t>
      </w:r>
      <w:r>
        <w:t>.</w:t>
      </w:r>
      <w:r>
        <w:tab/>
        <w:t>CEO may issue negative notice if notice issued under s. 16 or 17 not obeyed</w:t>
      </w:r>
      <w:bookmarkEnd w:id="38"/>
    </w:p>
    <w:p>
      <w:pPr>
        <w:pStyle w:val="Subsection"/>
      </w:pPr>
      <w:r>
        <w:tab/>
        <w:t>(1)</w:t>
      </w:r>
      <w:r>
        <w:tab/>
        <w:t>If a person does not comply with a notice given to the person under section 16(3) or 17(3)(c)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pPr>
      <w:r>
        <w:tab/>
      </w:r>
      <w:r>
        <w:tab/>
        <w:t>the CEO is to give the employer written notice of having issued a negative notice to the person.</w:t>
      </w:r>
    </w:p>
    <w:p>
      <w:pPr>
        <w:pStyle w:val="Footnotesection"/>
      </w:pPr>
      <w:r>
        <w:tab/>
        <w:t>[Section 18 amended by No. 7 of 2010 s. 10.]</w:t>
      </w:r>
    </w:p>
    <w:p>
      <w:pPr>
        <w:pStyle w:val="Heading3"/>
      </w:pPr>
      <w:bookmarkStart w:id="39" w:name="_Toc525896761"/>
      <w:bookmarkStart w:id="40" w:name="_Toc525896913"/>
      <w:bookmarkStart w:id="41" w:name="_Toc525901074"/>
      <w:r>
        <w:rPr>
          <w:rStyle w:val="CharDivNo"/>
        </w:rPr>
        <w:t>Division 4</w:t>
      </w:r>
      <w:r>
        <w:t> — </w:t>
      </w:r>
      <w:r>
        <w:rPr>
          <w:rStyle w:val="CharDivText"/>
        </w:rPr>
        <w:t>Cancellation of assessment notices and negative notices</w:t>
      </w:r>
      <w:bookmarkEnd w:id="39"/>
      <w:bookmarkEnd w:id="40"/>
      <w:bookmarkEnd w:id="41"/>
    </w:p>
    <w:p>
      <w:pPr>
        <w:pStyle w:val="Heading5"/>
      </w:pPr>
      <w:bookmarkStart w:id="42" w:name="_Toc525901075"/>
      <w:r>
        <w:rPr>
          <w:rStyle w:val="CharSectno"/>
        </w:rPr>
        <w:t>19</w:t>
      </w:r>
      <w:r>
        <w:t>.</w:t>
      </w:r>
      <w:r>
        <w:tab/>
        <w:t>Negative notice, application for cancellation of</w:t>
      </w:r>
      <w:bookmarkEnd w:id="42"/>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 or</w:t>
      </w:r>
    </w:p>
    <w:p>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w:t>
      </w:r>
    </w:p>
    <w:p>
      <w:pPr>
        <w:pStyle w:val="Subsection"/>
      </w:pPr>
      <w:r>
        <w:tab/>
        <w:t>(4)</w:t>
      </w:r>
      <w:r>
        <w:tab/>
        <w:t>Subsection (2)(a) does not apply if the negative notice was issued under section 18.</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 and</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Footnotesection"/>
      </w:pPr>
      <w:r>
        <w:tab/>
        <w:t>[Section 19 amended by No. 7 of 2010 s. 11.]</w:t>
      </w:r>
    </w:p>
    <w:p>
      <w:pPr>
        <w:pStyle w:val="Heading5"/>
      </w:pPr>
      <w:bookmarkStart w:id="43" w:name="_Toc525901076"/>
      <w:r>
        <w:rPr>
          <w:rStyle w:val="CharSectno"/>
        </w:rPr>
        <w:t>20</w:t>
      </w:r>
      <w:r>
        <w:t>.</w:t>
      </w:r>
      <w:r>
        <w:tab/>
        <w:t>Assessment notice or negative notice, CEO may cancel if issued on wrong etc. information</w:t>
      </w:r>
      <w:bookmarkEnd w:id="43"/>
    </w:p>
    <w:p>
      <w:pPr>
        <w:pStyle w:val="Subsection"/>
      </w:pPr>
      <w:r>
        <w:tab/>
        <w:t>(1)</w:t>
      </w:r>
      <w:r>
        <w:tab/>
        <w:t xml:space="preserve">In this section — </w:t>
      </w:r>
    </w:p>
    <w:p>
      <w:pPr>
        <w:pStyle w:val="Defstar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44" w:name="_Toc525901077"/>
      <w:r>
        <w:rPr>
          <w:rStyle w:val="CharSectno"/>
        </w:rPr>
        <w:t>21A</w:t>
      </w:r>
      <w:r>
        <w:t>.</w:t>
      </w:r>
      <w:r>
        <w:tab/>
        <w:t>Assessment notices of certain people not involved in child</w:t>
      </w:r>
      <w:r>
        <w:noBreakHyphen/>
        <w:t>related work, cancellation of</w:t>
      </w:r>
      <w:bookmarkEnd w:id="44"/>
    </w:p>
    <w:p>
      <w:pPr>
        <w:pStyle w:val="Subsection"/>
      </w:pPr>
      <w:r>
        <w:tab/>
        <w:t>(1)</w:t>
      </w:r>
      <w:r>
        <w:tab/>
        <w:t>If a person in respect of whom the CEO has received a notice under section 17(1)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pPr>
      <w:r>
        <w:tab/>
        <w:t>(2)</w:t>
      </w:r>
      <w:r>
        <w:tab/>
        <w:t xml:space="preserve">If a person in respect of whom the CEO is required to make a decision in accordance with section 17(3)(d)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pPr>
      <w:r>
        <w:tab/>
        <w:t>(3)</w:t>
      </w:r>
      <w:r>
        <w:tab/>
        <w:t>If the CEO cancels the person’s assessment notice, the CEO is to give the person written notice of the cancellation.</w:t>
      </w:r>
    </w:p>
    <w:p>
      <w:pPr>
        <w:pStyle w:val="Footnotesection"/>
      </w:pPr>
      <w:r>
        <w:tab/>
        <w:t>[Section 21A inserted by No. 7 of 2010 s. 12.]</w:t>
      </w:r>
    </w:p>
    <w:p>
      <w:pPr>
        <w:pStyle w:val="Heading5"/>
      </w:pPr>
      <w:bookmarkStart w:id="45" w:name="_Toc525901078"/>
      <w:r>
        <w:rPr>
          <w:rStyle w:val="CharSectno"/>
        </w:rPr>
        <w:t>21B</w:t>
      </w:r>
      <w:r>
        <w:t>.</w:t>
      </w:r>
      <w:r>
        <w:tab/>
        <w:t>Assessment notice, cancellation of on person’s request</w:t>
      </w:r>
      <w:bookmarkEnd w:id="45"/>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pPr>
      <w:r>
        <w:tab/>
        <w:t>(2)</w:t>
      </w:r>
      <w:r>
        <w:tab/>
        <w:t>If the CEO cancels the person’s assessment notice, the CEO is to give the person written notice of the cancellation.</w:t>
      </w:r>
    </w:p>
    <w:p>
      <w:pPr>
        <w:pStyle w:val="Footnotesection"/>
      </w:pPr>
      <w:r>
        <w:tab/>
        <w:t>[Section 21B inserted by No. 7 of 2010 s. 12.]</w:t>
      </w:r>
    </w:p>
    <w:p>
      <w:pPr>
        <w:pStyle w:val="Heading5"/>
      </w:pPr>
      <w:bookmarkStart w:id="46" w:name="_Toc525901079"/>
      <w:r>
        <w:rPr>
          <w:rStyle w:val="CharSectno"/>
        </w:rPr>
        <w:t>21C</w:t>
      </w:r>
      <w:r>
        <w:t>.</w:t>
      </w:r>
      <w:r>
        <w:tab/>
        <w:t>Assessment notices of certain people to whom s. 32 applies, cancellation of</w:t>
      </w:r>
      <w:bookmarkEnd w:id="46"/>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he or she has ceased to be employed in child</w:t>
      </w:r>
      <w:r>
        <w:noBreakHyphen/>
        <w:t>related work or to carry on a child</w:t>
      </w:r>
      <w:r>
        <w:noBreakHyphen/>
        <w:t>related business; and</w:t>
      </w:r>
    </w:p>
    <w:p>
      <w:pPr>
        <w:pStyle w:val="Indenta"/>
      </w:pPr>
      <w:r>
        <w:tab/>
        <w:t>(c)</w:t>
      </w:r>
      <w:r>
        <w:tab/>
        <w:t>the person has a current assessment notice; and</w:t>
      </w:r>
    </w:p>
    <w:p>
      <w:pPr>
        <w:pStyle w:val="Indenta"/>
      </w:pPr>
      <w:r>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pPr>
      <w:r>
        <w:tab/>
        <w:t>(2)</w:t>
      </w:r>
      <w:r>
        <w:tab/>
        <w:t>If the CEO cancels the person’s assessment notice, the CEO is to give the person written notice of the cancellation.</w:t>
      </w:r>
    </w:p>
    <w:p>
      <w:pPr>
        <w:pStyle w:val="Footnotesection"/>
      </w:pPr>
      <w:r>
        <w:tab/>
        <w:t>[Section 21C inserted by No. 7 of 2010 s. 12.]</w:t>
      </w:r>
    </w:p>
    <w:p>
      <w:pPr>
        <w:pStyle w:val="Heading5"/>
        <w:spacing w:before="180"/>
      </w:pPr>
      <w:bookmarkStart w:id="47" w:name="_Toc525901080"/>
      <w:r>
        <w:rPr>
          <w:rStyle w:val="CharSectno"/>
        </w:rPr>
        <w:t>21</w:t>
      </w:r>
      <w:r>
        <w:t>.</w:t>
      </w:r>
      <w:r>
        <w:tab/>
        <w:t>Issue of notice cancels any previous notice</w:t>
      </w:r>
      <w:bookmarkEnd w:id="47"/>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48" w:name="_Toc525896768"/>
      <w:bookmarkStart w:id="49" w:name="_Toc525896920"/>
      <w:bookmarkStart w:id="50" w:name="_Toc525901081"/>
      <w:r>
        <w:rPr>
          <w:rStyle w:val="CharDivNo"/>
        </w:rPr>
        <w:t>Division 5</w:t>
      </w:r>
      <w:r>
        <w:t> — </w:t>
      </w:r>
      <w:r>
        <w:rPr>
          <w:rStyle w:val="CharDivText"/>
        </w:rPr>
        <w:t>Prohibitions relating to child</w:t>
      </w:r>
      <w:r>
        <w:rPr>
          <w:rStyle w:val="CharDivText"/>
        </w:rPr>
        <w:noBreakHyphen/>
        <w:t>related work</w:t>
      </w:r>
      <w:bookmarkEnd w:id="48"/>
      <w:bookmarkEnd w:id="49"/>
      <w:bookmarkEnd w:id="50"/>
    </w:p>
    <w:p>
      <w:pPr>
        <w:pStyle w:val="Heading5"/>
      </w:pPr>
      <w:bookmarkStart w:id="51" w:name="_Toc525901082"/>
      <w:r>
        <w:rPr>
          <w:rStyle w:val="CharSectno"/>
        </w:rPr>
        <w:t>22</w:t>
      </w:r>
      <w:r>
        <w:t>.</w:t>
      </w:r>
      <w:r>
        <w:tab/>
        <w:t>Employers not to employ certain people in child</w:t>
      </w:r>
      <w:r>
        <w:noBreakHyphen/>
        <w:t>related employment</w:t>
      </w:r>
      <w:bookmarkEnd w:id="51"/>
    </w:p>
    <w:p>
      <w:pPr>
        <w:pStyle w:val="Subsection"/>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Heading5"/>
      </w:pPr>
      <w:bookmarkStart w:id="52" w:name="_Toc525901083"/>
      <w:r>
        <w:rPr>
          <w:rStyle w:val="CharSectno"/>
        </w:rPr>
        <w:t>23</w:t>
      </w:r>
      <w:r>
        <w:t>.</w:t>
      </w:r>
      <w:r>
        <w:tab/>
        <w:t>People with negative notice or interim negative notice not to carry out child</w:t>
      </w:r>
      <w:r>
        <w:noBreakHyphen/>
        <w:t>related work</w:t>
      </w:r>
      <w:bookmarkEnd w:id="52"/>
    </w:p>
    <w:p>
      <w:pPr>
        <w:pStyle w:val="Subsection"/>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53" w:name="_Toc525901084"/>
      <w:r>
        <w:rPr>
          <w:rStyle w:val="CharSectno"/>
        </w:rPr>
        <w:t>24</w:t>
      </w:r>
      <w:r>
        <w:t>.</w:t>
      </w:r>
      <w:r>
        <w:tab/>
        <w:t>People without current assessment notice not to carry out child</w:t>
      </w:r>
      <w:r>
        <w:noBreakHyphen/>
        <w:t>related work</w:t>
      </w:r>
      <w:bookmarkEnd w:id="53"/>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54" w:name="_Toc525901085"/>
      <w:r>
        <w:rPr>
          <w:rStyle w:val="CharSectno"/>
        </w:rPr>
        <w:t>25</w:t>
      </w:r>
      <w:r>
        <w:t>.</w:t>
      </w:r>
      <w:r>
        <w:tab/>
        <w:t>Defences for s. 24</w:t>
      </w:r>
      <w:bookmarkEnd w:id="54"/>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 or</w:t>
      </w:r>
    </w:p>
    <w:p>
      <w:pPr>
        <w:pStyle w:val="Indenta"/>
      </w:pPr>
      <w:r>
        <w:tab/>
        <w:t>(c)</w:t>
      </w:r>
      <w:r>
        <w:tab/>
        <w:t>whose assessment notice has been cancelled under section 21A(1) or (2) or 21C(1).</w:t>
      </w:r>
    </w:p>
    <w:p>
      <w:pPr>
        <w:pStyle w:val="Subsection"/>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pPr>
      <w:r>
        <w:tab/>
        <w:t>(6)</w:t>
      </w:r>
      <w:r>
        <w:tab/>
        <w:t>Subsection (3) does not apply to a person —</w:t>
      </w:r>
    </w:p>
    <w:p>
      <w:pPr>
        <w:pStyle w:val="Indenta"/>
      </w:pPr>
      <w:r>
        <w:tab/>
        <w:t>(a)</w:t>
      </w:r>
      <w:r>
        <w:tab/>
        <w:t>who has applied for an assessment notice having been required to do so under section 16(3) or 17(3)(c); or</w:t>
      </w:r>
    </w:p>
    <w:p>
      <w:pPr>
        <w:pStyle w:val="Indenta"/>
      </w:pPr>
      <w:r>
        <w:tab/>
        <w:t>(b)</w:t>
      </w:r>
      <w:r>
        <w:tab/>
        <w:t>who has given the CEO a notice that is to be treated under section 32(1) as an application by the person for an assessment notice; or</w:t>
      </w:r>
    </w:p>
    <w:p>
      <w:pPr>
        <w:pStyle w:val="Indenta"/>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pPr>
      <w:r>
        <w:tab/>
        <w:t>(7)</w:t>
      </w:r>
      <w:r>
        <w:tab/>
        <w:t>Subsection (3) does not apply to a person referred to in section 17(3)(d).</w:t>
      </w:r>
    </w:p>
    <w:p>
      <w:pPr>
        <w:pStyle w:val="Footnotesection"/>
      </w:pPr>
      <w:r>
        <w:tab/>
        <w:t>[Section 25 amended by No. 7 of 2010 s. 13.]</w:t>
      </w:r>
    </w:p>
    <w:p>
      <w:pPr>
        <w:pStyle w:val="Heading3"/>
      </w:pPr>
      <w:bookmarkStart w:id="55" w:name="_Toc525896773"/>
      <w:bookmarkStart w:id="56" w:name="_Toc525896925"/>
      <w:bookmarkStart w:id="57" w:name="_Toc525901086"/>
      <w:r>
        <w:rPr>
          <w:rStyle w:val="CharDivNo"/>
        </w:rPr>
        <w:t>Division 6</w:t>
      </w:r>
      <w:r>
        <w:t> — </w:t>
      </w:r>
      <w:r>
        <w:rPr>
          <w:rStyle w:val="CharDivText"/>
        </w:rPr>
        <w:t>Review by State Administrative Tribunal</w:t>
      </w:r>
      <w:bookmarkEnd w:id="55"/>
      <w:bookmarkEnd w:id="56"/>
      <w:bookmarkEnd w:id="57"/>
    </w:p>
    <w:p>
      <w:pPr>
        <w:pStyle w:val="Heading5"/>
      </w:pPr>
      <w:bookmarkStart w:id="58" w:name="_Toc525901087"/>
      <w:r>
        <w:rPr>
          <w:rStyle w:val="CharSectno"/>
        </w:rPr>
        <w:t>26</w:t>
      </w:r>
      <w:r>
        <w:t>.</w:t>
      </w:r>
      <w:r>
        <w:tab/>
        <w:t>Reviewable decisions</w:t>
      </w:r>
      <w:bookmarkEnd w:id="58"/>
    </w:p>
    <w:p>
      <w:pPr>
        <w:pStyle w:val="Subsection"/>
      </w:pPr>
      <w:r>
        <w:tab/>
        <w:t>(1)</w:t>
      </w:r>
      <w:r>
        <w:tab/>
        <w:t xml:space="preserve">In this section — </w:t>
      </w:r>
    </w:p>
    <w:p>
      <w:pPr>
        <w:pStyle w:val="Defstar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13(1)(a)(iii) after having been invited to do so by the CEO, the person cannot make an application under subsection (2)(a) without the leave of the Tribunal.</w:t>
      </w:r>
    </w:p>
    <w:p>
      <w:pPr>
        <w:pStyle w:val="Subsection"/>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tab/>
        <w:t>(b)</w:t>
      </w:r>
      <w:r>
        <w:tab/>
        <w:t>has subsequently made a submission to the CEO under section 13(1)(a)(ii) having been invited to do so by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Footnotesection"/>
      </w:pPr>
      <w:r>
        <w:tab/>
        <w:t>[Section 26 amended by No. 7 of 2010 s. 14.]</w:t>
      </w:r>
    </w:p>
    <w:p>
      <w:pPr>
        <w:pStyle w:val="Heading2"/>
      </w:pPr>
      <w:bookmarkStart w:id="59" w:name="_Toc525896775"/>
      <w:bookmarkStart w:id="60" w:name="_Toc525896927"/>
      <w:bookmarkStart w:id="61" w:name="_Toc525901088"/>
      <w:r>
        <w:rPr>
          <w:rStyle w:val="CharPartNo"/>
        </w:rPr>
        <w:t>Part 3</w:t>
      </w:r>
      <w:r>
        <w:t> — </w:t>
      </w:r>
      <w:r>
        <w:rPr>
          <w:rStyle w:val="CharPartText"/>
        </w:rPr>
        <w:t>Changes in criminal record and criminal record checks</w:t>
      </w:r>
      <w:bookmarkEnd w:id="59"/>
      <w:bookmarkEnd w:id="60"/>
      <w:bookmarkEnd w:id="61"/>
    </w:p>
    <w:p>
      <w:pPr>
        <w:pStyle w:val="Heading3"/>
      </w:pPr>
      <w:bookmarkStart w:id="62" w:name="_Toc525896776"/>
      <w:bookmarkStart w:id="63" w:name="_Toc525896928"/>
      <w:bookmarkStart w:id="64" w:name="_Toc525901089"/>
      <w:r>
        <w:rPr>
          <w:rStyle w:val="CharDivNo"/>
        </w:rPr>
        <w:t>Division 1</w:t>
      </w:r>
      <w:r>
        <w:t> — </w:t>
      </w:r>
      <w:r>
        <w:rPr>
          <w:rStyle w:val="CharDivText"/>
        </w:rPr>
        <w:t>Relevant changes in criminal record</w:t>
      </w:r>
      <w:bookmarkEnd w:id="62"/>
      <w:bookmarkEnd w:id="63"/>
      <w:bookmarkEnd w:id="64"/>
    </w:p>
    <w:p>
      <w:pPr>
        <w:pStyle w:val="Heading5"/>
        <w:spacing w:before="180"/>
      </w:pPr>
      <w:bookmarkStart w:id="65" w:name="_Toc525901090"/>
      <w:r>
        <w:rPr>
          <w:rStyle w:val="CharSectno"/>
        </w:rPr>
        <w:t>27</w:t>
      </w:r>
      <w:r>
        <w:t>.</w:t>
      </w:r>
      <w:r>
        <w:tab/>
        <w:t>Meaning of relevant change in criminal record and requirement to give notice of that change</w:t>
      </w:r>
      <w:bookmarkEnd w:id="65"/>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66" w:name="_Toc525901091"/>
      <w:r>
        <w:rPr>
          <w:rStyle w:val="CharSectno"/>
        </w:rPr>
        <w:t>28</w:t>
      </w:r>
      <w:r>
        <w:t>.</w:t>
      </w:r>
      <w:r>
        <w:tab/>
        <w:t>Pending applications, applicant to notify CEO of relevant change in criminal history</w:t>
      </w:r>
      <w:bookmarkEnd w:id="66"/>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keepNext w:val="0"/>
        <w:keepLines w:val="0"/>
        <w:spacing w:before="180"/>
      </w:pPr>
      <w:bookmarkStart w:id="67" w:name="_Toc525901092"/>
      <w:r>
        <w:rPr>
          <w:rStyle w:val="CharSectno"/>
        </w:rPr>
        <w:t>29</w:t>
      </w:r>
      <w:r>
        <w:t>.</w:t>
      </w:r>
      <w:r>
        <w:tab/>
        <w:t>People employed in child</w:t>
      </w:r>
      <w:r>
        <w:noBreakHyphen/>
        <w:t>related employment to notify CEO of relevant change in criminal record</w:t>
      </w:r>
      <w:bookmarkEnd w:id="67"/>
      <w:r>
        <w:t xml:space="preserve"> </w:t>
      </w:r>
    </w:p>
    <w:p>
      <w:pPr>
        <w:pStyle w:val="Subsection"/>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If the CEO receives a notice under subsection (1), the CEO may advise the person’s employer of the relevant change in the person’s criminal record disclosed in the notice.</w:t>
      </w:r>
    </w:p>
    <w:p>
      <w:pPr>
        <w:pStyle w:val="Penstart"/>
      </w:pPr>
      <w:r>
        <w:tab/>
        <w:t>Penalty: a fine of $24 000 and imprisonment for 2 years.</w:t>
      </w:r>
    </w:p>
    <w:p>
      <w:pPr>
        <w:pStyle w:val="Footnotesection"/>
      </w:pPr>
      <w:r>
        <w:tab/>
        <w:t>[Section 29 amended by No. 7 of 2010 s. 15.]</w:t>
      </w:r>
    </w:p>
    <w:p>
      <w:pPr>
        <w:pStyle w:val="Heading5"/>
        <w:spacing w:before="180"/>
      </w:pPr>
      <w:bookmarkStart w:id="68" w:name="_Toc525901093"/>
      <w:r>
        <w:rPr>
          <w:rStyle w:val="CharSectno"/>
        </w:rPr>
        <w:t>30</w:t>
      </w:r>
      <w:r>
        <w:t>.</w:t>
      </w:r>
      <w:r>
        <w:tab/>
        <w:t>People carrying on child</w:t>
      </w:r>
      <w:r>
        <w:noBreakHyphen/>
        <w:t>related business to notify CEO of relevant change in criminal record</w:t>
      </w:r>
      <w:bookmarkEnd w:id="68"/>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69" w:name="_Toc525901094"/>
      <w:r>
        <w:rPr>
          <w:rStyle w:val="CharSectno"/>
        </w:rPr>
        <w:t>31</w:t>
      </w:r>
      <w:r>
        <w:t>.</w:t>
      </w:r>
      <w:r>
        <w:tab/>
        <w:t>People with assessment notice who have relevant change in criminal record, duties and employment of</w:t>
      </w:r>
      <w:bookmarkEnd w:id="69"/>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(4)</w:t>
      </w:r>
      <w:r>
        <w:tab/>
        <w:t>A person to whom this section applies must give written notice to the CEO of a relevant change in the person’s criminal record as soon as is practicable after the change occurs.</w:t>
      </w:r>
    </w:p>
    <w:p>
      <w:pPr>
        <w:pStyle w:val="Penstart"/>
      </w:pPr>
      <w:r>
        <w:tab/>
        <w:t>Penalty: a fine of $60 000 and imprisonment for 5 years.</w:t>
      </w:r>
    </w:p>
    <w:p>
      <w:pPr>
        <w:pStyle w:val="Subsection"/>
      </w:pPr>
      <w:r>
        <w:tab/>
        <w:t>(5)</w:t>
      </w:r>
      <w:r>
        <w:tab/>
        <w:t>If the CEO receives a notice from a person under subsection (4), the CEO is to cancel the person’s assessment notice.</w:t>
      </w:r>
    </w:p>
    <w:p>
      <w:pPr>
        <w:pStyle w:val="Subsection"/>
      </w:pPr>
      <w:r>
        <w:tab/>
        <w:t>(6)</w:t>
      </w:r>
      <w:r>
        <w:tab/>
        <w:t>If the CEO cancels the person’s assessment notice, the CEO is to give the person written notice of the cancellation.</w:t>
      </w:r>
    </w:p>
    <w:p>
      <w:pPr>
        <w:pStyle w:val="Footnotesection"/>
      </w:pPr>
      <w:r>
        <w:tab/>
        <w:t>[Section 31 amended by No. 7 of 2010 s. 16.]</w:t>
      </w:r>
    </w:p>
    <w:p>
      <w:pPr>
        <w:pStyle w:val="Heading5"/>
      </w:pPr>
      <w:bookmarkStart w:id="70" w:name="_Toc525901095"/>
      <w:r>
        <w:rPr>
          <w:rStyle w:val="CharSectno"/>
        </w:rPr>
        <w:t>32A</w:t>
      </w:r>
      <w:r>
        <w:t>.</w:t>
      </w:r>
      <w:r>
        <w:tab/>
        <w:t>Certain applicants for assessment notice to notify proposed employer of relevant change in criminal record</w:t>
      </w:r>
      <w:bookmarkEnd w:id="70"/>
    </w:p>
    <w:p>
      <w:pPr>
        <w:pStyle w:val="Subsection"/>
      </w:pPr>
      <w:r>
        <w:tab/>
      </w:r>
      <w:r>
        <w:tab/>
        <w:t xml:space="preserve">If a person who has had his or her assessment notice cancelled (the </w:t>
      </w:r>
      <w:r>
        <w:rPr>
          <w:rStyle w:val="CharDefText"/>
        </w:rPr>
        <w:t>cancelled assessment notice</w:t>
      </w:r>
      <w:r>
        <w:t xml:space="preserve">) under section 31(5) — </w:t>
      </w:r>
    </w:p>
    <w:p>
      <w:pPr>
        <w:pStyle w:val="Indenta"/>
      </w:pPr>
      <w:r>
        <w:tab/>
        <w:t>(a)</w:t>
      </w:r>
      <w:r>
        <w:tab/>
        <w:t>has applied for a further assessment notice and the application is pending; and</w:t>
      </w:r>
    </w:p>
    <w:p>
      <w:pPr>
        <w:pStyle w:val="Indenta"/>
      </w:pPr>
      <w:r>
        <w:tab/>
        <w:t>(b)</w:t>
      </w:r>
      <w:r>
        <w:tab/>
        <w:t xml:space="preserve">a person (the </w:t>
      </w:r>
      <w:r>
        <w:rPr>
          <w:rStyle w:val="CharDefText"/>
        </w:rPr>
        <w:t>proposed employer</w:t>
      </w:r>
      <w:r>
        <w:t>) proposes to employ him or her in child</w:t>
      </w:r>
      <w:r>
        <w:noBreakHyphen/>
        <w:t>related employment,</w:t>
      </w:r>
    </w:p>
    <w:p>
      <w:pPr>
        <w:pStyle w:val="Subsection"/>
      </w:pPr>
      <w:r>
        <w:tab/>
      </w:r>
      <w:r>
        <w:tab/>
        <w:t>the person must give the proposed employer written notice of any relevant change in the person’s criminal record since the cancelled assessment notice was issued.</w:t>
      </w:r>
    </w:p>
    <w:p>
      <w:pPr>
        <w:pStyle w:val="Penstart"/>
      </w:pPr>
      <w:r>
        <w:tab/>
        <w:t>Penalty: a fine of $60 000 and imprisonment for 5 years.</w:t>
      </w:r>
    </w:p>
    <w:p>
      <w:pPr>
        <w:pStyle w:val="Footnotesection"/>
      </w:pPr>
      <w:r>
        <w:tab/>
        <w:t>[Section 32A inserted by No. 7 of 2010 s. 17.]</w:t>
      </w:r>
    </w:p>
    <w:p>
      <w:pPr>
        <w:pStyle w:val="Heading5"/>
      </w:pPr>
      <w:bookmarkStart w:id="71" w:name="_Toc525901096"/>
      <w:r>
        <w:rPr>
          <w:rStyle w:val="CharSectno"/>
        </w:rPr>
        <w:t>32</w:t>
      </w:r>
      <w:r>
        <w:t>.</w:t>
      </w:r>
      <w:r>
        <w:tab/>
        <w:t>CEO to treat notice of relevant change under s. 29 and 30 as application for assessment notice</w:t>
      </w:r>
      <w:bookmarkEnd w:id="71"/>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by No. 7 of 2010 s. 18.]</w:t>
      </w:r>
    </w:p>
    <w:p>
      <w:pPr>
        <w:pStyle w:val="Heading5"/>
      </w:pPr>
      <w:bookmarkStart w:id="72" w:name="_Toc525901097"/>
      <w:r>
        <w:rPr>
          <w:rStyle w:val="CharSectno"/>
        </w:rPr>
        <w:t>33</w:t>
      </w:r>
      <w:r>
        <w:t>.</w:t>
      </w:r>
      <w:r>
        <w:tab/>
        <w:t>People convicted of Class 1 offence not to start or continue child</w:t>
      </w:r>
      <w:r>
        <w:noBreakHyphen/>
        <w:t>related work</w:t>
      </w:r>
      <w:bookmarkEnd w:id="72"/>
      <w:r>
        <w:t xml:space="preserve"> </w:t>
      </w:r>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73" w:name="_Toc525896785"/>
      <w:bookmarkStart w:id="74" w:name="_Toc525896937"/>
      <w:bookmarkStart w:id="75" w:name="_Toc525901098"/>
      <w:r>
        <w:rPr>
          <w:rStyle w:val="CharDivNo"/>
        </w:rPr>
        <w:t>Division 2</w:t>
      </w:r>
      <w:r>
        <w:t> — </w:t>
      </w:r>
      <w:r>
        <w:rPr>
          <w:rStyle w:val="CharDivText"/>
        </w:rPr>
        <w:t>Criminal record checks</w:t>
      </w:r>
      <w:bookmarkEnd w:id="73"/>
      <w:bookmarkEnd w:id="74"/>
      <w:bookmarkEnd w:id="75"/>
    </w:p>
    <w:p>
      <w:pPr>
        <w:pStyle w:val="Heading5"/>
      </w:pPr>
      <w:bookmarkStart w:id="76" w:name="_Toc525901099"/>
      <w:r>
        <w:rPr>
          <w:rStyle w:val="CharSectno"/>
        </w:rPr>
        <w:t>34</w:t>
      </w:r>
      <w:r>
        <w:t>.</w:t>
      </w:r>
      <w:r>
        <w:tab/>
        <w:t>CEO may carry out criminal record check</w:t>
      </w:r>
      <w:bookmarkEnd w:id="76"/>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 or</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r>
      <w:r>
        <w:rPr>
          <w:rStyle w:val="CharDefText"/>
        </w:rPr>
        <w:t>criminal records agency</w:t>
      </w:r>
      <w:r>
        <w:t xml:space="preserve"> means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spacing w:before="180"/>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an authorised person or a criminal records agency for information about the circumstances of a conviction or charge mentioned in the criminal record.</w:t>
      </w:r>
    </w:p>
    <w:p>
      <w:pPr>
        <w:pStyle w:val="Subsection"/>
        <w:spacing w:before="100"/>
      </w:pPr>
      <w:r>
        <w:tab/>
        <w:t>(5)</w:t>
      </w:r>
      <w:r>
        <w:tab/>
        <w:t>An authorised person may comply with a request made by the CEO under this section despite another Act or law.</w:t>
      </w:r>
    </w:p>
    <w:p>
      <w:pPr>
        <w:pStyle w:val="Heading2"/>
      </w:pPr>
      <w:bookmarkStart w:id="77" w:name="_Toc525896787"/>
      <w:bookmarkStart w:id="78" w:name="_Toc525896939"/>
      <w:bookmarkStart w:id="79" w:name="_Toc525901100"/>
      <w:r>
        <w:rPr>
          <w:rStyle w:val="CharPartNo"/>
        </w:rPr>
        <w:t>Part 4</w:t>
      </w:r>
      <w:r>
        <w:rPr>
          <w:rStyle w:val="CharDivNo"/>
        </w:rPr>
        <w:t> </w:t>
      </w:r>
      <w:r>
        <w:t>—</w:t>
      </w:r>
      <w:r>
        <w:rPr>
          <w:rStyle w:val="CharDivText"/>
        </w:rPr>
        <w:t> </w:t>
      </w:r>
      <w:r>
        <w:rPr>
          <w:rStyle w:val="CharPartText"/>
        </w:rPr>
        <w:t>General</w:t>
      </w:r>
      <w:bookmarkEnd w:id="77"/>
      <w:bookmarkEnd w:id="78"/>
      <w:bookmarkEnd w:id="79"/>
    </w:p>
    <w:p>
      <w:pPr>
        <w:pStyle w:val="Heading5"/>
      </w:pPr>
      <w:bookmarkStart w:id="80" w:name="_Toc525901101"/>
      <w:r>
        <w:rPr>
          <w:rStyle w:val="CharSectno"/>
        </w:rPr>
        <w:t>35</w:t>
      </w:r>
      <w:r>
        <w:t>.</w:t>
      </w:r>
      <w:r>
        <w:tab/>
        <w:t>False or misleading information, offence</w:t>
      </w:r>
      <w:bookmarkEnd w:id="80"/>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by No. 7 of 2010 s. 19.]</w:t>
      </w:r>
    </w:p>
    <w:p>
      <w:pPr>
        <w:pStyle w:val="Heading5"/>
      </w:pPr>
      <w:bookmarkStart w:id="81" w:name="_Toc525901102"/>
      <w:r>
        <w:rPr>
          <w:rStyle w:val="CharSectno"/>
        </w:rPr>
        <w:t>36</w:t>
      </w:r>
      <w:r>
        <w:t>.</w:t>
      </w:r>
      <w:r>
        <w:tab/>
        <w:t>Assessment notice to be returned to CEO in certain cases</w:t>
      </w:r>
      <w:bookmarkEnd w:id="81"/>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 or</w:t>
      </w:r>
    </w:p>
    <w:p>
      <w:pPr>
        <w:pStyle w:val="Indenta"/>
      </w:pPr>
      <w:r>
        <w:tab/>
        <w:t>(c)</w:t>
      </w:r>
      <w:r>
        <w:tab/>
        <w:t>the CEO gives the person a notice of cancellation of the assessment notice under section 21A(3), 21B(2), 21C(2) or 31(6).</w:t>
      </w:r>
    </w:p>
    <w:p>
      <w:pPr>
        <w:pStyle w:val="Penstart"/>
      </w:pPr>
      <w:r>
        <w:tab/>
        <w:t>Penalty: a fine of $12 000 and imprisonment for 12 months.</w:t>
      </w:r>
    </w:p>
    <w:p>
      <w:pPr>
        <w:pStyle w:val="Footnotesection"/>
      </w:pPr>
      <w:r>
        <w:tab/>
        <w:t>[Section 36 amended by No. 7 of 2010 s. 20.]</w:t>
      </w:r>
    </w:p>
    <w:p>
      <w:pPr>
        <w:pStyle w:val="Heading5"/>
        <w:spacing w:before="180"/>
      </w:pPr>
      <w:bookmarkStart w:id="82" w:name="_Toc525901103"/>
      <w:r>
        <w:rPr>
          <w:rStyle w:val="CharSectno"/>
        </w:rPr>
        <w:t>37</w:t>
      </w:r>
      <w:r>
        <w:t>.</w:t>
      </w:r>
      <w:r>
        <w:tab/>
        <w:t>Exchange of information with corresponding authorities</w:t>
      </w:r>
      <w:bookmarkEnd w:id="82"/>
    </w:p>
    <w:p>
      <w:pPr>
        <w:pStyle w:val="Subsection"/>
        <w:spacing w:before="120"/>
      </w:pPr>
      <w:r>
        <w:tab/>
        <w:t>(1)</w:t>
      </w:r>
      <w:r>
        <w:tab/>
        <w:t xml:space="preserve">In this section — </w:t>
      </w:r>
    </w:p>
    <w:p>
      <w:pPr>
        <w:pStyle w:val="Defstart"/>
      </w:pPr>
      <w:r>
        <w:rPr>
          <w:b/>
        </w:rPr>
        <w:tab/>
      </w:r>
      <w:r>
        <w:rPr>
          <w:rStyle w:val="CharDefText"/>
        </w:rPr>
        <w:t>corresponding authority</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83" w:name="_Toc525901104"/>
      <w:r>
        <w:rPr>
          <w:rStyle w:val="CharSectno"/>
        </w:rPr>
        <w:t>38</w:t>
      </w:r>
      <w:r>
        <w:t>.</w:t>
      </w:r>
      <w:r>
        <w:tab/>
        <w:t>Disclosure of information by CEO to certain bodies</w:t>
      </w:r>
      <w:bookmarkEnd w:id="83"/>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the Minister in the administration of the </w:t>
      </w:r>
      <w:r>
        <w:rPr>
          <w:i/>
          <w:iCs/>
        </w:rPr>
        <w:t>Child Care Services Act 2007</w:t>
      </w:r>
      <w:r>
        <w:t>;</w:t>
      </w:r>
    </w:p>
    <w:p>
      <w:pPr>
        <w:pStyle w:val="Defstart"/>
      </w:pPr>
      <w:r>
        <w:rPr>
          <w:b/>
        </w:rPr>
        <w:tab/>
      </w:r>
      <w:r>
        <w:rPr>
          <w:rStyle w:val="CharDefText"/>
        </w:rPr>
        <w:t>public authority</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 xml:space="preserve">If the CEO considers that it is in the public interest to do so, the CEO may give written notice to a public authority prescribed by the regulations that — </w:t>
      </w:r>
    </w:p>
    <w:p>
      <w:pPr>
        <w:pStyle w:val="Indenta"/>
      </w:pPr>
      <w:r>
        <w:tab/>
        <w:t>(a)</w:t>
      </w:r>
      <w:r>
        <w:tab/>
        <w:t>an application for an assessment notice has been made by a person in respect of which no decision has yet been made under section 12; or</w:t>
      </w:r>
    </w:p>
    <w:p>
      <w:pPr>
        <w:pStyle w:val="Indenta"/>
      </w:pPr>
      <w:r>
        <w:tab/>
        <w:t>(b)</w:t>
      </w:r>
      <w:r>
        <w:tab/>
        <w:t>an assessment notice has been issued to a person; or</w:t>
      </w:r>
    </w:p>
    <w:p>
      <w:pPr>
        <w:pStyle w:val="Indenta"/>
      </w:pPr>
      <w:r>
        <w:tab/>
        <w:t>(c)</w:t>
      </w:r>
      <w:r>
        <w:tab/>
        <w:t>an application for an assessment notice has been withdrawn by a person; or</w:t>
      </w:r>
    </w:p>
    <w:p>
      <w:pPr>
        <w:pStyle w:val="Indenta"/>
      </w:pPr>
      <w:r>
        <w:tab/>
        <w:t>(d)</w:t>
      </w:r>
      <w:r>
        <w:tab/>
        <w:t>a negative notice or an interim negative notice has been issued to a person; or</w:t>
      </w:r>
    </w:p>
    <w:p>
      <w:pPr>
        <w:pStyle w:val="Indenta"/>
      </w:pPr>
      <w:r>
        <w:tab/>
        <w:t>(e)</w:t>
      </w:r>
      <w:r>
        <w:tab/>
        <w:t>a person does not have a current assessment notice.</w:t>
      </w:r>
    </w:p>
    <w:p>
      <w:pPr>
        <w:pStyle w:val="Subsection"/>
      </w:pPr>
      <w:r>
        <w:tab/>
        <w:t>(3)</w:t>
      </w:r>
      <w:r>
        <w:tab/>
        <w:t xml:space="preserve">If the CEO reasonably believes that a person — </w:t>
      </w:r>
    </w:p>
    <w:p>
      <w:pPr>
        <w:pStyle w:val="Indenta"/>
      </w:pPr>
      <w:r>
        <w:tab/>
        <w:t>(a)</w:t>
      </w:r>
      <w:r>
        <w:tab/>
        <w:t xml:space="preserve">holds a licence under the </w:t>
      </w:r>
      <w:r>
        <w:rPr>
          <w:i/>
          <w:iCs/>
        </w:rPr>
        <w:t>Child Care Services Act </w:t>
      </w:r>
      <w:r>
        <w:rPr>
          <w:i/>
        </w:rPr>
        <w:t>2007</w:t>
      </w:r>
      <w:r>
        <w:t xml:space="preserve">, or is an approved provider as defined in the </w:t>
      </w:r>
      <w:r>
        <w:rPr>
          <w:i/>
        </w:rPr>
        <w:t>Education and Care Services National Law (Western Australia)</w:t>
      </w:r>
      <w:r>
        <w:t xml:space="preserve"> section 5(1); or</w:t>
      </w:r>
    </w:p>
    <w:p>
      <w:pPr>
        <w:pStyle w:val="Indenta"/>
      </w:pPr>
      <w:r>
        <w:tab/>
        <w:t>(b)</w:t>
      </w:r>
      <w:r>
        <w:tab/>
        <w:t xml:space="preserve">is — </w:t>
      </w:r>
    </w:p>
    <w:p>
      <w:pPr>
        <w:pStyle w:val="Indenti"/>
      </w:pPr>
      <w:r>
        <w:tab/>
        <w:t>(i)</w:t>
      </w:r>
      <w:r>
        <w:tab/>
        <w:t xml:space="preserve">a supervising officer or a managerial officer, as defined in the </w:t>
      </w:r>
      <w:r>
        <w:rPr>
          <w:i/>
        </w:rPr>
        <w:t>Child Care Services Act 2007</w:t>
      </w:r>
      <w:r>
        <w:t xml:space="preserve"> section 3; or</w:t>
      </w:r>
    </w:p>
    <w:p>
      <w:pPr>
        <w:pStyle w:val="Indenti"/>
      </w:pPr>
      <w:r>
        <w:tab/>
        <w:t>(ii)</w:t>
      </w:r>
      <w:r>
        <w:tab/>
        <w:t xml:space="preserve">a nominated supervisor or a person with management or control in relation to an education and care service under the </w:t>
      </w:r>
      <w:r>
        <w:rPr>
          <w:i/>
        </w:rPr>
        <w:t>Education and Care Services National Law (Western Australia)</w:t>
      </w:r>
      <w:r>
        <w:t>,</w:t>
      </w:r>
    </w:p>
    <w:p>
      <w:pPr>
        <w:pStyle w:val="Subsection"/>
      </w:pPr>
      <w:r>
        <w:tab/>
      </w:r>
      <w:r>
        <w:tab/>
        <w:t xml:space="preserve">the CEO may give written notice to the chief executive officer of the Department that — </w:t>
      </w:r>
    </w:p>
    <w:p>
      <w:pPr>
        <w:pStyle w:val="Indenta"/>
      </w:pPr>
      <w:r>
        <w:tab/>
        <w:t>(c)</w:t>
      </w:r>
      <w:r>
        <w:tab/>
        <w:t>an application for an assessment notice has been made by the person in respect of which no decision has yet been made under section 12; or</w:t>
      </w:r>
    </w:p>
    <w:p>
      <w:pPr>
        <w:pStyle w:val="Indenta"/>
      </w:pPr>
      <w:r>
        <w:tab/>
        <w:t>(d)</w:t>
      </w:r>
      <w:r>
        <w:tab/>
        <w:t>an assessment notice has been issued to the person; or</w:t>
      </w:r>
    </w:p>
    <w:p>
      <w:pPr>
        <w:pStyle w:val="Indenta"/>
      </w:pPr>
      <w:r>
        <w:tab/>
        <w:t>(e)</w:t>
      </w:r>
      <w:r>
        <w:tab/>
        <w:t>an application for an assessment notice has been withdrawn by the person; or</w:t>
      </w:r>
    </w:p>
    <w:p>
      <w:pPr>
        <w:pStyle w:val="Indenta"/>
      </w:pPr>
      <w:r>
        <w:tab/>
        <w:t>(f)</w:t>
      </w:r>
      <w:r>
        <w:tab/>
        <w:t xml:space="preserve">a negative notice or an interim negative notice has been issued to the person; or </w:t>
      </w:r>
    </w:p>
    <w:p>
      <w:pPr>
        <w:pStyle w:val="Indenta"/>
      </w:pPr>
      <w:r>
        <w:tab/>
        <w:t>(g)</w:t>
      </w:r>
      <w:r>
        <w:tab/>
        <w:t>the person does not have a current assessment notice.</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Subsection"/>
      </w:pPr>
      <w:r>
        <w:tab/>
        <w:t>(5)</w:t>
      </w:r>
      <w:r>
        <w:tab/>
        <w:t xml:space="preserve">If the CEO gives a notice in relation to a person under subsection (2) to the Department of the Public Service principally assisting in the administration of the </w:t>
      </w:r>
      <w:r>
        <w:rPr>
          <w:i/>
          <w:iCs/>
        </w:rPr>
        <w:t>Police Act 1892</w:t>
      </w:r>
      <w:r>
        <w:t>, the CEO may also give that Department notice of the person’s employment details.</w:t>
      </w:r>
    </w:p>
    <w:p>
      <w:pPr>
        <w:pStyle w:val="Footnotesection"/>
      </w:pPr>
      <w:r>
        <w:tab/>
        <w:t>[Section 38 amended by No. 19 of 2007 s. 73; No. 7 of 2010 s. 21; No. 38 of 2011 s. 41; No. 11 of 2012 s. 54; No. 18 of 2018 s. 94.]</w:t>
      </w:r>
    </w:p>
    <w:p>
      <w:pPr>
        <w:pStyle w:val="Heading5"/>
      </w:pPr>
      <w:bookmarkStart w:id="84" w:name="_Toc525901105"/>
      <w:r>
        <w:rPr>
          <w:rStyle w:val="CharSectno"/>
        </w:rPr>
        <w:t>39</w:t>
      </w:r>
      <w:r>
        <w:t>.</w:t>
      </w:r>
      <w:r>
        <w:tab/>
        <w:t>Information obtained officially, use and disclosure of</w:t>
      </w:r>
      <w:bookmarkEnd w:id="84"/>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85" w:name="_Toc525901106"/>
      <w:r>
        <w:rPr>
          <w:rStyle w:val="CharSectno"/>
        </w:rPr>
        <w:t>40</w:t>
      </w:r>
      <w:r>
        <w:t>.</w:t>
      </w:r>
      <w:r>
        <w:tab/>
        <w:t>Protection from personal liability</w:t>
      </w:r>
      <w:bookmarkEnd w:id="85"/>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86" w:name="_Toc525901107"/>
      <w:r>
        <w:rPr>
          <w:rStyle w:val="CharSectno"/>
        </w:rPr>
        <w:t>41</w:t>
      </w:r>
      <w:r>
        <w:t>.</w:t>
      </w:r>
      <w:r>
        <w:tab/>
        <w:t>Employer to comply with Act despite other laws etc.</w:t>
      </w:r>
      <w:bookmarkEnd w:id="86"/>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Heading5"/>
      </w:pPr>
      <w:bookmarkStart w:id="87" w:name="_Toc525901108"/>
      <w:r>
        <w:rPr>
          <w:rStyle w:val="CharSectno"/>
        </w:rPr>
        <w:t>42</w:t>
      </w:r>
      <w:r>
        <w:t>.</w:t>
      </w:r>
      <w:r>
        <w:tab/>
        <w:t>CEO may require information to confirm compliance with Act</w:t>
      </w:r>
      <w:bookmarkEnd w:id="87"/>
    </w:p>
    <w:p>
      <w:pPr>
        <w:pStyle w:val="Subsection"/>
        <w:keepNext/>
        <w:keepLines/>
      </w:pPr>
      <w:r>
        <w:tab/>
        <w:t>(1)</w:t>
      </w:r>
      <w:r>
        <w:tab/>
        <w:t xml:space="preserve">In this section — </w:t>
      </w:r>
    </w:p>
    <w:p>
      <w:pPr>
        <w:pStyle w:val="Defstart"/>
        <w:keepNext/>
        <w:keepLines/>
      </w:pPr>
      <w:r>
        <w:rPr>
          <w:b/>
        </w:rPr>
        <w:tab/>
      </w:r>
      <w:r>
        <w:rPr>
          <w:rStyle w:val="CharDefText"/>
        </w:rPr>
        <w:t>regulated person</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 or</w:t>
      </w:r>
    </w:p>
    <w:p>
      <w:pPr>
        <w:pStyle w:val="Defpara"/>
      </w:pPr>
      <w:r>
        <w:tab/>
        <w:t>(c)</w:t>
      </w:r>
      <w:r>
        <w:tab/>
        <w:t>who is an education provider.</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Footnotesection"/>
      </w:pPr>
      <w:r>
        <w:tab/>
        <w:t>[Section 42 amended by No. 7 of 2010 s. 22.]</w:t>
      </w:r>
    </w:p>
    <w:p>
      <w:pPr>
        <w:pStyle w:val="Heading5"/>
      </w:pPr>
      <w:bookmarkStart w:id="88" w:name="_Toc525901109"/>
      <w:r>
        <w:rPr>
          <w:rStyle w:val="CharSectno"/>
        </w:rPr>
        <w:t>43</w:t>
      </w:r>
      <w:r>
        <w:t>.</w:t>
      </w:r>
      <w:r>
        <w:tab/>
        <w:t>Liability of partners for certain offences</w:t>
      </w:r>
      <w:bookmarkEnd w:id="88"/>
    </w:p>
    <w:p>
      <w:pPr>
        <w:pStyle w:val="Subsection"/>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89" w:name="_Toc525901110"/>
      <w:r>
        <w:rPr>
          <w:rStyle w:val="CharSectno"/>
        </w:rPr>
        <w:t>44</w:t>
      </w:r>
      <w:r>
        <w:t>.</w:t>
      </w:r>
      <w:r>
        <w:tab/>
        <w:t>Evidentiary matters</w:t>
      </w:r>
      <w:bookmarkEnd w:id="89"/>
    </w:p>
    <w:p>
      <w:pPr>
        <w:pStyle w:val="Subsection"/>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Footnotesection"/>
      </w:pPr>
      <w:r>
        <w:tab/>
        <w:t>[Section 44 amended by No. 7 of 2010 s. 23.]</w:t>
      </w:r>
    </w:p>
    <w:p>
      <w:pPr>
        <w:pStyle w:val="Heading5"/>
      </w:pPr>
      <w:bookmarkStart w:id="90" w:name="_Toc525901111"/>
      <w:r>
        <w:rPr>
          <w:rStyle w:val="CharSectno"/>
        </w:rPr>
        <w:t>45</w:t>
      </w:r>
      <w:r>
        <w:t>.</w:t>
      </w:r>
      <w:r>
        <w:tab/>
        <w:t>Delegation by CEO etc.</w:t>
      </w:r>
      <w:bookmarkEnd w:id="90"/>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91" w:name="_Toc525901112"/>
      <w:r>
        <w:rPr>
          <w:rStyle w:val="CharSectno"/>
        </w:rPr>
        <w:t>46</w:t>
      </w:r>
      <w:r>
        <w:t>.</w:t>
      </w:r>
      <w:r>
        <w:tab/>
        <w:t>Regulations</w:t>
      </w:r>
      <w:bookmarkEnd w:id="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92" w:name="_Toc525901113"/>
      <w:r>
        <w:rPr>
          <w:rStyle w:val="CharSectno"/>
        </w:rPr>
        <w:t>47</w:t>
      </w:r>
      <w:r>
        <w:t>.</w:t>
      </w:r>
      <w:r>
        <w:tab/>
        <w:t>Review of Act</w:t>
      </w:r>
      <w:bookmarkEnd w:id="92"/>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Ednotepart"/>
      </w:pPr>
      <w:r>
        <w:t>[Part 5 (s. 48</w:t>
      </w:r>
      <w:r>
        <w:noBreakHyphen/>
        <w:t>55) omitted under the Reprints Act 1984 s. 7(4)(e).]</w:t>
      </w:r>
    </w:p>
    <w:p>
      <w:pPr>
        <w:pStyle w:val="Heading2"/>
      </w:pPr>
      <w:bookmarkStart w:id="93" w:name="_Toc525896801"/>
      <w:bookmarkStart w:id="94" w:name="_Toc525896953"/>
      <w:bookmarkStart w:id="95" w:name="_Toc525901114"/>
      <w:r>
        <w:rPr>
          <w:rStyle w:val="CharPartNo"/>
        </w:rPr>
        <w:t>Part 6</w:t>
      </w:r>
      <w:r>
        <w:rPr>
          <w:rStyle w:val="CharDivNo"/>
        </w:rPr>
        <w:t> </w:t>
      </w:r>
      <w:r>
        <w:t>—</w:t>
      </w:r>
      <w:r>
        <w:rPr>
          <w:rStyle w:val="CharDivText"/>
        </w:rPr>
        <w:t> </w:t>
      </w:r>
      <w:r>
        <w:rPr>
          <w:rStyle w:val="CharPartText"/>
        </w:rPr>
        <w:t>Transitional provisions</w:t>
      </w:r>
      <w:bookmarkEnd w:id="93"/>
      <w:bookmarkEnd w:id="94"/>
      <w:bookmarkEnd w:id="95"/>
    </w:p>
    <w:p>
      <w:pPr>
        <w:pStyle w:val="Heading5"/>
      </w:pPr>
      <w:bookmarkStart w:id="96" w:name="_Toc525901115"/>
      <w:r>
        <w:rPr>
          <w:rStyle w:val="CharSectno"/>
        </w:rPr>
        <w:t>56</w:t>
      </w:r>
      <w:r>
        <w:t>.</w:t>
      </w:r>
      <w:r>
        <w:tab/>
        <w:t>Term used: commencement day</w:t>
      </w:r>
      <w:bookmarkEnd w:id="96"/>
    </w:p>
    <w:p>
      <w:pPr>
        <w:pStyle w:val="Subsection"/>
      </w:pPr>
      <w:r>
        <w:tab/>
      </w:r>
      <w:r>
        <w:tab/>
        <w:t xml:space="preserve">In this Part — </w:t>
      </w:r>
    </w:p>
    <w:p>
      <w:pPr>
        <w:pStyle w:val="Defstart"/>
      </w:pPr>
      <w:r>
        <w:rPr>
          <w:b/>
        </w:rPr>
        <w:tab/>
      </w:r>
      <w:r>
        <w:rPr>
          <w:rStyle w:val="CharDefText"/>
        </w:rPr>
        <w:t>commencement day</w:t>
      </w:r>
      <w:r>
        <w:t xml:space="preserve"> means the day on which section 24 comes into operation.</w:t>
      </w:r>
    </w:p>
    <w:p>
      <w:pPr>
        <w:pStyle w:val="Heading5"/>
      </w:pPr>
      <w:bookmarkStart w:id="97" w:name="_Toc525901116"/>
      <w:r>
        <w:rPr>
          <w:rStyle w:val="CharSectno"/>
        </w:rPr>
        <w:t>57</w:t>
      </w:r>
      <w:r>
        <w:t>.</w:t>
      </w:r>
      <w:r>
        <w:tab/>
        <w:t>People carrying on a child</w:t>
      </w:r>
      <w:r>
        <w:noBreakHyphen/>
        <w:t>related business, when s. 24(b) applies to</w:t>
      </w:r>
      <w:bookmarkEnd w:id="97"/>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98" w:name="_Toc525901117"/>
      <w:r>
        <w:rPr>
          <w:rStyle w:val="CharSectno"/>
        </w:rPr>
        <w:t>58</w:t>
      </w:r>
      <w:r>
        <w:t>.</w:t>
      </w:r>
      <w:r>
        <w:tab/>
        <w:t>Volunteers continuing in child</w:t>
      </w:r>
      <w:r>
        <w:noBreakHyphen/>
        <w:t>related employment, when s. 22(6) and 24(a) apply to</w:t>
      </w:r>
      <w:bookmarkEnd w:id="98"/>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99" w:name="_Toc525901118"/>
      <w:r>
        <w:rPr>
          <w:rStyle w:val="CharSectno"/>
        </w:rPr>
        <w:t>59</w:t>
      </w:r>
      <w:r>
        <w:t>.</w:t>
      </w:r>
      <w:r>
        <w:tab/>
        <w:t>Ministers of religion etc. continuing in child</w:t>
      </w:r>
      <w:r>
        <w:noBreakHyphen/>
        <w:t>related employment, when s. 22(6) and 24(a) apply to</w:t>
      </w:r>
      <w:bookmarkEnd w:id="99"/>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100" w:name="_Toc525901119"/>
      <w:r>
        <w:rPr>
          <w:rStyle w:val="CharSectno"/>
        </w:rPr>
        <w:t>60</w:t>
      </w:r>
      <w:r>
        <w:t>.</w:t>
      </w:r>
      <w:r>
        <w:tab/>
        <w:t>Other people in child</w:t>
      </w:r>
      <w:r>
        <w:noBreakHyphen/>
        <w:t>related employment, when s. 22(6) and 24(a) apply to</w:t>
      </w:r>
      <w:bookmarkEnd w:id="100"/>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101" w:name="_Toc525901120"/>
      <w:r>
        <w:rPr>
          <w:rStyle w:val="CharSectno"/>
        </w:rPr>
        <w:t>60A</w:t>
      </w:r>
      <w:r>
        <w:t>.</w:t>
      </w:r>
      <w:r>
        <w:tab/>
        <w:t>Wilful murder charges and convictions between 1 Jan 2006 and 2 Jul 2008 taken to be relevant changes in criminal record</w:t>
      </w:r>
      <w:bookmarkEnd w:id="101"/>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w:t>
      </w:r>
      <w:r>
        <w:rPr>
          <w:vertAlign w:val="superscript"/>
        </w:rPr>
        <w:t> 1</w:t>
      </w:r>
      <w:r>
        <w:t xml:space="preserve">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by No. 27 of 2008 s. 13(2).]</w:t>
      </w:r>
    </w:p>
    <w:p>
      <w:pPr>
        <w:pStyle w:val="Heading5"/>
      </w:pPr>
      <w:bookmarkStart w:id="102" w:name="_Toc525901121"/>
      <w:r>
        <w:rPr>
          <w:rStyle w:val="CharSectno"/>
        </w:rPr>
        <w:t>61</w:t>
      </w:r>
      <w:r>
        <w:t>.</w:t>
      </w:r>
      <w:r>
        <w:tab/>
        <w:t>Transitional regulations</w:t>
      </w:r>
      <w:bookmarkEnd w:id="102"/>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03" w:name="_Toc525896809"/>
      <w:bookmarkStart w:id="104" w:name="_Toc525896961"/>
      <w:bookmarkStart w:id="105" w:name="_Toc525901122"/>
      <w:r>
        <w:rPr>
          <w:rStyle w:val="CharSchNo"/>
        </w:rPr>
        <w:t>Schedule 1</w:t>
      </w:r>
      <w:r>
        <w:t xml:space="preserve"> — </w:t>
      </w:r>
      <w:r>
        <w:rPr>
          <w:rStyle w:val="CharSchText"/>
        </w:rPr>
        <w:t>Class 1 offences</w:t>
      </w:r>
      <w:bookmarkEnd w:id="103"/>
      <w:bookmarkEnd w:id="104"/>
      <w:bookmarkEnd w:id="105"/>
    </w:p>
    <w:p>
      <w:pPr>
        <w:pStyle w:val="yShoulderClause"/>
        <w:spacing w:after="60"/>
      </w:pPr>
      <w:r>
        <w:t>[s. 7(1)]</w:t>
      </w:r>
    </w:p>
    <w:tbl>
      <w:tblPr>
        <w:tblW w:w="0" w:type="auto"/>
        <w:tblInd w:w="197"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2672"/>
        <w:gridCol w:w="21"/>
        <w:gridCol w:w="4253"/>
      </w:tblGrid>
      <w:tr>
        <w:trPr>
          <w:gridBefore w:val="1"/>
          <w:wBefore w:w="16" w:type="dxa"/>
          <w:trHeight w:val="360"/>
          <w:tblHeader/>
        </w:trPr>
        <w:tc>
          <w:tcPr>
            <w:tcW w:w="2672" w:type="dxa"/>
            <w:tcBorders>
              <w:top w:val="single" w:sz="4" w:space="0" w:color="auto"/>
              <w:bottom w:val="single" w:sz="4" w:space="0" w:color="auto"/>
            </w:tcBorders>
          </w:tcPr>
          <w:p>
            <w:pPr>
              <w:pStyle w:val="yTableNAm"/>
              <w:rPr>
                <w:b/>
                <w:bCs/>
              </w:rPr>
            </w:pPr>
            <w:r>
              <w:rPr>
                <w:b/>
                <w:bCs/>
              </w:rPr>
              <w:t>Enactment</w:t>
            </w:r>
          </w:p>
        </w:tc>
        <w:tc>
          <w:tcPr>
            <w:tcW w:w="4274" w:type="dxa"/>
            <w:gridSpan w:val="2"/>
            <w:tcBorders>
              <w:top w:val="single" w:sz="4" w:space="0" w:color="auto"/>
              <w:bottom w:val="single" w:sz="4" w:space="0" w:color="auto"/>
            </w:tcBorders>
          </w:tcPr>
          <w:p>
            <w:pPr>
              <w:pStyle w:val="yTableNAm"/>
              <w:rPr>
                <w:b/>
                <w:bCs/>
              </w:rPr>
            </w:pPr>
            <w:r>
              <w:rPr>
                <w:b/>
                <w:bCs/>
              </w:rPr>
              <w:t>Description of offence</w:t>
            </w:r>
          </w:p>
        </w:tc>
      </w:tr>
      <w:tr>
        <w:trPr>
          <w:gridBefore w:val="1"/>
          <w:wBefore w:w="16" w:type="dxa"/>
          <w:cantSplit/>
          <w:trHeight w:val="360"/>
        </w:trPr>
        <w:tc>
          <w:tcPr>
            <w:tcW w:w="2672" w:type="dxa"/>
            <w:tcBorders>
              <w:top w:val="nil"/>
            </w:tcBorders>
          </w:tcPr>
          <w:p>
            <w:pPr>
              <w:pStyle w:val="yTableNAm"/>
            </w:pPr>
            <w:r>
              <w:rPr>
                <w:i/>
              </w:rPr>
              <w:t>The Criminal Code</w:t>
            </w:r>
          </w:p>
        </w:tc>
        <w:tc>
          <w:tcPr>
            <w:tcW w:w="4274" w:type="dxa"/>
            <w:gridSpan w:val="2"/>
            <w:tcBorders>
              <w:top w:val="nil"/>
            </w:tcBorders>
          </w:tcPr>
          <w:p>
            <w:pPr>
              <w:pStyle w:val="yTableNAm"/>
            </w:pPr>
          </w:p>
        </w:tc>
      </w:tr>
      <w:tr>
        <w:trPr>
          <w:gridBefore w:val="1"/>
          <w:wBefore w:w="16" w:type="dxa"/>
          <w:cantSplit/>
          <w:trHeight w:val="360"/>
        </w:trPr>
        <w:tc>
          <w:tcPr>
            <w:tcW w:w="2672" w:type="dxa"/>
            <w:tcBorders>
              <w:top w:val="nil"/>
            </w:tcBorders>
          </w:tcPr>
          <w:p>
            <w:pPr>
              <w:pStyle w:val="yTableNAm"/>
              <w:rPr>
                <w:i/>
              </w:rPr>
            </w:pPr>
            <w:r>
              <w:t>s. 186(1)</w:t>
            </w:r>
          </w:p>
        </w:tc>
        <w:tc>
          <w:tcPr>
            <w:tcW w:w="4274" w:type="dxa"/>
            <w:gridSpan w:val="2"/>
            <w:tcBorders>
              <w:top w:val="nil"/>
            </w:tcBorders>
          </w:tcPr>
          <w:p>
            <w:pPr>
              <w:pStyle w:val="yTableNAm"/>
            </w:pPr>
            <w:r>
              <w:t>Occupier or owner allowing a child to be on premises for unlawful carnal knowledge (if the child in relation to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320(2)</w:t>
            </w:r>
          </w:p>
        </w:tc>
        <w:tc>
          <w:tcPr>
            <w:tcW w:w="4274" w:type="dxa"/>
            <w:gridSpan w:val="2"/>
          </w:tcPr>
          <w:p>
            <w:pPr>
              <w:pStyle w:val="yTableNAm"/>
            </w:pPr>
            <w:r>
              <w:t xml:space="preserve">Sexually penetrating child under 13 </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320(3)</w:t>
            </w:r>
          </w:p>
        </w:tc>
        <w:tc>
          <w:tcPr>
            <w:tcW w:w="4274" w:type="dxa"/>
            <w:gridSpan w:val="2"/>
          </w:tcPr>
          <w:p>
            <w:pPr>
              <w:pStyle w:val="yTableNAm"/>
            </w:pPr>
            <w:r>
              <w:t>Procuring, inciting or encouraging child under 13 to engage in sexual behaviour</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321A</w:t>
            </w:r>
          </w:p>
        </w:tc>
        <w:tc>
          <w:tcPr>
            <w:tcW w:w="4274" w:type="dxa"/>
            <w:gridSpan w:val="2"/>
          </w:tcPr>
          <w:p>
            <w:pPr>
              <w:pStyle w:val="yTableNAm"/>
            </w:pPr>
            <w:r>
              <w:t>Persistent sexual conduct with child under 16 (if the offence includes a sexual act on at least one occasion when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72" w:type="dxa"/>
          </w:tcPr>
          <w:p>
            <w:pPr>
              <w:pStyle w:val="yTableNAm"/>
            </w:pPr>
            <w:r>
              <w:t>s. 325</w:t>
            </w:r>
          </w:p>
        </w:tc>
        <w:tc>
          <w:tcPr>
            <w:tcW w:w="4274" w:type="dxa"/>
            <w:gridSpan w:val="2"/>
          </w:tcPr>
          <w:p>
            <w:pPr>
              <w:pStyle w:val="yTableNAm"/>
            </w:pPr>
            <w:r>
              <w:t>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326</w:t>
            </w:r>
          </w:p>
        </w:tc>
        <w:tc>
          <w:tcPr>
            <w:tcW w:w="4274" w:type="dxa"/>
            <w:gridSpan w:val="2"/>
          </w:tcPr>
          <w:p>
            <w:pPr>
              <w:pStyle w:val="yTableNAm"/>
            </w:pPr>
            <w:r>
              <w:t>Aggravated sexual penetration without consent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327</w:t>
            </w:r>
          </w:p>
        </w:tc>
        <w:tc>
          <w:tcPr>
            <w:tcW w:w="4274" w:type="dxa"/>
            <w:gridSpan w:val="2"/>
          </w:tcPr>
          <w:p>
            <w:pPr>
              <w:pStyle w:val="yTableNAm"/>
            </w:pPr>
            <w:r>
              <w:t>Sexual coercion (if the person against whom the offence is committed is a child under 13)</w:t>
            </w:r>
          </w:p>
        </w:tc>
      </w:tr>
      <w:tr>
        <w:tblPrEx>
          <w:tblBorders>
            <w:top w:val="none" w:sz="0" w:space="0" w:color="auto"/>
            <w:bottom w:val="none" w:sz="0" w:space="0" w:color="auto"/>
          </w:tblBorders>
          <w:tblCellMar>
            <w:left w:w="108" w:type="dxa"/>
            <w:right w:w="108" w:type="dxa"/>
          </w:tblCellMar>
        </w:tblPrEx>
        <w:trPr>
          <w:cantSplit/>
        </w:trPr>
        <w:tc>
          <w:tcPr>
            <w:tcW w:w="2688" w:type="dxa"/>
            <w:gridSpan w:val="2"/>
          </w:tcPr>
          <w:p>
            <w:pPr>
              <w:pStyle w:val="yTableNAm"/>
            </w:pPr>
            <w:r>
              <w:t>s. 328</w:t>
            </w:r>
          </w:p>
        </w:tc>
        <w:tc>
          <w:tcPr>
            <w:tcW w:w="4274" w:type="dxa"/>
            <w:gridSpan w:val="2"/>
          </w:tcPr>
          <w:p>
            <w:pPr>
              <w:pStyle w:val="yTableNAm"/>
            </w:pPr>
            <w:r>
              <w:t>Aggravated sexual coercion (if the person against whom the offence is committed is a child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329(2)</w:t>
            </w:r>
          </w:p>
        </w:tc>
        <w:tc>
          <w:tcPr>
            <w:tcW w:w="4253" w:type="dxa"/>
          </w:tcPr>
          <w:p>
            <w:pPr>
              <w:pStyle w:val="yTableNAm"/>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329(3)</w:t>
            </w:r>
          </w:p>
        </w:tc>
        <w:tc>
          <w:tcPr>
            <w:tcW w:w="4253" w:type="dxa"/>
          </w:tcPr>
          <w:p>
            <w:pPr>
              <w:pStyle w:val="yTableNAm"/>
            </w:pPr>
            <w:r>
              <w:t>Procuring, inciting or encouraging child known to be lineal relative or de facto child to engage in sexual behaviour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rPr>
                <w:i/>
              </w:rPr>
              <w:t>Crimes Act 1914</w:t>
            </w:r>
            <w:r>
              <w:t xml:space="preserve"> of the Commonwealth</w:t>
            </w:r>
          </w:p>
        </w:tc>
        <w:tc>
          <w:tcPr>
            <w:tcW w:w="4253" w:type="dxa"/>
          </w:tcPr>
          <w:p>
            <w:pPr>
              <w:pStyle w:val="yTableNAm"/>
            </w:pPr>
          </w:p>
        </w:tc>
      </w:tr>
      <w:tr>
        <w:tblPrEx>
          <w:tblBorders>
            <w:top w:val="none" w:sz="0" w:space="0" w:color="auto"/>
            <w:bottom w:val="none" w:sz="0" w:space="0" w:color="auto"/>
          </w:tblBorders>
        </w:tblPrEx>
        <w:trPr>
          <w:gridBefore w:val="1"/>
          <w:wBefore w:w="16" w:type="dxa"/>
          <w:trHeight w:val="360"/>
        </w:trPr>
        <w:tc>
          <w:tcPr>
            <w:tcW w:w="2693" w:type="dxa"/>
            <w:gridSpan w:val="2"/>
          </w:tcPr>
          <w:p>
            <w:pPr>
              <w:pStyle w:val="yTableNAm"/>
            </w:pPr>
            <w:r>
              <w:t>s. 50BA</w:t>
            </w:r>
          </w:p>
        </w:tc>
        <w:tc>
          <w:tcPr>
            <w:tcW w:w="4253" w:type="dxa"/>
          </w:tcPr>
          <w:p>
            <w:pPr>
              <w:pStyle w:val="yTableNAm"/>
            </w:pPr>
            <w:r>
              <w:t>Sexual intercourse with child under 16 (if the child against whom the offence is committed is under 13)</w:t>
            </w:r>
          </w:p>
        </w:tc>
      </w:tr>
      <w:tr>
        <w:tblPrEx>
          <w:tblBorders>
            <w:top w:val="none" w:sz="0" w:space="0" w:color="auto"/>
            <w:bottom w:val="none" w:sz="0" w:space="0" w:color="auto"/>
          </w:tblBorders>
        </w:tblPrEx>
        <w:trPr>
          <w:gridBefore w:val="1"/>
          <w:wBefore w:w="16" w:type="dxa"/>
          <w:trHeight w:val="360"/>
        </w:trPr>
        <w:tc>
          <w:tcPr>
            <w:tcW w:w="2693" w:type="dxa"/>
            <w:gridSpan w:val="2"/>
            <w:tcBorders>
              <w:bottom w:val="single" w:sz="4" w:space="0" w:color="auto"/>
            </w:tcBorders>
          </w:tcPr>
          <w:p>
            <w:pPr>
              <w:pStyle w:val="yTableNAm"/>
            </w:pPr>
            <w:r>
              <w:t>s. 50BB</w:t>
            </w:r>
          </w:p>
        </w:tc>
        <w:tc>
          <w:tcPr>
            <w:tcW w:w="4253" w:type="dxa"/>
            <w:tcBorders>
              <w:bottom w:val="single" w:sz="4" w:space="0" w:color="auto"/>
            </w:tcBorders>
          </w:tcPr>
          <w:p>
            <w:pPr>
              <w:pStyle w:val="yTableNAm"/>
            </w:pPr>
            <w:r>
              <w:t>Inducing child under 16 to engage in sexual intercourse (if the child against whom the offence is committed is under 13)</w:t>
            </w:r>
          </w:p>
        </w:tc>
      </w:tr>
    </w:tbl>
    <w:p>
      <w:pPr>
        <w:pStyle w:val="yFootnotesection"/>
      </w:pPr>
      <w:r>
        <w:tab/>
        <w:t>[Schedule 1 amended by No. 2 of 2008 s. 74; No. 8 of 2009 s. 140(2); No. 7 of 2010 s. 24.]</w:t>
      </w:r>
    </w:p>
    <w:p>
      <w:pPr>
        <w:pStyle w:val="yScheduleHeading"/>
      </w:pPr>
      <w:bookmarkStart w:id="106" w:name="_Toc525896810"/>
      <w:bookmarkStart w:id="107" w:name="_Toc525896962"/>
      <w:bookmarkStart w:id="108" w:name="_Toc525901123"/>
      <w:r>
        <w:rPr>
          <w:rStyle w:val="CharSchNo"/>
        </w:rPr>
        <w:t>Schedule 2</w:t>
      </w:r>
      <w:r>
        <w:t> — </w:t>
      </w:r>
      <w:r>
        <w:rPr>
          <w:rStyle w:val="CharSchText"/>
        </w:rPr>
        <w:t>Class 2 offences</w:t>
      </w:r>
      <w:bookmarkEnd w:id="106"/>
      <w:bookmarkEnd w:id="107"/>
      <w:bookmarkEnd w:id="108"/>
    </w:p>
    <w:p>
      <w:pPr>
        <w:pStyle w:val="yShoulderClause"/>
        <w:spacing w:after="60"/>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7"/>
        <w:gridCol w:w="4246"/>
      </w:tblGrid>
      <w:tr>
        <w:trPr>
          <w:trHeight w:val="360"/>
          <w:tblHeader/>
        </w:trPr>
        <w:tc>
          <w:tcPr>
            <w:tcW w:w="2693" w:type="dxa"/>
            <w:tcBorders>
              <w:top w:val="single" w:sz="4" w:space="0" w:color="auto"/>
              <w:bottom w:val="single" w:sz="4" w:space="0" w:color="auto"/>
            </w:tcBorders>
          </w:tcPr>
          <w:p>
            <w:pPr>
              <w:pStyle w:val="yTableNAm"/>
              <w:rPr>
                <w:b/>
                <w:bCs/>
              </w:rPr>
            </w:pPr>
            <w:r>
              <w:rPr>
                <w:b/>
                <w:bCs/>
              </w:rPr>
              <w:t>Enactment</w:t>
            </w:r>
          </w:p>
        </w:tc>
        <w:tc>
          <w:tcPr>
            <w:tcW w:w="4253" w:type="dxa"/>
            <w:gridSpan w:val="2"/>
            <w:tcBorders>
              <w:top w:val="single" w:sz="4" w:space="0" w:color="auto"/>
              <w:bottom w:val="single" w:sz="4" w:space="0" w:color="auto"/>
            </w:tcBorders>
          </w:tcPr>
          <w:p>
            <w:pPr>
              <w:pStyle w:val="yTableNAm"/>
              <w:rPr>
                <w:b/>
                <w:bCs/>
              </w:rPr>
            </w:pPr>
            <w:r>
              <w:rPr>
                <w:b/>
                <w:bCs/>
              </w:rPr>
              <w:t>Description of offence</w:t>
            </w:r>
          </w:p>
        </w:tc>
      </w:tr>
      <w:tr>
        <w:trPr>
          <w:trHeight w:val="360"/>
        </w:trPr>
        <w:tc>
          <w:tcPr>
            <w:tcW w:w="2693" w:type="dxa"/>
            <w:tcBorders>
              <w:top w:val="nil"/>
            </w:tcBorders>
          </w:tcPr>
          <w:p>
            <w:pPr>
              <w:pStyle w:val="yTableNAm"/>
            </w:pPr>
            <w:r>
              <w:rPr>
                <w:i/>
              </w:rPr>
              <w:t>The Criminal Code</w:t>
            </w:r>
          </w:p>
        </w:tc>
        <w:tc>
          <w:tcPr>
            <w:tcW w:w="4253" w:type="dxa"/>
            <w:gridSpan w:val="2"/>
            <w:tcBorders>
              <w:top w:val="nil"/>
            </w:tcBorders>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181</w:t>
            </w:r>
          </w:p>
        </w:tc>
        <w:tc>
          <w:tcPr>
            <w:tcW w:w="4253" w:type="dxa"/>
            <w:gridSpan w:val="2"/>
          </w:tcPr>
          <w:p>
            <w:pPr>
              <w:pStyle w:val="yTableNAm"/>
              <w:ind w:left="-26"/>
            </w:pPr>
            <w:r>
              <w:t>Carnal knowledge of animal</w:t>
            </w:r>
          </w:p>
        </w:tc>
      </w:tr>
      <w:tr>
        <w:tblPrEx>
          <w:tblBorders>
            <w:top w:val="none" w:sz="0" w:space="0" w:color="auto"/>
            <w:bottom w:val="none" w:sz="0" w:space="0" w:color="auto"/>
          </w:tblBorders>
        </w:tblPrEx>
        <w:trPr>
          <w:trHeight w:val="360"/>
        </w:trPr>
        <w:tc>
          <w:tcPr>
            <w:tcW w:w="2693" w:type="dxa"/>
          </w:tcPr>
          <w:p>
            <w:pPr>
              <w:pStyle w:val="yTableNAm"/>
            </w:pPr>
            <w:r>
              <w:t>s. 186(1)</w:t>
            </w:r>
          </w:p>
        </w:tc>
        <w:tc>
          <w:tcPr>
            <w:tcW w:w="4253" w:type="dxa"/>
            <w:gridSpan w:val="2"/>
          </w:tcPr>
          <w:p>
            <w:pPr>
              <w:pStyle w:val="yTableNAm"/>
              <w:ind w:left="-26"/>
            </w:pPr>
            <w:r>
              <w:t>Occupier or owner allowing a child to be on premises for unlawful carnal knowledge (if the child in relation to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187</w:t>
            </w:r>
          </w:p>
        </w:tc>
        <w:tc>
          <w:tcPr>
            <w:tcW w:w="4253" w:type="dxa"/>
            <w:gridSpan w:val="2"/>
          </w:tcPr>
          <w:p>
            <w:pPr>
              <w:pStyle w:val="yTableNAm"/>
              <w:ind w:left="-26"/>
            </w:pPr>
            <w:r>
              <w:t xml:space="preserve">Facilitating sexual offences against children outside </w:t>
            </w:r>
            <w:smartTag w:uri="urn:schemas-microsoft-com:office:smarttags" w:element="place">
              <w:smartTag w:uri="urn:schemas-microsoft-com:office:smarttags" w:element="State">
                <w:r>
                  <w:t>Western Australia</w:t>
                </w:r>
              </w:smartTag>
            </w:smartTag>
          </w:p>
        </w:tc>
      </w:tr>
      <w:tr>
        <w:tblPrEx>
          <w:tblBorders>
            <w:top w:val="none" w:sz="0" w:space="0" w:color="auto"/>
            <w:bottom w:val="none" w:sz="0" w:space="0" w:color="auto"/>
          </w:tblBorders>
        </w:tblPrEx>
        <w:trPr>
          <w:trHeight w:val="360"/>
        </w:trPr>
        <w:tc>
          <w:tcPr>
            <w:tcW w:w="2693" w:type="dxa"/>
          </w:tcPr>
          <w:p>
            <w:pPr>
              <w:pStyle w:val="yTableNAm"/>
            </w:pPr>
            <w:r>
              <w:t>s. 204B</w:t>
            </w:r>
          </w:p>
        </w:tc>
        <w:tc>
          <w:tcPr>
            <w:tcW w:w="4253" w:type="dxa"/>
            <w:gridSpan w:val="2"/>
          </w:tcPr>
          <w:p>
            <w:pPr>
              <w:pStyle w:val="yTableNAm"/>
              <w:ind w:left="-26"/>
            </w:pPr>
            <w:r>
              <w:t>Using electronic communication to procure, or expose to indecent matter, children under 16</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217</w:t>
            </w:r>
          </w:p>
        </w:tc>
        <w:tc>
          <w:tcPr>
            <w:tcW w:w="4246" w:type="dxa"/>
          </w:tcPr>
          <w:p>
            <w:pPr>
              <w:pStyle w:val="yTableNAm"/>
              <w:ind w:left="-70"/>
            </w:pPr>
            <w:r>
              <w:t>Involving child in child exploitation</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218</w:t>
            </w:r>
          </w:p>
        </w:tc>
        <w:tc>
          <w:tcPr>
            <w:tcW w:w="4246" w:type="dxa"/>
          </w:tcPr>
          <w:p>
            <w:pPr>
              <w:pStyle w:val="yTableNAm"/>
              <w:ind w:left="-70"/>
            </w:pPr>
            <w:r>
              <w:t>Production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219</w:t>
            </w:r>
          </w:p>
        </w:tc>
        <w:tc>
          <w:tcPr>
            <w:tcW w:w="4246" w:type="dxa"/>
          </w:tcPr>
          <w:p>
            <w:pPr>
              <w:pStyle w:val="yTableNAm"/>
              <w:ind w:left="-70"/>
            </w:pPr>
            <w:r>
              <w:t>Distribution of child exploitation material</w:t>
            </w:r>
          </w:p>
        </w:tc>
      </w:tr>
      <w:tr>
        <w:tblPrEx>
          <w:tblBorders>
            <w:top w:val="none" w:sz="0" w:space="0" w:color="auto"/>
            <w:bottom w:val="none" w:sz="0" w:space="0" w:color="auto"/>
          </w:tblBorders>
          <w:tblCellMar>
            <w:left w:w="108" w:type="dxa"/>
            <w:right w:w="108" w:type="dxa"/>
          </w:tblCellMar>
        </w:tblPrEx>
        <w:tc>
          <w:tcPr>
            <w:tcW w:w="2700" w:type="dxa"/>
            <w:gridSpan w:val="2"/>
          </w:tcPr>
          <w:p>
            <w:pPr>
              <w:pStyle w:val="yTableNAm"/>
            </w:pPr>
            <w:r>
              <w:t>s. 220</w:t>
            </w:r>
          </w:p>
        </w:tc>
        <w:tc>
          <w:tcPr>
            <w:tcW w:w="4246" w:type="dxa"/>
          </w:tcPr>
          <w:p>
            <w:pPr>
              <w:pStyle w:val="yTableNAm"/>
              <w:ind w:left="-70"/>
            </w:pPr>
            <w:r>
              <w:t>Possession of child exploitation material</w:t>
            </w:r>
          </w:p>
        </w:tc>
      </w:tr>
      <w:tr>
        <w:tblPrEx>
          <w:tblBorders>
            <w:top w:val="none" w:sz="0" w:space="0" w:color="auto"/>
            <w:bottom w:val="none" w:sz="0" w:space="0" w:color="auto"/>
          </w:tblBorders>
        </w:tblPrEx>
        <w:trPr>
          <w:trHeight w:val="360"/>
        </w:trPr>
        <w:tc>
          <w:tcPr>
            <w:tcW w:w="2693" w:type="dxa"/>
          </w:tcPr>
          <w:p>
            <w:pPr>
              <w:pStyle w:val="yTableNAm"/>
            </w:pPr>
            <w:r>
              <w:t>s. 279</w:t>
            </w:r>
          </w:p>
        </w:tc>
        <w:tc>
          <w:tcPr>
            <w:tcW w:w="4253" w:type="dxa"/>
            <w:gridSpan w:val="2"/>
          </w:tcPr>
          <w:p>
            <w:pPr>
              <w:pStyle w:val="yTableNAm"/>
              <w:ind w:left="-26"/>
            </w:pPr>
            <w:r>
              <w:t>Murder</w:t>
            </w:r>
          </w:p>
        </w:tc>
      </w:tr>
      <w:tr>
        <w:tblPrEx>
          <w:tblBorders>
            <w:top w:val="none" w:sz="0" w:space="0" w:color="auto"/>
            <w:bottom w:val="none" w:sz="0" w:space="0" w:color="auto"/>
          </w:tblBorders>
        </w:tblPrEx>
        <w:trPr>
          <w:trHeight w:val="360"/>
        </w:trPr>
        <w:tc>
          <w:tcPr>
            <w:tcW w:w="2693" w:type="dxa"/>
          </w:tcPr>
          <w:p>
            <w:pPr>
              <w:pStyle w:val="yTableNAm"/>
            </w:pPr>
            <w:r>
              <w:t>s. 280</w:t>
            </w:r>
          </w:p>
        </w:tc>
        <w:tc>
          <w:tcPr>
            <w:tcW w:w="4253" w:type="dxa"/>
            <w:gridSpan w:val="2"/>
          </w:tcPr>
          <w:p>
            <w:pPr>
              <w:pStyle w:val="yTableNAm"/>
              <w:ind w:left="-26"/>
            </w:pPr>
            <w:r>
              <w:t>Manslaughter</w:t>
            </w:r>
          </w:p>
        </w:tc>
      </w:tr>
      <w:tr>
        <w:tblPrEx>
          <w:tblBorders>
            <w:top w:val="none" w:sz="0" w:space="0" w:color="auto"/>
            <w:bottom w:val="none" w:sz="0" w:space="0" w:color="auto"/>
          </w:tblBorders>
        </w:tblPrEx>
        <w:trPr>
          <w:trHeight w:val="360"/>
        </w:trPr>
        <w:tc>
          <w:tcPr>
            <w:tcW w:w="2693" w:type="dxa"/>
          </w:tcPr>
          <w:p>
            <w:pPr>
              <w:pStyle w:val="yTableNAm"/>
            </w:pPr>
            <w:r>
              <w:t>s. 281</w:t>
            </w:r>
          </w:p>
        </w:tc>
        <w:tc>
          <w:tcPr>
            <w:tcW w:w="4253" w:type="dxa"/>
            <w:gridSpan w:val="2"/>
          </w:tcPr>
          <w:p>
            <w:pPr>
              <w:pStyle w:val="yTableNAm"/>
              <w:ind w:left="-26"/>
            </w:pPr>
            <w:r>
              <w:t>Unlawful assault causing death</w:t>
            </w:r>
          </w:p>
        </w:tc>
      </w:tr>
      <w:tr>
        <w:tblPrEx>
          <w:tblBorders>
            <w:top w:val="none" w:sz="0" w:space="0" w:color="auto"/>
            <w:bottom w:val="none" w:sz="0" w:space="0" w:color="auto"/>
          </w:tblBorders>
        </w:tblPrEx>
        <w:trPr>
          <w:trHeight w:val="360"/>
        </w:trPr>
        <w:tc>
          <w:tcPr>
            <w:tcW w:w="2693" w:type="dxa"/>
          </w:tcPr>
          <w:p>
            <w:pPr>
              <w:pStyle w:val="yTableNAm"/>
            </w:pPr>
            <w:r>
              <w:t>s. 290</w:t>
            </w:r>
          </w:p>
        </w:tc>
        <w:tc>
          <w:tcPr>
            <w:tcW w:w="4253" w:type="dxa"/>
            <w:gridSpan w:val="2"/>
          </w:tcPr>
          <w:p>
            <w:pPr>
              <w:pStyle w:val="yTableNAm"/>
              <w:ind w:left="-26"/>
            </w:pPr>
            <w:r>
              <w:t>Killing unborn child</w:t>
            </w:r>
          </w:p>
        </w:tc>
      </w:tr>
      <w:tr>
        <w:tblPrEx>
          <w:tblBorders>
            <w:top w:val="none" w:sz="0" w:space="0" w:color="auto"/>
            <w:bottom w:val="none" w:sz="0" w:space="0" w:color="auto"/>
          </w:tblBorders>
        </w:tblPrEx>
        <w:trPr>
          <w:trHeight w:val="360"/>
        </w:trPr>
        <w:tc>
          <w:tcPr>
            <w:tcW w:w="2693" w:type="dxa"/>
          </w:tcPr>
          <w:p>
            <w:pPr>
              <w:pStyle w:val="yTableNAm"/>
            </w:pPr>
            <w:r>
              <w:t>s. 297</w:t>
            </w:r>
          </w:p>
        </w:tc>
        <w:tc>
          <w:tcPr>
            <w:tcW w:w="4253" w:type="dxa"/>
            <w:gridSpan w:val="2"/>
          </w:tcPr>
          <w:p>
            <w:pPr>
              <w:pStyle w:val="yTableNAm"/>
              <w:ind w:left="-26"/>
            </w:pPr>
            <w:r>
              <w:t>Grievous bodily harm</w:t>
            </w:r>
          </w:p>
        </w:tc>
      </w:tr>
      <w:tr>
        <w:tblPrEx>
          <w:tblBorders>
            <w:top w:val="none" w:sz="0" w:space="0" w:color="auto"/>
            <w:bottom w:val="none" w:sz="0" w:space="0" w:color="auto"/>
          </w:tblBorders>
        </w:tblPrEx>
        <w:trPr>
          <w:trHeight w:val="360"/>
        </w:trPr>
        <w:tc>
          <w:tcPr>
            <w:tcW w:w="2693" w:type="dxa"/>
          </w:tcPr>
          <w:p>
            <w:pPr>
              <w:pStyle w:val="yTableNAm"/>
            </w:pPr>
            <w:r>
              <w:t>s. 320(4)</w:t>
            </w:r>
          </w:p>
        </w:tc>
        <w:tc>
          <w:tcPr>
            <w:tcW w:w="4253" w:type="dxa"/>
            <w:gridSpan w:val="2"/>
          </w:tcPr>
          <w:p>
            <w:pPr>
              <w:pStyle w:val="yTableNAm"/>
              <w:ind w:left="-26"/>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NAm"/>
            </w:pPr>
            <w:r>
              <w:t>s. 320(5)</w:t>
            </w:r>
          </w:p>
        </w:tc>
        <w:tc>
          <w:tcPr>
            <w:tcW w:w="4253" w:type="dxa"/>
            <w:gridSpan w:val="2"/>
          </w:tcPr>
          <w:p>
            <w:pPr>
              <w:pStyle w:val="yTableNAm"/>
              <w:ind w:left="-26"/>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NAm"/>
            </w:pPr>
            <w:r>
              <w:t>s. 320(6)</w:t>
            </w:r>
          </w:p>
        </w:tc>
        <w:tc>
          <w:tcPr>
            <w:tcW w:w="4253" w:type="dxa"/>
            <w:gridSpan w:val="2"/>
          </w:tcPr>
          <w:p>
            <w:pPr>
              <w:pStyle w:val="yTableNAm"/>
              <w:ind w:left="-26"/>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NAm"/>
            </w:pPr>
            <w:r>
              <w:t>s. 321</w:t>
            </w:r>
          </w:p>
        </w:tc>
        <w:tc>
          <w:tcPr>
            <w:tcW w:w="4253" w:type="dxa"/>
            <w:gridSpan w:val="2"/>
          </w:tcPr>
          <w:p>
            <w:pPr>
              <w:pStyle w:val="yTableNAm"/>
              <w:ind w:left="-26"/>
            </w:pPr>
            <w:r>
              <w:t>Sexual offences against child of or over 13 and under 16</w:t>
            </w:r>
          </w:p>
        </w:tc>
      </w:tr>
      <w:tr>
        <w:tblPrEx>
          <w:tblBorders>
            <w:top w:val="none" w:sz="0" w:space="0" w:color="auto"/>
            <w:bottom w:val="none" w:sz="0" w:space="0" w:color="auto"/>
          </w:tblBorders>
        </w:tblPrEx>
        <w:trPr>
          <w:cantSplit/>
          <w:trHeight w:val="360"/>
        </w:trPr>
        <w:tc>
          <w:tcPr>
            <w:tcW w:w="2693" w:type="dxa"/>
          </w:tcPr>
          <w:p>
            <w:pPr>
              <w:pStyle w:val="yTableNAm"/>
            </w:pPr>
            <w:r>
              <w:t>s. 321A</w:t>
            </w:r>
          </w:p>
        </w:tc>
        <w:tc>
          <w:tcPr>
            <w:tcW w:w="4253" w:type="dxa"/>
            <w:gridSpan w:val="2"/>
          </w:tcPr>
          <w:p>
            <w:pPr>
              <w:pStyle w:val="yTableNAm"/>
              <w:keepLines/>
              <w:ind w:left="-26"/>
            </w:pPr>
            <w:r>
              <w:t>Persistent sexual conduct with child under 16 (if the offence does not include a sexual act on any occasion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NAm"/>
            </w:pPr>
            <w:r>
              <w:t>s. 322</w:t>
            </w:r>
          </w:p>
        </w:tc>
        <w:tc>
          <w:tcPr>
            <w:tcW w:w="4253" w:type="dxa"/>
            <w:gridSpan w:val="2"/>
          </w:tcPr>
          <w:p>
            <w:pPr>
              <w:pStyle w:val="yTableNAm"/>
              <w:ind w:left="-26"/>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NAm"/>
            </w:pPr>
            <w:r>
              <w:t>s. 323</w:t>
            </w:r>
          </w:p>
        </w:tc>
        <w:tc>
          <w:tcPr>
            <w:tcW w:w="4253" w:type="dxa"/>
            <w:gridSpan w:val="2"/>
          </w:tcPr>
          <w:p>
            <w:pPr>
              <w:pStyle w:val="yTableNAm"/>
              <w:ind w:left="-26"/>
            </w:pPr>
            <w:r>
              <w:t>Indecent assault</w:t>
            </w:r>
          </w:p>
        </w:tc>
      </w:tr>
      <w:tr>
        <w:tblPrEx>
          <w:tblBorders>
            <w:top w:val="none" w:sz="0" w:space="0" w:color="auto"/>
            <w:bottom w:val="none" w:sz="0" w:space="0" w:color="auto"/>
          </w:tblBorders>
        </w:tblPrEx>
        <w:trPr>
          <w:trHeight w:val="360"/>
        </w:trPr>
        <w:tc>
          <w:tcPr>
            <w:tcW w:w="2693" w:type="dxa"/>
          </w:tcPr>
          <w:p>
            <w:pPr>
              <w:pStyle w:val="yTableNAm"/>
            </w:pPr>
            <w:r>
              <w:t>s. 324</w:t>
            </w:r>
          </w:p>
        </w:tc>
        <w:tc>
          <w:tcPr>
            <w:tcW w:w="4253" w:type="dxa"/>
            <w:gridSpan w:val="2"/>
          </w:tcPr>
          <w:p>
            <w:pPr>
              <w:pStyle w:val="yTableNAm"/>
              <w:ind w:left="-26"/>
            </w:pPr>
            <w:r>
              <w:t>Aggravated indecent assault</w:t>
            </w:r>
          </w:p>
        </w:tc>
      </w:tr>
      <w:tr>
        <w:tblPrEx>
          <w:tblBorders>
            <w:top w:val="none" w:sz="0" w:space="0" w:color="auto"/>
            <w:bottom w:val="none" w:sz="0" w:space="0" w:color="auto"/>
          </w:tblBorders>
        </w:tblPrEx>
        <w:trPr>
          <w:trHeight w:val="360"/>
        </w:trPr>
        <w:tc>
          <w:tcPr>
            <w:tcW w:w="2693" w:type="dxa"/>
          </w:tcPr>
          <w:p>
            <w:pPr>
              <w:pStyle w:val="yTableNAm"/>
            </w:pPr>
            <w:r>
              <w:t>s. 325</w:t>
            </w:r>
          </w:p>
        </w:tc>
        <w:tc>
          <w:tcPr>
            <w:tcW w:w="4253" w:type="dxa"/>
            <w:gridSpan w:val="2"/>
          </w:tcPr>
          <w:p>
            <w:pPr>
              <w:pStyle w:val="yTableNAm"/>
              <w:ind w:left="-26"/>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326</w:t>
            </w:r>
          </w:p>
        </w:tc>
        <w:tc>
          <w:tcPr>
            <w:tcW w:w="4253" w:type="dxa"/>
            <w:gridSpan w:val="2"/>
          </w:tcPr>
          <w:p>
            <w:pPr>
              <w:pStyle w:val="yTableNAm"/>
              <w:ind w:left="-26"/>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NAm"/>
            </w:pPr>
            <w:r>
              <w:t>s. 327</w:t>
            </w:r>
          </w:p>
        </w:tc>
        <w:tc>
          <w:tcPr>
            <w:tcW w:w="4253" w:type="dxa"/>
            <w:gridSpan w:val="2"/>
          </w:tcPr>
          <w:p>
            <w:pPr>
              <w:pStyle w:val="yTableNAm"/>
              <w:ind w:left="-26"/>
            </w:pPr>
            <w:r>
              <w:t>Sexual coercion</w:t>
            </w:r>
          </w:p>
        </w:tc>
      </w:tr>
      <w:tr>
        <w:tblPrEx>
          <w:tblBorders>
            <w:top w:val="none" w:sz="0" w:space="0" w:color="auto"/>
            <w:bottom w:val="none" w:sz="0" w:space="0" w:color="auto"/>
          </w:tblBorders>
        </w:tblPrEx>
        <w:trPr>
          <w:trHeight w:val="360"/>
        </w:trPr>
        <w:tc>
          <w:tcPr>
            <w:tcW w:w="2693" w:type="dxa"/>
          </w:tcPr>
          <w:p>
            <w:pPr>
              <w:pStyle w:val="yTableNAm"/>
            </w:pPr>
            <w:r>
              <w:t>s. 328</w:t>
            </w:r>
          </w:p>
        </w:tc>
        <w:tc>
          <w:tcPr>
            <w:tcW w:w="4253" w:type="dxa"/>
            <w:gridSpan w:val="2"/>
          </w:tcPr>
          <w:p>
            <w:pPr>
              <w:pStyle w:val="yTableNAm"/>
              <w:ind w:left="-26"/>
            </w:pPr>
            <w:r>
              <w:t>Aggravated sexual coercion</w:t>
            </w:r>
          </w:p>
        </w:tc>
      </w:tr>
      <w:tr>
        <w:tblPrEx>
          <w:tblBorders>
            <w:top w:val="none" w:sz="0" w:space="0" w:color="auto"/>
            <w:bottom w:val="none" w:sz="0" w:space="0" w:color="auto"/>
          </w:tblBorders>
        </w:tblPrEx>
        <w:trPr>
          <w:trHeight w:val="360"/>
        </w:trPr>
        <w:tc>
          <w:tcPr>
            <w:tcW w:w="2693" w:type="dxa"/>
          </w:tcPr>
          <w:p>
            <w:pPr>
              <w:pStyle w:val="yTableNAm"/>
            </w:pPr>
            <w:r>
              <w:t>s. 329(2)</w:t>
            </w:r>
          </w:p>
        </w:tc>
        <w:tc>
          <w:tcPr>
            <w:tcW w:w="4253" w:type="dxa"/>
            <w:gridSpan w:val="2"/>
          </w:tcPr>
          <w:p>
            <w:pPr>
              <w:pStyle w:val="yTableNAm"/>
              <w:ind w:left="-26"/>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329(3)</w:t>
            </w:r>
          </w:p>
        </w:tc>
        <w:tc>
          <w:tcPr>
            <w:tcW w:w="4253" w:type="dxa"/>
            <w:gridSpan w:val="2"/>
          </w:tcPr>
          <w:p>
            <w:pPr>
              <w:pStyle w:val="yTableNAm"/>
              <w:ind w:left="-26"/>
            </w:pPr>
            <w:r>
              <w:t>Procuring, inciting or encouraging child known to be lineal relative or de facto child to engage in sexual behaviour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329(4)</w:t>
            </w:r>
          </w:p>
        </w:tc>
        <w:tc>
          <w:tcPr>
            <w:tcW w:w="4253" w:type="dxa"/>
            <w:gridSpan w:val="2"/>
          </w:tcPr>
          <w:p>
            <w:pPr>
              <w:pStyle w:val="yTableNAm"/>
              <w:ind w:left="-26"/>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329(5)</w:t>
            </w:r>
          </w:p>
        </w:tc>
        <w:tc>
          <w:tcPr>
            <w:tcW w:w="4253" w:type="dxa"/>
            <w:gridSpan w:val="2"/>
          </w:tcPr>
          <w:p>
            <w:pPr>
              <w:pStyle w:val="yTableNAm"/>
              <w:ind w:left="-26"/>
            </w:pPr>
            <w:r>
              <w:t>Procuring, inciting or encouraging child known to be lineal relative or de facto child to  do indecent act</w:t>
            </w:r>
          </w:p>
        </w:tc>
      </w:tr>
      <w:tr>
        <w:tblPrEx>
          <w:tblBorders>
            <w:top w:val="none" w:sz="0" w:space="0" w:color="auto"/>
            <w:bottom w:val="none" w:sz="0" w:space="0" w:color="auto"/>
          </w:tblBorders>
        </w:tblPrEx>
        <w:trPr>
          <w:trHeight w:val="360"/>
        </w:trPr>
        <w:tc>
          <w:tcPr>
            <w:tcW w:w="2693" w:type="dxa"/>
          </w:tcPr>
          <w:p>
            <w:pPr>
              <w:pStyle w:val="yTableNAm"/>
            </w:pPr>
            <w:r>
              <w:t>s. 329(6)</w:t>
            </w:r>
          </w:p>
        </w:tc>
        <w:tc>
          <w:tcPr>
            <w:tcW w:w="4253" w:type="dxa"/>
            <w:gridSpan w:val="2"/>
          </w:tcPr>
          <w:p>
            <w:pPr>
              <w:pStyle w:val="yTableNAm"/>
              <w:ind w:left="-26"/>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NAm"/>
            </w:pPr>
            <w:r>
              <w:t>s. 330</w:t>
            </w:r>
          </w:p>
        </w:tc>
        <w:tc>
          <w:tcPr>
            <w:tcW w:w="4253" w:type="dxa"/>
            <w:gridSpan w:val="2"/>
          </w:tcPr>
          <w:p>
            <w:pPr>
              <w:pStyle w:val="yTableNAm"/>
              <w:ind w:left="-26"/>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NAm"/>
            </w:pPr>
            <w:r>
              <w:t>s. 331B</w:t>
            </w:r>
          </w:p>
        </w:tc>
        <w:tc>
          <w:tcPr>
            <w:tcW w:w="4253" w:type="dxa"/>
            <w:gridSpan w:val="2"/>
          </w:tcPr>
          <w:p>
            <w:pPr>
              <w:pStyle w:val="yTableNAm"/>
            </w:pPr>
            <w:r>
              <w:t>Sexual servitude</w:t>
            </w:r>
          </w:p>
        </w:tc>
      </w:tr>
      <w:tr>
        <w:tblPrEx>
          <w:tblBorders>
            <w:top w:val="none" w:sz="0" w:space="0" w:color="auto"/>
            <w:bottom w:val="none" w:sz="0" w:space="0" w:color="auto"/>
          </w:tblBorders>
        </w:tblPrEx>
        <w:trPr>
          <w:cantSplit/>
          <w:trHeight w:val="360"/>
        </w:trPr>
        <w:tc>
          <w:tcPr>
            <w:tcW w:w="2693" w:type="dxa"/>
          </w:tcPr>
          <w:p>
            <w:pPr>
              <w:pStyle w:val="yTableNAm"/>
            </w:pPr>
            <w:r>
              <w:t>s. 331C</w:t>
            </w:r>
          </w:p>
        </w:tc>
        <w:tc>
          <w:tcPr>
            <w:tcW w:w="4253" w:type="dxa"/>
            <w:gridSpan w:val="2"/>
          </w:tcPr>
          <w:p>
            <w:pPr>
              <w:pStyle w:val="yTableNAm"/>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NAm"/>
            </w:pPr>
            <w:r>
              <w:t>s. 331D</w:t>
            </w:r>
          </w:p>
        </w:tc>
        <w:tc>
          <w:tcPr>
            <w:tcW w:w="4253" w:type="dxa"/>
            <w:gridSpan w:val="2"/>
          </w:tcPr>
          <w:p>
            <w:pPr>
              <w:pStyle w:val="yTableNAm"/>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NAm"/>
            </w:pPr>
            <w:r>
              <w:t>s. 332</w:t>
            </w:r>
          </w:p>
        </w:tc>
        <w:tc>
          <w:tcPr>
            <w:tcW w:w="4253" w:type="dxa"/>
            <w:gridSpan w:val="2"/>
          </w:tcPr>
          <w:p>
            <w:pPr>
              <w:pStyle w:val="yTableNAm"/>
            </w:pPr>
            <w:r>
              <w:t>Kidnapping</w:t>
            </w:r>
          </w:p>
        </w:tc>
      </w:tr>
      <w:tr>
        <w:tblPrEx>
          <w:tblBorders>
            <w:top w:val="none" w:sz="0" w:space="0" w:color="auto"/>
            <w:bottom w:val="none" w:sz="0" w:space="0" w:color="auto"/>
          </w:tblBorders>
        </w:tblPrEx>
        <w:trPr>
          <w:trHeight w:val="360"/>
        </w:trPr>
        <w:tc>
          <w:tcPr>
            <w:tcW w:w="2693" w:type="dxa"/>
          </w:tcPr>
          <w:p>
            <w:pPr>
              <w:pStyle w:val="yTableNAm"/>
            </w:pPr>
            <w:r>
              <w:t>s. 343</w:t>
            </w:r>
          </w:p>
        </w:tc>
        <w:tc>
          <w:tcPr>
            <w:tcW w:w="4253" w:type="dxa"/>
            <w:gridSpan w:val="2"/>
          </w:tcPr>
          <w:p>
            <w:pPr>
              <w:pStyle w:val="yTableNAm"/>
            </w:pPr>
            <w:r>
              <w:t>Child stealing</w:t>
            </w:r>
          </w:p>
        </w:tc>
      </w:tr>
      <w:tr>
        <w:tblPrEx>
          <w:tblBorders>
            <w:top w:val="none" w:sz="0" w:space="0" w:color="auto"/>
            <w:bottom w:val="none" w:sz="0" w:space="0" w:color="auto"/>
          </w:tblBorders>
        </w:tblPrEx>
        <w:trPr>
          <w:trHeight w:val="360"/>
        </w:trPr>
        <w:tc>
          <w:tcPr>
            <w:tcW w:w="2693" w:type="dxa"/>
          </w:tcPr>
          <w:p>
            <w:pPr>
              <w:pStyle w:val="yTableNAm"/>
              <w:rPr>
                <w:i/>
              </w:rPr>
            </w:pPr>
            <w:r>
              <w:rPr>
                <w:i/>
              </w:rPr>
              <w:t>Classification (Publications, Films and Computer Games) Enforcement Act 1996</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the deleted s. 60</w:t>
            </w:r>
          </w:p>
        </w:tc>
        <w:tc>
          <w:tcPr>
            <w:tcW w:w="4253" w:type="dxa"/>
            <w:gridSpan w:val="2"/>
          </w:tcPr>
          <w:p>
            <w:pPr>
              <w:pStyle w:val="yTableNAm"/>
            </w:pPr>
            <w:r>
              <w:t>Child pornography</w:t>
            </w: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NAm"/>
              <w:rPr>
                <w:b/>
                <w:bCs/>
              </w:rPr>
            </w:pPr>
            <w:r>
              <w:rPr>
                <w:i/>
              </w:rPr>
              <w:t>Misuse of Drugs Act 1981</w:t>
            </w:r>
          </w:p>
        </w:tc>
        <w:tc>
          <w:tcPr>
            <w:tcW w:w="4253" w:type="dxa"/>
            <w:gridSpan w:val="2"/>
          </w:tcPr>
          <w:p>
            <w:pPr>
              <w:pStyle w:val="THeadingAmNote"/>
              <w:keepNext w:val="0"/>
              <w:jc w:val="left"/>
              <w:rPr>
                <w:b w:val="0"/>
                <w:bCs/>
              </w:rPr>
            </w:pPr>
          </w:p>
        </w:tc>
      </w:tr>
      <w:tr>
        <w:tblPrEx>
          <w:tblBorders>
            <w:top w:val="none" w:sz="0" w:space="0" w:color="auto"/>
            <w:bottom w:val="none" w:sz="0" w:space="0" w:color="auto"/>
          </w:tblBorders>
        </w:tblPrEx>
        <w:trPr>
          <w:trHeight w:val="360"/>
        </w:trPr>
        <w:tc>
          <w:tcPr>
            <w:tcW w:w="2693" w:type="dxa"/>
          </w:tcPr>
          <w:p>
            <w:pPr>
              <w:pStyle w:val="yTableNAm"/>
            </w:pPr>
            <w:r>
              <w:t>s. 7B(4)</w:t>
            </w:r>
          </w:p>
        </w:tc>
        <w:tc>
          <w:tcPr>
            <w:tcW w:w="4253" w:type="dxa"/>
            <w:gridSpan w:val="2"/>
          </w:tcPr>
          <w:p>
            <w:pPr>
              <w:pStyle w:val="yTableNAm"/>
            </w:pPr>
            <w:r>
              <w:t>Selling drug paraphernalia to a child</w:t>
            </w:r>
          </w:p>
        </w:tc>
      </w:tr>
      <w:tr>
        <w:tblPrEx>
          <w:tblBorders>
            <w:top w:val="none" w:sz="0" w:space="0" w:color="auto"/>
            <w:bottom w:val="none" w:sz="0" w:space="0" w:color="auto"/>
          </w:tblBorders>
        </w:tblPrEx>
        <w:trPr>
          <w:trHeight w:val="360"/>
        </w:trPr>
        <w:tc>
          <w:tcPr>
            <w:tcW w:w="2693" w:type="dxa"/>
          </w:tcPr>
          <w:p>
            <w:pPr>
              <w:pStyle w:val="yTableNAm"/>
              <w:rPr>
                <w:b/>
                <w:bCs/>
              </w:rPr>
            </w:pPr>
            <w:r>
              <w:t>s. 19B(2)</w:t>
            </w:r>
          </w:p>
        </w:tc>
        <w:tc>
          <w:tcPr>
            <w:tcW w:w="4253" w:type="dxa"/>
            <w:gridSpan w:val="2"/>
          </w:tcPr>
          <w:p>
            <w:pPr>
              <w:pStyle w:val="yTableNAm"/>
              <w:rPr>
                <w:b/>
                <w:bCs/>
              </w:rPr>
            </w:pPr>
            <w:r>
              <w:t>Selling, or offering to sell, ice pipe to child</w:t>
            </w:r>
          </w:p>
        </w:tc>
      </w:tr>
      <w:tr>
        <w:tblPrEx>
          <w:tblBorders>
            <w:top w:val="none" w:sz="0" w:space="0" w:color="auto"/>
            <w:bottom w:val="none" w:sz="0" w:space="0" w:color="auto"/>
          </w:tblBorders>
        </w:tblPrEx>
        <w:trPr>
          <w:trHeight w:val="360"/>
        </w:trPr>
        <w:tc>
          <w:tcPr>
            <w:tcW w:w="2693" w:type="dxa"/>
          </w:tcPr>
          <w:p>
            <w:pPr>
              <w:pStyle w:val="yTableNAm"/>
              <w:rPr>
                <w:i/>
              </w:rPr>
            </w:pPr>
            <w:r>
              <w:rPr>
                <w:i/>
              </w:rPr>
              <w:t>Prostitution Act 2000</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16</w:t>
            </w:r>
          </w:p>
        </w:tc>
        <w:tc>
          <w:tcPr>
            <w:tcW w:w="4253" w:type="dxa"/>
            <w:gridSpan w:val="2"/>
          </w:tcPr>
          <w:p>
            <w:pPr>
              <w:pStyle w:val="yTableNAm"/>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NAm"/>
            </w:pPr>
            <w:r>
              <w:t>s. 17</w:t>
            </w:r>
          </w:p>
        </w:tc>
        <w:tc>
          <w:tcPr>
            <w:tcW w:w="4253" w:type="dxa"/>
            <w:gridSpan w:val="2"/>
          </w:tcPr>
          <w:p>
            <w:pPr>
              <w:pStyle w:val="yTableNAm"/>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NAm"/>
            </w:pPr>
            <w:r>
              <w:t>s. 18</w:t>
            </w:r>
          </w:p>
        </w:tc>
        <w:tc>
          <w:tcPr>
            <w:tcW w:w="4253" w:type="dxa"/>
            <w:gridSpan w:val="2"/>
          </w:tcPr>
          <w:p>
            <w:pPr>
              <w:pStyle w:val="yTableNAm"/>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NAm"/>
            </w:pPr>
            <w:r>
              <w:rPr>
                <w:i/>
              </w:rPr>
              <w:t>Children and Community Services Act 2004</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101</w:t>
            </w:r>
          </w:p>
        </w:tc>
        <w:tc>
          <w:tcPr>
            <w:tcW w:w="4253" w:type="dxa"/>
            <w:gridSpan w:val="2"/>
          </w:tcPr>
          <w:p>
            <w:pPr>
              <w:pStyle w:val="yTableNAm"/>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NAm"/>
            </w:pPr>
            <w:r>
              <w:t>s. 102</w:t>
            </w:r>
          </w:p>
        </w:tc>
        <w:tc>
          <w:tcPr>
            <w:tcW w:w="4253" w:type="dxa"/>
            <w:gridSpan w:val="2"/>
          </w:tcPr>
          <w:p>
            <w:pPr>
              <w:pStyle w:val="yTableNAm"/>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NAm"/>
            </w:pPr>
            <w:r>
              <w:t>s. 192</w:t>
            </w:r>
          </w:p>
        </w:tc>
        <w:tc>
          <w:tcPr>
            <w:tcW w:w="4253" w:type="dxa"/>
            <w:gridSpan w:val="2"/>
          </w:tcPr>
          <w:p>
            <w:pPr>
              <w:pStyle w:val="yTableNAm"/>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NAm"/>
              <w:keepNext/>
              <w:keepLines/>
            </w:pPr>
            <w:r>
              <w:rPr>
                <w:i/>
                <w:iCs/>
                <w:szCs w:val="22"/>
              </w:rPr>
              <w:t>Misuse of Drugs Act 1981</w:t>
            </w:r>
          </w:p>
        </w:tc>
        <w:tc>
          <w:tcPr>
            <w:tcW w:w="4253" w:type="dxa"/>
            <w:gridSpan w:val="2"/>
          </w:tcPr>
          <w:p>
            <w:pPr>
              <w:pStyle w:val="yTableNAm"/>
              <w:keepNext/>
              <w:keepLines/>
            </w:pPr>
          </w:p>
        </w:tc>
      </w:tr>
      <w:tr>
        <w:tblPrEx>
          <w:tblBorders>
            <w:top w:val="none" w:sz="0" w:space="0" w:color="auto"/>
            <w:bottom w:val="none" w:sz="0" w:space="0" w:color="auto"/>
          </w:tblBorders>
        </w:tblPrEx>
        <w:trPr>
          <w:trHeight w:val="360"/>
        </w:trPr>
        <w:tc>
          <w:tcPr>
            <w:tcW w:w="2693" w:type="dxa"/>
          </w:tcPr>
          <w:p>
            <w:pPr>
              <w:pStyle w:val="THeadingAmNote"/>
              <w:jc w:val="left"/>
              <w:rPr>
                <w:rFonts w:ascii="Times New Roman" w:hAnsi="Times New Roman"/>
                <w:b w:val="0"/>
                <w:sz w:val="22"/>
              </w:rPr>
            </w:pPr>
            <w:r>
              <w:rPr>
                <w:rFonts w:ascii="Times New Roman" w:hAnsi="Times New Roman"/>
                <w:b w:val="0"/>
                <w:sz w:val="22"/>
              </w:rPr>
              <w:t>s. 19A(2)</w:t>
            </w:r>
          </w:p>
        </w:tc>
        <w:tc>
          <w:tcPr>
            <w:tcW w:w="4253" w:type="dxa"/>
            <w:gridSpan w:val="2"/>
          </w:tcPr>
          <w:p>
            <w:pPr>
              <w:pStyle w:val="THeadingAmNote"/>
              <w:jc w:val="left"/>
            </w:pPr>
            <w:r>
              <w:rPr>
                <w:rFonts w:ascii="Times New Roman" w:hAnsi="Times New Roman"/>
                <w:b w:val="0"/>
                <w:sz w:val="22"/>
              </w:rPr>
              <w:t>Selling, or offering to sell, cannabis smoking paraphernalia to a child</w:t>
            </w:r>
          </w:p>
        </w:tc>
      </w:tr>
      <w:tr>
        <w:tblPrEx>
          <w:tblBorders>
            <w:top w:val="none" w:sz="0" w:space="0" w:color="auto"/>
            <w:bottom w:val="none" w:sz="0" w:space="0" w:color="auto"/>
          </w:tblBorders>
        </w:tblPrEx>
        <w:trPr>
          <w:trHeight w:val="360"/>
        </w:trPr>
        <w:tc>
          <w:tcPr>
            <w:tcW w:w="2693" w:type="dxa"/>
          </w:tcPr>
          <w:p>
            <w:pPr>
              <w:pStyle w:val="yTableNAm"/>
              <w:keepNext/>
            </w:pPr>
            <w:r>
              <w:rPr>
                <w:i/>
              </w:rPr>
              <w:t>Crimes Act 1914</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Pr>
          <w:p>
            <w:pPr>
              <w:pStyle w:val="yTableNAm"/>
              <w:keepNext/>
            </w:pPr>
            <w:r>
              <w:t>s. 50BA</w:t>
            </w:r>
          </w:p>
        </w:tc>
        <w:tc>
          <w:tcPr>
            <w:tcW w:w="4253" w:type="dxa"/>
            <w:gridSpan w:val="2"/>
          </w:tcPr>
          <w:p>
            <w:pPr>
              <w:pStyle w:val="yTableNAm"/>
              <w:keepNext/>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50BB</w:t>
            </w:r>
          </w:p>
        </w:tc>
        <w:tc>
          <w:tcPr>
            <w:tcW w:w="4253" w:type="dxa"/>
            <w:gridSpan w:val="2"/>
          </w:tcPr>
          <w:p>
            <w:pPr>
              <w:pStyle w:val="yTableNAm"/>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NAm"/>
            </w:pPr>
            <w:r>
              <w:t>s. 50BC</w:t>
            </w:r>
          </w:p>
        </w:tc>
        <w:tc>
          <w:tcPr>
            <w:tcW w:w="4253" w:type="dxa"/>
            <w:gridSpan w:val="2"/>
          </w:tcPr>
          <w:p>
            <w:pPr>
              <w:pStyle w:val="yTableNAm"/>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NAm"/>
            </w:pPr>
            <w:r>
              <w:t>s. 50BD</w:t>
            </w:r>
          </w:p>
        </w:tc>
        <w:tc>
          <w:tcPr>
            <w:tcW w:w="4253" w:type="dxa"/>
            <w:gridSpan w:val="2"/>
          </w:tcPr>
          <w:p>
            <w:pPr>
              <w:pStyle w:val="yTableNAm"/>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NAm"/>
            </w:pPr>
            <w:r>
              <w:t>s. 50DA</w:t>
            </w:r>
          </w:p>
        </w:tc>
        <w:tc>
          <w:tcPr>
            <w:tcW w:w="4253" w:type="dxa"/>
            <w:gridSpan w:val="2"/>
          </w:tcPr>
          <w:p>
            <w:pPr>
              <w:pStyle w:val="yTableNAm"/>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NAm"/>
            </w:pPr>
            <w:r>
              <w:t>s. 50DB</w:t>
            </w:r>
          </w:p>
        </w:tc>
        <w:tc>
          <w:tcPr>
            <w:tcW w:w="4253" w:type="dxa"/>
            <w:gridSpan w:val="2"/>
          </w:tcPr>
          <w:p>
            <w:pPr>
              <w:pStyle w:val="yTableNAm"/>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NAm"/>
            </w:pPr>
            <w:r>
              <w:rPr>
                <w:i/>
              </w:rPr>
              <w:t>Criminal Code Act 1995</w:t>
            </w:r>
            <w:r>
              <w:t xml:space="preserve"> of the Commonwealth</w:t>
            </w:r>
          </w:p>
        </w:tc>
        <w:tc>
          <w:tcPr>
            <w:tcW w:w="4253" w:type="dxa"/>
            <w:gridSpan w:val="2"/>
          </w:tcPr>
          <w:p>
            <w:pPr>
              <w:pStyle w:val="yTableNAm"/>
            </w:pPr>
          </w:p>
        </w:tc>
      </w:tr>
      <w:tr>
        <w:tblPrEx>
          <w:tblBorders>
            <w:top w:val="none" w:sz="0" w:space="0" w:color="auto"/>
            <w:bottom w:val="none" w:sz="0" w:space="0" w:color="auto"/>
          </w:tblBorders>
        </w:tblPrEx>
        <w:trPr>
          <w:trHeight w:val="360"/>
        </w:trPr>
        <w:tc>
          <w:tcPr>
            <w:tcW w:w="2693" w:type="dxa"/>
          </w:tcPr>
          <w:p>
            <w:pPr>
              <w:pStyle w:val="yTableNAm"/>
            </w:pPr>
            <w:r>
              <w:t>s. 474.19</w:t>
            </w:r>
          </w:p>
        </w:tc>
        <w:tc>
          <w:tcPr>
            <w:tcW w:w="4253" w:type="dxa"/>
            <w:gridSpan w:val="2"/>
          </w:tcPr>
          <w:p>
            <w:pPr>
              <w:pStyle w:val="yTableNAm"/>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NAm"/>
            </w:pPr>
            <w:r>
              <w:t>s. 474.20</w:t>
            </w:r>
          </w:p>
        </w:tc>
        <w:tc>
          <w:tcPr>
            <w:tcW w:w="4253" w:type="dxa"/>
            <w:gridSpan w:val="2"/>
          </w:tcPr>
          <w:p>
            <w:pPr>
              <w:pStyle w:val="yTableNAm"/>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474.22</w:t>
            </w:r>
          </w:p>
        </w:tc>
        <w:tc>
          <w:tcPr>
            <w:tcW w:w="4253" w:type="dxa"/>
            <w:gridSpan w:val="2"/>
          </w:tcPr>
          <w:p>
            <w:pPr>
              <w:pStyle w:val="yTableNAm"/>
            </w:pPr>
            <w:r>
              <w:t>Using a carriage service for child abuse material</w:t>
            </w:r>
          </w:p>
        </w:tc>
      </w:tr>
      <w:tr>
        <w:tblPrEx>
          <w:tblBorders>
            <w:top w:val="none" w:sz="0" w:space="0" w:color="auto"/>
            <w:bottom w:val="none" w:sz="0" w:space="0" w:color="auto"/>
          </w:tblBorders>
        </w:tblPrEx>
        <w:trPr>
          <w:trHeight w:val="360"/>
        </w:trPr>
        <w:tc>
          <w:tcPr>
            <w:tcW w:w="2693" w:type="dxa"/>
          </w:tcPr>
          <w:p>
            <w:pPr>
              <w:pStyle w:val="yTableNAm"/>
            </w:pPr>
            <w:r>
              <w:t>s. 474.23</w:t>
            </w:r>
          </w:p>
        </w:tc>
        <w:tc>
          <w:tcPr>
            <w:tcW w:w="4253" w:type="dxa"/>
            <w:gridSpan w:val="2"/>
          </w:tcPr>
          <w:p>
            <w:pPr>
              <w:pStyle w:val="yTableNAm"/>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NAm"/>
            </w:pPr>
            <w:r>
              <w:t>s. 474.26</w:t>
            </w:r>
          </w:p>
        </w:tc>
        <w:tc>
          <w:tcPr>
            <w:tcW w:w="4253" w:type="dxa"/>
            <w:gridSpan w:val="2"/>
          </w:tcPr>
          <w:p>
            <w:pPr>
              <w:pStyle w:val="yTableNAm"/>
            </w:pPr>
            <w:r>
              <w:t>Using a carriage service to procure persons under 16</w:t>
            </w:r>
          </w:p>
        </w:tc>
      </w:tr>
      <w:tr>
        <w:tblPrEx>
          <w:tblBorders>
            <w:top w:val="none" w:sz="0" w:space="0" w:color="auto"/>
            <w:bottom w:val="none" w:sz="0" w:space="0" w:color="auto"/>
          </w:tblBorders>
        </w:tblPrEx>
        <w:trPr>
          <w:cantSplit/>
          <w:trHeight w:val="360"/>
        </w:trPr>
        <w:tc>
          <w:tcPr>
            <w:tcW w:w="2693" w:type="dxa"/>
          </w:tcPr>
          <w:p>
            <w:pPr>
              <w:pStyle w:val="yTableNAm"/>
            </w:pPr>
            <w:r>
              <w:t>s. 474.27</w:t>
            </w:r>
          </w:p>
        </w:tc>
        <w:tc>
          <w:tcPr>
            <w:tcW w:w="4253" w:type="dxa"/>
            <w:gridSpan w:val="2"/>
          </w:tcPr>
          <w:p>
            <w:pPr>
              <w:pStyle w:val="yTableNAm"/>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NAm"/>
              <w:keepNext/>
            </w:pPr>
            <w:r>
              <w:rPr>
                <w:i/>
              </w:rPr>
              <w:t>Customs Act 1901</w:t>
            </w:r>
            <w:r>
              <w:t xml:space="preserve"> of the Commonwealth</w:t>
            </w:r>
          </w:p>
        </w:tc>
        <w:tc>
          <w:tcPr>
            <w:tcW w:w="4253" w:type="dxa"/>
            <w:gridSpan w:val="2"/>
          </w:tcPr>
          <w:p>
            <w:pPr>
              <w:pStyle w:val="yTableNAm"/>
              <w:keepNext/>
            </w:pPr>
          </w:p>
        </w:tc>
      </w:tr>
      <w:tr>
        <w:tblPrEx>
          <w:tblBorders>
            <w:top w:val="none" w:sz="0" w:space="0" w:color="auto"/>
            <w:bottom w:val="none" w:sz="0" w:space="0" w:color="auto"/>
          </w:tblBorders>
        </w:tblPrEx>
        <w:trPr>
          <w:trHeight w:val="360"/>
        </w:trPr>
        <w:tc>
          <w:tcPr>
            <w:tcW w:w="2693" w:type="dxa"/>
            <w:tcBorders>
              <w:bottom w:val="single" w:sz="4" w:space="0" w:color="auto"/>
            </w:tcBorders>
          </w:tcPr>
          <w:p>
            <w:pPr>
              <w:pStyle w:val="yTableNAm"/>
              <w:keepNext/>
            </w:pPr>
            <w:r>
              <w:t>s. 233BAB</w:t>
            </w:r>
          </w:p>
        </w:tc>
        <w:tc>
          <w:tcPr>
            <w:tcW w:w="4253" w:type="dxa"/>
            <w:gridSpan w:val="2"/>
            <w:tcBorders>
              <w:bottom w:val="single" w:sz="4" w:space="0" w:color="auto"/>
            </w:tcBorders>
          </w:tcPr>
          <w:p>
            <w:pPr>
              <w:pStyle w:val="yTableNAm"/>
              <w:keepNext/>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 No. 27 of 2008 s. 13(3) and (4); No. 29 of 2008 s. 40; No. 8 of 2009 s. 140(3); No. 7 of 2010 s. 25; No. 21 of 2010 s. 15; No. 45 of 2010 s. 15; No. 50 of 2010 s. 6; No. 56 of 2011 s. 15.]</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110" w:name="_Toc525896811"/>
      <w:bookmarkStart w:id="111" w:name="_Toc525896963"/>
      <w:bookmarkStart w:id="112" w:name="_Toc525901124"/>
      <w:r>
        <w:t>Notes</w:t>
      </w:r>
      <w:bookmarkEnd w:id="110"/>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13" w:name="_Toc525901125"/>
      <w:r>
        <w:rPr>
          <w:snapToGrid w:val="0"/>
        </w:rPr>
        <w:t>Compilation table</w:t>
      </w:r>
      <w:bookmarkEnd w:id="113"/>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single" w:sz="4" w:space="0" w:color="auto"/>
            </w:tcBorders>
            <w:shd w:val="clear" w:color="auto" w:fill="auto"/>
          </w:tcPr>
          <w:p>
            <w:pPr>
              <w:pStyle w:val="nTable"/>
              <w:spacing w:after="40"/>
              <w:rPr>
                <w:snapToGrid w:val="0"/>
              </w:rPr>
            </w:pPr>
            <w:r>
              <w:t>18 of 2018</w:t>
            </w:r>
          </w:p>
        </w:tc>
        <w:tc>
          <w:tcPr>
            <w:tcW w:w="1134" w:type="dxa"/>
            <w:gridSpan w:val="2"/>
            <w:tcBorders>
              <w:top w:val="nil"/>
              <w:bottom w:val="single" w:sz="4" w:space="0" w:color="auto"/>
            </w:tcBorders>
            <w:shd w:val="clear" w:color="auto" w:fill="auto"/>
          </w:tcPr>
          <w:p>
            <w:pPr>
              <w:pStyle w:val="nTable"/>
              <w:spacing w:after="40"/>
            </w:pPr>
            <w:r>
              <w:t>7 Sep 2018</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1 Oct 2018 (see s. 2(b)(i))</w:t>
            </w:r>
          </w:p>
        </w:tc>
      </w:tr>
    </w:tbl>
    <w:p>
      <w:pPr>
        <w:pStyle w:val="nSubsection"/>
        <w:keepNext/>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14" w:name="_Toc525901126"/>
      <w:r>
        <w:rPr>
          <w:snapToGrid w:val="0"/>
        </w:rPr>
        <w:t>Provisions that have not come into operation</w:t>
      </w:r>
      <w:bookmarkEnd w:id="114"/>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492"/>
        <w:gridCol w:w="88"/>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 xml:space="preserve">Sch. 1 cl. 3) </w:t>
            </w:r>
            <w:r>
              <w:rPr>
                <w:iCs/>
                <w:noProof/>
                <w:snapToGrid w:val="0"/>
                <w:vertAlign w:val="superscript"/>
              </w:rPr>
              <w:t>2</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gridSpan w:val="2"/>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 </w:t>
            </w:r>
            <w:r>
              <w:rPr>
                <w:iCs/>
                <w:snapToGrid w:val="0"/>
                <w:vertAlign w:val="superscript"/>
              </w:rPr>
              <w:t>3</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88" w:type="dxa"/>
        </w:trPr>
        <w:tc>
          <w:tcPr>
            <w:tcW w:w="2267" w:type="dxa"/>
            <w:tcBorders>
              <w:top w:val="nil"/>
              <w:bottom w:val="single" w:sz="4" w:space="0" w:color="auto"/>
            </w:tcBorders>
          </w:tcPr>
          <w:p>
            <w:pPr>
              <w:pStyle w:val="nTable"/>
              <w:spacing w:after="40"/>
              <w:rPr>
                <w:vertAlign w:val="superscript"/>
              </w:rPr>
            </w:pPr>
            <w:r>
              <w:rPr>
                <w:i/>
              </w:rPr>
              <w:t xml:space="preserve">Historical Homosexual Convictions Expungement Act 2018 </w:t>
            </w:r>
            <w:r>
              <w:t>Pt. 5 </w:t>
            </w:r>
            <w:r>
              <w:rPr>
                <w:vertAlign w:val="superscript"/>
              </w:rPr>
              <w:t>5</w:t>
            </w:r>
          </w:p>
        </w:tc>
        <w:tc>
          <w:tcPr>
            <w:tcW w:w="1121" w:type="dxa"/>
            <w:tcBorders>
              <w:top w:val="nil"/>
              <w:bottom w:val="single" w:sz="4" w:space="0" w:color="auto"/>
            </w:tcBorders>
          </w:tcPr>
          <w:p>
            <w:pPr>
              <w:pStyle w:val="nTable"/>
              <w:spacing w:after="40"/>
            </w:pPr>
            <w:r>
              <w:t>20 of 2018</w:t>
            </w:r>
          </w:p>
        </w:tc>
        <w:tc>
          <w:tcPr>
            <w:tcW w:w="1121" w:type="dxa"/>
            <w:tcBorders>
              <w:top w:val="nil"/>
              <w:bottom w:val="single" w:sz="4" w:space="0" w:color="auto"/>
            </w:tcBorders>
          </w:tcPr>
          <w:p>
            <w:pPr>
              <w:pStyle w:val="nTable"/>
              <w:spacing w:after="40"/>
            </w:pPr>
            <w:r>
              <w:t>18 Sep 2018</w:t>
            </w:r>
          </w:p>
        </w:tc>
        <w:tc>
          <w:tcPr>
            <w:tcW w:w="2492" w:type="dxa"/>
            <w:tcBorders>
              <w:top w:val="nil"/>
              <w:bottom w:val="single" w:sz="4" w:space="0" w:color="auto"/>
            </w:tcBorders>
          </w:tcPr>
          <w:p>
            <w:pPr>
              <w:pStyle w:val="nTable"/>
              <w:spacing w:after="40"/>
            </w:pPr>
            <w:r>
              <w:t>To be proclaimed (see s. 2(b))</w:t>
            </w:r>
          </w:p>
        </w:tc>
      </w:tr>
    </w:tbl>
    <w:p>
      <w:pPr>
        <w:pStyle w:val="nSubsection"/>
        <w:keepNext/>
        <w:spacing w:before="160"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rPr>
        <w:t>Commissioner for Children and Young People Act 2006</w:t>
      </w:r>
      <w:r>
        <w:rPr>
          <w:snapToGrid w:val="0"/>
        </w:rPr>
        <w:t xml:space="preserve"> Sch. 1 cl. 3 had not come into operation. It reads as follows:</w:t>
      </w:r>
    </w:p>
    <w:p>
      <w:pPr>
        <w:pStyle w:val="BlankOpen"/>
        <w:keepLines w:val="0"/>
        <w:rPr>
          <w:sz w:val="16"/>
        </w:rPr>
      </w:pPr>
    </w:p>
    <w:p>
      <w:pPr>
        <w:pStyle w:val="nzHeading2"/>
        <w:spacing w:before="0"/>
      </w:pPr>
      <w:r>
        <w:rPr>
          <w:rStyle w:val="CharSchNo"/>
        </w:rPr>
        <w:t>Schedule 1</w:t>
      </w:r>
      <w:r>
        <w:rPr>
          <w:rStyle w:val="CharSDivNo"/>
        </w:rPr>
        <w:t> </w:t>
      </w:r>
      <w:r>
        <w:t>—</w:t>
      </w:r>
      <w:r>
        <w:rPr>
          <w:rStyle w:val="CharSDivText"/>
        </w:rPr>
        <w:t> </w:t>
      </w:r>
      <w:r>
        <w:rPr>
          <w:rStyle w:val="CharSchText"/>
        </w:rPr>
        <w:t>Consequential amendments</w:t>
      </w:r>
    </w:p>
    <w:p>
      <w:pPr>
        <w:pStyle w:val="nzMiscellaneousBody"/>
        <w:keepNext/>
        <w:jc w:val="right"/>
      </w:pPr>
      <w:r>
        <w:t>[s. 65]</w:t>
      </w:r>
    </w:p>
    <w:p>
      <w:pPr>
        <w:pStyle w:val="nzHeading5"/>
        <w:keepLines w:val="0"/>
        <w:spacing w:before="60"/>
      </w:pPr>
      <w:r>
        <w:rPr>
          <w:rStyle w:val="CharSClsNo"/>
        </w:rPr>
        <w:t>3</w:t>
      </w:r>
      <w:r>
        <w:t>.</w:t>
      </w:r>
      <w:r>
        <w:tab/>
      </w:r>
      <w:r>
        <w:rPr>
          <w:i/>
          <w:iCs/>
        </w:rPr>
        <w:t>Working with Children (Criminal Record Checking) Act 2004</w:t>
      </w:r>
      <w:r>
        <w:t xml:space="preserve"> amended</w:t>
      </w:r>
    </w:p>
    <w:p>
      <w:pPr>
        <w:pStyle w:val="nzSubsection"/>
        <w:keepNext/>
        <w:spacing w:before="40"/>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 xml:space="preserve">by deleting the definition of </w:t>
      </w:r>
      <w:r>
        <w:rPr>
          <w:b/>
          <w:bCs/>
          <w:i/>
          <w:iCs/>
        </w:rPr>
        <w:t>CEO</w:t>
      </w:r>
      <w:r>
        <w:t>;</w:t>
      </w:r>
    </w:p>
    <w:p>
      <w:pPr>
        <w:pStyle w:val="nzIndenta"/>
      </w:pPr>
      <w:r>
        <w:tab/>
        <w:t>(b)</w:t>
      </w:r>
      <w:r>
        <w:tab/>
        <w:t xml:space="preserve">by deleting the definition of </w:t>
      </w:r>
      <w:r>
        <w:rPr>
          <w:b/>
          <w:bCs/>
          <w:i/>
          <w:iCs/>
        </w:rPr>
        <w:t>Commissioner</w:t>
      </w:r>
      <w:r>
        <w:t xml:space="preserve"> and inserting instead — </w:t>
      </w:r>
    </w:p>
    <w:p>
      <w:pPr>
        <w:pStyle w:val="MiscOpen"/>
        <w:ind w:left="880"/>
      </w:pPr>
      <w:r>
        <w:t xml:space="preserve">“    </w:t>
      </w:r>
    </w:p>
    <w:p>
      <w:pPr>
        <w:pStyle w:val="nzDefstart"/>
      </w:pPr>
      <w:r>
        <w:rPr>
          <w:b/>
          <w:bCs/>
          <w:i/>
          <w:iCs/>
        </w:rPr>
        <w:tab/>
        <w:t>Commissioner</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keepNext/>
      </w:pPr>
      <w:r>
        <w:tab/>
        <w:t>(c)</w:t>
      </w:r>
      <w:r>
        <w:tab/>
        <w:t xml:space="preserve">by inserting in the appropriate alphabetical position — </w:t>
      </w:r>
    </w:p>
    <w:p>
      <w:pPr>
        <w:pStyle w:val="MiscOpen"/>
        <w:ind w:left="880"/>
      </w:pPr>
      <w:r>
        <w:t xml:space="preserve">“    </w:t>
      </w:r>
    </w:p>
    <w:p>
      <w:pPr>
        <w:pStyle w:val="nzDefstart"/>
      </w:pPr>
      <w:r>
        <w:rPr>
          <w:b/>
          <w:bCs/>
          <w:i/>
          <w:iCs/>
        </w:rPr>
        <w:tab/>
        <w:t>Commissioner for Police</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Commissioner    ”.</w:t>
      </w:r>
    </w:p>
    <w:p>
      <w:pPr>
        <w:pStyle w:val="nzSubsection"/>
      </w:pPr>
      <w:r>
        <w:tab/>
        <w:t>(4)</w:t>
      </w:r>
      <w:r>
        <w:tab/>
        <w:t xml:space="preserve">Section 17(1) is amended by inserting after “Commissioner” in both places where it occurs — </w:t>
      </w:r>
    </w:p>
    <w:p>
      <w:pPr>
        <w:pStyle w:val="nzSubsection"/>
      </w:pPr>
      <w:r>
        <w:tab/>
      </w:r>
      <w:r>
        <w:tab/>
        <w:t>“    of Police    ”.</w:t>
      </w:r>
    </w:p>
    <w:p>
      <w:pPr>
        <w:pStyle w:val="nzSubsection"/>
      </w:pPr>
      <w:r>
        <w:tab/>
        <w:t>(5)</w:t>
      </w:r>
      <w:r>
        <w:tab/>
        <w:t xml:space="preserve">Section 17(2) is amended by inserting after “Commissioner” — </w:t>
      </w:r>
    </w:p>
    <w:p>
      <w:pPr>
        <w:pStyle w:val="nzSubsection"/>
      </w:pPr>
      <w:r>
        <w:tab/>
      </w:r>
      <w:r>
        <w:tab/>
        <w:t>“    of Police    ”.</w:t>
      </w:r>
    </w:p>
    <w:p>
      <w:pPr>
        <w:pStyle w:val="nzSubsection"/>
      </w:pPr>
      <w:r>
        <w:tab/>
        <w:t>(6)</w:t>
      </w:r>
      <w:r>
        <w:tab/>
        <w:t xml:space="preserve">Section 34(1) is amended in paragraph (b) of the definition of </w:t>
      </w:r>
      <w:r>
        <w:rPr>
          <w:b/>
          <w:bCs/>
          <w:i/>
          <w:iCs/>
        </w:rPr>
        <w:t>authorised person</w:t>
      </w:r>
      <w:r>
        <w:t xml:space="preserve"> by inserting after “Commissioner” — </w:t>
      </w:r>
    </w:p>
    <w:p>
      <w:pPr>
        <w:pStyle w:val="nzSubsection"/>
      </w:pPr>
      <w:r>
        <w:tab/>
      </w:r>
      <w:r>
        <w:tab/>
        <w:t>“    of Police    ”.</w:t>
      </w:r>
    </w:p>
    <w:p>
      <w:pPr>
        <w:pStyle w:val="nzSubsection"/>
        <w:keepNext/>
      </w:pPr>
      <w:r>
        <w:tab/>
        <w:t>(7)</w:t>
      </w:r>
      <w:r>
        <w:tab/>
        <w:t xml:space="preserve">Section 34(3) is amended by inserting after “Commissioner” in both places where it occurs — </w:t>
      </w:r>
    </w:p>
    <w:p>
      <w:pPr>
        <w:pStyle w:val="nzSubsection"/>
      </w:pPr>
      <w:r>
        <w:tab/>
      </w:r>
      <w:r>
        <w:tab/>
        <w:t>“    of Police    ”.</w:t>
      </w:r>
    </w:p>
    <w:p>
      <w:pPr>
        <w:pStyle w:val="nzSubsection"/>
        <w:keepNext/>
        <w:keepLines/>
      </w:pPr>
      <w:r>
        <w:tab/>
        <w:t>(8)</w:t>
      </w:r>
      <w:r>
        <w:tab/>
        <w:t xml:space="preserve">The provisions mentioned in the Table to this subclause are amended by deleting “CEO” in each place where it occurs and inserting instead — </w:t>
      </w:r>
    </w:p>
    <w:p>
      <w:pPr>
        <w:pStyle w:val="nzSubsection"/>
        <w:keepNext/>
        <w:keepLines/>
      </w:pPr>
      <w:r>
        <w:tab/>
      </w:r>
      <w:r>
        <w:tab/>
        <w:t>“    Commissioner    ”.</w:t>
      </w:r>
    </w:p>
    <w:p>
      <w:pPr>
        <w:pStyle w:val="nzMiscellaneousHeading"/>
        <w:keepLines/>
      </w:pPr>
      <w:r>
        <w:rPr>
          <w:b/>
          <w:sz w:val="22"/>
        </w:rPr>
        <w:t>Table</w:t>
      </w:r>
    </w:p>
    <w:tbl>
      <w:tblPr>
        <w:tblW w:w="0" w:type="auto"/>
        <w:tblInd w:w="1419" w:type="dxa"/>
        <w:tblLayout w:type="fixed"/>
        <w:tblLook w:val="0000" w:firstRow="0" w:lastRow="0" w:firstColumn="0" w:lastColumn="0" w:noHBand="0" w:noVBand="0"/>
      </w:tblPr>
      <w:tblGrid>
        <w:gridCol w:w="2907"/>
        <w:gridCol w:w="2565"/>
      </w:tblGrid>
      <w:tr>
        <w:trPr>
          <w:tblHeader/>
        </w:trPr>
        <w:tc>
          <w:tcPr>
            <w:tcW w:w="2907" w:type="dxa"/>
          </w:tcPr>
          <w:p>
            <w:pPr>
              <w:pStyle w:val="nzTable"/>
              <w:keepNext/>
              <w:keepLines/>
            </w:pPr>
            <w:r>
              <w:t>s. 3</w:t>
            </w:r>
          </w:p>
        </w:tc>
        <w:tc>
          <w:tcPr>
            <w:tcW w:w="2565" w:type="dxa"/>
          </w:tcPr>
          <w:p>
            <w:pPr>
              <w:pStyle w:val="nzTable"/>
              <w:keepNext/>
              <w:keepLines/>
            </w:pPr>
            <w:r>
              <w:t>s. 26(1) and (2)</w:t>
            </w:r>
          </w:p>
        </w:tc>
      </w:tr>
      <w:tr>
        <w:tc>
          <w:tcPr>
            <w:tcW w:w="2907" w:type="dxa"/>
          </w:tcPr>
          <w:p>
            <w:pPr>
              <w:pStyle w:val="nzTable"/>
              <w:keepNext/>
              <w:keepLines/>
            </w:pPr>
            <w:r>
              <w:t xml:space="preserve">s. 4 (definitions of </w:t>
            </w:r>
            <w:r>
              <w:rPr>
                <w:b/>
                <w:bCs/>
                <w:i/>
                <w:iCs/>
              </w:rPr>
              <w:t>approved</w:t>
            </w:r>
            <w:r>
              <w:t xml:space="preserve">, </w:t>
            </w:r>
            <w:r>
              <w:rPr>
                <w:b/>
                <w:bCs/>
                <w:i/>
                <w:iCs/>
              </w:rPr>
              <w:t>assessment notice</w:t>
            </w:r>
            <w:r>
              <w:t xml:space="preserve">, </w:t>
            </w:r>
            <w:r>
              <w:rPr>
                <w:b/>
                <w:bCs/>
                <w:i/>
                <w:iCs/>
              </w:rPr>
              <w:t>criminal record check</w:t>
            </w:r>
            <w:r>
              <w:t xml:space="preserve">, </w:t>
            </w:r>
            <w:r>
              <w:rPr>
                <w:b/>
                <w:bCs/>
                <w:i/>
                <w:iCs/>
              </w:rPr>
              <w:t>interim negative notice</w:t>
            </w:r>
            <w:r>
              <w:t xml:space="preserve">, </w:t>
            </w:r>
            <w:r>
              <w:rPr>
                <w:b/>
                <w:bCs/>
                <w:i/>
                <w:iCs/>
              </w:rPr>
              <w:t>negative notice</w:t>
            </w:r>
            <w:r>
              <w:t>)</w:t>
            </w:r>
          </w:p>
        </w:tc>
        <w:tc>
          <w:tcPr>
            <w:tcW w:w="2565" w:type="dxa"/>
          </w:tcPr>
          <w:p>
            <w:pPr>
              <w:pStyle w:val="nzTable"/>
              <w:keepNext/>
              <w:keepLines/>
            </w:pPr>
            <w:r>
              <w:t>s. 28(1) and (2)</w:t>
            </w:r>
          </w:p>
        </w:tc>
      </w:tr>
      <w:tr>
        <w:tc>
          <w:tcPr>
            <w:tcW w:w="2907" w:type="dxa"/>
          </w:tcPr>
          <w:p>
            <w:pPr>
              <w:pStyle w:val="nzTable"/>
            </w:pPr>
            <w:r>
              <w:t>s. 6(1)(b)</w:t>
            </w:r>
          </w:p>
        </w:tc>
        <w:tc>
          <w:tcPr>
            <w:tcW w:w="2565" w:type="dxa"/>
          </w:tcPr>
          <w:p>
            <w:pPr>
              <w:pStyle w:val="nzTable"/>
            </w:pPr>
            <w:r>
              <w:t>s. 29(2)</w:t>
            </w:r>
          </w:p>
        </w:tc>
      </w:tr>
      <w:tr>
        <w:tc>
          <w:tcPr>
            <w:tcW w:w="2907" w:type="dxa"/>
          </w:tcPr>
          <w:p>
            <w:pPr>
              <w:pStyle w:val="nzTable"/>
            </w:pPr>
            <w:r>
              <w:t>s. 9(1) and (4)</w:t>
            </w:r>
          </w:p>
        </w:tc>
        <w:tc>
          <w:tcPr>
            <w:tcW w:w="2565" w:type="dxa"/>
          </w:tcPr>
          <w:p>
            <w:pPr>
              <w:pStyle w:val="nzTable"/>
            </w:pPr>
            <w:r>
              <w:t>s. 30</w:t>
            </w:r>
          </w:p>
        </w:tc>
      </w:tr>
      <w:tr>
        <w:tc>
          <w:tcPr>
            <w:tcW w:w="2907" w:type="dxa"/>
          </w:tcPr>
          <w:p>
            <w:pPr>
              <w:pStyle w:val="nzTable"/>
            </w:pPr>
            <w:r>
              <w:t>s. 10(1) and (4)</w:t>
            </w:r>
          </w:p>
        </w:tc>
        <w:tc>
          <w:tcPr>
            <w:tcW w:w="2565" w:type="dxa"/>
          </w:tcPr>
          <w:p>
            <w:pPr>
              <w:pStyle w:val="nzTable"/>
            </w:pPr>
            <w:r>
              <w:t>s. 32(1)</w:t>
            </w:r>
          </w:p>
        </w:tc>
      </w:tr>
      <w:tr>
        <w:tc>
          <w:tcPr>
            <w:tcW w:w="2907" w:type="dxa"/>
          </w:tcPr>
          <w:p>
            <w:pPr>
              <w:pStyle w:val="nzTable"/>
            </w:pPr>
            <w:r>
              <w:t>s. 11(2) and (3)</w:t>
            </w:r>
          </w:p>
        </w:tc>
        <w:tc>
          <w:tcPr>
            <w:tcW w:w="2565" w:type="dxa"/>
          </w:tcPr>
          <w:p>
            <w:pPr>
              <w:pStyle w:val="nzTable"/>
            </w:pPr>
            <w:r>
              <w:t>s. 34(2), (3), (4) and (5)</w:t>
            </w:r>
          </w:p>
        </w:tc>
      </w:tr>
      <w:tr>
        <w:tc>
          <w:tcPr>
            <w:tcW w:w="2907" w:type="dxa"/>
          </w:tcPr>
          <w:p>
            <w:pPr>
              <w:pStyle w:val="nzTable"/>
            </w:pPr>
            <w:r>
              <w:t>s. 12(1) to (10)</w:t>
            </w:r>
          </w:p>
        </w:tc>
        <w:tc>
          <w:tcPr>
            <w:tcW w:w="2565" w:type="dxa"/>
          </w:tcPr>
          <w:p>
            <w:pPr>
              <w:pStyle w:val="nzTable"/>
            </w:pPr>
            <w:r>
              <w:t>s. 35(b)</w:t>
            </w:r>
          </w:p>
        </w:tc>
      </w:tr>
      <w:tr>
        <w:tc>
          <w:tcPr>
            <w:tcW w:w="2907" w:type="dxa"/>
          </w:tcPr>
          <w:p>
            <w:pPr>
              <w:pStyle w:val="nzTable"/>
            </w:pPr>
            <w:r>
              <w:t>s. 13(1) to (7)</w:t>
            </w:r>
          </w:p>
        </w:tc>
        <w:tc>
          <w:tcPr>
            <w:tcW w:w="2565" w:type="dxa"/>
          </w:tcPr>
          <w:p>
            <w:pPr>
              <w:pStyle w:val="nzTable"/>
            </w:pPr>
            <w:r>
              <w:t>s. 36</w:t>
            </w:r>
          </w:p>
        </w:tc>
      </w:tr>
      <w:tr>
        <w:tc>
          <w:tcPr>
            <w:tcW w:w="2907" w:type="dxa"/>
          </w:tcPr>
          <w:p>
            <w:pPr>
              <w:pStyle w:val="nzTable"/>
            </w:pPr>
            <w:r>
              <w:t>s. 16(1), (2) and (3)</w:t>
            </w:r>
          </w:p>
        </w:tc>
        <w:tc>
          <w:tcPr>
            <w:tcW w:w="2565" w:type="dxa"/>
          </w:tcPr>
          <w:p>
            <w:pPr>
              <w:pStyle w:val="nzTable"/>
            </w:pPr>
            <w:r>
              <w:t>s. 37(1), (2) and (3)</w:t>
            </w:r>
          </w:p>
        </w:tc>
      </w:tr>
      <w:tr>
        <w:tc>
          <w:tcPr>
            <w:tcW w:w="2907" w:type="dxa"/>
          </w:tcPr>
          <w:p>
            <w:pPr>
              <w:pStyle w:val="nzTable"/>
            </w:pPr>
            <w:r>
              <w:t>s. 17(1) and (3)</w:t>
            </w:r>
          </w:p>
        </w:tc>
        <w:tc>
          <w:tcPr>
            <w:tcW w:w="2565" w:type="dxa"/>
          </w:tcPr>
          <w:p>
            <w:pPr>
              <w:pStyle w:val="nzTable"/>
            </w:pPr>
            <w:r>
              <w:t>s. 38(2), (3) and (4)</w:t>
            </w:r>
          </w:p>
        </w:tc>
      </w:tr>
      <w:tr>
        <w:tc>
          <w:tcPr>
            <w:tcW w:w="2907" w:type="dxa"/>
          </w:tcPr>
          <w:p>
            <w:pPr>
              <w:pStyle w:val="nzTable"/>
            </w:pPr>
            <w:r>
              <w:t>s. 18(1) and (2)</w:t>
            </w:r>
          </w:p>
        </w:tc>
        <w:tc>
          <w:tcPr>
            <w:tcW w:w="2565" w:type="dxa"/>
          </w:tcPr>
          <w:p>
            <w:pPr>
              <w:pStyle w:val="nzTable"/>
            </w:pPr>
            <w:r>
              <w:t>s. 42(2)</w:t>
            </w:r>
          </w:p>
        </w:tc>
      </w:tr>
      <w:tr>
        <w:tc>
          <w:tcPr>
            <w:tcW w:w="2907" w:type="dxa"/>
          </w:tcPr>
          <w:p>
            <w:pPr>
              <w:pStyle w:val="nzTable"/>
            </w:pPr>
            <w:r>
              <w:t>s. 19(1), (9) and (10)</w:t>
            </w:r>
          </w:p>
        </w:tc>
        <w:tc>
          <w:tcPr>
            <w:tcW w:w="2565" w:type="dxa"/>
          </w:tcPr>
          <w:p>
            <w:pPr>
              <w:pStyle w:val="nzTable"/>
            </w:pPr>
            <w:r>
              <w:t>s. 44(3), (4) and (5)</w:t>
            </w:r>
          </w:p>
        </w:tc>
      </w:tr>
      <w:tr>
        <w:tc>
          <w:tcPr>
            <w:tcW w:w="2907" w:type="dxa"/>
          </w:tcPr>
          <w:p>
            <w:pPr>
              <w:pStyle w:val="nzTable"/>
            </w:pPr>
            <w:r>
              <w:t>s. 20(2), (3), (5) and (6)</w:t>
            </w:r>
          </w:p>
        </w:tc>
        <w:tc>
          <w:tcPr>
            <w:tcW w:w="2565" w:type="dxa"/>
          </w:tcPr>
          <w:p>
            <w:pPr>
              <w:pStyle w:val="nzTable"/>
            </w:pPr>
            <w:r>
              <w:t>s. 45(1), (3), (4) and (6)</w:t>
            </w:r>
          </w:p>
        </w:tc>
      </w:tr>
    </w:tbl>
    <w:p>
      <w:pPr>
        <w:pStyle w:val="BlankClose"/>
      </w:pPr>
    </w:p>
    <w:p>
      <w:pPr>
        <w:pStyle w:val="nSubsection"/>
        <w:keepNext/>
        <w:keepLines/>
        <w:spacing w:before="0"/>
      </w:pPr>
      <w:r>
        <w:rPr>
          <w:snapToGrid w:val="0"/>
          <w:vertAlign w:val="superscript"/>
        </w:rPr>
        <w:t>3</w:t>
      </w:r>
      <w:r>
        <w:tab/>
        <w:t>On the date as at which this compilation was prepared, the Prostitution Amendment Act 2008 s. 35 had not come into operation.  It reads as follows:</w:t>
      </w:r>
    </w:p>
    <w:p>
      <w:pPr>
        <w:pStyle w:val="BlankOpen"/>
      </w:pPr>
    </w:p>
    <w:p>
      <w:pPr>
        <w:pStyle w:val="nzHeading5"/>
        <w:spacing w:before="0"/>
      </w:pPr>
      <w:r>
        <w:rPr>
          <w:rStyle w:val="CharSectno"/>
        </w:rPr>
        <w:t>35</w:t>
      </w:r>
      <w:r>
        <w:t>.</w:t>
      </w:r>
      <w:r>
        <w:tab/>
      </w:r>
      <w:r>
        <w:rPr>
          <w:i/>
          <w:iCs/>
        </w:rPr>
        <w:t>Working with Children (Criminal Record Checking) Act 2004</w:t>
      </w:r>
      <w:r>
        <w:t xml:space="preserve"> amended</w:t>
      </w:r>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BlankOpen"/>
      </w:pP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BlankClose"/>
      </w:pPr>
    </w:p>
    <w:p>
      <w:pPr>
        <w:pStyle w:val="nSubsection"/>
      </w:pPr>
      <w:r>
        <w:rPr>
          <w:snapToGrid w:val="0"/>
          <w:vertAlign w:val="superscript"/>
        </w:rPr>
        <w:t>4</w:t>
      </w:r>
      <w:r>
        <w:rPr>
          <w:snapToGrid w:val="0"/>
          <w:vertAlign w:val="superscript"/>
        </w:rPr>
        <w:tab/>
      </w:r>
      <w:r>
        <w:t>Footnote</w:t>
      </w:r>
      <w:r>
        <w:rPr>
          <w:snapToGrid w:val="0"/>
        </w:rPr>
        <w:t xml:space="preserve"> no longer applicable.</w:t>
      </w:r>
    </w:p>
    <w:p>
      <w:pPr>
        <w:pStyle w:val="nSubsection"/>
      </w:pPr>
      <w:r>
        <w:rPr>
          <w:vertAlign w:val="superscript"/>
        </w:rPr>
        <w:t>5</w:t>
      </w:r>
      <w:r>
        <w:tab/>
        <w:t xml:space="preserve">On the date as at which this compilation was prepared, the </w:t>
      </w:r>
      <w:r>
        <w:rPr>
          <w:i/>
        </w:rPr>
        <w:t>Historical Homosexual Convictions Expungement Act 2018</w:t>
      </w:r>
      <w:r>
        <w:t xml:space="preserve"> Pt. 5 had not come into operation.  It reads as follows:</w:t>
      </w:r>
    </w:p>
    <w:p>
      <w:pPr>
        <w:pStyle w:val="BlankOpen"/>
      </w:pPr>
    </w:p>
    <w:p>
      <w:pPr>
        <w:pStyle w:val="nzHeading2"/>
      </w:pPr>
      <w:r>
        <w:rPr>
          <w:rStyle w:val="CharPartNo"/>
        </w:rPr>
        <w:t>Part 5</w:t>
      </w:r>
      <w:r>
        <w:rPr>
          <w:rStyle w:val="CharDivNo"/>
        </w:rPr>
        <w:t> </w:t>
      </w:r>
      <w:r>
        <w:t>—</w:t>
      </w:r>
      <w:r>
        <w:rPr>
          <w:rStyle w:val="CharDivText"/>
        </w:rPr>
        <w:t> </w:t>
      </w:r>
      <w:r>
        <w:rPr>
          <w:rStyle w:val="CharPartText"/>
          <w:i/>
        </w:rPr>
        <w:t>Working with Children (Criminal Record Checking) Act 2004</w:t>
      </w:r>
      <w:r>
        <w:rPr>
          <w:rStyle w:val="CharPartText"/>
        </w:rPr>
        <w:t xml:space="preserve"> amended</w:t>
      </w:r>
    </w:p>
    <w:p>
      <w:pPr>
        <w:pStyle w:val="nzHeading5"/>
      </w:pPr>
      <w:r>
        <w:rPr>
          <w:rStyle w:val="CharSectno"/>
        </w:rPr>
        <w:t>32</w:t>
      </w:r>
      <w:r>
        <w:t>.</w:t>
      </w:r>
      <w:r>
        <w:tab/>
        <w:t>Section 4 amended</w:t>
      </w:r>
    </w:p>
    <w:p>
      <w:pPr>
        <w:pStyle w:val="nzSubsection"/>
      </w:pPr>
      <w:r>
        <w:tab/>
      </w:r>
      <w:r>
        <w:tab/>
        <w:t xml:space="preserve">In section 4 in the definition of </w:t>
      </w:r>
      <w:r>
        <w:rPr>
          <w:b/>
          <w:i/>
        </w:rPr>
        <w:t>non</w:t>
      </w:r>
      <w:r>
        <w:rPr>
          <w:b/>
          <w:i/>
        </w:rPr>
        <w:noBreakHyphen/>
        <w:t>conviction charge</w:t>
      </w:r>
      <w:r>
        <w:t xml:space="preserve"> delete “conviction;” and insert:</w:t>
      </w:r>
    </w:p>
    <w:p>
      <w:pPr>
        <w:pStyle w:val="BlankOpen"/>
      </w:pPr>
    </w:p>
    <w:p>
      <w:pPr>
        <w:pStyle w:val="nzSubsection"/>
      </w:pPr>
      <w:r>
        <w:tab/>
      </w:r>
      <w:r>
        <w:tab/>
        <w:t>conviction, and has a meaning affected by section 8A;</w:t>
      </w:r>
    </w:p>
    <w:p>
      <w:pPr>
        <w:pStyle w:val="BlankClose"/>
      </w:pPr>
    </w:p>
    <w:p>
      <w:pPr>
        <w:pStyle w:val="nzHeading5"/>
      </w:pPr>
      <w:r>
        <w:rPr>
          <w:rStyle w:val="CharSectno"/>
        </w:rPr>
        <w:t>33</w:t>
      </w:r>
      <w:r>
        <w:t>.</w:t>
      </w:r>
      <w:r>
        <w:tab/>
        <w:t>Section 8A inserted</w:t>
      </w:r>
    </w:p>
    <w:p>
      <w:pPr>
        <w:pStyle w:val="nzSubsection"/>
      </w:pPr>
      <w:r>
        <w:tab/>
      </w:r>
      <w:r>
        <w:tab/>
        <w:t>After section 8 insert:</w:t>
      </w:r>
    </w:p>
    <w:p>
      <w:pPr>
        <w:pStyle w:val="BlankOpen"/>
      </w:pPr>
    </w:p>
    <w:p>
      <w:pPr>
        <w:pStyle w:val="nzHeading5"/>
      </w:pPr>
      <w:r>
        <w:t>8A.</w:t>
      </w:r>
      <w:r>
        <w:tab/>
        <w:t>Expunged convictions to be taken to be non</w:t>
      </w:r>
      <w:r>
        <w:noBreakHyphen/>
        <w:t>conviction charges for the purposes of this Act</w:t>
      </w:r>
    </w:p>
    <w:p>
      <w:pPr>
        <w:pStyle w:val="nzSubsection"/>
      </w:pPr>
      <w:r>
        <w:tab/>
        <w:t>(1)</w:t>
      </w:r>
      <w:r>
        <w:tab/>
        <w:t>For the purposes of this Act, a reference to a non</w:t>
      </w:r>
      <w:r>
        <w:noBreakHyphen/>
        <w:t xml:space="preserve">conviction charge includes a reference to an expunged conviction, as that term is defined in the </w:t>
      </w:r>
      <w:r>
        <w:rPr>
          <w:i/>
        </w:rPr>
        <w:t xml:space="preserve">Historical Homosexual Convictions Expungement Act 2018 </w:t>
      </w:r>
      <w:r>
        <w:t>section 3(1).</w:t>
      </w:r>
    </w:p>
    <w:p>
      <w:pPr>
        <w:pStyle w:val="nzSubsection"/>
      </w:pPr>
      <w:r>
        <w:tab/>
        <w:t>(2)</w:t>
      </w:r>
      <w:r>
        <w:tab/>
        <w:t xml:space="preserve">Subsection (1) applies despite anything in the </w:t>
      </w:r>
      <w:r>
        <w:rPr>
          <w:i/>
        </w:rPr>
        <w:t>Historical Homosexual Convictions Expungement Act 2018</w:t>
      </w:r>
      <w:r>
        <w:t>.</w:t>
      </w:r>
    </w:p>
    <w:p>
      <w:pPr>
        <w:pStyle w:val="BlankClose"/>
      </w:pPr>
    </w:p>
    <w:p>
      <w:pPr>
        <w:pStyle w:val="BlankClose"/>
      </w:pPr>
    </w:p>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116" w:name="_Toc525896814"/>
      <w:bookmarkStart w:id="117" w:name="_Toc525896966"/>
      <w:bookmarkStart w:id="118" w:name="_Toc525901127"/>
      <w:r>
        <w:rPr>
          <w:sz w:val="28"/>
        </w:rPr>
        <w:t>Defined terms</w:t>
      </w:r>
      <w:bookmarkEnd w:id="116"/>
      <w:bookmarkEnd w:id="117"/>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person</w:t>
      </w:r>
      <w:r>
        <w:tab/>
        <w:t>34(1)</w:t>
      </w:r>
    </w:p>
    <w:p>
      <w:pPr>
        <w:pStyle w:val="DefinedTerms"/>
      </w:pPr>
      <w:r>
        <w:t>cancelled assessment notice</w:t>
      </w:r>
      <w:r>
        <w:tab/>
        <w:t>32A</w:t>
      </w:r>
    </w:p>
    <w:p>
      <w:pPr>
        <w:pStyle w:val="DefinedTerms"/>
      </w:pPr>
      <w:r>
        <w:t>CEO</w:t>
      </w:r>
      <w:r>
        <w:tab/>
        <w:t>4</w:t>
      </w:r>
    </w:p>
    <w:p>
      <w:pPr>
        <w:pStyle w:val="DefinedTerms"/>
      </w:pPr>
      <w:r>
        <w:t>charge</w:t>
      </w:r>
      <w:r>
        <w:tab/>
        <w:t>4</w:t>
      </w:r>
    </w:p>
    <w:p>
      <w:pPr>
        <w:pStyle w:val="DefinedTerms"/>
      </w:pPr>
      <w:r>
        <w:t>child</w:t>
      </w:r>
      <w:r>
        <w:tab/>
        <w:t>4</w:t>
      </w:r>
    </w:p>
    <w:p>
      <w:pPr>
        <w:pStyle w:val="DefinedTerms"/>
      </w:pPr>
      <w:r>
        <w:t>child care service</w:t>
      </w:r>
      <w:r>
        <w:tab/>
        <w:t>4</w:t>
      </w:r>
    </w:p>
    <w:p>
      <w:pPr>
        <w:pStyle w:val="DefinedTerms"/>
      </w:pPr>
      <w:r>
        <w:t>child</w:t>
      </w:r>
      <w:r>
        <w:noBreakHyphen/>
        <w:t>related business</w:t>
      </w:r>
      <w:r>
        <w:tab/>
        <w:t>4</w:t>
      </w:r>
    </w:p>
    <w:p>
      <w:pPr>
        <w:pStyle w:val="DefinedTerms"/>
      </w:pPr>
      <w:r>
        <w:t>child</w:t>
      </w:r>
      <w:r>
        <w:noBreakHyphen/>
        <w:t>related employment</w:t>
      </w:r>
      <w:r>
        <w:tab/>
        <w:t>4</w:t>
      </w:r>
    </w:p>
    <w:p>
      <w:pPr>
        <w:pStyle w:val="DefinedTerms"/>
      </w:pPr>
      <w:r>
        <w:t>child</w:t>
      </w:r>
      <w:r>
        <w:noBreakHyphen/>
        <w:t>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w:t>
      </w:r>
    </w:p>
    <w:p>
      <w:pPr>
        <w:pStyle w:val="DefinedTerms"/>
      </w:pPr>
      <w:r>
        <w:t>Commissioner</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37(1)</w:t>
      </w:r>
    </w:p>
    <w:p>
      <w:pPr>
        <w:pStyle w:val="DefinedTerms"/>
      </w:pPr>
      <w:r>
        <w:t>criminal record</w:t>
      </w:r>
      <w:r>
        <w:tab/>
        <w:t>4</w:t>
      </w:r>
    </w:p>
    <w:p>
      <w:pPr>
        <w:pStyle w:val="DefinedTerms"/>
      </w:pPr>
      <w:r>
        <w:t>criminal record check</w:t>
      </w:r>
      <w:r>
        <w:tab/>
        <w:t>4</w:t>
      </w:r>
    </w:p>
    <w:p>
      <w:pPr>
        <w:pStyle w:val="DefinedTerms"/>
      </w:pPr>
      <w:r>
        <w:t>criminal records agency</w:t>
      </w:r>
      <w:r>
        <w:tab/>
        <w:t>34(1)</w:t>
      </w:r>
    </w:p>
    <w:p>
      <w:pPr>
        <w:pStyle w:val="DefinedTerms"/>
      </w:pPr>
      <w:r>
        <w:t>defined period</w:t>
      </w:r>
      <w:r>
        <w:tab/>
        <w:t>26(1)</w:t>
      </w:r>
    </w:p>
    <w:p>
      <w:pPr>
        <w:pStyle w:val="DefinedTerms"/>
      </w:pPr>
      <w:r>
        <w:t>Department</w:t>
      </w:r>
      <w:r>
        <w:tab/>
        <w:t>4, 38(1)</w:t>
      </w:r>
    </w:p>
    <w:p>
      <w:pPr>
        <w:pStyle w:val="DefinedTerms"/>
      </w:pPr>
      <w:r>
        <w:t>education provider</w:t>
      </w:r>
      <w:r>
        <w:tab/>
        <w:t>4</w:t>
      </w:r>
    </w:p>
    <w:p>
      <w:pPr>
        <w:pStyle w:val="DefinedTerms"/>
      </w:pPr>
      <w:r>
        <w:t>educational institution for children</w:t>
      </w:r>
      <w:r>
        <w:tab/>
        <w:t>4</w:t>
      </w:r>
    </w:p>
    <w:p>
      <w:pPr>
        <w:pStyle w:val="DefinedTerms"/>
      </w:pPr>
      <w:r>
        <w:t>employee</w:t>
      </w:r>
      <w:r>
        <w:tab/>
        <w:t>16(1)</w:t>
      </w:r>
    </w:p>
    <w:p>
      <w:pPr>
        <w:pStyle w:val="DefinedTerms"/>
      </w:pPr>
      <w:r>
        <w:t>employer</w:t>
      </w:r>
      <w:r>
        <w:tab/>
        <w:t>9B(5), 9(1), 16(1), 22(1), 41(1), 43(1)</w:t>
      </w:r>
    </w:p>
    <w:p>
      <w:pPr>
        <w:pStyle w:val="DefinedTerms"/>
      </w:pPr>
      <w:r>
        <w:t>first notice</w:t>
      </w:r>
      <w:r>
        <w:tab/>
        <w:t>20(2)</w:t>
      </w:r>
    </w:p>
    <w:p>
      <w:pPr>
        <w:pStyle w:val="DefinedTerms"/>
      </w:pPr>
      <w:r>
        <w:t>interim negative notice</w:t>
      </w:r>
      <w:r>
        <w:tab/>
        <w:t>4</w:t>
      </w:r>
    </w:p>
    <w:p>
      <w:pPr>
        <w:pStyle w:val="DefinedTerms"/>
      </w:pPr>
      <w:r>
        <w:t>managerial officer</w:t>
      </w:r>
      <w:r>
        <w:tab/>
        <w:t>5(1)</w:t>
      </w:r>
    </w:p>
    <w:p>
      <w:pPr>
        <w:pStyle w:val="DefinedTerms"/>
      </w:pPr>
      <w:r>
        <w:t>negative notice</w:t>
      </w:r>
      <w:r>
        <w:tab/>
        <w:t>4</w:t>
      </w:r>
    </w:p>
    <w:p>
      <w:pPr>
        <w:pStyle w:val="DefinedTerms"/>
      </w:pPr>
      <w:r>
        <w:t>new employee</w:t>
      </w:r>
      <w:r>
        <w:tab/>
        <w:t>60(4)</w:t>
      </w:r>
    </w:p>
    <w:p>
      <w:pPr>
        <w:pStyle w:val="DefinedTerms"/>
      </w:pPr>
      <w:r>
        <w:t>new operator</w:t>
      </w:r>
      <w:r>
        <w:tab/>
        <w:t>57(3)</w:t>
      </w:r>
    </w:p>
    <w:p>
      <w:pPr>
        <w:pStyle w:val="DefinedTerms"/>
      </w:pPr>
      <w:r>
        <w:t>non</w:t>
      </w:r>
      <w:r>
        <w:noBreakHyphen/>
        <w:t>conviction charge</w:t>
      </w:r>
      <w:r>
        <w:tab/>
        <w:t>4</w:t>
      </w:r>
    </w:p>
    <w:p>
      <w:pPr>
        <w:pStyle w:val="DefinedTerms"/>
      </w:pPr>
      <w:r>
        <w:t>officer of the Department</w:t>
      </w:r>
      <w:r>
        <w:tab/>
        <w:t>4</w:t>
      </w:r>
    </w:p>
    <w:p>
      <w:pPr>
        <w:pStyle w:val="DefinedTerms"/>
      </w:pPr>
      <w:r>
        <w:t>parent</w:t>
      </w:r>
      <w:r>
        <w:tab/>
        <w:t>4</w:t>
      </w:r>
    </w:p>
    <w:p>
      <w:pPr>
        <w:pStyle w:val="DefinedTerms"/>
      </w:pPr>
      <w:r>
        <w:t>pending charge</w:t>
      </w:r>
      <w:r>
        <w:tab/>
        <w:t>4</w:t>
      </w:r>
    </w:p>
    <w:p>
      <w:pPr>
        <w:pStyle w:val="DefinedTerms"/>
      </w:pPr>
      <w:r>
        <w:t>proposed employer</w:t>
      </w:r>
      <w:r>
        <w:tab/>
        <w:t>32A</w:t>
      </w:r>
    </w:p>
    <w:p>
      <w:pPr>
        <w:pStyle w:val="DefinedTerms"/>
      </w:pPr>
      <w:r>
        <w:t>public authority</w:t>
      </w:r>
      <w:r>
        <w:tab/>
        <w:t>38(1)</w:t>
      </w:r>
    </w:p>
    <w:p>
      <w:pPr>
        <w:pStyle w:val="DefinedTerms"/>
      </w:pPr>
      <w:r>
        <w:t>public sector employee</w:t>
      </w:r>
      <w:r>
        <w:tab/>
        <w:t>45(2)</w:t>
      </w:r>
    </w:p>
    <w:p>
      <w:pPr>
        <w:pStyle w:val="DefinedTerms"/>
      </w:pPr>
      <w:r>
        <w:t>regulated person</w:t>
      </w:r>
      <w:r>
        <w:tab/>
        <w:t>42(1)</w:t>
      </w:r>
    </w:p>
    <w:p>
      <w:pPr>
        <w:pStyle w:val="DefinedTerms"/>
      </w:pPr>
      <w:r>
        <w:t>relative</w:t>
      </w:r>
      <w:r>
        <w:tab/>
        <w:t>4</w:t>
      </w:r>
    </w:p>
    <w:p>
      <w:pPr>
        <w:pStyle w:val="DefinedTerms"/>
      </w:pPr>
      <w:r>
        <w:t>relevant day</w:t>
      </w:r>
      <w:r>
        <w:tab/>
        <w:t>60A</w:t>
      </w:r>
    </w:p>
    <w:p>
      <w:pPr>
        <w:pStyle w:val="DefinedTerms"/>
      </w:pPr>
      <w:r>
        <w:t>specified</w:t>
      </w:r>
      <w:r>
        <w:tab/>
        <w:t>4, 61(4)</w:t>
      </w:r>
    </w:p>
    <w:p>
      <w:pPr>
        <w:pStyle w:val="DefinedTerms"/>
      </w:pPr>
      <w:r>
        <w:t>student</w:t>
      </w:r>
      <w:r>
        <w:tab/>
        <w:t>4</w:t>
      </w:r>
    </w:p>
    <w:p>
      <w:pPr>
        <w:pStyle w:val="DefinedTerms"/>
      </w:pPr>
      <w:r>
        <w:t>work</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9" w:name="Schedule"/>
    <w:bookmarkEnd w:id="10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(Criminal Record Checking)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(Criminal Record Checking)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927094451"/>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
    <w:pPr>
      <w:ind w:left="1446" w:right="142"/>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zyTableNAm">
    <w:name w:val="zyTableNAm"/>
    <w:basedOn w:val="TableAm"/>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17105</Words>
  <Characters>81766</Characters>
  <Application>Microsoft Office Word</Application>
  <DocSecurity>0</DocSecurity>
  <Lines>2555</Lines>
  <Paragraphs>1544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97327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2004 - 03-g0-00</dc:title>
  <dc:subject/>
  <dc:creator/>
  <cp:keywords/>
  <dc:description/>
  <cp:lastModifiedBy>svcMRProcess</cp:lastModifiedBy>
  <cp:revision>4</cp:revision>
  <cp:lastPrinted>2012-11-09T01:36:00Z</cp:lastPrinted>
  <dcterms:created xsi:type="dcterms:W3CDTF">2018-09-28T06:21:00Z</dcterms:created>
  <dcterms:modified xsi:type="dcterms:W3CDTF">2018-09-28T06:21:00Z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01 Oct 2018</vt:lpwstr>
  </property>
  <property fmtid="{D5CDD505-2E9C-101B-9397-08002B2CF9AE}" pid="9" name="Suffix">
    <vt:lpwstr>03-g0-00</vt:lpwstr>
  </property>
  <property fmtid="{D5CDD505-2E9C-101B-9397-08002B2CF9AE}" pid="10" name="CommencementDate">
    <vt:lpwstr>20181001</vt:lpwstr>
  </property>
</Properties>
</file>