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Regulations 1947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_Toc526261483 \h </w:instrText>
      </w:r>
      <w:r>
        <w:fldChar w:fldCharType="separate"/>
      </w:r>
      <w:r>
        <w:t>1</w:t>
      </w:r>
      <w:r>
        <w:fldChar w:fldCharType="end"/>
      </w:r>
    </w:p>
    <w:p>
      <w:pPr>
        <w:pStyle w:val="TOC8"/>
        <w:rPr>
          <w:rFonts w:asciiTheme="minorHAnsi" w:eastAsiaTheme="minorEastAsia" w:hAnsiTheme="minorHAnsi" w:cstheme="minorBidi"/>
          <w:szCs w:val="22"/>
        </w:rPr>
      </w:pPr>
      <w:r>
        <w:t>2.</w:t>
      </w:r>
      <w:r>
        <w:tab/>
        <w:t>Term used: Australian/New Zealand Wiring Rules</w:t>
      </w:r>
      <w:r>
        <w:tab/>
      </w:r>
      <w:r>
        <w:fldChar w:fldCharType="begin"/>
      </w:r>
      <w:r>
        <w:instrText xml:space="preserve"> PAGEREF _Toc526261484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Residual current devices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_Toc526261486 \h </w:instrText>
      </w:r>
      <w:r>
        <w:fldChar w:fldCharType="separate"/>
      </w:r>
      <w:r>
        <w:t>2</w:t>
      </w:r>
      <w:r>
        <w:fldChar w:fldCharType="end"/>
      </w:r>
    </w:p>
    <w:p>
      <w:pPr>
        <w:pStyle w:val="TOC8"/>
        <w:rPr>
          <w:rFonts w:asciiTheme="minorHAnsi" w:eastAsiaTheme="minorEastAsia" w:hAnsiTheme="minorHAnsi" w:cstheme="minorBidi"/>
          <w:szCs w:val="22"/>
        </w:rPr>
      </w:pPr>
      <w:r>
        <w:t>13.</w:t>
      </w:r>
      <w:r>
        <w:tab/>
        <w:t>Residential premises occupied by owner</w:t>
      </w:r>
      <w:r>
        <w:tab/>
      </w:r>
      <w:r>
        <w:fldChar w:fldCharType="begin"/>
      </w:r>
      <w:r>
        <w:instrText xml:space="preserve"> PAGEREF _Toc526261487 \h </w:instrText>
      </w:r>
      <w:r>
        <w:fldChar w:fldCharType="separate"/>
      </w:r>
      <w:r>
        <w:t>3</w:t>
      </w:r>
      <w:r>
        <w:fldChar w:fldCharType="end"/>
      </w:r>
    </w:p>
    <w:p>
      <w:pPr>
        <w:pStyle w:val="TOC8"/>
        <w:rPr>
          <w:rFonts w:asciiTheme="minorHAnsi" w:eastAsiaTheme="minorEastAsia" w:hAnsiTheme="minorHAnsi" w:cstheme="minorBidi"/>
          <w:szCs w:val="22"/>
        </w:rPr>
      </w:pPr>
      <w:r>
        <w:t>14.</w:t>
      </w:r>
      <w:r>
        <w:tab/>
        <w:t>Residential premises not occupied by owner</w:t>
      </w:r>
      <w:r>
        <w:tab/>
      </w:r>
      <w:r>
        <w:fldChar w:fldCharType="begin"/>
      </w:r>
      <w:r>
        <w:instrText xml:space="preserve"> PAGEREF _Toc526261488 \h </w:instrText>
      </w:r>
      <w:r>
        <w:fldChar w:fldCharType="separate"/>
      </w:r>
      <w:r>
        <w:t>3</w:t>
      </w:r>
      <w:r>
        <w:fldChar w:fldCharType="end"/>
      </w:r>
    </w:p>
    <w:p>
      <w:pPr>
        <w:pStyle w:val="TOC8"/>
        <w:rPr>
          <w:rFonts w:asciiTheme="minorHAnsi" w:eastAsiaTheme="minorEastAsia" w:hAnsiTheme="minorHAnsi" w:cstheme="minorBidi"/>
          <w:szCs w:val="22"/>
        </w:rPr>
      </w:pPr>
      <w:r>
        <w:t>15A.</w:t>
      </w:r>
      <w:r>
        <w:tab/>
        <w:t>New owner’s obligation to install residual current devices and right to recover costs</w:t>
      </w:r>
      <w:r>
        <w:tab/>
      </w:r>
      <w:r>
        <w:fldChar w:fldCharType="begin"/>
      </w:r>
      <w:r>
        <w:instrText xml:space="preserve"> PAGEREF _Toc526261489 \h </w:instrText>
      </w:r>
      <w:r>
        <w:fldChar w:fldCharType="separate"/>
      </w:r>
      <w:r>
        <w:t>4</w:t>
      </w:r>
      <w:r>
        <w:fldChar w:fldCharType="end"/>
      </w:r>
    </w:p>
    <w:p>
      <w:pPr>
        <w:pStyle w:val="TOC8"/>
        <w:rPr>
          <w:rFonts w:asciiTheme="minorHAnsi" w:eastAsiaTheme="minorEastAsia" w:hAnsiTheme="minorHAnsi" w:cstheme="minorBidi"/>
          <w:szCs w:val="22"/>
        </w:rPr>
      </w:pPr>
      <w:r>
        <w:t>15.</w:t>
      </w:r>
      <w:r>
        <w:tab/>
        <w:t>Common property relating to residential premises</w:t>
      </w:r>
      <w:r>
        <w:tab/>
      </w:r>
      <w:r>
        <w:fldChar w:fldCharType="begin"/>
      </w:r>
      <w:r>
        <w:instrText xml:space="preserve"> PAGEREF _Toc526261490 \h </w:instrText>
      </w:r>
      <w:r>
        <w:fldChar w:fldCharType="separate"/>
      </w:r>
      <w:r>
        <w:t>5</w:t>
      </w:r>
      <w:r>
        <w:fldChar w:fldCharType="end"/>
      </w:r>
    </w:p>
    <w:p>
      <w:pPr>
        <w:pStyle w:val="TOC8"/>
        <w:rPr>
          <w:rFonts w:asciiTheme="minorHAnsi" w:eastAsiaTheme="minorEastAsia" w:hAnsiTheme="minorHAnsi" w:cstheme="minorBidi"/>
          <w:szCs w:val="22"/>
        </w:rPr>
      </w:pPr>
      <w:r>
        <w:t>16.</w:t>
      </w:r>
      <w:r>
        <w:tab/>
        <w:t>Defences in case of demolition</w:t>
      </w:r>
      <w:r>
        <w:tab/>
      </w:r>
      <w:r>
        <w:fldChar w:fldCharType="begin"/>
      </w:r>
      <w:r>
        <w:instrText xml:space="preserve"> PAGEREF _Toc526261491 \h </w:instrText>
      </w:r>
      <w:r>
        <w:fldChar w:fldCharType="separate"/>
      </w:r>
      <w:r>
        <w:t>5</w:t>
      </w:r>
      <w:r>
        <w:fldChar w:fldCharType="end"/>
      </w:r>
    </w:p>
    <w:p>
      <w:pPr>
        <w:pStyle w:val="TOC8"/>
        <w:rPr>
          <w:rFonts w:asciiTheme="minorHAnsi" w:eastAsiaTheme="minorEastAsia" w:hAnsiTheme="minorHAnsi" w:cstheme="minorBidi"/>
          <w:szCs w:val="22"/>
        </w:rPr>
      </w:pPr>
      <w:r>
        <w:t>18.</w:t>
      </w:r>
      <w:r>
        <w:tab/>
        <w:t>Director may grant temporary exemptions</w:t>
      </w:r>
      <w:r>
        <w:tab/>
      </w:r>
      <w:r>
        <w:fldChar w:fldCharType="begin"/>
      </w:r>
      <w:r>
        <w:instrText xml:space="preserve"> PAGEREF _Toc526261492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V — Interfering with electrical installations</w:t>
      </w:r>
    </w:p>
    <w:p>
      <w:pPr>
        <w:pStyle w:val="TOC8"/>
        <w:rPr>
          <w:rFonts w:asciiTheme="minorHAnsi" w:eastAsiaTheme="minorEastAsia" w:hAnsiTheme="minorHAnsi" w:cstheme="minorBidi"/>
          <w:szCs w:val="22"/>
        </w:rPr>
      </w:pPr>
      <w:r>
        <w:t>19.</w:t>
      </w:r>
      <w:r>
        <w:tab/>
        <w:t>Interfering with electrical installations</w:t>
      </w:r>
      <w:r>
        <w:tab/>
      </w:r>
      <w:r>
        <w:fldChar w:fldCharType="begin"/>
      </w:r>
      <w:r>
        <w:instrText xml:space="preserve"> PAGEREF _Toc526261494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VIII — Supply of electricity to consumers</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_Toc526261496 \h </w:instrText>
      </w:r>
      <w:r>
        <w:fldChar w:fldCharType="separate"/>
      </w:r>
      <w:r>
        <w:t>8</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Connection of supply</w:t>
      </w:r>
      <w:r>
        <w:tab/>
      </w:r>
      <w:r>
        <w:fldChar w:fldCharType="begin"/>
      </w:r>
      <w:r>
        <w:instrText xml:space="preserve"> PAGEREF _Toc526261497 \h </w:instrText>
      </w:r>
      <w:r>
        <w:fldChar w:fldCharType="separate"/>
      </w:r>
      <w:r>
        <w:t>8</w:t>
      </w:r>
      <w:r>
        <w:fldChar w:fldCharType="end"/>
      </w:r>
    </w:p>
    <w:p>
      <w:pPr>
        <w:pStyle w:val="TOC8"/>
        <w:rPr>
          <w:rFonts w:asciiTheme="minorHAnsi" w:eastAsiaTheme="minorEastAsia" w:hAnsiTheme="minorHAnsi" w:cstheme="minorBidi"/>
          <w:szCs w:val="22"/>
        </w:rPr>
      </w:pPr>
      <w:r>
        <w:t>243.</w:t>
      </w:r>
      <w:r>
        <w:tab/>
        <w:t>Voltage on the neutral</w:t>
      </w:r>
      <w:r>
        <w:tab/>
      </w:r>
      <w:r>
        <w:fldChar w:fldCharType="begin"/>
      </w:r>
      <w:r>
        <w:instrText xml:space="preserve"> PAGEREF _Toc526261498 \h </w:instrText>
      </w:r>
      <w:r>
        <w:fldChar w:fldCharType="separate"/>
      </w:r>
      <w:r>
        <w:t>9</w:t>
      </w:r>
      <w:r>
        <w:fldChar w:fldCharType="end"/>
      </w:r>
    </w:p>
    <w:p>
      <w:pPr>
        <w:pStyle w:val="TOC8"/>
        <w:rPr>
          <w:rFonts w:asciiTheme="minorHAnsi" w:eastAsiaTheme="minorEastAsia" w:hAnsiTheme="minorHAnsi" w:cstheme="minorBidi"/>
          <w:szCs w:val="22"/>
        </w:rPr>
      </w:pPr>
      <w:r>
        <w:t>244.</w:t>
      </w:r>
      <w:r>
        <w:tab/>
        <w:t>Damage by overloading to network operator’s apparatus</w:t>
      </w:r>
      <w:r>
        <w:tab/>
      </w:r>
      <w:r>
        <w:fldChar w:fldCharType="begin"/>
      </w:r>
      <w:r>
        <w:instrText xml:space="preserve"> PAGEREF _Toc526261499 \h </w:instrText>
      </w:r>
      <w:r>
        <w:fldChar w:fldCharType="separate"/>
      </w:r>
      <w:r>
        <w:t>11</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Fixing leads in fuses, meters etc.</w:t>
      </w:r>
      <w:r>
        <w:tab/>
      </w:r>
      <w:r>
        <w:fldChar w:fldCharType="begin"/>
      </w:r>
      <w:r>
        <w:instrText xml:space="preserve"> PAGEREF _Toc526261500 \h </w:instrText>
      </w:r>
      <w:r>
        <w:fldChar w:fldCharType="separate"/>
      </w:r>
      <w:r>
        <w:t>11</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Systems of inspection</w:t>
      </w:r>
      <w:r>
        <w:tab/>
      </w:r>
      <w:r>
        <w:fldChar w:fldCharType="begin"/>
      </w:r>
      <w:r>
        <w:instrText xml:space="preserve"> PAGEREF _Toc526261501 \h </w:instrText>
      </w:r>
      <w:r>
        <w:fldChar w:fldCharType="separate"/>
      </w:r>
      <w:r>
        <w:t>11</w:t>
      </w:r>
      <w:r>
        <w:fldChar w:fldCharType="end"/>
      </w:r>
    </w:p>
    <w:p>
      <w:pPr>
        <w:pStyle w:val="TOC8"/>
        <w:rPr>
          <w:rFonts w:asciiTheme="minorHAnsi" w:eastAsiaTheme="minorEastAsia" w:hAnsiTheme="minorHAnsi" w:cstheme="minorBidi"/>
          <w:szCs w:val="22"/>
        </w:rPr>
      </w:pPr>
      <w:r>
        <w:t>254.</w:t>
      </w:r>
      <w:r>
        <w:tab/>
        <w:t>Individual inspection and reporting for electric installation</w:t>
      </w:r>
      <w:r>
        <w:tab/>
      </w:r>
      <w:r>
        <w:fldChar w:fldCharType="begin"/>
      </w:r>
      <w:r>
        <w:instrText xml:space="preserve"> PAGEREF _Toc526261502 \h </w:instrText>
      </w:r>
      <w:r>
        <w:fldChar w:fldCharType="separate"/>
      </w:r>
      <w:r>
        <w:t>16</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Supply to large premises</w:t>
      </w:r>
      <w:r>
        <w:tab/>
      </w:r>
      <w:r>
        <w:fldChar w:fldCharType="begin"/>
      </w:r>
      <w:r>
        <w:instrText xml:space="preserve"> PAGEREF _Toc526261503 \h </w:instrText>
      </w:r>
      <w:r>
        <w:fldChar w:fldCharType="separate"/>
      </w:r>
      <w:r>
        <w:t>17</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Interference with supply to other consumers</w:t>
      </w:r>
      <w:r>
        <w:tab/>
      </w:r>
      <w:r>
        <w:fldChar w:fldCharType="begin"/>
      </w:r>
      <w:r>
        <w:instrText xml:space="preserve"> PAGEREF _Toc526261504 \h </w:instrText>
      </w:r>
      <w:r>
        <w:fldChar w:fldCharType="separate"/>
      </w:r>
      <w:r>
        <w:t>17</w:t>
      </w:r>
      <w:r>
        <w:fldChar w:fldCharType="end"/>
      </w:r>
    </w:p>
    <w:p>
      <w:pPr>
        <w:pStyle w:val="TOC8"/>
        <w:rPr>
          <w:rFonts w:asciiTheme="minorHAnsi" w:eastAsiaTheme="minorEastAsia" w:hAnsiTheme="minorHAnsi" w:cstheme="minorBidi"/>
          <w:szCs w:val="22"/>
        </w:rPr>
      </w:pPr>
      <w:r>
        <w:t>271.</w:t>
      </w:r>
      <w:r>
        <w:tab/>
        <w:t>Apparatus, interruptions, responsibility</w:t>
      </w:r>
      <w:r>
        <w:tab/>
      </w:r>
      <w:r>
        <w:fldChar w:fldCharType="begin"/>
      </w:r>
      <w:r>
        <w:instrText xml:space="preserve"> PAGEREF _Toc526261505 \h </w:instrText>
      </w:r>
      <w:r>
        <w:fldChar w:fldCharType="separate"/>
      </w:r>
      <w:r>
        <w:t>18</w:t>
      </w:r>
      <w:r>
        <w:fldChar w:fldCharType="end"/>
      </w:r>
    </w:p>
    <w:p>
      <w:pPr>
        <w:pStyle w:val="TOC8"/>
        <w:rPr>
          <w:rFonts w:asciiTheme="minorHAnsi" w:eastAsiaTheme="minorEastAsia" w:hAnsiTheme="minorHAnsi" w:cstheme="minorBidi"/>
          <w:szCs w:val="22"/>
        </w:rPr>
      </w:pPr>
      <w:r>
        <w:t>272.</w:t>
      </w:r>
      <w:r>
        <w:tab/>
        <w:t>Disconnections</w:t>
      </w:r>
      <w:r>
        <w:tab/>
      </w:r>
      <w:r>
        <w:fldChar w:fldCharType="begin"/>
      </w:r>
      <w:r>
        <w:instrText xml:space="preserve"> PAGEREF _Toc526261506 \h </w:instrText>
      </w:r>
      <w:r>
        <w:fldChar w:fldCharType="separate"/>
      </w:r>
      <w:r>
        <w:t>19</w:t>
      </w:r>
      <w:r>
        <w:fldChar w:fldCharType="end"/>
      </w:r>
    </w:p>
    <w:p>
      <w:pPr>
        <w:pStyle w:val="TOC8"/>
        <w:rPr>
          <w:rFonts w:asciiTheme="minorHAnsi" w:eastAsiaTheme="minorEastAsia" w:hAnsiTheme="minorHAnsi" w:cstheme="minorBidi"/>
          <w:szCs w:val="22"/>
        </w:rPr>
      </w:pPr>
      <w:r>
        <w:t>274.</w:t>
      </w:r>
      <w:r>
        <w:tab/>
        <w:t>Consumer’s liability for loss</w:t>
      </w:r>
      <w:r>
        <w:tab/>
      </w:r>
      <w:r>
        <w:fldChar w:fldCharType="begin"/>
      </w:r>
      <w:r>
        <w:instrText xml:space="preserve"> PAGEREF _Toc526261507 \h </w:instrText>
      </w:r>
      <w:r>
        <w:fldChar w:fldCharType="separate"/>
      </w:r>
      <w:r>
        <w:t>19</w:t>
      </w:r>
      <w:r>
        <w:fldChar w:fldCharType="end"/>
      </w:r>
    </w:p>
    <w:p>
      <w:pPr>
        <w:pStyle w:val="TOC8"/>
        <w:rPr>
          <w:rFonts w:asciiTheme="minorHAnsi" w:eastAsiaTheme="minorEastAsia" w:hAnsiTheme="minorHAnsi" w:cstheme="minorBidi"/>
          <w:szCs w:val="22"/>
        </w:rPr>
      </w:pPr>
      <w:r>
        <w:t>276.</w:t>
      </w:r>
      <w:r>
        <w:tab/>
        <w:t>Alteration to system</w:t>
      </w:r>
      <w:r>
        <w:tab/>
      </w:r>
      <w:r>
        <w:fldChar w:fldCharType="begin"/>
      </w:r>
      <w:r>
        <w:instrText xml:space="preserve"> PAGEREF _Toc526261508 \h </w:instrText>
      </w:r>
      <w:r>
        <w:fldChar w:fldCharType="separate"/>
      </w:r>
      <w:r>
        <w:t>19</w:t>
      </w:r>
      <w:r>
        <w:fldChar w:fldCharType="end"/>
      </w:r>
    </w:p>
    <w:p>
      <w:pPr>
        <w:pStyle w:val="TOC8"/>
        <w:rPr>
          <w:rFonts w:asciiTheme="minorHAnsi" w:eastAsiaTheme="minorEastAsia" w:hAnsiTheme="minorHAnsi" w:cstheme="minorBidi"/>
          <w:szCs w:val="22"/>
        </w:rPr>
      </w:pPr>
      <w:r>
        <w:t>280.</w:t>
      </w:r>
      <w:r>
        <w:tab/>
        <w:t>Charges for services</w:t>
      </w:r>
      <w:r>
        <w:tab/>
      </w:r>
      <w:r>
        <w:fldChar w:fldCharType="begin"/>
      </w:r>
      <w:r>
        <w:instrText xml:space="preserve"> PAGEREF _Toc526261509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Vegetation control safety requirements</w:t>
      </w:r>
    </w:p>
    <w:p>
      <w:pPr>
        <w:pStyle w:val="TOC8"/>
        <w:rPr>
          <w:rFonts w:asciiTheme="minorHAnsi" w:eastAsiaTheme="minorEastAsia" w:hAnsiTheme="minorHAnsi" w:cstheme="minorBidi"/>
          <w:szCs w:val="22"/>
        </w:rPr>
      </w:pPr>
      <w:r>
        <w:t>316A</w:t>
      </w:r>
      <w:r>
        <w:rPr>
          <w:snapToGrid w:val="0"/>
        </w:rPr>
        <w:t>.</w:t>
      </w:r>
      <w:r>
        <w:rPr>
          <w:snapToGrid w:val="0"/>
        </w:rPr>
        <w:tab/>
        <w:t>Vegetation control work near overhead power lines</w:t>
      </w:r>
      <w:r>
        <w:tab/>
      </w:r>
      <w:r>
        <w:fldChar w:fldCharType="begin"/>
      </w:r>
      <w:r>
        <w:instrText xml:space="preserve"> PAGEREF _Toc526261511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X — Approval of electrical appliances</w:t>
      </w:r>
    </w:p>
    <w:p>
      <w:pPr>
        <w:pStyle w:val="TOC8"/>
        <w:rPr>
          <w:rFonts w:asciiTheme="minorHAnsi" w:eastAsiaTheme="minorEastAsia" w:hAnsiTheme="minorHAnsi" w:cstheme="minorBidi"/>
          <w:szCs w:val="22"/>
        </w:rPr>
      </w:pPr>
      <w:r>
        <w:t>321.</w:t>
      </w:r>
      <w:r>
        <w:tab/>
        <w:t>Terms used</w:t>
      </w:r>
      <w:r>
        <w:tab/>
      </w:r>
      <w:r>
        <w:fldChar w:fldCharType="begin"/>
      </w:r>
      <w:r>
        <w:instrText xml:space="preserve"> PAGEREF _Toc526261513 \h </w:instrText>
      </w:r>
      <w:r>
        <w:fldChar w:fldCharType="separate"/>
      </w:r>
      <w:r>
        <w:t>23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Application for approval</w:t>
      </w:r>
      <w:r>
        <w:tab/>
      </w:r>
      <w:r>
        <w:fldChar w:fldCharType="begin"/>
      </w:r>
      <w:r>
        <w:instrText xml:space="preserve"> PAGEREF _Toc526261514 \h </w:instrText>
      </w:r>
      <w:r>
        <w:fldChar w:fldCharType="separate"/>
      </w:r>
      <w:r>
        <w:t>24</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Further testing of electrical appliances approved</w:t>
      </w:r>
      <w:r>
        <w:tab/>
      </w:r>
      <w:r>
        <w:fldChar w:fldCharType="begin"/>
      </w:r>
      <w:r>
        <w:instrText xml:space="preserve"> PAGEREF _Toc526261515 \h </w:instrText>
      </w:r>
      <w:r>
        <w:fldChar w:fldCharType="separate"/>
      </w:r>
      <w:r>
        <w:t>26</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Certificate of approval</w:t>
      </w:r>
      <w:r>
        <w:tab/>
      </w:r>
      <w:r>
        <w:fldChar w:fldCharType="begin"/>
      </w:r>
      <w:r>
        <w:instrText xml:space="preserve"> PAGEREF _Toc526261516 \h </w:instrText>
      </w:r>
      <w:r>
        <w:fldChar w:fldCharType="separate"/>
      </w:r>
      <w:r>
        <w:t>27</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Stamping and labelling of approved electrical appliances</w:t>
      </w:r>
      <w:r>
        <w:tab/>
      </w:r>
      <w:r>
        <w:fldChar w:fldCharType="begin"/>
      </w:r>
      <w:r>
        <w:instrText xml:space="preserve"> PAGEREF _Toc526261517 \h </w:instrText>
      </w:r>
      <w:r>
        <w:fldChar w:fldCharType="separate"/>
      </w:r>
      <w:r>
        <w:t>29</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Modification of design or construction</w:t>
      </w:r>
      <w:r>
        <w:tab/>
      </w:r>
      <w:r>
        <w:fldChar w:fldCharType="begin"/>
      </w:r>
      <w:r>
        <w:instrText xml:space="preserve"> PAGEREF _Toc526261518 \h </w:instrText>
      </w:r>
      <w:r>
        <w:fldChar w:fldCharType="separate"/>
      </w:r>
      <w:r>
        <w:t>31</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Transfer of certificate of approval</w:t>
      </w:r>
      <w:r>
        <w:tab/>
      </w:r>
      <w:r>
        <w:fldChar w:fldCharType="begin"/>
      </w:r>
      <w:r>
        <w:instrText xml:space="preserve"> PAGEREF _Toc526261519 \h </w:instrText>
      </w:r>
      <w:r>
        <w:fldChar w:fldCharType="separate"/>
      </w:r>
      <w:r>
        <w:t>31</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Lost or destroyed certificates of approval</w:t>
      </w:r>
      <w:r>
        <w:tab/>
      </w:r>
      <w:r>
        <w:fldChar w:fldCharType="begin"/>
      </w:r>
      <w:r>
        <w:instrText xml:space="preserve"> PAGEREF _Toc526261520 \h </w:instrText>
      </w:r>
      <w:r>
        <w:fldChar w:fldCharType="separate"/>
      </w:r>
      <w:r>
        <w:t>32</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Delegation by Director</w:t>
      </w:r>
      <w:r>
        <w:tab/>
      </w:r>
      <w:r>
        <w:fldChar w:fldCharType="begin"/>
      </w:r>
      <w:r>
        <w:instrText xml:space="preserve"> PAGEREF _Toc526261521 \h </w:instrText>
      </w:r>
      <w:r>
        <w:fldChar w:fldCharType="separate"/>
      </w:r>
      <w:r>
        <w:t>32</w:t>
      </w:r>
      <w:r>
        <w:fldChar w:fldCharType="end"/>
      </w:r>
    </w:p>
    <w:p>
      <w:pPr>
        <w:pStyle w:val="TOC8"/>
        <w:rPr>
          <w:rFonts w:asciiTheme="minorHAnsi" w:eastAsiaTheme="minorEastAsia" w:hAnsiTheme="minorHAnsi" w:cstheme="minorBidi"/>
          <w:szCs w:val="22"/>
        </w:rPr>
      </w:pPr>
      <w:r>
        <w:t>332</w:t>
      </w:r>
      <w:r>
        <w:rPr>
          <w:snapToGrid w:val="0"/>
        </w:rPr>
        <w:t>.</w:t>
      </w:r>
      <w:r>
        <w:rPr>
          <w:snapToGrid w:val="0"/>
        </w:rPr>
        <w:tab/>
        <w:t>Refusal or withdrawal of approval</w:t>
      </w:r>
      <w:r>
        <w:tab/>
      </w:r>
      <w:r>
        <w:fldChar w:fldCharType="begin"/>
      </w:r>
      <w:r>
        <w:instrText xml:space="preserve"> PAGEREF _Toc526261522 \h </w:instrText>
      </w:r>
      <w:r>
        <w:fldChar w:fldCharType="separate"/>
      </w:r>
      <w:r>
        <w:t>33</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Notification of withdrawal of approval</w:t>
      </w:r>
      <w:r>
        <w:tab/>
      </w:r>
      <w:r>
        <w:fldChar w:fldCharType="begin"/>
      </w:r>
      <w:r>
        <w:instrText xml:space="preserve"> PAGEREF _Toc526261523 \h </w:instrText>
      </w:r>
      <w:r>
        <w:fldChar w:fldCharType="separate"/>
      </w:r>
      <w:r>
        <w:t>35</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Deferment of approval</w:t>
      </w:r>
      <w:r>
        <w:tab/>
      </w:r>
      <w:r>
        <w:fldChar w:fldCharType="begin"/>
      </w:r>
      <w:r>
        <w:instrText xml:space="preserve"> PAGEREF _Toc526261524 \h </w:instrText>
      </w:r>
      <w:r>
        <w:fldChar w:fldCharType="separate"/>
      </w:r>
      <w:r>
        <w:t>36</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Purchase of electrical appliances for inspection</w:t>
      </w:r>
      <w:r>
        <w:tab/>
      </w:r>
      <w:r>
        <w:fldChar w:fldCharType="begin"/>
      </w:r>
      <w:r>
        <w:instrText xml:space="preserve"> PAGEREF _Toc526261525 \h </w:instrText>
      </w:r>
      <w:r>
        <w:fldChar w:fldCharType="separate"/>
      </w:r>
      <w:r>
        <w:t>36</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Obstruction of officers</w:t>
      </w:r>
      <w:r>
        <w:tab/>
      </w:r>
      <w:r>
        <w:fldChar w:fldCharType="begin"/>
      </w:r>
      <w:r>
        <w:instrText xml:space="preserve"> PAGEREF _Toc526261526 \h </w:instrText>
      </w:r>
      <w:r>
        <w:fldChar w:fldCharType="separate"/>
      </w:r>
      <w:r>
        <w:t>37</w:t>
      </w:r>
      <w:r>
        <w:fldChar w:fldCharType="end"/>
      </w:r>
    </w:p>
    <w:p>
      <w:pPr>
        <w:pStyle w:val="TOC8"/>
        <w:rPr>
          <w:rFonts w:asciiTheme="minorHAnsi" w:eastAsiaTheme="minorEastAsia" w:hAnsiTheme="minorHAnsi" w:cstheme="minorBidi"/>
          <w:szCs w:val="22"/>
        </w:rPr>
      </w:pPr>
      <w:r>
        <w:t>337</w:t>
      </w:r>
      <w:r>
        <w:rPr>
          <w:snapToGrid w:val="0"/>
        </w:rPr>
        <w:t>.</w:t>
      </w:r>
      <w:r>
        <w:rPr>
          <w:snapToGrid w:val="0"/>
        </w:rPr>
        <w:tab/>
        <w:t>Register of Prescribed Electrical Appliances and Register of Approved Electrical Appliances</w:t>
      </w:r>
      <w:r>
        <w:tab/>
      </w:r>
      <w:r>
        <w:fldChar w:fldCharType="begin"/>
      </w:r>
      <w:r>
        <w:instrText xml:space="preserve"> PAGEREF _Toc526261527 \h </w:instrText>
      </w:r>
      <w:r>
        <w:fldChar w:fldCharType="separate"/>
      </w:r>
      <w:r>
        <w:t>38</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Change of address</w:t>
      </w:r>
      <w:r>
        <w:tab/>
      </w:r>
      <w:r>
        <w:fldChar w:fldCharType="begin"/>
      </w:r>
      <w:r>
        <w:instrText xml:space="preserve"> PAGEREF _Toc526261528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XI — Penalties and enforcement</w:t>
      </w:r>
    </w:p>
    <w:p>
      <w:pPr>
        <w:pStyle w:val="TOC8"/>
        <w:rPr>
          <w:rFonts w:asciiTheme="minorHAnsi" w:eastAsiaTheme="minorEastAsia" w:hAnsiTheme="minorHAnsi" w:cstheme="minorBidi"/>
          <w:szCs w:val="22"/>
        </w:rPr>
      </w:pPr>
      <w:r>
        <w:t>340</w:t>
      </w:r>
      <w:r>
        <w:rPr>
          <w:snapToGrid w:val="0"/>
        </w:rPr>
        <w:t>.</w:t>
      </w:r>
      <w:r>
        <w:rPr>
          <w:snapToGrid w:val="0"/>
        </w:rPr>
        <w:tab/>
        <w:t>Penalties</w:t>
      </w:r>
      <w:r>
        <w:tab/>
      </w:r>
      <w:r>
        <w:fldChar w:fldCharType="begin"/>
      </w:r>
      <w:r>
        <w:instrText xml:space="preserve"> PAGEREF _Toc526261530 \h </w:instrText>
      </w:r>
      <w:r>
        <w:fldChar w:fldCharType="separate"/>
      </w:r>
      <w:r>
        <w:t>40</w:t>
      </w:r>
      <w:r>
        <w:fldChar w:fldCharType="end"/>
      </w:r>
    </w:p>
    <w:p>
      <w:pPr>
        <w:pStyle w:val="TOC8"/>
        <w:rPr>
          <w:rFonts w:asciiTheme="minorHAnsi" w:eastAsiaTheme="minorEastAsia" w:hAnsiTheme="minorHAnsi" w:cstheme="minorBidi"/>
          <w:szCs w:val="22"/>
        </w:rPr>
      </w:pPr>
      <w:r>
        <w:t>341</w:t>
      </w:r>
      <w:r>
        <w:rPr>
          <w:snapToGrid w:val="0"/>
        </w:rPr>
        <w:t>.</w:t>
      </w:r>
      <w:r>
        <w:rPr>
          <w:snapToGrid w:val="0"/>
        </w:rPr>
        <w:tab/>
        <w:t>Proceedings</w:t>
      </w:r>
      <w:r>
        <w:tab/>
      </w:r>
      <w:r>
        <w:fldChar w:fldCharType="begin"/>
      </w:r>
      <w:r>
        <w:instrText xml:space="preserve"> PAGEREF _Toc526261531 \h </w:instrText>
      </w:r>
      <w:r>
        <w:fldChar w:fldCharType="separate"/>
      </w:r>
      <w:r>
        <w:t>40</w:t>
      </w:r>
      <w:r>
        <w:fldChar w:fldCharType="end"/>
      </w:r>
    </w:p>
    <w:p>
      <w:pPr>
        <w:pStyle w:val="TOC8"/>
        <w:rPr>
          <w:rFonts w:asciiTheme="minorHAnsi" w:eastAsiaTheme="minorEastAsia" w:hAnsiTheme="minorHAnsi" w:cstheme="minorBidi"/>
          <w:szCs w:val="22"/>
        </w:rPr>
      </w:pPr>
      <w:r>
        <w:t>342.</w:t>
      </w:r>
      <w:r>
        <w:tab/>
        <w:t>Prescribed offences and modified penalties</w:t>
      </w:r>
      <w:r>
        <w:tab/>
      </w:r>
      <w:r>
        <w:fldChar w:fldCharType="begin"/>
      </w:r>
      <w:r>
        <w:instrText xml:space="preserve"> PAGEREF _Toc526261532 \h </w:instrText>
      </w:r>
      <w:r>
        <w:fldChar w:fldCharType="separate"/>
      </w:r>
      <w:r>
        <w:t>40</w:t>
      </w:r>
      <w:r>
        <w:fldChar w:fldCharType="end"/>
      </w:r>
    </w:p>
    <w:p>
      <w:pPr>
        <w:pStyle w:val="TOC8"/>
        <w:rPr>
          <w:rFonts w:asciiTheme="minorHAnsi" w:eastAsiaTheme="minorEastAsia" w:hAnsiTheme="minorHAnsi" w:cstheme="minorBidi"/>
          <w:szCs w:val="22"/>
        </w:rPr>
      </w:pPr>
      <w:r>
        <w:t>343.</w:t>
      </w:r>
      <w:r>
        <w:tab/>
        <w:t>Authorised officers and approved officers</w:t>
      </w:r>
      <w:r>
        <w:tab/>
      </w:r>
      <w:r>
        <w:fldChar w:fldCharType="begin"/>
      </w:r>
      <w:r>
        <w:instrText xml:space="preserve"> PAGEREF _Toc526261533 \h </w:instrText>
      </w:r>
      <w:r>
        <w:fldChar w:fldCharType="separate"/>
      </w:r>
      <w:r>
        <w:t>40</w:t>
      </w:r>
      <w:r>
        <w:fldChar w:fldCharType="end"/>
      </w:r>
    </w:p>
    <w:p>
      <w:pPr>
        <w:pStyle w:val="TOC8"/>
        <w:rPr>
          <w:rFonts w:asciiTheme="minorHAnsi" w:eastAsiaTheme="minorEastAsia" w:hAnsiTheme="minorHAnsi" w:cstheme="minorBidi"/>
          <w:szCs w:val="22"/>
        </w:rPr>
      </w:pPr>
      <w:r>
        <w:t>344.</w:t>
      </w:r>
      <w:r>
        <w:tab/>
        <w:t>Forms</w:t>
      </w:r>
      <w:r>
        <w:tab/>
      </w:r>
      <w:r>
        <w:fldChar w:fldCharType="begin"/>
      </w:r>
      <w:r>
        <w:instrText xml:space="preserve"> PAGEREF _Toc526261534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_Toc526261538 \h </w:instrText>
      </w:r>
      <w:r>
        <w:fldChar w:fldCharType="separate"/>
      </w:r>
      <w:r>
        <w:t>52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_Toc526261539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80"/>
      </w:pPr>
      <w:bookmarkStart w:id="3" w:name="_Toc526239618"/>
      <w:bookmarkStart w:id="4" w:name="_Toc526239859"/>
      <w:bookmarkStart w:id="5" w:name="_Toc526261347"/>
      <w:bookmarkStart w:id="6" w:name="_Toc526261482"/>
      <w:r>
        <w:rPr>
          <w:rStyle w:val="CharPartNo"/>
        </w:rPr>
        <w:t>Part I</w:t>
      </w:r>
      <w:r>
        <w:t xml:space="preserve"> — </w:t>
      </w:r>
      <w:r>
        <w:rPr>
          <w:rStyle w:val="CharPartText"/>
        </w:rPr>
        <w:t>Preliminary</w:t>
      </w:r>
      <w:bookmarkEnd w:id="3"/>
      <w:bookmarkEnd w:id="4"/>
      <w:bookmarkEnd w:id="5"/>
      <w:bookmarkEnd w:id="6"/>
    </w:p>
    <w:p>
      <w:pPr>
        <w:pStyle w:val="Footnoteheading"/>
      </w:pPr>
      <w:r>
        <w:tab/>
        <w:t>[Heading inserted in Gazette 30 May 2000 p. 2567.]</w:t>
      </w:r>
    </w:p>
    <w:p>
      <w:pPr>
        <w:pStyle w:val="Heading5"/>
        <w:spacing w:before="300"/>
      </w:pPr>
      <w:bookmarkStart w:id="7" w:name="_Toc526261483"/>
      <w:r>
        <w:rPr>
          <w:rStyle w:val="CharSectno"/>
        </w:rPr>
        <w:t>1</w:t>
      </w:r>
      <w:r>
        <w:t>.</w:t>
      </w:r>
      <w:r>
        <w:tab/>
        <w:t>Citation</w:t>
      </w:r>
      <w:bookmarkEnd w:id="7"/>
    </w:p>
    <w:p>
      <w:pPr>
        <w:pStyle w:val="Subsection"/>
        <w:spacing w:before="220"/>
      </w:pPr>
      <w:r>
        <w:tab/>
      </w:r>
      <w:r>
        <w:tab/>
        <w:t xml:space="preserve">These regulations may be cited as the </w:t>
      </w:r>
      <w:r>
        <w:rPr>
          <w:i/>
        </w:rPr>
        <w:t xml:space="preserve">Electricity Regulations 1947 </w:t>
      </w:r>
      <w:r>
        <w:rPr>
          <w:vertAlign w:val="superscript"/>
        </w:rPr>
        <w:t>1</w:t>
      </w:r>
      <w:r>
        <w:t>.</w:t>
      </w:r>
    </w:p>
    <w:p>
      <w:pPr>
        <w:pStyle w:val="Footnotesection"/>
        <w:spacing w:before="160"/>
        <w:ind w:left="890" w:hanging="890"/>
      </w:pPr>
      <w:r>
        <w:tab/>
        <w:t>[Regulation 1 inserted in Gazette 30 May 2000 p. 2567.]</w:t>
      </w:r>
    </w:p>
    <w:p>
      <w:pPr>
        <w:pStyle w:val="Heading5"/>
        <w:spacing w:before="300"/>
      </w:pPr>
      <w:bookmarkStart w:id="8" w:name="_Toc526261484"/>
      <w:r>
        <w:rPr>
          <w:rStyle w:val="CharSectno"/>
        </w:rPr>
        <w:t>2</w:t>
      </w:r>
      <w:r>
        <w:t>.</w:t>
      </w:r>
      <w:r>
        <w:tab/>
        <w:t>Term used: Australian/New Zealand Wiring Rules</w:t>
      </w:r>
      <w:bookmarkEnd w:id="8"/>
    </w:p>
    <w:p>
      <w:pPr>
        <w:pStyle w:val="Subsection"/>
        <w:spacing w:before="220"/>
      </w:pPr>
      <w:r>
        <w:tab/>
        <w:t>(1)</w:t>
      </w:r>
      <w:r>
        <w:tab/>
        <w:t>In these regulations —</w:t>
      </w:r>
    </w:p>
    <w:p>
      <w:pPr>
        <w:pStyle w:val="Defstart"/>
        <w:spacing w:before="160"/>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pPr>
        <w:pStyle w:val="Subsection"/>
        <w:keepNext/>
        <w:spacing w:before="200"/>
      </w:pPr>
      <w:r>
        <w:tab/>
        <w:t>(2)</w:t>
      </w:r>
      <w:r>
        <w:tab/>
        <w:t>Unless the contrary intention appears, words defined in the Australian/New Zealand Wiring Rules have the same respective meanings when used in these regulations.</w:t>
      </w:r>
    </w:p>
    <w:p>
      <w:pPr>
        <w:pStyle w:val="Footnotesection"/>
        <w:keepNext/>
        <w:spacing w:before="80"/>
        <w:ind w:left="890" w:hanging="890"/>
      </w:pPr>
      <w:r>
        <w:tab/>
        <w:t>[Regulation 2 inserted in Gazette 30 May 2000 p. 2567; amended in Gazette 8 May 2009 p. 1492</w:t>
      </w:r>
      <w:r>
        <w:noBreakHyphen/>
        <w:t>3; 5 Mar 2010 p. 841.]</w:t>
      </w:r>
    </w:p>
    <w:p>
      <w:pPr>
        <w:pStyle w:val="Ednotepart"/>
      </w:pPr>
      <w:r>
        <w:t>[Pts. II and III (r. 3</w:t>
      </w:r>
      <w:r>
        <w:noBreakHyphen/>
        <w:t>11) deleted in Gazette 14 Apr 2015 p. 1324.]</w:t>
      </w:r>
    </w:p>
    <w:p>
      <w:pPr>
        <w:pStyle w:val="Heading2"/>
      </w:pPr>
      <w:bookmarkStart w:id="9" w:name="_Toc526239621"/>
      <w:bookmarkStart w:id="10" w:name="_Toc526239862"/>
      <w:bookmarkStart w:id="11" w:name="_Toc526261350"/>
      <w:bookmarkStart w:id="12" w:name="_Toc526261485"/>
      <w:r>
        <w:rPr>
          <w:rStyle w:val="CharPartNo"/>
        </w:rPr>
        <w:t>Part IV</w:t>
      </w:r>
      <w:r>
        <w:rPr>
          <w:rStyle w:val="CharDivNo"/>
        </w:rPr>
        <w:t> </w:t>
      </w:r>
      <w:r>
        <w:t>—</w:t>
      </w:r>
      <w:r>
        <w:rPr>
          <w:rStyle w:val="CharDivText"/>
        </w:rPr>
        <w:t> </w:t>
      </w:r>
      <w:r>
        <w:rPr>
          <w:rStyle w:val="CharPartText"/>
        </w:rPr>
        <w:t>Residual current devices</w:t>
      </w:r>
      <w:bookmarkEnd w:id="9"/>
      <w:bookmarkEnd w:id="10"/>
      <w:bookmarkEnd w:id="11"/>
      <w:bookmarkEnd w:id="12"/>
    </w:p>
    <w:p>
      <w:pPr>
        <w:pStyle w:val="Footnoteheading"/>
      </w:pPr>
      <w:r>
        <w:tab/>
        <w:t>[Heading inserted in Gazette 8 May 2009 p. 1493.]</w:t>
      </w:r>
    </w:p>
    <w:p>
      <w:pPr>
        <w:pStyle w:val="Heading5"/>
      </w:pPr>
      <w:bookmarkStart w:id="13" w:name="_Toc526261486"/>
      <w:r>
        <w:rPr>
          <w:rStyle w:val="CharSectno"/>
        </w:rPr>
        <w:t>12</w:t>
      </w:r>
      <w:r>
        <w:t>.</w:t>
      </w:r>
      <w:r>
        <w:tab/>
        <w:t>Terms used</w:t>
      </w:r>
      <w:bookmarkEnd w:id="13"/>
    </w:p>
    <w:p>
      <w:pPr>
        <w:pStyle w:val="Subsection"/>
      </w:pPr>
      <w:r>
        <w:tab/>
      </w:r>
      <w:r>
        <w:tab/>
        <w:t>In this Part —</w:t>
      </w:r>
    </w:p>
    <w:p>
      <w:pPr>
        <w:pStyle w:val="Defstart"/>
      </w:pPr>
      <w:r>
        <w:tab/>
      </w:r>
      <w:r>
        <w:rPr>
          <w:rStyle w:val="CharDefText"/>
        </w:rPr>
        <w:t>commencement day</w:t>
      </w:r>
      <w:r>
        <w:t xml:space="preserve"> means the day on which this Part comes into operation</w:t>
      </w:r>
      <w:r>
        <w:rPr>
          <w:vertAlign w:val="superscript"/>
        </w:rPr>
        <w:t> 1</w:t>
      </w:r>
      <w:r>
        <w:t>;</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in Gazette 8 May 2009 p. 1493</w:t>
      </w:r>
      <w:r>
        <w:noBreakHyphen/>
        <w:t>4; amended in Gazette 5 Mar 2010 p. 842; 10 May 2011 p. 1663.]</w:t>
      </w:r>
    </w:p>
    <w:p>
      <w:pPr>
        <w:pStyle w:val="Heading5"/>
      </w:pPr>
      <w:bookmarkStart w:id="14" w:name="_Toc526261487"/>
      <w:r>
        <w:rPr>
          <w:rStyle w:val="CharSectno"/>
        </w:rPr>
        <w:t>13</w:t>
      </w:r>
      <w:r>
        <w:t>.</w:t>
      </w:r>
      <w:r>
        <w:tab/>
        <w:t>Residential premises occupied by owner</w:t>
      </w:r>
      <w:bookmarkEnd w:id="14"/>
    </w:p>
    <w:p>
      <w:pPr>
        <w:pStyle w:val="Subsection"/>
      </w:pPr>
      <w:r>
        <w:tab/>
      </w:r>
      <w:r>
        <w:tab/>
        <w:t>Subject to any exemption under regulation 18,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 amended in Gazette 10 May 2011 p. 1663; 13 Apr 2012 p. 1647.]</w:t>
      </w:r>
    </w:p>
    <w:p>
      <w:pPr>
        <w:pStyle w:val="Heading5"/>
      </w:pPr>
      <w:bookmarkStart w:id="15" w:name="_Toc526261488"/>
      <w:r>
        <w:rPr>
          <w:rStyle w:val="CharSectno"/>
        </w:rPr>
        <w:t>14</w:t>
      </w:r>
      <w:r>
        <w:t>.</w:t>
      </w:r>
      <w:r>
        <w:tab/>
        <w:t>Residential premises not occupied by owner</w:t>
      </w:r>
      <w:bookmarkEnd w:id="15"/>
    </w:p>
    <w:p>
      <w:pPr>
        <w:pStyle w:val="Subsection"/>
      </w:pPr>
      <w:r>
        <w:tab/>
      </w:r>
      <w:r>
        <w:tab/>
        <w:t>Subject to any exemption under regulation 18,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 amended in Gazette 10 May 2011 p. 1663.]</w:t>
      </w:r>
    </w:p>
    <w:p>
      <w:pPr>
        <w:pStyle w:val="Heading5"/>
      </w:pPr>
      <w:bookmarkStart w:id="16" w:name="_Toc526261489"/>
      <w:r>
        <w:rPr>
          <w:rStyle w:val="CharSectno"/>
        </w:rPr>
        <w:t>15A</w:t>
      </w:r>
      <w:r>
        <w:t>.</w:t>
      </w:r>
      <w:r>
        <w:tab/>
        <w:t>New owner’s obligation to install residual current devices and right to recover costs</w:t>
      </w:r>
      <w:bookmarkEnd w:id="16"/>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at least 2 residual current devices are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in Gazette 10 May 2011 p. 1664.]</w:t>
      </w:r>
    </w:p>
    <w:p>
      <w:pPr>
        <w:pStyle w:val="Heading5"/>
      </w:pPr>
      <w:bookmarkStart w:id="17" w:name="_Toc526261490"/>
      <w:r>
        <w:rPr>
          <w:rStyle w:val="CharSectno"/>
        </w:rPr>
        <w:t>15</w:t>
      </w:r>
      <w:r>
        <w:t>.</w:t>
      </w:r>
      <w:r>
        <w:tab/>
        <w:t>Common property relating to residential premises</w:t>
      </w:r>
      <w:bookmarkEnd w:id="17"/>
    </w:p>
    <w:p>
      <w:pPr>
        <w:pStyle w:val="Subsection"/>
      </w:pPr>
      <w:r>
        <w:tab/>
      </w:r>
      <w:r>
        <w:tab/>
        <w:t>Subject to any exemption under regulation 18,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 10 May 2011 p. 1664.]</w:t>
      </w:r>
    </w:p>
    <w:p>
      <w:pPr>
        <w:pStyle w:val="Heading5"/>
      </w:pPr>
      <w:bookmarkStart w:id="18" w:name="_Toc526261491"/>
      <w:r>
        <w:rPr>
          <w:rStyle w:val="CharSectno"/>
        </w:rPr>
        <w:t>16</w:t>
      </w:r>
      <w:r>
        <w:t>.</w:t>
      </w:r>
      <w:r>
        <w:tab/>
        <w:t>Defences in case of demolition</w:t>
      </w:r>
      <w:bookmarkEnd w:id="18"/>
    </w:p>
    <w:p>
      <w:pPr>
        <w:pStyle w:val="Subsection"/>
      </w:pPr>
      <w:r>
        <w:tab/>
        <w:t>(1)</w:t>
      </w:r>
      <w:r>
        <w:tab/>
        <w:t>It is a defence to a charge of an offence under regulation 13(a) or 14(a) for the person charged to prove that the new owner gave a notice of intended demolition.</w:t>
      </w:r>
    </w:p>
    <w:p>
      <w:pPr>
        <w:pStyle w:val="Subsection"/>
      </w:pPr>
      <w:r>
        <w:tab/>
        <w:t>(2)</w:t>
      </w:r>
      <w:r>
        <w:tab/>
        <w:t>It is a defence to a charge of an offence under regulation 14(d) or 15 for the person charged to prove that the person had, before the charge was laid, arranged for the demolition of the premises on or before a date that is not more than 6 months after the second anniversary of the commencement day.</w:t>
      </w:r>
    </w:p>
    <w:p>
      <w:pPr>
        <w:pStyle w:val="Footnotesection"/>
      </w:pPr>
      <w:r>
        <w:tab/>
        <w:t>[Regulation 16 inserted in Gazette 10 May 2011 p. 1665.]</w:t>
      </w:r>
    </w:p>
    <w:p>
      <w:pPr>
        <w:pStyle w:val="Ednotesection"/>
      </w:pPr>
      <w:r>
        <w:t>[</w:t>
      </w:r>
      <w:r>
        <w:rPr>
          <w:b/>
        </w:rPr>
        <w:t>17.</w:t>
      </w:r>
      <w:r>
        <w:tab/>
        <w:t>Deleted in Gazette 10 May 2011 p. 1665.]</w:t>
      </w:r>
    </w:p>
    <w:p>
      <w:pPr>
        <w:pStyle w:val="Heading5"/>
      </w:pPr>
      <w:bookmarkStart w:id="19" w:name="_Toc526261492"/>
      <w:r>
        <w:rPr>
          <w:rStyle w:val="CharSectno"/>
        </w:rPr>
        <w:t>18</w:t>
      </w:r>
      <w:r>
        <w:t>.</w:t>
      </w:r>
      <w:r>
        <w:tab/>
        <w:t>Director may grant temporary exemptions</w:t>
      </w:r>
      <w:bookmarkEnd w:id="19"/>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 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Heading2"/>
      </w:pPr>
      <w:bookmarkStart w:id="20" w:name="_Toc526239629"/>
      <w:bookmarkStart w:id="21" w:name="_Toc526239870"/>
      <w:bookmarkStart w:id="22" w:name="_Toc526261358"/>
      <w:bookmarkStart w:id="23" w:name="_Toc526261493"/>
      <w:r>
        <w:rPr>
          <w:rStyle w:val="CharPartNo"/>
        </w:rPr>
        <w:t>Part V</w:t>
      </w:r>
      <w:r>
        <w:t xml:space="preserve"> — </w:t>
      </w:r>
      <w:r>
        <w:rPr>
          <w:rStyle w:val="CharPartText"/>
        </w:rPr>
        <w:t>Interfering with electrical installations</w:t>
      </w:r>
      <w:bookmarkEnd w:id="20"/>
      <w:bookmarkEnd w:id="21"/>
      <w:bookmarkEnd w:id="22"/>
      <w:bookmarkEnd w:id="23"/>
    </w:p>
    <w:p>
      <w:pPr>
        <w:pStyle w:val="Footnoteheading"/>
      </w:pPr>
      <w:r>
        <w:tab/>
        <w:t>[Heading inserted in Gazette 13 Apr 2012 p. 1648.]</w:t>
      </w:r>
    </w:p>
    <w:p>
      <w:pPr>
        <w:pStyle w:val="Heading5"/>
      </w:pPr>
      <w:bookmarkStart w:id="24" w:name="_Toc526261494"/>
      <w:r>
        <w:rPr>
          <w:rStyle w:val="CharSectno"/>
        </w:rPr>
        <w:t>19</w:t>
      </w:r>
      <w:r>
        <w:t>.</w:t>
      </w:r>
      <w:r>
        <w:tab/>
        <w:t>Interfering with electrical installations</w:t>
      </w:r>
      <w:bookmarkEnd w:id="24"/>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vertAlign w:val="superscript"/>
        </w:rPr>
        <w:t> 2</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in Gazette 13 Apr 2012 p. 1648.]</w:t>
      </w:r>
    </w:p>
    <w:p>
      <w:pPr>
        <w:pStyle w:val="Ednotesection"/>
      </w:pPr>
      <w:r>
        <w:t>[</w:t>
      </w:r>
      <w:r>
        <w:rPr>
          <w:b/>
          <w:bCs/>
        </w:rPr>
        <w:t>20</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V1 and VII (r. 143</w:t>
      </w:r>
      <w:r>
        <w:noBreakHyphen/>
        <w:t>236) deleted in Gazette 14 Oct 1991 p. 5294.]</w:t>
      </w:r>
    </w:p>
    <w:p>
      <w:pPr>
        <w:pStyle w:val="Heading2"/>
      </w:pPr>
      <w:bookmarkStart w:id="25" w:name="_Toc526239631"/>
      <w:bookmarkStart w:id="26" w:name="_Toc526239872"/>
      <w:bookmarkStart w:id="27" w:name="_Toc526261360"/>
      <w:bookmarkStart w:id="28" w:name="_Toc526261495"/>
      <w:r>
        <w:rPr>
          <w:rStyle w:val="CharPartNo"/>
        </w:rPr>
        <w:t>Part VIII</w:t>
      </w:r>
      <w:r>
        <w:t xml:space="preserve"> — </w:t>
      </w:r>
      <w:r>
        <w:rPr>
          <w:rStyle w:val="CharPartText"/>
        </w:rPr>
        <w:t>Supply of electricity to consumers</w:t>
      </w:r>
      <w:bookmarkEnd w:id="25"/>
      <w:bookmarkEnd w:id="26"/>
      <w:bookmarkEnd w:id="27"/>
      <w:bookmarkEnd w:id="28"/>
    </w:p>
    <w:p>
      <w:pPr>
        <w:pStyle w:val="Footnoteheading"/>
      </w:pPr>
      <w:r>
        <w:tab/>
        <w:t>[Heading inserted in Gazette 30 May 2000 p. 2571.]</w:t>
      </w:r>
    </w:p>
    <w:p>
      <w:pPr>
        <w:pStyle w:val="Ednotesection"/>
        <w:spacing w:before="240"/>
      </w:pPr>
      <w:r>
        <w:t>[</w:t>
      </w:r>
      <w:r>
        <w:rPr>
          <w:b/>
          <w:bCs/>
        </w:rPr>
        <w:t>237.</w:t>
      </w:r>
      <w:r>
        <w:tab/>
        <w:t>Deleted in Gazette 31 Mar 2006 p. 1348.]</w:t>
      </w:r>
    </w:p>
    <w:p>
      <w:pPr>
        <w:pStyle w:val="Ednotesection"/>
        <w:spacing w:before="240"/>
      </w:pPr>
      <w:r>
        <w:t>[</w:t>
      </w:r>
      <w:r>
        <w:rPr>
          <w:b/>
          <w:bCs/>
        </w:rPr>
        <w:t>238</w:t>
      </w:r>
      <w:r>
        <w:rPr>
          <w:b/>
          <w:bCs/>
        </w:rPr>
        <w:noBreakHyphen/>
        <w:t>240.</w:t>
      </w:r>
      <w:r>
        <w:tab/>
        <w:t>Deleted in Gazette 31 Oct 2006 p. 4597.]</w:t>
      </w:r>
    </w:p>
    <w:p>
      <w:pPr>
        <w:pStyle w:val="Heading5"/>
        <w:spacing w:before="240"/>
      </w:pPr>
      <w:bookmarkStart w:id="29" w:name="_Toc526261496"/>
      <w:r>
        <w:rPr>
          <w:rStyle w:val="CharSectno"/>
        </w:rPr>
        <w:t>241</w:t>
      </w:r>
      <w:r>
        <w:t>.</w:t>
      </w:r>
      <w:r>
        <w:tab/>
        <w:t>Terms used</w:t>
      </w:r>
      <w:bookmarkEnd w:id="29"/>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spacing w:before="240"/>
        <w:rPr>
          <w:snapToGrid w:val="0"/>
        </w:rPr>
      </w:pPr>
      <w:bookmarkStart w:id="30" w:name="_Toc526261497"/>
      <w:r>
        <w:rPr>
          <w:rStyle w:val="CharSectno"/>
        </w:rPr>
        <w:t>242</w:t>
      </w:r>
      <w:r>
        <w:rPr>
          <w:snapToGrid w:val="0"/>
        </w:rPr>
        <w:t>.</w:t>
      </w:r>
      <w:r>
        <w:rPr>
          <w:snapToGrid w:val="0"/>
        </w:rPr>
        <w:tab/>
        <w:t>Connection of supply</w:t>
      </w:r>
      <w:bookmarkEnd w:id="30"/>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in Gazette 23 Dec 1994 p. 7125; amended in Gazette 19 Dec 2000 p. 7274; 31 Oct 2006 p. 4598; 10 May 2011 p. 1665</w:t>
      </w:r>
      <w:r>
        <w:noBreakHyphen/>
        <w:t>6.]</w:t>
      </w:r>
    </w:p>
    <w:p>
      <w:pPr>
        <w:pStyle w:val="Heading5"/>
      </w:pPr>
      <w:bookmarkStart w:id="31" w:name="_Toc526261498"/>
      <w:r>
        <w:rPr>
          <w:rStyle w:val="CharSectno"/>
        </w:rPr>
        <w:t>243</w:t>
      </w:r>
      <w:r>
        <w:t>.</w:t>
      </w:r>
      <w:r>
        <w:tab/>
        <w:t>Voltage on the neutral</w:t>
      </w:r>
      <w:bookmarkEnd w:id="31"/>
    </w:p>
    <w:p>
      <w:pPr>
        <w:pStyle w:val="Subsection"/>
      </w:pPr>
      <w:r>
        <w:tab/>
        <w:t>(1)</w:t>
      </w:r>
      <w:r>
        <w:tab/>
        <w:t>The voltage on the neutral of a consumer’s installation must be below 6 volts AC.</w:t>
      </w:r>
    </w:p>
    <w:p>
      <w:pPr>
        <w:pStyle w:val="Subsection"/>
      </w:pPr>
      <w:r>
        <w:tab/>
        <w:t>(2)</w:t>
      </w:r>
      <w:r>
        <w:tab/>
        <w:t>The voltage on the neutral is to be measured in accordance with AS 4741</w:t>
      </w:r>
      <w:r>
        <w:noBreakHyphen/>
        <w:t>2010 Appendix A.</w:t>
      </w:r>
    </w:p>
    <w:p>
      <w:pPr>
        <w:pStyle w:val="Subsection"/>
        <w:keepNext/>
      </w:pPr>
      <w:r>
        <w:tab/>
        <w:t>(3)</w:t>
      </w:r>
      <w:r>
        <w:tab/>
        <w:t xml:space="preserve">If a network operator becomes aware that the voltage on the neutral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in Gazette 13 Apr 2012 p. 1648</w:t>
      </w:r>
      <w:r>
        <w:noBreakHyphen/>
        <w:t>9.]</w:t>
      </w:r>
    </w:p>
    <w:p>
      <w:pPr>
        <w:pStyle w:val="Heading5"/>
        <w:spacing w:before="180"/>
      </w:pPr>
      <w:bookmarkStart w:id="32" w:name="_Toc526261499"/>
      <w:r>
        <w:rPr>
          <w:rStyle w:val="CharSectno"/>
        </w:rPr>
        <w:t>244</w:t>
      </w:r>
      <w:r>
        <w:t>.</w:t>
      </w:r>
      <w:r>
        <w:tab/>
        <w:t>Damage by overloading to network operator’s apparatus</w:t>
      </w:r>
      <w:bookmarkEnd w:id="32"/>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spacing w:before="180"/>
        <w:rPr>
          <w:b/>
        </w:rPr>
      </w:pPr>
      <w:r>
        <w:t>[</w:t>
      </w:r>
      <w:r>
        <w:rPr>
          <w:b/>
        </w:rPr>
        <w:t>245</w:t>
      </w:r>
      <w:r>
        <w:rPr>
          <w:b/>
        </w:rPr>
        <w:noBreakHyphen/>
        <w:t xml:space="preserve">248. </w:t>
      </w:r>
      <w:r>
        <w:t>Deleted in Gazette 19 Dec 2000 p. 7274.]</w:t>
      </w:r>
    </w:p>
    <w:p>
      <w:pPr>
        <w:pStyle w:val="Heading5"/>
        <w:spacing w:before="180"/>
        <w:rPr>
          <w:snapToGrid w:val="0"/>
        </w:rPr>
      </w:pPr>
      <w:bookmarkStart w:id="33" w:name="_Toc526261500"/>
      <w:r>
        <w:rPr>
          <w:rStyle w:val="CharSectno"/>
        </w:rPr>
        <w:t>249</w:t>
      </w:r>
      <w:r>
        <w:rPr>
          <w:snapToGrid w:val="0"/>
        </w:rPr>
        <w:t>.</w:t>
      </w:r>
      <w:r>
        <w:rPr>
          <w:snapToGrid w:val="0"/>
        </w:rPr>
        <w:tab/>
        <w:t>Fixing leads in fuses, meters etc.</w:t>
      </w:r>
      <w:bookmarkEnd w:id="33"/>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spacing w:before="180"/>
      </w:pPr>
      <w:r>
        <w:t>[</w:t>
      </w:r>
      <w:r>
        <w:rPr>
          <w:b/>
          <w:bCs/>
        </w:rPr>
        <w:t>250.</w:t>
      </w:r>
      <w:r>
        <w:rPr>
          <w:b/>
          <w:bCs/>
        </w:rPr>
        <w:tab/>
      </w:r>
      <w:r>
        <w:t>Deleted in Gazette 31 Oct 2006 p. 4598.]</w:t>
      </w:r>
    </w:p>
    <w:p>
      <w:pPr>
        <w:pStyle w:val="Ednotesection"/>
        <w:spacing w:before="180"/>
        <w:rPr>
          <w:b/>
        </w:rPr>
      </w:pPr>
      <w:r>
        <w:t>[</w:t>
      </w:r>
      <w:r>
        <w:rPr>
          <w:b/>
        </w:rPr>
        <w:t>251.</w:t>
      </w:r>
      <w:r>
        <w:rPr>
          <w:b/>
        </w:rPr>
        <w:tab/>
      </w:r>
      <w:r>
        <w:t>Deleted in Gazette 19 Dec 2000 p. 7274.]</w:t>
      </w:r>
    </w:p>
    <w:p>
      <w:pPr>
        <w:pStyle w:val="Ednotesection"/>
        <w:spacing w:before="180"/>
      </w:pPr>
      <w:r>
        <w:t>[</w:t>
      </w:r>
      <w:r>
        <w:rPr>
          <w:b/>
          <w:bCs/>
        </w:rPr>
        <w:t>252.</w:t>
      </w:r>
      <w:r>
        <w:rPr>
          <w:b/>
          <w:bCs/>
        </w:rPr>
        <w:tab/>
      </w:r>
      <w:r>
        <w:t>Deleted in Gazette 31 Oct 2006 p. 4598.]</w:t>
      </w:r>
    </w:p>
    <w:p>
      <w:pPr>
        <w:pStyle w:val="Heading5"/>
        <w:spacing w:before="180"/>
        <w:rPr>
          <w:snapToGrid w:val="0"/>
        </w:rPr>
      </w:pPr>
      <w:bookmarkStart w:id="34" w:name="_Toc526261501"/>
      <w:r>
        <w:rPr>
          <w:rStyle w:val="CharSectno"/>
        </w:rPr>
        <w:t>253</w:t>
      </w:r>
      <w:r>
        <w:rPr>
          <w:snapToGrid w:val="0"/>
        </w:rPr>
        <w:t>.</w:t>
      </w:r>
      <w:r>
        <w:rPr>
          <w:snapToGrid w:val="0"/>
        </w:rPr>
        <w:tab/>
        <w:t>Systems of inspection</w:t>
      </w:r>
      <w:bookmarkEnd w:id="34"/>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in Gazette 23 Dec 1994 p. 7126</w:t>
      </w:r>
      <w:r>
        <w:noBreakHyphen/>
        <w:t>8; amended in Gazette 31 Oct 2006 p. 4599; 27 Oct 2009 p. 4211</w:t>
      </w:r>
      <w:r>
        <w:noBreakHyphen/>
        <w:t>12.]</w:t>
      </w:r>
    </w:p>
    <w:p>
      <w:pPr>
        <w:pStyle w:val="Heading5"/>
      </w:pPr>
      <w:bookmarkStart w:id="35" w:name="_Toc526261502"/>
      <w:r>
        <w:rPr>
          <w:rStyle w:val="CharSectno"/>
        </w:rPr>
        <w:t>254</w:t>
      </w:r>
      <w:r>
        <w:t>.</w:t>
      </w:r>
      <w:r>
        <w:tab/>
        <w:t>Individual inspection and reporting for electric installation</w:t>
      </w:r>
      <w:bookmarkEnd w:id="35"/>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p>
      <w:pPr>
        <w:pStyle w:val="Ednotesection"/>
      </w:pPr>
      <w:r>
        <w:t>[</w:t>
      </w:r>
      <w:r>
        <w:rPr>
          <w:b/>
          <w:bCs/>
        </w:rPr>
        <w:t>255.</w:t>
      </w:r>
      <w:r>
        <w:rPr>
          <w:b/>
          <w:bCs/>
        </w:rPr>
        <w:tab/>
      </w:r>
      <w:r>
        <w:t>Deleted in Gazette 31 Oct 2006 p. 4600.]</w:t>
      </w:r>
    </w:p>
    <w:p>
      <w:pPr>
        <w:pStyle w:val="Ednotesection"/>
        <w:rPr>
          <w:b/>
        </w:rPr>
      </w:pPr>
      <w:r>
        <w:t>[</w:t>
      </w:r>
      <w:r>
        <w:rPr>
          <w:b/>
        </w:rPr>
        <w:t>256.</w:t>
      </w:r>
      <w:r>
        <w:rPr>
          <w:b/>
        </w:rPr>
        <w:tab/>
      </w:r>
      <w:r>
        <w:t>Deleted in Gazette 19 Dec 2000 p. 7274.]</w:t>
      </w:r>
    </w:p>
    <w:p>
      <w:pPr>
        <w:pStyle w:val="Heading5"/>
        <w:rPr>
          <w:snapToGrid w:val="0"/>
        </w:rPr>
      </w:pPr>
      <w:bookmarkStart w:id="36" w:name="_Toc526261503"/>
      <w:r>
        <w:rPr>
          <w:rStyle w:val="CharSectno"/>
        </w:rPr>
        <w:t>257</w:t>
      </w:r>
      <w:r>
        <w:rPr>
          <w:snapToGrid w:val="0"/>
        </w:rPr>
        <w:t>.</w:t>
      </w:r>
      <w:r>
        <w:rPr>
          <w:snapToGrid w:val="0"/>
        </w:rPr>
        <w:tab/>
        <w:t>Supply to large premises</w:t>
      </w:r>
      <w:bookmarkEnd w:id="36"/>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r>
        <w:t>[</w:t>
      </w:r>
      <w:r>
        <w:rPr>
          <w:b/>
        </w:rPr>
        <w:t>258</w:t>
      </w:r>
      <w:r>
        <w:rPr>
          <w:b/>
        </w:rPr>
        <w:noBreakHyphen/>
        <w:t>264.</w:t>
      </w:r>
      <w:r>
        <w:rPr>
          <w:b/>
        </w:rPr>
        <w:tab/>
      </w:r>
      <w:r>
        <w:t>Deleted in Gazette 19 Dec 2000 p. 7274.]</w:t>
      </w:r>
    </w:p>
    <w:p>
      <w:pPr>
        <w:pStyle w:val="Heading5"/>
        <w:rPr>
          <w:snapToGrid w:val="0"/>
        </w:rPr>
      </w:pPr>
      <w:bookmarkStart w:id="37" w:name="_Toc526261504"/>
      <w:r>
        <w:rPr>
          <w:rStyle w:val="CharSectno"/>
        </w:rPr>
        <w:t>265</w:t>
      </w:r>
      <w:r>
        <w:rPr>
          <w:snapToGrid w:val="0"/>
        </w:rPr>
        <w:t>.</w:t>
      </w:r>
      <w:r>
        <w:rPr>
          <w:snapToGrid w:val="0"/>
        </w:rPr>
        <w:tab/>
        <w:t>Interference with supply to other consumers</w:t>
      </w:r>
      <w:bookmarkEnd w:id="37"/>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38" w:name="_Toc526261505"/>
      <w:r>
        <w:rPr>
          <w:rStyle w:val="CharSectno"/>
        </w:rPr>
        <w:t>271</w:t>
      </w:r>
      <w:r>
        <w:t>.</w:t>
      </w:r>
      <w:r>
        <w:tab/>
        <w:t>Apparatus, interruptions, responsibility</w:t>
      </w:r>
      <w:bookmarkEnd w:id="38"/>
    </w:p>
    <w:p>
      <w:pPr>
        <w:pStyle w:val="Subsection"/>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39" w:name="_Toc526261506"/>
      <w:r>
        <w:rPr>
          <w:rStyle w:val="CharSectno"/>
        </w:rPr>
        <w:t>272</w:t>
      </w:r>
      <w:r>
        <w:t>.</w:t>
      </w:r>
      <w:r>
        <w:tab/>
        <w:t>Disconnections</w:t>
      </w:r>
      <w:bookmarkEnd w:id="39"/>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p>
      <w:pPr>
        <w:pStyle w:val="Ednotesection"/>
      </w:pPr>
      <w:r>
        <w:t>[</w:t>
      </w:r>
      <w:r>
        <w:rPr>
          <w:b/>
          <w:bCs/>
        </w:rPr>
        <w:t>273.</w:t>
      </w:r>
      <w:r>
        <w:rPr>
          <w:b/>
          <w:bCs/>
        </w:rPr>
        <w:tab/>
      </w:r>
      <w:r>
        <w:t>Deleted in Gazette 31 Oct 2006 p. 4602.]</w:t>
      </w:r>
    </w:p>
    <w:p>
      <w:pPr>
        <w:pStyle w:val="Heading5"/>
      </w:pPr>
      <w:bookmarkStart w:id="40" w:name="_Toc526261507"/>
      <w:r>
        <w:rPr>
          <w:rStyle w:val="CharSectno"/>
        </w:rPr>
        <w:t>274</w:t>
      </w:r>
      <w:r>
        <w:t>.</w:t>
      </w:r>
      <w:r>
        <w:tab/>
        <w:t>Consumer’s liability for loss</w:t>
      </w:r>
      <w:bookmarkEnd w:id="40"/>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41" w:name="_Toc526261508"/>
      <w:r>
        <w:rPr>
          <w:rStyle w:val="CharSectno"/>
        </w:rPr>
        <w:t>276</w:t>
      </w:r>
      <w:r>
        <w:t>.</w:t>
      </w:r>
      <w:r>
        <w:tab/>
        <w:t>Alteration to system</w:t>
      </w:r>
      <w:bookmarkEnd w:id="41"/>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r>
        <w:t>[</w:t>
      </w:r>
      <w:r>
        <w:rPr>
          <w:b/>
          <w:bCs/>
        </w:rPr>
        <w:t>279.</w:t>
      </w:r>
      <w:r>
        <w:rPr>
          <w:b/>
          <w:bCs/>
        </w:rPr>
        <w:tab/>
      </w:r>
      <w:r>
        <w:t>Deleted in Gazette 31 Oct 2006 p. 4602.]</w:t>
      </w:r>
    </w:p>
    <w:p>
      <w:pPr>
        <w:pStyle w:val="Heading5"/>
      </w:pPr>
      <w:bookmarkStart w:id="42" w:name="_Toc526261509"/>
      <w:r>
        <w:rPr>
          <w:rStyle w:val="CharSectno"/>
        </w:rPr>
        <w:t>280</w:t>
      </w:r>
      <w:r>
        <w:t>.</w:t>
      </w:r>
      <w:r>
        <w:tab/>
        <w:t>Charges for services</w:t>
      </w:r>
      <w:bookmarkEnd w:id="42"/>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43" w:name="_Toc526239646"/>
      <w:bookmarkStart w:id="44" w:name="_Toc526239887"/>
      <w:bookmarkStart w:id="45" w:name="_Toc526261375"/>
      <w:bookmarkStart w:id="46" w:name="_Toc526261510"/>
      <w:r>
        <w:rPr>
          <w:rStyle w:val="CharPartNo"/>
        </w:rPr>
        <w:t>Part IX</w:t>
      </w:r>
      <w:r>
        <w:rPr>
          <w:b w:val="0"/>
        </w:rPr>
        <w:t> </w:t>
      </w:r>
      <w:r>
        <w:t>—</w:t>
      </w:r>
      <w:r>
        <w:rPr>
          <w:b w:val="0"/>
        </w:rPr>
        <w:t> </w:t>
      </w:r>
      <w:r>
        <w:rPr>
          <w:rStyle w:val="CharPartText"/>
        </w:rPr>
        <w:t>Vegetation control safety requirements</w:t>
      </w:r>
      <w:bookmarkEnd w:id="43"/>
      <w:bookmarkEnd w:id="44"/>
      <w:bookmarkEnd w:id="45"/>
      <w:bookmarkEnd w:id="46"/>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47" w:name="_Toc526261511"/>
      <w:r>
        <w:rPr>
          <w:rStyle w:val="CharSectno"/>
        </w:rPr>
        <w:t>316A</w:t>
      </w:r>
      <w:r>
        <w:rPr>
          <w:snapToGrid w:val="0"/>
        </w:rPr>
        <w:t>.</w:t>
      </w:r>
      <w:r>
        <w:rPr>
          <w:snapToGrid w:val="0"/>
        </w:rPr>
        <w:tab/>
        <w:t>Vegetation control work near overhead power lines</w:t>
      </w:r>
      <w:bookmarkEnd w:id="47"/>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 </w:t>
      </w:r>
    </w:p>
    <w:p>
      <w:pPr>
        <w:pStyle w:val="Indenta"/>
      </w:pPr>
      <w:r>
        <w:tab/>
      </w:r>
      <w:r>
        <w:tab/>
        <w:t>and</w:t>
      </w:r>
      <w:r>
        <w:tab/>
      </w:r>
    </w:p>
    <w:p>
      <w:pPr>
        <w:pStyle w:val="Indenta"/>
      </w:pPr>
      <w:r>
        <w:tab/>
        <w:t>(b)</w:t>
      </w:r>
      <w:r>
        <w:tab/>
        <w:t>a reference to performing work includes a reference to assisting to perform work; and</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48" w:name="_Toc526239648"/>
      <w:bookmarkStart w:id="49" w:name="_Toc526239889"/>
      <w:bookmarkStart w:id="50" w:name="_Toc526261377"/>
      <w:bookmarkStart w:id="51" w:name="_Toc526261512"/>
      <w:r>
        <w:rPr>
          <w:rStyle w:val="CharPartNo"/>
        </w:rPr>
        <w:t>Part X</w:t>
      </w:r>
      <w:r>
        <w:rPr>
          <w:rStyle w:val="CharDivNo"/>
        </w:rPr>
        <w:t> </w:t>
      </w:r>
      <w:r>
        <w:t>—</w:t>
      </w:r>
      <w:r>
        <w:rPr>
          <w:rStyle w:val="CharDivText"/>
        </w:rPr>
        <w:t> </w:t>
      </w:r>
      <w:r>
        <w:rPr>
          <w:rStyle w:val="CharPartText"/>
        </w:rPr>
        <w:t>Approval of electrical appliances</w:t>
      </w:r>
      <w:bookmarkEnd w:id="48"/>
      <w:bookmarkEnd w:id="49"/>
      <w:bookmarkEnd w:id="50"/>
      <w:bookmarkEnd w:id="51"/>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52" w:name="_Toc526261513"/>
      <w:r>
        <w:rPr>
          <w:rStyle w:val="CharSectno"/>
        </w:rPr>
        <w:t>321</w:t>
      </w:r>
      <w:r>
        <w:t>.</w:t>
      </w:r>
      <w:r>
        <w:tab/>
        <w:t>Terms used</w:t>
      </w:r>
      <w:bookmarkEnd w:id="52"/>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 or</w:t>
      </w:r>
    </w:p>
    <w:p>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 or</w:t>
      </w:r>
    </w:p>
    <w:p>
      <w:pPr>
        <w:pStyle w:val="Defpara"/>
      </w:pPr>
      <w:r>
        <w:tab/>
        <w:t>(c)</w:t>
      </w:r>
      <w:r>
        <w:tab/>
        <w:t>the Office of the Chief Electrical Inspector, Victoria; or</w:t>
      </w:r>
    </w:p>
    <w:p>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 or</w:t>
      </w:r>
    </w:p>
    <w:p>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pPr>
        <w:pStyle w:val="Defstart"/>
      </w:pPr>
      <w:r>
        <w:tab/>
      </w:r>
      <w:r>
        <w:rPr>
          <w:rStyle w:val="CharDefText"/>
        </w:rPr>
        <w:t>published specification</w:t>
      </w:r>
      <w:r>
        <w:t xml:space="preserve"> means the relevant Approval and Test Specification published by the Standards Association of Australia</w:t>
      </w:r>
      <w:r>
        <w:rPr>
          <w:vertAlign w:val="superscript"/>
        </w:rPr>
        <w:t> 3</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to the classification letters, numbers, month (if any) and year of publication or title of Approval and Test Specifications published by the Standards Association of Australia</w:t>
      </w:r>
      <w:r>
        <w:rPr>
          <w:vertAlign w:val="superscript"/>
        </w:rPr>
        <w:t> 3</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53" w:name="_Toc526261514"/>
      <w:r>
        <w:rPr>
          <w:rStyle w:val="CharSectno"/>
        </w:rPr>
        <w:t>322</w:t>
      </w:r>
      <w:r>
        <w:rPr>
          <w:snapToGrid w:val="0"/>
        </w:rPr>
        <w:t>.</w:t>
      </w:r>
      <w:r>
        <w:rPr>
          <w:snapToGrid w:val="0"/>
        </w:rPr>
        <w:tab/>
        <w:t>Application for approval</w:t>
      </w:r>
      <w:bookmarkEnd w:id="53"/>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in Gazette 7 Sep 1955 p. 2145; amended in Gazette 22 Dec 1964 p. 4081; 23 Dec 1994 p. 7125 and 7129</w:t>
      </w:r>
      <w:r>
        <w:noBreakHyphen/>
        <w:t>30; 23 May 1997 p. 2418.]</w:t>
      </w:r>
    </w:p>
    <w:p>
      <w:pPr>
        <w:pStyle w:val="Heading5"/>
        <w:rPr>
          <w:snapToGrid w:val="0"/>
        </w:rPr>
      </w:pPr>
      <w:bookmarkStart w:id="54" w:name="_Toc526261515"/>
      <w:r>
        <w:rPr>
          <w:rStyle w:val="CharSectno"/>
        </w:rPr>
        <w:t>323</w:t>
      </w:r>
      <w:r>
        <w:rPr>
          <w:snapToGrid w:val="0"/>
        </w:rPr>
        <w:t>.</w:t>
      </w:r>
      <w:r>
        <w:rPr>
          <w:snapToGrid w:val="0"/>
        </w:rPr>
        <w:tab/>
        <w:t>Further testing of electrical appliances approved</w:t>
      </w:r>
      <w:bookmarkEnd w:id="54"/>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55" w:name="_Toc526261516"/>
      <w:r>
        <w:rPr>
          <w:rStyle w:val="CharSectno"/>
        </w:rPr>
        <w:t>326</w:t>
      </w:r>
      <w:r>
        <w:rPr>
          <w:snapToGrid w:val="0"/>
        </w:rPr>
        <w:t>.</w:t>
      </w:r>
      <w:r>
        <w:rPr>
          <w:snapToGrid w:val="0"/>
        </w:rPr>
        <w:tab/>
        <w:t>Certificate of approval</w:t>
      </w:r>
      <w:bookmarkEnd w:id="55"/>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in Gazette 7 Sep 1955 p. 2146</w:t>
      </w:r>
      <w:r>
        <w:noBreakHyphen/>
        <w:t>7; amended in Gazette 22 Dec 1964 p. 4081; 23 Dec 1994 p. 7125 and 7131; 31 Oct 2006 p. 4602; 31 Dec 2010 p. 6888; 5 Jan 2016 p. 3.]</w:t>
      </w:r>
    </w:p>
    <w:p>
      <w:pPr>
        <w:pStyle w:val="Heading5"/>
        <w:spacing w:before="180"/>
        <w:rPr>
          <w:snapToGrid w:val="0"/>
        </w:rPr>
      </w:pPr>
      <w:bookmarkStart w:id="56" w:name="_Toc526261517"/>
      <w:r>
        <w:rPr>
          <w:rStyle w:val="CharSectno"/>
        </w:rPr>
        <w:t>327</w:t>
      </w:r>
      <w:r>
        <w:rPr>
          <w:snapToGrid w:val="0"/>
        </w:rPr>
        <w:t>.</w:t>
      </w:r>
      <w:r>
        <w:rPr>
          <w:snapToGrid w:val="0"/>
        </w:rPr>
        <w:tab/>
        <w:t>Stamping and labelling of approved electrical appliances</w:t>
      </w:r>
      <w:bookmarkEnd w:id="56"/>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in Gazette 7 Sep 1955 p. 2147</w:t>
      </w:r>
      <w:r>
        <w:noBreakHyphen/>
        <w:t>8; amended in Gazette 23 Dec 1994 p. 7125.]</w:t>
      </w:r>
    </w:p>
    <w:p>
      <w:pPr>
        <w:pStyle w:val="Heading5"/>
        <w:pageBreakBefore/>
        <w:spacing w:before="0"/>
        <w:rPr>
          <w:snapToGrid w:val="0"/>
        </w:rPr>
      </w:pPr>
      <w:bookmarkStart w:id="57" w:name="_Toc526261518"/>
      <w:r>
        <w:rPr>
          <w:rStyle w:val="CharSectno"/>
        </w:rPr>
        <w:t>328</w:t>
      </w:r>
      <w:r>
        <w:rPr>
          <w:snapToGrid w:val="0"/>
        </w:rPr>
        <w:t>.</w:t>
      </w:r>
      <w:r>
        <w:rPr>
          <w:snapToGrid w:val="0"/>
        </w:rPr>
        <w:tab/>
        <w:t>Modification of design or construction</w:t>
      </w:r>
      <w:bookmarkEnd w:id="57"/>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58" w:name="_Toc526261519"/>
      <w:r>
        <w:rPr>
          <w:rStyle w:val="CharSectno"/>
        </w:rPr>
        <w:t>329</w:t>
      </w:r>
      <w:r>
        <w:rPr>
          <w:snapToGrid w:val="0"/>
        </w:rPr>
        <w:t>.</w:t>
      </w:r>
      <w:r>
        <w:rPr>
          <w:snapToGrid w:val="0"/>
        </w:rPr>
        <w:tab/>
        <w:t>Transfer of certificate of approval</w:t>
      </w:r>
      <w:bookmarkEnd w:id="58"/>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59" w:name="_Toc526261520"/>
      <w:r>
        <w:rPr>
          <w:rStyle w:val="CharSectno"/>
        </w:rPr>
        <w:t>330</w:t>
      </w:r>
      <w:r>
        <w:rPr>
          <w:snapToGrid w:val="0"/>
        </w:rPr>
        <w:t>.</w:t>
      </w:r>
      <w:r>
        <w:rPr>
          <w:snapToGrid w:val="0"/>
        </w:rPr>
        <w:tab/>
        <w:t>Lost or destroyed certificates of approval</w:t>
      </w:r>
      <w:bookmarkEnd w:id="59"/>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60" w:name="_Toc526261521"/>
      <w:r>
        <w:rPr>
          <w:rStyle w:val="CharSectno"/>
        </w:rPr>
        <w:t>331</w:t>
      </w:r>
      <w:r>
        <w:rPr>
          <w:snapToGrid w:val="0"/>
        </w:rPr>
        <w:t>.</w:t>
      </w:r>
      <w:r>
        <w:rPr>
          <w:snapToGrid w:val="0"/>
        </w:rPr>
        <w:tab/>
        <w:t>Delegation by Director</w:t>
      </w:r>
      <w:bookmarkEnd w:id="60"/>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61" w:name="_Toc526261522"/>
      <w:r>
        <w:rPr>
          <w:rStyle w:val="CharSectno"/>
        </w:rPr>
        <w:t>332</w:t>
      </w:r>
      <w:r>
        <w:rPr>
          <w:snapToGrid w:val="0"/>
        </w:rPr>
        <w:t>.</w:t>
      </w:r>
      <w:r>
        <w:rPr>
          <w:snapToGrid w:val="0"/>
        </w:rPr>
        <w:tab/>
        <w:t>Refusal or withdrawal of approval</w:t>
      </w:r>
      <w:bookmarkEnd w:id="61"/>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62" w:name="_Toc526261523"/>
      <w:r>
        <w:rPr>
          <w:rStyle w:val="CharSectno"/>
        </w:rPr>
        <w:t>333</w:t>
      </w:r>
      <w:r>
        <w:rPr>
          <w:snapToGrid w:val="0"/>
        </w:rPr>
        <w:t>.</w:t>
      </w:r>
      <w:r>
        <w:rPr>
          <w:snapToGrid w:val="0"/>
        </w:rPr>
        <w:tab/>
        <w:t>Notification of withdrawal of approval</w:t>
      </w:r>
      <w:bookmarkEnd w:id="62"/>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63" w:name="_Toc526261524"/>
      <w:r>
        <w:rPr>
          <w:rStyle w:val="CharSectno"/>
        </w:rPr>
        <w:t>334</w:t>
      </w:r>
      <w:r>
        <w:rPr>
          <w:snapToGrid w:val="0"/>
        </w:rPr>
        <w:t>.</w:t>
      </w:r>
      <w:r>
        <w:rPr>
          <w:snapToGrid w:val="0"/>
        </w:rPr>
        <w:tab/>
        <w:t>Deferment of approval</w:t>
      </w:r>
      <w:bookmarkEnd w:id="63"/>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64" w:name="_Toc526261525"/>
      <w:r>
        <w:rPr>
          <w:rStyle w:val="CharSectno"/>
        </w:rPr>
        <w:t>335</w:t>
      </w:r>
      <w:r>
        <w:rPr>
          <w:snapToGrid w:val="0"/>
        </w:rPr>
        <w:t>.</w:t>
      </w:r>
      <w:r>
        <w:rPr>
          <w:snapToGrid w:val="0"/>
        </w:rPr>
        <w:tab/>
        <w:t>Purchase of electrical appliances for inspection</w:t>
      </w:r>
      <w:bookmarkEnd w:id="64"/>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65" w:name="_Toc526261526"/>
      <w:r>
        <w:rPr>
          <w:rStyle w:val="CharSectno"/>
        </w:rPr>
        <w:t>336</w:t>
      </w:r>
      <w:r>
        <w:rPr>
          <w:snapToGrid w:val="0"/>
        </w:rPr>
        <w:t>.</w:t>
      </w:r>
      <w:r>
        <w:rPr>
          <w:snapToGrid w:val="0"/>
        </w:rPr>
        <w:tab/>
        <w:t>Obstruction of officers</w:t>
      </w:r>
      <w:bookmarkEnd w:id="65"/>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in Gazette 7 Sep 1955 p. 2151; amended in Gazette 23 Dec 1994 p. 7125 and 7132.]</w:t>
      </w:r>
    </w:p>
    <w:p>
      <w:pPr>
        <w:pStyle w:val="Heading5"/>
        <w:rPr>
          <w:snapToGrid w:val="0"/>
        </w:rPr>
      </w:pPr>
      <w:bookmarkStart w:id="66" w:name="_Toc526261527"/>
      <w:r>
        <w:rPr>
          <w:rStyle w:val="CharSectno"/>
        </w:rPr>
        <w:t>337</w:t>
      </w:r>
      <w:r>
        <w:rPr>
          <w:snapToGrid w:val="0"/>
        </w:rPr>
        <w:t>.</w:t>
      </w:r>
      <w:r>
        <w:rPr>
          <w:snapToGrid w:val="0"/>
        </w:rPr>
        <w:tab/>
        <w:t>Register of Prescribed Electrical Appliances and Register of Approved Electrical Appliances</w:t>
      </w:r>
      <w:bookmarkEnd w:id="66"/>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67" w:name="_Toc526261528"/>
      <w:r>
        <w:rPr>
          <w:rStyle w:val="CharSectno"/>
        </w:rPr>
        <w:t>338</w:t>
      </w:r>
      <w:r>
        <w:rPr>
          <w:snapToGrid w:val="0"/>
        </w:rPr>
        <w:t>.</w:t>
      </w:r>
      <w:r>
        <w:rPr>
          <w:snapToGrid w:val="0"/>
        </w:rPr>
        <w:tab/>
        <w:t>Change of address</w:t>
      </w:r>
      <w:bookmarkEnd w:id="67"/>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68" w:name="_Toc526239665"/>
      <w:bookmarkStart w:id="69" w:name="_Toc526239906"/>
      <w:bookmarkStart w:id="70" w:name="_Toc526261394"/>
      <w:bookmarkStart w:id="71" w:name="_Toc526261529"/>
      <w:r>
        <w:rPr>
          <w:rStyle w:val="CharPartNo"/>
        </w:rPr>
        <w:t>Part XI</w:t>
      </w:r>
      <w:r>
        <w:rPr>
          <w:rStyle w:val="CharDivNo"/>
        </w:rPr>
        <w:t> </w:t>
      </w:r>
      <w:r>
        <w:t>—</w:t>
      </w:r>
      <w:r>
        <w:rPr>
          <w:rStyle w:val="CharDivText"/>
        </w:rPr>
        <w:t> </w:t>
      </w:r>
      <w:r>
        <w:rPr>
          <w:rStyle w:val="CharPartText"/>
        </w:rPr>
        <w:t>Penalties and enforcement</w:t>
      </w:r>
      <w:bookmarkEnd w:id="68"/>
      <w:bookmarkEnd w:id="69"/>
      <w:bookmarkEnd w:id="70"/>
      <w:bookmarkEnd w:id="71"/>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72" w:name="_Toc526261530"/>
      <w:r>
        <w:rPr>
          <w:rStyle w:val="CharSectno"/>
        </w:rPr>
        <w:t>340</w:t>
      </w:r>
      <w:r>
        <w:rPr>
          <w:snapToGrid w:val="0"/>
        </w:rPr>
        <w:t>.</w:t>
      </w:r>
      <w:r>
        <w:rPr>
          <w:snapToGrid w:val="0"/>
        </w:rPr>
        <w:tab/>
        <w:t>Penalties</w:t>
      </w:r>
      <w:bookmarkEnd w:id="72"/>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73" w:name="_Toc526261531"/>
      <w:r>
        <w:rPr>
          <w:rStyle w:val="CharSectno"/>
        </w:rPr>
        <w:t>341</w:t>
      </w:r>
      <w:r>
        <w:rPr>
          <w:snapToGrid w:val="0"/>
        </w:rPr>
        <w:t>.</w:t>
      </w:r>
      <w:r>
        <w:rPr>
          <w:snapToGrid w:val="0"/>
        </w:rPr>
        <w:tab/>
        <w:t>Proceedings</w:t>
      </w:r>
      <w:bookmarkEnd w:id="73"/>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74" w:name="_Toc526261532"/>
      <w:r>
        <w:rPr>
          <w:rStyle w:val="CharSectno"/>
        </w:rPr>
        <w:t>342</w:t>
      </w:r>
      <w:r>
        <w:t>.</w:t>
      </w:r>
      <w:r>
        <w:tab/>
        <w:t>Prescribed offences and modified penalties</w:t>
      </w:r>
      <w:bookmarkEnd w:id="74"/>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75" w:name="_Toc526261533"/>
      <w:r>
        <w:rPr>
          <w:rStyle w:val="CharSectno"/>
        </w:rPr>
        <w:t>343</w:t>
      </w:r>
      <w:r>
        <w:t>.</w:t>
      </w:r>
      <w:r>
        <w:tab/>
        <w:t>Authorised officers and approved officers</w:t>
      </w:r>
      <w:bookmarkEnd w:id="75"/>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76" w:name="_Toc526261534"/>
      <w:r>
        <w:rPr>
          <w:rStyle w:val="CharSectno"/>
        </w:rPr>
        <w:t>344</w:t>
      </w:r>
      <w:r>
        <w:t>.</w:t>
      </w:r>
      <w:r>
        <w:tab/>
        <w:t>Forms</w:t>
      </w:r>
      <w:bookmarkEnd w:id="76"/>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7" w:name="_Toc526239671"/>
      <w:bookmarkStart w:id="78" w:name="_Toc526239912"/>
      <w:bookmarkStart w:id="79" w:name="_Toc526261400"/>
      <w:bookmarkStart w:id="80" w:name="_Toc526261535"/>
      <w:r>
        <w:rPr>
          <w:rStyle w:val="CharSchNo"/>
        </w:rPr>
        <w:t>Schedule 1</w:t>
      </w:r>
      <w:r>
        <w:rPr>
          <w:rStyle w:val="CharSDivNo"/>
        </w:rPr>
        <w:t> </w:t>
      </w:r>
      <w:r>
        <w:t>—</w:t>
      </w:r>
      <w:r>
        <w:rPr>
          <w:rStyle w:val="CharSDivText"/>
        </w:rPr>
        <w:t> </w:t>
      </w:r>
      <w:r>
        <w:rPr>
          <w:rStyle w:val="CharSchText"/>
        </w:rPr>
        <w:t>Prescribed offences and modified penalties</w:t>
      </w:r>
      <w:bookmarkEnd w:id="77"/>
      <w:bookmarkEnd w:id="78"/>
      <w:bookmarkEnd w:id="79"/>
      <w:bookmarkEnd w:id="80"/>
    </w:p>
    <w:p>
      <w:pPr>
        <w:pStyle w:val="yShoulderClause"/>
      </w:pPr>
      <w:r>
        <w:t>[r. 342]</w:t>
      </w:r>
    </w:p>
    <w:p>
      <w:pPr>
        <w:pStyle w:val="yFootnoteheading"/>
      </w:pPr>
      <w:r>
        <w:tab/>
        <w:t>[Heading inserted in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keepLines/>
      </w:pPr>
    </w:p>
    <w:p>
      <w:pPr>
        <w:rPr>
          <w:b/>
          <w:bCs/>
          <w:sz w:val="22"/>
        </w:rPr>
      </w:pPr>
    </w:p>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in Gazette 31 Dec 2010 p. 6888-92; amended in Gazette 13 Apr 2012 p. 1649</w:t>
      </w:r>
      <w:r>
        <w:noBreakHyphen/>
        <w:t xml:space="preserve">51; 14 Apr 2015 p. 1324; 5 Aug 2015 p. 3185-6.] </w:t>
      </w:r>
    </w:p>
    <w:p>
      <w:pPr>
        <w:pStyle w:val="yFootnotesection"/>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82" w:name="_Toc526239672"/>
      <w:bookmarkStart w:id="83" w:name="_Toc526239913"/>
      <w:bookmarkStart w:id="84" w:name="_Toc526261401"/>
      <w:bookmarkStart w:id="85" w:name="_Toc526261536"/>
      <w:r>
        <w:rPr>
          <w:rStyle w:val="CharSchNo"/>
        </w:rPr>
        <w:t>Schedule 2</w:t>
      </w:r>
      <w:r>
        <w:t> — </w:t>
      </w:r>
      <w:r>
        <w:rPr>
          <w:rStyle w:val="CharSchText"/>
        </w:rPr>
        <w:t>Forms</w:t>
      </w:r>
      <w:bookmarkEnd w:id="82"/>
      <w:bookmarkEnd w:id="83"/>
      <w:bookmarkEnd w:id="84"/>
      <w:bookmarkEnd w:id="85"/>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 amended in Gazette 20 Aug 2013 p. 3829; 5 Aug 2015 p. 3186.]</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in Gazette 20 Mar 2007 p. 1043; amended in Gazette 5 Aug 2015 p. 3186.]</w:t>
      </w:r>
    </w:p>
    <w:p>
      <w:pPr>
        <w:pStyle w:val="CentredBaseLine"/>
        <w:spacing w:before="80"/>
        <w:jc w:val="center"/>
        <w:sectPr>
          <w:headerReference w:type="even" r:id="rId27"/>
          <w:headerReference w:type="default" r:id="rId28"/>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86" w:name="_Toc526239673"/>
      <w:bookmarkStart w:id="87" w:name="_Toc526239914"/>
      <w:bookmarkStart w:id="88" w:name="_Toc526261402"/>
      <w:bookmarkStart w:id="89" w:name="_Toc526261537"/>
      <w:r>
        <w:t>Notes</w:t>
      </w:r>
      <w:bookmarkEnd w:id="86"/>
      <w:bookmarkEnd w:id="87"/>
      <w:bookmarkEnd w:id="88"/>
      <w:bookmarkEnd w:id="89"/>
    </w:p>
    <w:p>
      <w:pPr>
        <w:pStyle w:val="nSubsection"/>
      </w:pPr>
      <w:r>
        <w:rPr>
          <w:vertAlign w:val="superscript"/>
        </w:rPr>
        <w:t>1</w:t>
      </w:r>
      <w:r>
        <w:tab/>
        <w:t xml:space="preserve">This is a compilation of the </w:t>
      </w:r>
      <w:r>
        <w:rPr>
          <w:i/>
        </w:rPr>
        <w:t xml:space="preserve">Electricity Regulations 1947 </w:t>
      </w:r>
      <w:r>
        <w:rPr>
          <w:snapToGrid w:val="0"/>
          <w:vertAlign w:val="superscript"/>
        </w:rPr>
        <w:t xml:space="preserve"> </w:t>
      </w:r>
      <w:r>
        <w:t>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90" w:name="_Toc526261538"/>
      <w:r>
        <w:rPr>
          <w:snapToGrid w:val="0"/>
        </w:rPr>
        <w:t>Compilation table</w:t>
      </w:r>
      <w:bookmarkEnd w:id="9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Electricity Act Regulations 1947</w:t>
            </w:r>
            <w:r>
              <w:rPr>
                <w:snapToGrid w:val="0"/>
              </w:rPr>
              <w:t> </w:t>
            </w:r>
            <w:r>
              <w:rPr>
                <w:snapToGrid w:val="0"/>
                <w:vertAlign w:val="superscript"/>
              </w:rPr>
              <w:t xml:space="preserve"> </w:t>
            </w:r>
            <w:r>
              <w:rPr>
                <w:vertAlign w:val="superscript"/>
              </w:rPr>
              <w:t>4, 5</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rPr>
          <w:cantSplit/>
        </w:trPr>
        <w:tc>
          <w:tcPr>
            <w:tcW w:w="3118"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rPr>
          <w:cantSplit/>
        </w:trPr>
        <w:tc>
          <w:tcPr>
            <w:tcW w:w="3118" w:type="dxa"/>
          </w:tcPr>
          <w:p>
            <w:pPr>
              <w:pStyle w:val="nTable"/>
              <w:spacing w:after="40"/>
              <w:ind w:right="170"/>
              <w:rPr>
                <w:i/>
              </w:rPr>
            </w:pPr>
            <w:r>
              <w:t>Untitled regulations</w:t>
            </w:r>
            <w:r>
              <w:rPr>
                <w:vertAlign w:val="superscript"/>
              </w:rPr>
              <w:t> 6</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rPr>
          <w:cantSplit/>
        </w:trPr>
        <w:tc>
          <w:tcPr>
            <w:tcW w:w="3118"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rPr>
          <w:cantSplit/>
        </w:trPr>
        <w:tc>
          <w:tcPr>
            <w:tcW w:w="3118"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rPr>
          <w:cantSplit/>
        </w:trPr>
        <w:tc>
          <w:tcPr>
            <w:tcW w:w="3118"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rPr>
          <w:cantSplit/>
        </w:trPr>
        <w:tc>
          <w:tcPr>
            <w:tcW w:w="3118"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rPr>
          <w:cantSplit/>
        </w:trPr>
        <w:tc>
          <w:tcPr>
            <w:tcW w:w="3118"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rPr>
          <w:cantSplit/>
        </w:trPr>
        <w:tc>
          <w:tcPr>
            <w:tcW w:w="3118"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rPr>
          <w:cantSplit/>
        </w:trPr>
        <w:tc>
          <w:tcPr>
            <w:tcW w:w="3118"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rPr>
          <w:cantSplit/>
        </w:trPr>
        <w:tc>
          <w:tcPr>
            <w:tcW w:w="4394"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rPr>
          <w:cantSplit/>
        </w:trPr>
        <w:tc>
          <w:tcPr>
            <w:tcW w:w="3118"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rPr>
          <w:cantSplit/>
        </w:trPr>
        <w:tc>
          <w:tcPr>
            <w:tcW w:w="3118"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rPr>
          <w:cantSplit/>
        </w:trPr>
        <w:tc>
          <w:tcPr>
            <w:tcW w:w="3118"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7</w:t>
            </w:r>
          </w:p>
        </w:tc>
      </w:tr>
      <w:tr>
        <w:trPr>
          <w:cantSplit/>
        </w:trPr>
        <w:tc>
          <w:tcPr>
            <w:tcW w:w="3118"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rPr>
          <w:cantSplit/>
        </w:trPr>
        <w:tc>
          <w:tcPr>
            <w:tcW w:w="3118"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rPr>
          <w:cantSplit/>
        </w:trPr>
        <w:tc>
          <w:tcPr>
            <w:tcW w:w="3118"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rPr>
          <w:cantSplit/>
        </w:trPr>
        <w:tc>
          <w:tcPr>
            <w:tcW w:w="3118"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rPr>
          <w:cantSplit/>
        </w:trPr>
        <w:tc>
          <w:tcPr>
            <w:tcW w:w="3118"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rPr>
          <w:cantSplit/>
        </w:trPr>
        <w:tc>
          <w:tcPr>
            <w:tcW w:w="3118"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rPr>
          <w:cantSplit/>
        </w:trPr>
        <w:tc>
          <w:tcPr>
            <w:tcW w:w="3118"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rPr>
          <w:cantSplit/>
        </w:trPr>
        <w:tc>
          <w:tcPr>
            <w:tcW w:w="3118"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rPr>
          <w:cantSplit/>
        </w:trPr>
        <w:tc>
          <w:tcPr>
            <w:tcW w:w="3118"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rPr>
          <w:cantSplit/>
        </w:trPr>
        <w:tc>
          <w:tcPr>
            <w:tcW w:w="3118"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rPr>
          <w:cantSplit/>
        </w:trPr>
        <w:tc>
          <w:tcPr>
            <w:tcW w:w="3118"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rPr>
          <w:cantSplit/>
        </w:trPr>
        <w:tc>
          <w:tcPr>
            <w:tcW w:w="3118"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rPr>
          <w:cantSplit/>
        </w:trPr>
        <w:tc>
          <w:tcPr>
            <w:tcW w:w="3118"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rPr>
          <w:cantSplit/>
        </w:trPr>
        <w:tc>
          <w:tcPr>
            <w:tcW w:w="3118"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rPr>
          <w:cantSplit/>
        </w:trPr>
        <w:tc>
          <w:tcPr>
            <w:tcW w:w="3118"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rPr>
          <w:cantSplit/>
        </w:trPr>
        <w:tc>
          <w:tcPr>
            <w:tcW w:w="3118" w:type="dxa"/>
          </w:tcPr>
          <w:p>
            <w:pPr>
              <w:pStyle w:val="nTable"/>
              <w:spacing w:after="40"/>
              <w:ind w:right="170"/>
              <w:rPr>
                <w:i/>
                <w:iCs/>
              </w:rPr>
            </w:pPr>
            <w:r>
              <w:rPr>
                <w:i/>
              </w:rPr>
              <w:t>Electricity Amendment Regulations 2000</w:t>
            </w:r>
            <w:r>
              <w:rPr>
                <w:iCs/>
                <w:vertAlign w:val="superscript"/>
              </w:rPr>
              <w:t> 8</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rPr>
          <w:cantSplit/>
        </w:trPr>
        <w:tc>
          <w:tcPr>
            <w:tcW w:w="7087"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rPr>
          <w:cantSplit/>
        </w:trPr>
        <w:tc>
          <w:tcPr>
            <w:tcW w:w="3118"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rPr>
          <w:cantSplit/>
        </w:trPr>
        <w:tc>
          <w:tcPr>
            <w:tcW w:w="3118"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3118"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rPr>
          <w:cantSplit/>
        </w:trPr>
        <w:tc>
          <w:tcPr>
            <w:tcW w:w="7087"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2007</w:t>
            </w:r>
            <w:r>
              <w:t> </w:t>
            </w:r>
            <w:r>
              <w:rPr>
                <w:vertAlign w:val="superscript"/>
              </w:rPr>
              <w:t>9</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rPr>
          <w:cantSplit/>
        </w:trPr>
        <w:tc>
          <w:tcPr>
            <w:tcW w:w="3118"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rPr>
          <w:cantSplit/>
        </w:trPr>
        <w:tc>
          <w:tcPr>
            <w:tcW w:w="3118"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rPr>
          <w:cantSplit/>
        </w:trPr>
        <w:tc>
          <w:tcPr>
            <w:tcW w:w="3118"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rPr>
          <w:cantSplit/>
        </w:trPr>
        <w:tc>
          <w:tcPr>
            <w:tcW w:w="7087"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rPr>
          <w:cantSplit/>
        </w:trPr>
        <w:tc>
          <w:tcPr>
            <w:tcW w:w="3118"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rPr>
          <w:cantSplit/>
        </w:trPr>
        <w:tc>
          <w:tcPr>
            <w:tcW w:w="3118"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rPr>
          <w:cantSplit/>
        </w:trPr>
        <w:tc>
          <w:tcPr>
            <w:tcW w:w="3118"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rPr>
          <w:cantSplit/>
        </w:trPr>
        <w:tc>
          <w:tcPr>
            <w:tcW w:w="3118"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rPr>
          <w:cantSplit/>
        </w:trPr>
        <w:tc>
          <w:tcPr>
            <w:tcW w:w="3118"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rFonts w:ascii="Arial" w:hAnsi="Arial"/>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rPr>
          <w:cantSplit/>
        </w:trPr>
        <w:tc>
          <w:tcPr>
            <w:tcW w:w="7087"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rPr>
          <w:cantSplit/>
        </w:trPr>
        <w:tc>
          <w:tcPr>
            <w:tcW w:w="3118"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rFonts w:ascii="Arial" w:hAnsi="Arial"/>
                <w:snapToGrid w:val="0"/>
                <w:spacing w:val="-2"/>
              </w:rPr>
            </w:pPr>
            <w:r>
              <w:rPr>
                <w:snapToGrid w:val="0"/>
                <w:spacing w:val="-2"/>
              </w:rPr>
              <w:t>r. 1 and 2: 14 Apr 2015 (see r. 2(a));</w:t>
            </w:r>
            <w:r>
              <w:rPr>
                <w:snapToGrid w:val="0"/>
                <w:spacing w:val="-2"/>
              </w:rPr>
              <w:br/>
              <w:t>Regulations other than r. 1 and 2: 15 Apr 2015 (see r. 2(b))</w:t>
            </w:r>
          </w:p>
        </w:tc>
      </w:tr>
      <w:tr>
        <w:trPr>
          <w:cantSplit/>
        </w:trPr>
        <w:tc>
          <w:tcPr>
            <w:tcW w:w="3118"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rPr>
          <w:cantSplit/>
        </w:trPr>
        <w:tc>
          <w:tcPr>
            <w:tcW w:w="3118"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rPr>
          <w:cantSplit/>
        </w:trPr>
        <w:tc>
          <w:tcPr>
            <w:tcW w:w="7087" w:type="dxa"/>
            <w:gridSpan w:val="3"/>
            <w:tcBorders>
              <w:bottom w:val="single" w:sz="8" w:space="0" w:color="auto"/>
            </w:tcBorders>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1" w:name="_Toc526261539"/>
      <w:r>
        <w:t>Provisions that have not come into operation</w:t>
      </w:r>
      <w:bookmarkEnd w:id="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Electricity Amendment Regulations 2018</w:t>
            </w:r>
            <w:r>
              <w:t xml:space="preserve"> Pt. 2</w:t>
            </w:r>
            <w:r>
              <w:rPr>
                <w:vertAlign w:val="superscript"/>
              </w:rPr>
              <w:t> 10</w:t>
            </w:r>
          </w:p>
        </w:tc>
        <w:tc>
          <w:tcPr>
            <w:tcW w:w="1276" w:type="dxa"/>
          </w:tcPr>
          <w:p>
            <w:pPr>
              <w:pStyle w:val="nTable"/>
              <w:spacing w:after="40"/>
            </w:pPr>
            <w:r>
              <w:t>2 Oct 2018 p. 3784</w:t>
            </w:r>
            <w:r>
              <w:noBreakHyphen/>
              <w:t>92</w:t>
            </w:r>
          </w:p>
        </w:tc>
        <w:tc>
          <w:tcPr>
            <w:tcW w:w="2693" w:type="dxa"/>
          </w:tcPr>
          <w:p>
            <w:pPr>
              <w:pStyle w:val="nTable"/>
              <w:spacing w:after="40"/>
            </w:pPr>
            <w:r>
              <w:t>1 Jan 2019 (see r. 2(b))</w:t>
            </w:r>
          </w:p>
        </w:tc>
      </w:tr>
    </w:tbl>
    <w:p>
      <w:pPr>
        <w:pStyle w:val="nSubsection"/>
        <w:spacing w:before="160"/>
        <w:rPr>
          <w:snapToGrid w:val="0"/>
          <w:vertAlign w:val="superscript"/>
        </w:rPr>
      </w:pPr>
      <w:r>
        <w:rPr>
          <w:snapToGrid w:val="0"/>
          <w:vertAlign w:val="superscript"/>
        </w:rPr>
        <w:t>2</w:t>
      </w:r>
      <w:r>
        <w:rPr>
          <w:snapToGrid w:val="0"/>
        </w:rPr>
        <w:tab/>
        <w:t xml:space="preserve">The </w:t>
      </w:r>
      <w:r>
        <w:rPr>
          <w:i/>
          <w:snapToGrid w:val="0"/>
        </w:rPr>
        <w:t>Electricity (Licensing) Regulations 1991</w:t>
      </w:r>
      <w:r>
        <w:rPr>
          <w:snapToGrid w:val="0"/>
        </w:rPr>
        <w:t xml:space="preserve"> r. 49 commenced 1 Nov 1991.</w:t>
      </w:r>
    </w:p>
    <w:p>
      <w:pPr>
        <w:pStyle w:val="nSubsection"/>
        <w:rPr>
          <w:snapToGrid w:val="0"/>
        </w:rPr>
      </w:pPr>
      <w:r>
        <w:rPr>
          <w:snapToGrid w:val="0"/>
          <w:vertAlign w:val="superscript"/>
        </w:rPr>
        <w:t>3</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4</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5</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6</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7</w:t>
      </w:r>
      <w:r>
        <w:rPr>
          <w:snapToGrid w:val="0"/>
        </w:rPr>
        <w:tab/>
        <w:t>The commencement date of 1 Jun 1979 that was specified was before the date of gazettal.</w:t>
      </w:r>
    </w:p>
    <w:p>
      <w:pPr>
        <w:pStyle w:val="nSubsection"/>
        <w:rPr>
          <w:i/>
          <w:snapToGrid w:val="0"/>
        </w:rPr>
      </w:pPr>
      <w:r>
        <w:rPr>
          <w:snapToGrid w:val="0"/>
          <w:vertAlign w:val="superscript"/>
        </w:rPr>
        <w:t>8</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Subsection"/>
      </w:pPr>
      <w:r>
        <w:rPr>
          <w:vertAlign w:val="superscript"/>
        </w:rPr>
        <w:t>9</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pStyle w:val="nSubsection"/>
        <w:tabs>
          <w:tab w:val="clear" w:pos="454"/>
          <w:tab w:val="left" w:pos="0"/>
        </w:tabs>
      </w:pPr>
      <w:r>
        <w:rPr>
          <w:vertAlign w:val="superscript"/>
        </w:rPr>
        <w:t>10</w:t>
      </w:r>
      <w:r>
        <w:tab/>
        <w:t xml:space="preserve">On the date as at which this compilation was prepared, the </w:t>
      </w:r>
      <w:r>
        <w:rPr>
          <w:i/>
        </w:rPr>
        <w:t>Electricity Amendment Regulations 2018</w:t>
      </w:r>
      <w:r>
        <w:t xml:space="preserve"> Pt. 2 had not come into operation. It reads as follows:</w:t>
      </w:r>
    </w:p>
    <w:p>
      <w:pPr>
        <w:pStyle w:val="nzHeading2"/>
      </w:pPr>
      <w:r>
        <w:rPr>
          <w:rStyle w:val="CharPartNo"/>
        </w:rPr>
        <w:t>Part 2</w:t>
      </w:r>
      <w:r>
        <w:rPr>
          <w:rStyle w:val="CharDivNo"/>
        </w:rPr>
        <w:t> </w:t>
      </w:r>
      <w:r>
        <w:t>—</w:t>
      </w:r>
      <w:r>
        <w:rPr>
          <w:rStyle w:val="CharDivText"/>
        </w:rPr>
        <w:t> </w:t>
      </w:r>
      <w:r>
        <w:rPr>
          <w:rStyle w:val="CharPartText"/>
          <w:i/>
        </w:rPr>
        <w:t>Electricity Regulations 1947</w:t>
      </w:r>
      <w:r>
        <w:rPr>
          <w:rStyle w:val="CharPartText"/>
        </w:rPr>
        <w:t xml:space="preserve"> amended</w:t>
      </w:r>
    </w:p>
    <w:p>
      <w:pPr>
        <w:pStyle w:val="nzHeading5"/>
        <w:rPr>
          <w:snapToGrid w:val="0"/>
        </w:rPr>
      </w:pPr>
      <w:r>
        <w:rPr>
          <w:rStyle w:val="CharSectno"/>
        </w:rPr>
        <w:t>3</w:t>
      </w:r>
      <w:r>
        <w:rPr>
          <w:snapToGrid w:val="0"/>
        </w:rPr>
        <w:t>.</w:t>
      </w:r>
      <w:r>
        <w:rPr>
          <w:snapToGrid w:val="0"/>
        </w:rPr>
        <w:tab/>
        <w:t>Regulations amended</w:t>
      </w:r>
    </w:p>
    <w:p>
      <w:pPr>
        <w:pStyle w:val="nzSubsection"/>
      </w:pPr>
      <w:r>
        <w:tab/>
      </w:r>
      <w:r>
        <w:tab/>
        <w:t xml:space="preserve">This Part amends the </w:t>
      </w:r>
      <w:r>
        <w:rPr>
          <w:i/>
        </w:rPr>
        <w:t>Electricity Regulations 1947</w:t>
      </w:r>
      <w:r>
        <w:t>.</w:t>
      </w:r>
    </w:p>
    <w:p>
      <w:pPr>
        <w:pStyle w:val="nzHeading5"/>
      </w:pPr>
      <w:r>
        <w:rPr>
          <w:rStyle w:val="CharSectno"/>
        </w:rPr>
        <w:t>4</w:t>
      </w:r>
      <w:r>
        <w:t>.</w:t>
      </w:r>
      <w:r>
        <w:tab/>
        <w:t>Regulation 2 replaced</w:t>
      </w:r>
    </w:p>
    <w:p>
      <w:pPr>
        <w:pStyle w:val="nzSubsection"/>
      </w:pPr>
      <w:r>
        <w:tab/>
      </w:r>
      <w:r>
        <w:tab/>
        <w:t>Delete regulation 2 and insert:</w:t>
      </w:r>
    </w:p>
    <w:p>
      <w:pPr>
        <w:pStyle w:val="BlankOpen"/>
        <w:rPr>
          <w:sz w:val="20"/>
          <w:szCs w:val="20"/>
        </w:rPr>
      </w:pPr>
    </w:p>
    <w:p>
      <w:pPr>
        <w:pStyle w:val="nzHeading510pt"/>
      </w:pPr>
      <w:r>
        <w:t>2.</w:t>
      </w:r>
      <w:r>
        <w:tab/>
        <w:t>Terms used</w:t>
      </w:r>
    </w:p>
    <w:p>
      <w:pPr>
        <w:pStyle w:val="zSubsection"/>
        <w:rPr>
          <w:sz w:val="20"/>
        </w:rPr>
      </w:pPr>
      <w:r>
        <w:rPr>
          <w:sz w:val="20"/>
        </w:rPr>
        <w:tab/>
      </w:r>
      <w:r>
        <w:rPr>
          <w:sz w:val="20"/>
        </w:rPr>
        <w:tab/>
        <w:t xml:space="preserve">In these regulations, unless the contrary intention appears — </w:t>
      </w:r>
    </w:p>
    <w:p>
      <w:pPr>
        <w:pStyle w:val="zDefstart"/>
        <w:rPr>
          <w:sz w:val="20"/>
        </w:rPr>
      </w:pPr>
      <w:r>
        <w:rPr>
          <w:sz w:val="20"/>
        </w:rPr>
        <w:tab/>
      </w:r>
      <w:r>
        <w:rPr>
          <w:rStyle w:val="CharDefText"/>
          <w:sz w:val="20"/>
        </w:rPr>
        <w:t>active conductor</w:t>
      </w:r>
      <w:r>
        <w:rPr>
          <w:sz w:val="20"/>
        </w:rPr>
        <w:t xml:space="preserve"> means — </w:t>
      </w:r>
    </w:p>
    <w:p>
      <w:pPr>
        <w:pStyle w:val="zDefpara"/>
        <w:rPr>
          <w:sz w:val="20"/>
        </w:rPr>
      </w:pPr>
      <w:r>
        <w:rPr>
          <w:sz w:val="20"/>
        </w:rPr>
        <w:tab/>
        <w:t>(a)</w:t>
      </w:r>
      <w:r>
        <w:rPr>
          <w:sz w:val="20"/>
        </w:rPr>
        <w:tab/>
        <w:t>in a system that includes a neutral conductor — a conductor in the system maintained at a difference of potential from the neutral conductor; and</w:t>
      </w:r>
    </w:p>
    <w:p>
      <w:pPr>
        <w:pStyle w:val="zDefpara"/>
        <w:rPr>
          <w:sz w:val="20"/>
        </w:rPr>
      </w:pPr>
      <w:r>
        <w:rPr>
          <w:sz w:val="20"/>
        </w:rPr>
        <w:tab/>
        <w:t>(b)</w:t>
      </w:r>
      <w:r>
        <w:rPr>
          <w:sz w:val="20"/>
        </w:rPr>
        <w:tab/>
        <w:t>in a system that does not include a neutral conductor — any conductor in the system;</w:t>
      </w:r>
    </w:p>
    <w:p>
      <w:pPr>
        <w:pStyle w:val="zDefstart"/>
        <w:rPr>
          <w:sz w:val="20"/>
        </w:rPr>
      </w:pPr>
      <w:r>
        <w:rPr>
          <w:sz w:val="20"/>
        </w:rPr>
        <w:tab/>
      </w:r>
      <w:r>
        <w:rPr>
          <w:rStyle w:val="CharDefText"/>
          <w:sz w:val="20"/>
        </w:rPr>
        <w:t>appliance</w:t>
      </w:r>
      <w:r>
        <w:rPr>
          <w:sz w:val="20"/>
        </w:rPr>
        <w:t xml:space="preserve"> means a consuming device, other than a lamp, in which electricity is — </w:t>
      </w:r>
    </w:p>
    <w:p>
      <w:pPr>
        <w:pStyle w:val="zDefpara"/>
        <w:rPr>
          <w:sz w:val="20"/>
        </w:rPr>
      </w:pPr>
      <w:r>
        <w:rPr>
          <w:sz w:val="20"/>
        </w:rPr>
        <w:tab/>
        <w:t>(a)</w:t>
      </w:r>
      <w:r>
        <w:rPr>
          <w:sz w:val="20"/>
        </w:rPr>
        <w:tab/>
        <w:t>converted into heat, motion or other form of energy; or</w:t>
      </w:r>
    </w:p>
    <w:p>
      <w:pPr>
        <w:pStyle w:val="zDefpara"/>
        <w:rPr>
          <w:sz w:val="20"/>
        </w:rPr>
      </w:pPr>
      <w:r>
        <w:rPr>
          <w:sz w:val="20"/>
        </w:rPr>
        <w:tab/>
        <w:t>(b)</w:t>
      </w:r>
      <w:r>
        <w:rPr>
          <w:sz w:val="20"/>
        </w:rPr>
        <w:tab/>
        <w:t>substantially changed in its electrical character;</w:t>
      </w:r>
    </w:p>
    <w:p>
      <w:pPr>
        <w:pStyle w:val="zDefstart"/>
        <w:rPr>
          <w:sz w:val="20"/>
        </w:rPr>
      </w:pPr>
      <w:r>
        <w:rPr>
          <w:sz w:val="20"/>
        </w:rPr>
        <w:tab/>
      </w:r>
      <w:r>
        <w:rPr>
          <w:rStyle w:val="CharDefText"/>
          <w:sz w:val="20"/>
        </w:rPr>
        <w:t>conductor</w:t>
      </w:r>
      <w:r>
        <w:rPr>
          <w:sz w:val="20"/>
        </w:rPr>
        <w:t xml:space="preserve"> means a wire or other form of conducting material suitable for carrying current except where the wire or material is directly employed in converting electrical energy into another form; </w:t>
      </w:r>
    </w:p>
    <w:p>
      <w:pPr>
        <w:pStyle w:val="zDefstart"/>
        <w:rPr>
          <w:sz w:val="20"/>
        </w:rPr>
      </w:pPr>
      <w:r>
        <w:rPr>
          <w:sz w:val="20"/>
        </w:rPr>
        <w:tab/>
      </w:r>
      <w:r>
        <w:rPr>
          <w:rStyle w:val="CharDefText"/>
          <w:sz w:val="20"/>
        </w:rPr>
        <w:t>electrical equipment</w:t>
      </w:r>
      <w:r>
        <w:rPr>
          <w:sz w:val="20"/>
        </w:rPr>
        <w:t xml:space="preserve"> means any of the following when used for the generation, conversion, storage, transmission, distribution or utilisation of electrical energy — </w:t>
      </w:r>
    </w:p>
    <w:p>
      <w:pPr>
        <w:pStyle w:val="zDefpara"/>
        <w:rPr>
          <w:sz w:val="20"/>
        </w:rPr>
      </w:pPr>
      <w:r>
        <w:rPr>
          <w:sz w:val="20"/>
        </w:rPr>
        <w:tab/>
        <w:t>(a)</w:t>
      </w:r>
      <w:r>
        <w:rPr>
          <w:sz w:val="20"/>
        </w:rPr>
        <w:tab/>
        <w:t>wiring systems;</w:t>
      </w:r>
    </w:p>
    <w:p>
      <w:pPr>
        <w:pStyle w:val="zDefpara"/>
        <w:rPr>
          <w:sz w:val="20"/>
        </w:rPr>
      </w:pPr>
      <w:r>
        <w:rPr>
          <w:sz w:val="20"/>
        </w:rPr>
        <w:tab/>
        <w:t>(b)</w:t>
      </w:r>
      <w:r>
        <w:rPr>
          <w:sz w:val="20"/>
        </w:rPr>
        <w:tab/>
        <w:t>switchgear;</w:t>
      </w:r>
    </w:p>
    <w:p>
      <w:pPr>
        <w:pStyle w:val="zDefpara"/>
        <w:rPr>
          <w:sz w:val="20"/>
        </w:rPr>
      </w:pPr>
      <w:r>
        <w:rPr>
          <w:sz w:val="20"/>
        </w:rPr>
        <w:tab/>
        <w:t>(c)</w:t>
      </w:r>
      <w:r>
        <w:rPr>
          <w:sz w:val="20"/>
        </w:rPr>
        <w:tab/>
        <w:t>controlgear;</w:t>
      </w:r>
    </w:p>
    <w:p>
      <w:pPr>
        <w:pStyle w:val="zDefpara"/>
        <w:rPr>
          <w:sz w:val="20"/>
        </w:rPr>
      </w:pPr>
      <w:r>
        <w:rPr>
          <w:sz w:val="20"/>
        </w:rPr>
        <w:tab/>
        <w:t>(d)</w:t>
      </w:r>
      <w:r>
        <w:rPr>
          <w:sz w:val="20"/>
        </w:rPr>
        <w:tab/>
        <w:t>accessories;</w:t>
      </w:r>
    </w:p>
    <w:p>
      <w:pPr>
        <w:pStyle w:val="zDefpara"/>
        <w:rPr>
          <w:sz w:val="20"/>
        </w:rPr>
      </w:pPr>
      <w:r>
        <w:rPr>
          <w:sz w:val="20"/>
        </w:rPr>
        <w:tab/>
        <w:t>(e)</w:t>
      </w:r>
      <w:r>
        <w:rPr>
          <w:sz w:val="20"/>
        </w:rPr>
        <w:tab/>
        <w:t>appliances;</w:t>
      </w:r>
    </w:p>
    <w:p>
      <w:pPr>
        <w:pStyle w:val="zDefpara"/>
        <w:rPr>
          <w:sz w:val="20"/>
        </w:rPr>
      </w:pPr>
      <w:r>
        <w:rPr>
          <w:sz w:val="20"/>
        </w:rPr>
        <w:tab/>
        <w:t>(f)</w:t>
      </w:r>
      <w:r>
        <w:rPr>
          <w:sz w:val="20"/>
        </w:rPr>
        <w:tab/>
        <w:t>luminaires;</w:t>
      </w:r>
    </w:p>
    <w:p>
      <w:pPr>
        <w:pStyle w:val="zDefpara"/>
        <w:rPr>
          <w:sz w:val="20"/>
        </w:rPr>
      </w:pPr>
      <w:r>
        <w:rPr>
          <w:sz w:val="20"/>
        </w:rPr>
        <w:tab/>
        <w:t>(g)</w:t>
      </w:r>
      <w:r>
        <w:rPr>
          <w:sz w:val="20"/>
        </w:rPr>
        <w:tab/>
        <w:t>fittings;</w:t>
      </w:r>
    </w:p>
    <w:p>
      <w:pPr>
        <w:pStyle w:val="zDefstart"/>
        <w:rPr>
          <w:sz w:val="20"/>
        </w:rPr>
      </w:pPr>
      <w:r>
        <w:rPr>
          <w:sz w:val="20"/>
        </w:rPr>
        <w:tab/>
      </w:r>
      <w:r>
        <w:rPr>
          <w:rStyle w:val="CharDefText"/>
          <w:sz w:val="20"/>
        </w:rPr>
        <w:t>neutral conductor</w:t>
      </w:r>
      <w:r>
        <w:rPr>
          <w:sz w:val="20"/>
        </w:rPr>
        <w:t xml:space="preserve"> means — </w:t>
      </w:r>
    </w:p>
    <w:p>
      <w:pPr>
        <w:pStyle w:val="zDefpara"/>
        <w:rPr>
          <w:sz w:val="20"/>
        </w:rPr>
      </w:pPr>
      <w:r>
        <w:rPr>
          <w:sz w:val="20"/>
        </w:rPr>
        <w:tab/>
        <w:t>(a)</w:t>
      </w:r>
      <w:r>
        <w:rPr>
          <w:sz w:val="20"/>
        </w:rPr>
        <w:tab/>
        <w:t>the conductor of a 3</w:t>
      </w:r>
      <w:r>
        <w:rPr>
          <w:sz w:val="20"/>
        </w:rPr>
        <w:noBreakHyphen/>
        <w:t>phase system that is maintained at an intermediate and approximately uniform potential in respect of the active conductors; or</w:t>
      </w:r>
    </w:p>
    <w:p>
      <w:pPr>
        <w:pStyle w:val="zDefpara"/>
        <w:rPr>
          <w:sz w:val="20"/>
        </w:rPr>
      </w:pPr>
      <w:r>
        <w:rPr>
          <w:sz w:val="20"/>
        </w:rPr>
        <w:tab/>
        <w:t>(b)</w:t>
      </w:r>
      <w:r>
        <w:rPr>
          <w:sz w:val="20"/>
        </w:rPr>
        <w:tab/>
        <w:t>the conductor of a single</w:t>
      </w:r>
      <w:r>
        <w:rPr>
          <w:sz w:val="20"/>
        </w:rPr>
        <w:noBreakHyphen/>
        <w:t>phase system that is connected to earth at its origin.</w:t>
      </w:r>
    </w:p>
    <w:p>
      <w:pPr>
        <w:pStyle w:val="BlankClose"/>
        <w:rPr>
          <w:sz w:val="20"/>
          <w:szCs w:val="20"/>
        </w:rPr>
      </w:pPr>
    </w:p>
    <w:p>
      <w:pPr>
        <w:pStyle w:val="nzHeading5"/>
      </w:pPr>
      <w:r>
        <w:rPr>
          <w:rStyle w:val="CharSectno"/>
        </w:rPr>
        <w:t>5</w:t>
      </w:r>
      <w:r>
        <w:t>.</w:t>
      </w:r>
      <w:r>
        <w:tab/>
        <w:t>Regulation 12 amended</w:t>
      </w:r>
    </w:p>
    <w:p>
      <w:pPr>
        <w:pStyle w:val="nzSubsection"/>
      </w:pPr>
      <w:r>
        <w:tab/>
        <w:t>(1)</w:t>
      </w:r>
      <w:r>
        <w:tab/>
        <w:t>In regulation 12 delete the definitions of:</w:t>
      </w:r>
    </w:p>
    <w:p>
      <w:pPr>
        <w:pStyle w:val="nzDeleteListSub"/>
      </w:pPr>
      <w:r>
        <w:rPr>
          <w:b/>
          <w:i/>
        </w:rPr>
        <w:t>commencement day</w:t>
      </w:r>
    </w:p>
    <w:p>
      <w:pPr>
        <w:pStyle w:val="nzDeleteListSub"/>
      </w:pPr>
      <w:r>
        <w:t>installed</w:t>
      </w:r>
    </w:p>
    <w:p>
      <w:pPr>
        <w:pStyle w:val="nzSubsection"/>
      </w:pPr>
      <w:r>
        <w:tab/>
        <w:t>(2)</w:t>
      </w:r>
      <w:r>
        <w:tab/>
        <w:t>In regulation 12 insert in alphabetical order:</w:t>
      </w:r>
    </w:p>
    <w:p>
      <w:pPr>
        <w:pStyle w:val="BlankOpen"/>
        <w:rPr>
          <w:sz w:val="20"/>
          <w:szCs w:val="20"/>
        </w:rPr>
      </w:pPr>
    </w:p>
    <w:p>
      <w:pPr>
        <w:pStyle w:val="zDefstart"/>
        <w:rPr>
          <w:sz w:val="20"/>
        </w:rPr>
      </w:pPr>
      <w:r>
        <w:rPr>
          <w:sz w:val="20"/>
        </w:rPr>
        <w:tab/>
      </w:r>
      <w:r>
        <w:rPr>
          <w:rStyle w:val="CharDefText"/>
          <w:sz w:val="20"/>
        </w:rPr>
        <w:t>building permit</w:t>
      </w:r>
      <w:r>
        <w:rPr>
          <w:sz w:val="20"/>
        </w:rPr>
        <w:t xml:space="preserve"> has the meaning given in the </w:t>
      </w:r>
      <w:r>
        <w:rPr>
          <w:i/>
          <w:sz w:val="20"/>
        </w:rPr>
        <w:t>Building Act 2011</w:t>
      </w:r>
      <w:r>
        <w:rPr>
          <w:sz w:val="20"/>
        </w:rPr>
        <w:t xml:space="preserve"> section 3;</w:t>
      </w:r>
    </w:p>
    <w:p>
      <w:pPr>
        <w:pStyle w:val="zDefstart"/>
        <w:rPr>
          <w:sz w:val="20"/>
        </w:rPr>
      </w:pPr>
      <w:r>
        <w:rPr>
          <w:sz w:val="20"/>
        </w:rPr>
        <w:tab/>
      </w:r>
      <w:r>
        <w:rPr>
          <w:rStyle w:val="CharDefText"/>
          <w:sz w:val="20"/>
        </w:rPr>
        <w:t>premises</w:t>
      </w:r>
      <w:r>
        <w:rPr>
          <w:sz w:val="20"/>
        </w:rPr>
        <w:t xml:space="preserve"> does not include a transportable structure or vehicle;</w:t>
      </w:r>
    </w:p>
    <w:p>
      <w:pPr>
        <w:pStyle w:val="zDefstart"/>
        <w:rPr>
          <w:sz w:val="20"/>
        </w:rPr>
      </w:pPr>
      <w:r>
        <w:rPr>
          <w:sz w:val="20"/>
        </w:rPr>
        <w:tab/>
      </w:r>
      <w:r>
        <w:rPr>
          <w:rStyle w:val="CharDefText"/>
          <w:sz w:val="20"/>
        </w:rPr>
        <w:t>properly installed</w:t>
      </w:r>
      <w:r>
        <w:rPr>
          <w:sz w:val="20"/>
        </w:rPr>
        <w:t xml:space="preserve">, in relation to residential premises or common property relating to residential premises, means — </w:t>
      </w:r>
    </w:p>
    <w:p>
      <w:pPr>
        <w:pStyle w:val="zDefpara"/>
        <w:rPr>
          <w:sz w:val="20"/>
        </w:rPr>
      </w:pPr>
      <w:r>
        <w:rPr>
          <w:sz w:val="20"/>
        </w:rPr>
        <w:tab/>
        <w:t>(a)</w:t>
      </w:r>
      <w:r>
        <w:rPr>
          <w:sz w:val="20"/>
        </w:rPr>
        <w:tab/>
        <w:t>installed in accordance with regulation 12A in relation to those premises or that property; and</w:t>
      </w:r>
    </w:p>
    <w:p>
      <w:pPr>
        <w:pStyle w:val="zDefpara"/>
        <w:rPr>
          <w:sz w:val="20"/>
        </w:rPr>
      </w:pPr>
      <w:r>
        <w:rPr>
          <w:sz w:val="20"/>
        </w:rPr>
        <w:tab/>
        <w:t>(b)</w:t>
      </w:r>
      <w:r>
        <w:rPr>
          <w:sz w:val="20"/>
        </w:rPr>
        <w:tab/>
        <w:t>not installed in relation to any other premises or property;</w:t>
      </w:r>
    </w:p>
    <w:p>
      <w:pPr>
        <w:pStyle w:val="zDefstart"/>
        <w:rPr>
          <w:sz w:val="20"/>
        </w:rPr>
      </w:pPr>
      <w:r>
        <w:rPr>
          <w:sz w:val="20"/>
        </w:rPr>
        <w:tab/>
      </w:r>
      <w:r>
        <w:rPr>
          <w:rStyle w:val="CharDefText"/>
          <w:sz w:val="20"/>
        </w:rPr>
        <w:t>residual current device</w:t>
      </w:r>
      <w:r>
        <w:rPr>
          <w:sz w:val="20"/>
        </w:rPr>
        <w:t xml:space="preserve"> means a device designed to isolate supply to protected circuits, socket outlets or electrical equipment in the event of a current flow to earth that exceeds a particular value;</w:t>
      </w:r>
    </w:p>
    <w:p>
      <w:pPr>
        <w:pStyle w:val="BlankClose"/>
        <w:rPr>
          <w:sz w:val="20"/>
          <w:szCs w:val="20"/>
        </w:rPr>
      </w:pPr>
    </w:p>
    <w:p>
      <w:pPr>
        <w:pStyle w:val="nzSubsection"/>
      </w:pPr>
      <w:r>
        <w:tab/>
        <w:t>(3)</w:t>
      </w:r>
      <w:r>
        <w:tab/>
        <w:t xml:space="preserve">In regulation 12 in the definition of </w:t>
      </w:r>
      <w:r>
        <w:rPr>
          <w:b/>
          <w:i/>
        </w:rPr>
        <w:t>common property</w:t>
      </w:r>
      <w:r>
        <w:t xml:space="preserve"> delete paragraph (b) and insert:</w:t>
      </w:r>
    </w:p>
    <w:p>
      <w:pPr>
        <w:pStyle w:val="BlankOpen"/>
        <w:rPr>
          <w:sz w:val="20"/>
          <w:szCs w:val="20"/>
        </w:rPr>
      </w:pPr>
    </w:p>
    <w:p>
      <w:pPr>
        <w:pStyle w:val="zDefpara"/>
        <w:rPr>
          <w:sz w:val="20"/>
        </w:rPr>
      </w:pPr>
      <w:r>
        <w:rPr>
          <w:sz w:val="20"/>
        </w:rPr>
        <w:tab/>
        <w:t>(b)</w:t>
      </w:r>
      <w:r>
        <w:rPr>
          <w:sz w:val="20"/>
        </w:rPr>
        <w:tab/>
        <w:t xml:space="preserve">if those premises and other residential premises are situated on the same lot as defined in the </w:t>
      </w:r>
      <w:r>
        <w:rPr>
          <w:i/>
          <w:sz w:val="20"/>
        </w:rPr>
        <w:t>Planning and Development Act 2005</w:t>
      </w:r>
      <w:r>
        <w:rPr>
          <w:sz w:val="20"/>
        </w:rPr>
        <w:t xml:space="preserve"> section 4(1), or on 2 or more contiguous lots — means all the areas of the lot or lots that do not comprise or form part of any residential premises;</w:t>
      </w:r>
    </w:p>
    <w:p>
      <w:pPr>
        <w:pStyle w:val="BlankClose"/>
        <w:rPr>
          <w:sz w:val="20"/>
          <w:szCs w:val="20"/>
        </w:rPr>
      </w:pPr>
    </w:p>
    <w:p>
      <w:pPr>
        <w:pStyle w:val="nzSubsection"/>
      </w:pPr>
      <w:r>
        <w:tab/>
        <w:t>(4)</w:t>
      </w:r>
      <w:r>
        <w:tab/>
        <w:t xml:space="preserve">In regulation 12 in the definition of </w:t>
      </w:r>
      <w:r>
        <w:rPr>
          <w:b/>
          <w:i/>
        </w:rPr>
        <w:t>residential premises</w:t>
      </w:r>
      <w:r>
        <w:t xml:space="preserve"> after “of residence” insert:</w:t>
      </w:r>
    </w:p>
    <w:p>
      <w:pPr>
        <w:pStyle w:val="BlankOpen"/>
        <w:rPr>
          <w:sz w:val="20"/>
          <w:szCs w:val="20"/>
        </w:rPr>
      </w:pPr>
    </w:p>
    <w:p>
      <w:pPr>
        <w:pStyle w:val="nzSubsection"/>
      </w:pPr>
      <w:r>
        <w:tab/>
      </w:r>
      <w:r>
        <w:tab/>
        <w:t>or accommodation, whether short or long</w:t>
      </w:r>
      <w:r>
        <w:noBreakHyphen/>
        <w:t>term,</w:t>
      </w:r>
    </w:p>
    <w:p>
      <w:pPr>
        <w:pStyle w:val="BlankClose"/>
        <w:rPr>
          <w:sz w:val="20"/>
          <w:szCs w:val="20"/>
        </w:rPr>
      </w:pPr>
    </w:p>
    <w:p>
      <w:pPr>
        <w:pStyle w:val="nzHeading5"/>
      </w:pPr>
      <w:r>
        <w:rPr>
          <w:rStyle w:val="CharSectno"/>
        </w:rPr>
        <w:t>6</w:t>
      </w:r>
      <w:r>
        <w:t>.</w:t>
      </w:r>
      <w:r>
        <w:tab/>
        <w:t>Regulation 12A inserted</w:t>
      </w:r>
    </w:p>
    <w:p>
      <w:pPr>
        <w:pStyle w:val="nzSubsection"/>
      </w:pPr>
      <w:r>
        <w:tab/>
      </w:r>
      <w:r>
        <w:tab/>
        <w:t>After regulation 12 insert:</w:t>
      </w:r>
    </w:p>
    <w:p>
      <w:pPr>
        <w:pStyle w:val="BlankOpen"/>
        <w:rPr>
          <w:sz w:val="20"/>
          <w:szCs w:val="20"/>
        </w:rPr>
      </w:pPr>
    </w:p>
    <w:p>
      <w:pPr>
        <w:pStyle w:val="nzHeading510pt"/>
      </w:pPr>
      <w:r>
        <w:t>12A.</w:t>
      </w:r>
      <w:r>
        <w:tab/>
        <w:t>Installation of residual current devices</w:t>
      </w:r>
    </w:p>
    <w:p>
      <w:pPr>
        <w:pStyle w:val="zSubsection"/>
        <w:rPr>
          <w:sz w:val="20"/>
        </w:rPr>
      </w:pPr>
      <w:r>
        <w:rPr>
          <w:sz w:val="20"/>
        </w:rPr>
        <w:tab/>
        <w:t>(1)</w:t>
      </w:r>
      <w:r>
        <w:rPr>
          <w:sz w:val="20"/>
        </w:rPr>
        <w:tab/>
        <w:t xml:space="preserve">In this regulation — </w:t>
      </w:r>
    </w:p>
    <w:p>
      <w:pPr>
        <w:pStyle w:val="zDefstart"/>
        <w:rPr>
          <w:sz w:val="20"/>
        </w:rPr>
      </w:pPr>
      <w:r>
        <w:rPr>
          <w:sz w:val="20"/>
        </w:rPr>
        <w:tab/>
      </w:r>
      <w:r>
        <w:rPr>
          <w:rStyle w:val="CharDefText"/>
          <w:sz w:val="20"/>
        </w:rPr>
        <w:t>final subcircuit</w:t>
      </w:r>
      <w:r>
        <w:rPr>
          <w:sz w:val="20"/>
        </w:rPr>
        <w:t xml:space="preserve"> means a final subcircuit to which a socket outlet, lighting point or directly</w:t>
      </w:r>
      <w:r>
        <w:rPr>
          <w:sz w:val="20"/>
        </w:rPr>
        <w:noBreakHyphen/>
        <w:t>connected hand</w:t>
      </w:r>
      <w:r>
        <w:rPr>
          <w:sz w:val="20"/>
        </w:rPr>
        <w:noBreakHyphen/>
        <w:t>held appliance is connected.</w:t>
      </w:r>
    </w:p>
    <w:p>
      <w:pPr>
        <w:pStyle w:val="zSubsection"/>
        <w:rPr>
          <w:sz w:val="20"/>
        </w:rPr>
      </w:pPr>
      <w:r>
        <w:rPr>
          <w:sz w:val="20"/>
        </w:rPr>
        <w:tab/>
        <w:t>(2)</w:t>
      </w:r>
      <w:r>
        <w:rPr>
          <w:sz w:val="20"/>
        </w:rPr>
        <w:tab/>
        <w:t xml:space="preserve">Residual current devices are installed in accordance with this regulation in relation to residential premises, or common property relating to residential premises, if all of the following apply — </w:t>
      </w:r>
    </w:p>
    <w:p>
      <w:pPr>
        <w:pStyle w:val="zIndenta"/>
        <w:rPr>
          <w:sz w:val="20"/>
        </w:rPr>
      </w:pPr>
      <w:r>
        <w:rPr>
          <w:sz w:val="20"/>
        </w:rPr>
        <w:tab/>
        <w:t>(a)</w:t>
      </w:r>
      <w:r>
        <w:rPr>
          <w:sz w:val="20"/>
        </w:rPr>
        <w:tab/>
        <w:t xml:space="preserve">the number of residual current devices installed on the premises is at least — </w:t>
      </w:r>
    </w:p>
    <w:p>
      <w:pPr>
        <w:pStyle w:val="zIndenti"/>
        <w:rPr>
          <w:sz w:val="20"/>
        </w:rPr>
      </w:pPr>
      <w:r>
        <w:rPr>
          <w:sz w:val="20"/>
        </w:rPr>
        <w:tab/>
        <w:t>(i)</w:t>
      </w:r>
      <w:r>
        <w:rPr>
          <w:sz w:val="20"/>
        </w:rPr>
        <w:tab/>
        <w:t>1, if the premises have 1 final subcircuit; and</w:t>
      </w:r>
    </w:p>
    <w:p>
      <w:pPr>
        <w:pStyle w:val="zIndenti"/>
        <w:rPr>
          <w:sz w:val="20"/>
        </w:rPr>
      </w:pPr>
      <w:r>
        <w:rPr>
          <w:sz w:val="20"/>
        </w:rPr>
        <w:tab/>
        <w:t>(ii)</w:t>
      </w:r>
      <w:r>
        <w:rPr>
          <w:sz w:val="20"/>
        </w:rPr>
        <w:tab/>
        <w:t>2, if the premises have more than 1 final subcircuit;</w:t>
      </w:r>
    </w:p>
    <w:p>
      <w:pPr>
        <w:pStyle w:val="zIndenta"/>
        <w:rPr>
          <w:sz w:val="20"/>
        </w:rPr>
      </w:pPr>
      <w:r>
        <w:rPr>
          <w:sz w:val="20"/>
        </w:rPr>
        <w:tab/>
        <w:t>(b)</w:t>
      </w:r>
      <w:r>
        <w:rPr>
          <w:sz w:val="20"/>
        </w:rPr>
        <w:tab/>
        <w:t>if 2 or more residual current devices are installed on the premises, lighting points connected to final subcircuits are distributed between the devices;</w:t>
      </w:r>
    </w:p>
    <w:p>
      <w:pPr>
        <w:pStyle w:val="zIndenta"/>
        <w:rPr>
          <w:sz w:val="20"/>
        </w:rPr>
      </w:pPr>
      <w:r>
        <w:rPr>
          <w:sz w:val="20"/>
        </w:rPr>
        <w:tab/>
        <w:t>(c)</w:t>
      </w:r>
      <w:r>
        <w:rPr>
          <w:sz w:val="20"/>
        </w:rPr>
        <w:tab/>
        <w:t>each residual current device complies with AS/NZS 3190:2016 Approval and test specification — Residual current devices (current</w:t>
      </w:r>
      <w:r>
        <w:rPr>
          <w:sz w:val="20"/>
        </w:rPr>
        <w:noBreakHyphen/>
        <w:t>operated earth</w:t>
      </w:r>
      <w:r>
        <w:rPr>
          <w:sz w:val="20"/>
        </w:rPr>
        <w:noBreakHyphen/>
        <w:t>leakage devices);</w:t>
      </w:r>
    </w:p>
    <w:p>
      <w:pPr>
        <w:pStyle w:val="zIndenta"/>
        <w:rPr>
          <w:sz w:val="20"/>
        </w:rPr>
      </w:pPr>
      <w:r>
        <w:rPr>
          <w:sz w:val="20"/>
        </w:rPr>
        <w:tab/>
        <w:t>(d)</w:t>
      </w:r>
      <w:r>
        <w:rPr>
          <w:sz w:val="20"/>
        </w:rPr>
        <w:tab/>
        <w:t>each residual current device has a maximum rated residual current of 30 mA;</w:t>
      </w:r>
    </w:p>
    <w:p>
      <w:pPr>
        <w:pStyle w:val="zIndenta"/>
        <w:rPr>
          <w:sz w:val="20"/>
        </w:rPr>
      </w:pPr>
      <w:r>
        <w:rPr>
          <w:sz w:val="20"/>
        </w:rPr>
        <w:tab/>
        <w:t>(e)</w:t>
      </w:r>
      <w:r>
        <w:rPr>
          <w:sz w:val="20"/>
        </w:rPr>
        <w:tab/>
        <w:t xml:space="preserve">each residual current device protects not more than 3 final subcircuits; </w:t>
      </w:r>
    </w:p>
    <w:p>
      <w:pPr>
        <w:pStyle w:val="zIndenta"/>
        <w:rPr>
          <w:sz w:val="20"/>
        </w:rPr>
      </w:pPr>
      <w:r>
        <w:rPr>
          <w:sz w:val="20"/>
        </w:rPr>
        <w:tab/>
        <w:t>(f)</w:t>
      </w:r>
      <w:r>
        <w:rPr>
          <w:sz w:val="20"/>
        </w:rPr>
        <w:tab/>
        <w:t>each residual current device is installed at the switchboard at which each final subcircuit protected by it originates.</w:t>
      </w:r>
    </w:p>
    <w:p>
      <w:pPr>
        <w:pStyle w:val="BlankClose"/>
        <w:rPr>
          <w:sz w:val="20"/>
          <w:szCs w:val="20"/>
        </w:rPr>
      </w:pPr>
    </w:p>
    <w:p>
      <w:pPr>
        <w:pStyle w:val="nzHeading5"/>
      </w:pPr>
      <w:r>
        <w:rPr>
          <w:rStyle w:val="CharSectno"/>
        </w:rPr>
        <w:t>7</w:t>
      </w:r>
      <w:r>
        <w:t>.</w:t>
      </w:r>
      <w:r>
        <w:tab/>
        <w:t>Regulation 13 amended</w:t>
      </w:r>
    </w:p>
    <w:p>
      <w:pPr>
        <w:pStyle w:val="nzSubsection"/>
      </w:pPr>
      <w:r>
        <w:tab/>
      </w:r>
      <w:r>
        <w:tab/>
        <w:t>In regulation 13 delete “at least 2 residual current devices are” and insert:</w:t>
      </w:r>
    </w:p>
    <w:p>
      <w:pPr>
        <w:pStyle w:val="BlankOpen"/>
        <w:rPr>
          <w:sz w:val="20"/>
          <w:szCs w:val="20"/>
        </w:rPr>
      </w:pPr>
    </w:p>
    <w:p>
      <w:pPr>
        <w:pStyle w:val="nzSubsection"/>
      </w:pPr>
      <w:r>
        <w:tab/>
      </w:r>
      <w:r>
        <w:tab/>
        <w:t xml:space="preserve">residual current devices are properly </w:t>
      </w:r>
    </w:p>
    <w:p>
      <w:pPr>
        <w:pStyle w:val="BlankClose"/>
        <w:rPr>
          <w:sz w:val="20"/>
          <w:szCs w:val="20"/>
        </w:rPr>
      </w:pPr>
    </w:p>
    <w:p>
      <w:pPr>
        <w:pStyle w:val="nzHeading5"/>
      </w:pPr>
      <w:r>
        <w:rPr>
          <w:rStyle w:val="CharSectno"/>
        </w:rPr>
        <w:t>8</w:t>
      </w:r>
      <w:r>
        <w:t>.</w:t>
      </w:r>
      <w:r>
        <w:tab/>
        <w:t>Regulation 14 amended</w:t>
      </w:r>
    </w:p>
    <w:p>
      <w:pPr>
        <w:pStyle w:val="nzSubsection"/>
      </w:pPr>
      <w:r>
        <w:tab/>
        <w:t>(1)</w:t>
      </w:r>
      <w:r>
        <w:tab/>
        <w:t>In regulation 14 delete “at least 2 residual current devices are” and insert:</w:t>
      </w:r>
    </w:p>
    <w:p>
      <w:pPr>
        <w:pStyle w:val="BlankOpen"/>
        <w:rPr>
          <w:sz w:val="20"/>
          <w:szCs w:val="20"/>
        </w:rPr>
      </w:pPr>
    </w:p>
    <w:p>
      <w:pPr>
        <w:pStyle w:val="nzSubsection"/>
      </w:pPr>
      <w:r>
        <w:tab/>
      </w:r>
      <w:r>
        <w:tab/>
        <w:t xml:space="preserve">residual current devices are properly </w:t>
      </w:r>
    </w:p>
    <w:p>
      <w:pPr>
        <w:pStyle w:val="BlankClose"/>
        <w:rPr>
          <w:sz w:val="20"/>
          <w:szCs w:val="20"/>
        </w:rPr>
      </w:pPr>
    </w:p>
    <w:p>
      <w:pPr>
        <w:pStyle w:val="nzSubsection"/>
      </w:pPr>
      <w:r>
        <w:tab/>
        <w:t>(2)</w:t>
      </w:r>
      <w:r>
        <w:tab/>
        <w:t>In regulation 14(b) delete “the commencement day; or” and insert:</w:t>
      </w:r>
    </w:p>
    <w:p>
      <w:pPr>
        <w:pStyle w:val="BlankOpen"/>
        <w:rPr>
          <w:sz w:val="20"/>
          <w:szCs w:val="20"/>
        </w:rPr>
      </w:pPr>
    </w:p>
    <w:p>
      <w:pPr>
        <w:pStyle w:val="nzSubsection"/>
      </w:pPr>
      <w:r>
        <w:tab/>
      </w:r>
      <w:r>
        <w:tab/>
        <w:t>9 August 2009; or</w:t>
      </w:r>
    </w:p>
    <w:p>
      <w:pPr>
        <w:pStyle w:val="BlankClose"/>
        <w:rPr>
          <w:sz w:val="20"/>
          <w:szCs w:val="20"/>
        </w:rPr>
      </w:pPr>
    </w:p>
    <w:p>
      <w:pPr>
        <w:pStyle w:val="nzSubsection"/>
      </w:pPr>
      <w:r>
        <w:tab/>
        <w:t>(3)</w:t>
      </w:r>
      <w:r>
        <w:tab/>
        <w:t>Delete regulation 14(c) and (d) and insert:</w:t>
      </w:r>
    </w:p>
    <w:p>
      <w:pPr>
        <w:pStyle w:val="BlankOpen"/>
        <w:rPr>
          <w:sz w:val="20"/>
          <w:szCs w:val="20"/>
        </w:rPr>
      </w:pPr>
    </w:p>
    <w:p>
      <w:pPr>
        <w:pStyle w:val="zIndenta"/>
        <w:rPr>
          <w:sz w:val="20"/>
        </w:rPr>
      </w:pPr>
      <w:r>
        <w:rPr>
          <w:sz w:val="20"/>
        </w:rPr>
        <w:tab/>
        <w:t>(c)</w:t>
      </w:r>
      <w:r>
        <w:rPr>
          <w:sz w:val="20"/>
        </w:rPr>
        <w:tab/>
        <w:t>before the completion of any building works on the premises, if those works require the grant of a building permit.</w:t>
      </w:r>
    </w:p>
    <w:p>
      <w:pPr>
        <w:pStyle w:val="BlankClose"/>
        <w:rPr>
          <w:sz w:val="20"/>
          <w:szCs w:val="20"/>
        </w:rPr>
      </w:pPr>
    </w:p>
    <w:p>
      <w:pPr>
        <w:pStyle w:val="nzHeading5"/>
      </w:pPr>
      <w:r>
        <w:rPr>
          <w:rStyle w:val="CharSectno"/>
        </w:rPr>
        <w:t>9</w:t>
      </w:r>
      <w:r>
        <w:t>.</w:t>
      </w:r>
      <w:r>
        <w:tab/>
        <w:t>Regulation 15A amended</w:t>
      </w:r>
    </w:p>
    <w:p>
      <w:pPr>
        <w:pStyle w:val="nzSubsection"/>
      </w:pPr>
      <w:r>
        <w:tab/>
      </w:r>
      <w:r>
        <w:tab/>
        <w:t>In regulation 15A(2) delete “at least 2 residual current devices are” and insert:</w:t>
      </w:r>
    </w:p>
    <w:p>
      <w:pPr>
        <w:pStyle w:val="BlankOpen"/>
        <w:rPr>
          <w:sz w:val="20"/>
          <w:szCs w:val="20"/>
        </w:rPr>
      </w:pPr>
    </w:p>
    <w:p>
      <w:pPr>
        <w:pStyle w:val="nzSubsection"/>
      </w:pPr>
      <w:r>
        <w:tab/>
      </w:r>
      <w:r>
        <w:tab/>
        <w:t xml:space="preserve">residual current devices are properly </w:t>
      </w:r>
    </w:p>
    <w:p>
      <w:pPr>
        <w:pStyle w:val="BlankClose"/>
        <w:rPr>
          <w:sz w:val="20"/>
          <w:szCs w:val="20"/>
        </w:rPr>
      </w:pPr>
    </w:p>
    <w:p>
      <w:pPr>
        <w:pStyle w:val="nzHeading5"/>
      </w:pPr>
      <w:r>
        <w:rPr>
          <w:rStyle w:val="CharSectno"/>
        </w:rPr>
        <w:t>10</w:t>
      </w:r>
      <w:r>
        <w:t>.</w:t>
      </w:r>
      <w:r>
        <w:tab/>
        <w:t>Regulation 15 replaced</w:t>
      </w:r>
    </w:p>
    <w:p>
      <w:pPr>
        <w:pStyle w:val="nzSubsection"/>
      </w:pPr>
      <w:r>
        <w:tab/>
      </w:r>
      <w:r>
        <w:tab/>
        <w:t>Delete regulation 15 and insert:</w:t>
      </w:r>
    </w:p>
    <w:p>
      <w:pPr>
        <w:pStyle w:val="BlankOpen"/>
        <w:rPr>
          <w:sz w:val="20"/>
          <w:szCs w:val="20"/>
        </w:rPr>
      </w:pPr>
    </w:p>
    <w:p>
      <w:pPr>
        <w:pStyle w:val="nzHeading510pt"/>
      </w:pPr>
      <w:r>
        <w:t>15.</w:t>
      </w:r>
      <w:r>
        <w:tab/>
        <w:t>Common property relating to residential premises</w:t>
      </w:r>
    </w:p>
    <w:p>
      <w:pPr>
        <w:pStyle w:val="zSubsection"/>
        <w:rPr>
          <w:sz w:val="20"/>
        </w:rPr>
      </w:pPr>
      <w:r>
        <w:rPr>
          <w:sz w:val="20"/>
        </w:rPr>
        <w:tab/>
      </w:r>
      <w:r>
        <w:rPr>
          <w:sz w:val="20"/>
        </w:rPr>
        <w:tab/>
        <w:t>Subject to any exemption under regulation 18, an owner of common property relating to residential premises must ensure that residual current devices are properly installed in relation to the common property.</w:t>
      </w:r>
    </w:p>
    <w:p>
      <w:pPr>
        <w:pStyle w:val="zPenstart"/>
        <w:rPr>
          <w:sz w:val="20"/>
        </w:rPr>
      </w:pPr>
      <w:r>
        <w:rPr>
          <w:sz w:val="20"/>
        </w:rPr>
        <w:tab/>
        <w:t>Penalty:</w:t>
      </w:r>
    </w:p>
    <w:p>
      <w:pPr>
        <w:pStyle w:val="zPenpara"/>
        <w:rPr>
          <w:sz w:val="20"/>
        </w:rPr>
      </w:pPr>
      <w:r>
        <w:rPr>
          <w:sz w:val="20"/>
        </w:rPr>
        <w:tab/>
        <w:t>(a)</w:t>
      </w:r>
      <w:r>
        <w:rPr>
          <w:sz w:val="20"/>
        </w:rPr>
        <w:tab/>
        <w:t>in the case of an individual — a fine of $15 000;</w:t>
      </w:r>
    </w:p>
    <w:p>
      <w:pPr>
        <w:pStyle w:val="zPenpara"/>
        <w:rPr>
          <w:sz w:val="20"/>
        </w:rPr>
      </w:pPr>
      <w:r>
        <w:rPr>
          <w:sz w:val="20"/>
        </w:rPr>
        <w:tab/>
        <w:t>(b)</w:t>
      </w:r>
      <w:r>
        <w:rPr>
          <w:sz w:val="20"/>
        </w:rPr>
        <w:tab/>
        <w:t>in the case of a body corporate — a fine of $100 000.</w:t>
      </w:r>
    </w:p>
    <w:p>
      <w:pPr>
        <w:pStyle w:val="BlankClose"/>
        <w:rPr>
          <w:sz w:val="20"/>
          <w:szCs w:val="20"/>
        </w:rPr>
      </w:pPr>
    </w:p>
    <w:p>
      <w:pPr>
        <w:pStyle w:val="nzHeading5"/>
      </w:pPr>
      <w:r>
        <w:rPr>
          <w:rStyle w:val="CharSectno"/>
        </w:rPr>
        <w:t>11</w:t>
      </w:r>
      <w:r>
        <w:t>.</w:t>
      </w:r>
      <w:r>
        <w:tab/>
        <w:t>Regulation 16 amended</w:t>
      </w:r>
    </w:p>
    <w:p>
      <w:pPr>
        <w:pStyle w:val="nzSubsection"/>
      </w:pPr>
      <w:r>
        <w:tab/>
        <w:t>(1)</w:t>
      </w:r>
      <w:r>
        <w:tab/>
        <w:t>In regulation 16(1) after “new owner” insert:</w:t>
      </w:r>
    </w:p>
    <w:p>
      <w:pPr>
        <w:pStyle w:val="BlankOpen"/>
        <w:rPr>
          <w:sz w:val="20"/>
          <w:szCs w:val="20"/>
        </w:rPr>
      </w:pPr>
    </w:p>
    <w:p>
      <w:pPr>
        <w:pStyle w:val="nzSubsection"/>
      </w:pPr>
      <w:r>
        <w:tab/>
      </w:r>
      <w:r>
        <w:tab/>
        <w:t xml:space="preserve">of the transferred residential premises </w:t>
      </w:r>
    </w:p>
    <w:p>
      <w:pPr>
        <w:pStyle w:val="BlankClose"/>
        <w:rPr>
          <w:sz w:val="20"/>
          <w:szCs w:val="20"/>
        </w:rPr>
      </w:pPr>
    </w:p>
    <w:p>
      <w:pPr>
        <w:pStyle w:val="nzSubsection"/>
      </w:pPr>
      <w:r>
        <w:tab/>
        <w:t>(2)</w:t>
      </w:r>
      <w:r>
        <w:tab/>
        <w:t>Delete regulation 16(2) and insert:</w:t>
      </w:r>
    </w:p>
    <w:p>
      <w:pPr>
        <w:pStyle w:val="BlankOpen"/>
        <w:rPr>
          <w:sz w:val="20"/>
          <w:szCs w:val="20"/>
        </w:rPr>
      </w:pPr>
    </w:p>
    <w:p>
      <w:pPr>
        <w:pStyle w:val="zSubsection"/>
        <w:rPr>
          <w:sz w:val="20"/>
        </w:rPr>
      </w:pPr>
      <w:r>
        <w:rPr>
          <w:sz w:val="20"/>
        </w:rPr>
        <w:tab/>
        <w:t>(2)</w:t>
      </w:r>
      <w:r>
        <w:rPr>
          <w:sz w:val="20"/>
        </w:rPr>
        <w:tab/>
        <w:t>It is a defence to a charge of an offence under regulation 15 for the person charged to prove that the person had, before the charge was laid, arranged for the demolition of the premises.</w:t>
      </w:r>
    </w:p>
    <w:p>
      <w:pPr>
        <w:pStyle w:val="BlankClose"/>
        <w:rPr>
          <w:sz w:val="20"/>
          <w:szCs w:val="20"/>
        </w:rPr>
      </w:pPr>
    </w:p>
    <w:p>
      <w:pPr>
        <w:pStyle w:val="nzHeading5"/>
      </w:pPr>
      <w:r>
        <w:rPr>
          <w:rStyle w:val="CharSectno"/>
        </w:rPr>
        <w:t>12</w:t>
      </w:r>
      <w:r>
        <w:t>.</w:t>
      </w:r>
      <w:r>
        <w:tab/>
        <w:t>Regulation 17 inserted</w:t>
      </w:r>
    </w:p>
    <w:p>
      <w:pPr>
        <w:pStyle w:val="nzSubsection"/>
      </w:pPr>
      <w:r>
        <w:tab/>
      </w:r>
      <w:r>
        <w:tab/>
        <w:t>After regulation 16 insert:</w:t>
      </w:r>
    </w:p>
    <w:p>
      <w:pPr>
        <w:pStyle w:val="BlankOpen"/>
        <w:rPr>
          <w:sz w:val="20"/>
          <w:szCs w:val="20"/>
        </w:rPr>
      </w:pPr>
    </w:p>
    <w:p>
      <w:pPr>
        <w:pStyle w:val="nzHeading510pt"/>
      </w:pPr>
      <w:r>
        <w:t>17.</w:t>
      </w:r>
      <w:r>
        <w:tab/>
        <w:t>Transportable structures or vehicles used for accommodation</w:t>
      </w:r>
    </w:p>
    <w:p>
      <w:pPr>
        <w:pStyle w:val="zSubsection"/>
        <w:rPr>
          <w:sz w:val="20"/>
        </w:rPr>
      </w:pPr>
      <w:r>
        <w:rPr>
          <w:sz w:val="20"/>
        </w:rPr>
        <w:tab/>
      </w:r>
      <w:r>
        <w:rPr>
          <w:sz w:val="20"/>
        </w:rPr>
        <w:tab/>
        <w:t>Subject to any exemption under regulation 18, an owner of a transportable structure or vehicle that constitutes or is intended to constitute a place of residence or accommodation, whether short or long</w:t>
      </w:r>
      <w:r>
        <w:rPr>
          <w:sz w:val="20"/>
        </w:rPr>
        <w:noBreakHyphen/>
        <w:t>term, must ensure that at least 1 residual current device is installed in relation to the structure or vehicle in accordance with AS/NZS 3001:2008 Electrical installations — Transportable structures and vehicles including their site supplies.</w:t>
      </w:r>
    </w:p>
    <w:p>
      <w:pPr>
        <w:pStyle w:val="zPenstart"/>
        <w:rPr>
          <w:sz w:val="20"/>
        </w:rPr>
      </w:pPr>
      <w:r>
        <w:rPr>
          <w:sz w:val="20"/>
        </w:rPr>
        <w:tab/>
        <w:t>Penalty:</w:t>
      </w:r>
    </w:p>
    <w:p>
      <w:pPr>
        <w:pStyle w:val="zPenpara"/>
        <w:rPr>
          <w:sz w:val="20"/>
        </w:rPr>
      </w:pPr>
      <w:r>
        <w:rPr>
          <w:sz w:val="20"/>
        </w:rPr>
        <w:tab/>
        <w:t>(a)</w:t>
      </w:r>
      <w:r>
        <w:rPr>
          <w:sz w:val="20"/>
        </w:rPr>
        <w:tab/>
        <w:t>in the case of an individual — a fine of $15 000;</w:t>
      </w:r>
    </w:p>
    <w:p>
      <w:pPr>
        <w:pStyle w:val="zPenpara"/>
        <w:keepNext/>
        <w:rPr>
          <w:sz w:val="20"/>
        </w:rPr>
      </w:pPr>
      <w:r>
        <w:rPr>
          <w:sz w:val="20"/>
        </w:rPr>
        <w:tab/>
        <w:t>(b)</w:t>
      </w:r>
      <w:r>
        <w:rPr>
          <w:sz w:val="20"/>
        </w:rPr>
        <w:tab/>
        <w:t>in the case of a body corporate — a fine of $100 000.</w:t>
      </w:r>
    </w:p>
    <w:p>
      <w:pPr>
        <w:pStyle w:val="BlankClose"/>
        <w:rPr>
          <w:sz w:val="20"/>
          <w:szCs w:val="20"/>
        </w:rPr>
      </w:pPr>
    </w:p>
    <w:p>
      <w:pPr>
        <w:pStyle w:val="nzHeading5"/>
      </w:pPr>
      <w:r>
        <w:rPr>
          <w:rStyle w:val="CharSectno"/>
        </w:rPr>
        <w:t>13</w:t>
      </w:r>
      <w:r>
        <w:t>.</w:t>
      </w:r>
      <w:r>
        <w:tab/>
        <w:t>Regulation 18 amended</w:t>
      </w:r>
    </w:p>
    <w:p>
      <w:pPr>
        <w:pStyle w:val="nzSubsection"/>
      </w:pPr>
      <w:r>
        <w:tab/>
        <w:t>(1)</w:t>
      </w:r>
      <w:r>
        <w:tab/>
        <w:t>In regulation 18(1):</w:t>
      </w:r>
    </w:p>
    <w:p>
      <w:pPr>
        <w:pStyle w:val="nzIndenta"/>
      </w:pPr>
      <w:r>
        <w:tab/>
        <w:t>(a)</w:t>
      </w:r>
      <w:r>
        <w:tab/>
        <w:t>after “premises” insert:</w:t>
      </w:r>
    </w:p>
    <w:p>
      <w:pPr>
        <w:pStyle w:val="BlankOpen"/>
        <w:rPr>
          <w:sz w:val="20"/>
          <w:szCs w:val="20"/>
        </w:rPr>
      </w:pPr>
    </w:p>
    <w:p>
      <w:pPr>
        <w:pStyle w:val="nzIndenta"/>
      </w:pPr>
      <w:r>
        <w:tab/>
      </w:r>
      <w:r>
        <w:tab/>
        <w:t xml:space="preserve">or a transportable structure or vehicle </w:t>
      </w:r>
    </w:p>
    <w:p>
      <w:pPr>
        <w:pStyle w:val="BlankClose"/>
        <w:rPr>
          <w:sz w:val="20"/>
          <w:szCs w:val="20"/>
        </w:rPr>
      </w:pPr>
    </w:p>
    <w:p>
      <w:pPr>
        <w:pStyle w:val="nzIndenta"/>
      </w:pPr>
      <w:r>
        <w:tab/>
        <w:t>(b)</w:t>
      </w:r>
      <w:r>
        <w:tab/>
        <w:t>delete “14 or 15,” and insert:</w:t>
      </w:r>
    </w:p>
    <w:p>
      <w:pPr>
        <w:pStyle w:val="BlankOpen"/>
        <w:rPr>
          <w:sz w:val="20"/>
          <w:szCs w:val="20"/>
        </w:rPr>
      </w:pPr>
    </w:p>
    <w:p>
      <w:pPr>
        <w:pStyle w:val="nzIndenta"/>
      </w:pPr>
      <w:r>
        <w:tab/>
      </w:r>
      <w:r>
        <w:tab/>
        <w:t>14, 15 or 17,</w:t>
      </w:r>
    </w:p>
    <w:p>
      <w:pPr>
        <w:pStyle w:val="BlankClose"/>
        <w:rPr>
          <w:sz w:val="20"/>
          <w:szCs w:val="20"/>
        </w:rPr>
      </w:pPr>
    </w:p>
    <w:p>
      <w:pPr>
        <w:pStyle w:val="nzSubsection"/>
      </w:pPr>
      <w:r>
        <w:tab/>
        <w:t>(2)</w:t>
      </w:r>
      <w:r>
        <w:tab/>
        <w:t>In regulation 18(2)(a) delete “14 or 15,” and insert:</w:t>
      </w:r>
    </w:p>
    <w:p>
      <w:pPr>
        <w:pStyle w:val="BlankOpen"/>
        <w:rPr>
          <w:sz w:val="20"/>
          <w:szCs w:val="20"/>
        </w:rPr>
      </w:pPr>
    </w:p>
    <w:p>
      <w:pPr>
        <w:pStyle w:val="nzSubsection"/>
      </w:pPr>
      <w:r>
        <w:tab/>
      </w:r>
      <w:r>
        <w:tab/>
        <w:t xml:space="preserve">14, 15 or 17, </w:t>
      </w:r>
    </w:p>
    <w:p>
      <w:pPr>
        <w:pStyle w:val="BlankClose"/>
        <w:rPr>
          <w:sz w:val="20"/>
          <w:szCs w:val="20"/>
        </w:rPr>
      </w:pPr>
    </w:p>
    <w:p>
      <w:pPr>
        <w:pStyle w:val="nzHeading5"/>
      </w:pPr>
      <w:r>
        <w:rPr>
          <w:rStyle w:val="CharSectno"/>
        </w:rPr>
        <w:t>14</w:t>
      </w:r>
      <w:r>
        <w:t>.</w:t>
      </w:r>
      <w:r>
        <w:tab/>
        <w:t>Regulation 241 amended</w:t>
      </w:r>
    </w:p>
    <w:p>
      <w:pPr>
        <w:pStyle w:val="nzSubsection"/>
      </w:pPr>
      <w:r>
        <w:tab/>
      </w:r>
      <w:r>
        <w:tab/>
        <w:t>In regulation 241(1) insert in alphabetical order:</w:t>
      </w:r>
    </w:p>
    <w:p>
      <w:pPr>
        <w:pStyle w:val="BlankOpen"/>
        <w:rPr>
          <w:sz w:val="20"/>
          <w:szCs w:val="20"/>
        </w:rPr>
      </w:pPr>
    </w:p>
    <w:p>
      <w:pPr>
        <w:pStyle w:val="zDefstart"/>
        <w:rPr>
          <w:sz w:val="20"/>
        </w:rPr>
      </w:pPr>
      <w:r>
        <w:rPr>
          <w:sz w:val="20"/>
        </w:rPr>
        <w:tab/>
      </w:r>
      <w:r>
        <w:rPr>
          <w:rStyle w:val="CharDefText"/>
          <w:sz w:val="20"/>
        </w:rPr>
        <w:t>fuse</w:t>
      </w:r>
      <w:r>
        <w:rPr>
          <w:sz w:val="20"/>
        </w:rPr>
        <w:t xml:space="preserve"> means a device to protect a circuit against damage from an excessive current by opening the circuit when the current melts an element in the device;</w:t>
      </w:r>
    </w:p>
    <w:p>
      <w:pPr>
        <w:pStyle w:val="BlankClose"/>
        <w:rPr>
          <w:sz w:val="20"/>
          <w:szCs w:val="20"/>
        </w:rPr>
      </w:pPr>
    </w:p>
    <w:p>
      <w:pPr>
        <w:pStyle w:val="nzHeading5"/>
      </w:pPr>
      <w:r>
        <w:rPr>
          <w:rStyle w:val="CharSectno"/>
        </w:rPr>
        <w:t>15</w:t>
      </w:r>
      <w:r>
        <w:t>.</w:t>
      </w:r>
      <w:r>
        <w:tab/>
        <w:t>Regulation 243 amended</w:t>
      </w:r>
    </w:p>
    <w:p>
      <w:pPr>
        <w:pStyle w:val="nzSubsection"/>
      </w:pPr>
      <w:r>
        <w:tab/>
      </w:r>
      <w:r>
        <w:tab/>
        <w:t>In regulation 243(1), (2), (3) and (4)(a) after “neutral” insert:</w:t>
      </w:r>
    </w:p>
    <w:p>
      <w:pPr>
        <w:pStyle w:val="BlankOpen"/>
        <w:rPr>
          <w:sz w:val="20"/>
          <w:szCs w:val="20"/>
        </w:rPr>
      </w:pPr>
    </w:p>
    <w:p>
      <w:pPr>
        <w:pStyle w:val="nzSubsection"/>
      </w:pPr>
      <w:r>
        <w:tab/>
      </w:r>
      <w:r>
        <w:tab/>
        <w:t>conductor</w:t>
      </w:r>
    </w:p>
    <w:p>
      <w:pPr>
        <w:pStyle w:val="BlankClose"/>
        <w:rPr>
          <w:sz w:val="20"/>
          <w:szCs w:val="20"/>
        </w:rPr>
      </w:pPr>
    </w:p>
    <w:p>
      <w:pPr>
        <w:pStyle w:val="nzSectAltNote"/>
        <w:rPr>
          <w:sz w:val="20"/>
        </w:rPr>
      </w:pPr>
      <w:r>
        <w:rPr>
          <w:sz w:val="20"/>
        </w:rPr>
        <w:tab/>
        <w:t>Note:</w:t>
      </w:r>
      <w:r>
        <w:rPr>
          <w:sz w:val="20"/>
        </w:rPr>
        <w:tab/>
        <w:t>The heading to amended regulation 243 is to read:</w:t>
      </w:r>
    </w:p>
    <w:p>
      <w:pPr>
        <w:pStyle w:val="nzSectAltHeading"/>
        <w:rPr>
          <w:sz w:val="20"/>
        </w:rPr>
      </w:pPr>
      <w:r>
        <w:rPr>
          <w:b w:val="0"/>
          <w:sz w:val="20"/>
        </w:rPr>
        <w:tab/>
      </w:r>
      <w:r>
        <w:rPr>
          <w:b w:val="0"/>
          <w:sz w:val="20"/>
        </w:rPr>
        <w:tab/>
      </w:r>
      <w:r>
        <w:rPr>
          <w:sz w:val="20"/>
        </w:rPr>
        <w:t>Voltage on neutral conductor</w:t>
      </w:r>
    </w:p>
    <w:p>
      <w:pPr>
        <w:pStyle w:val="nzHeading5"/>
      </w:pPr>
      <w:r>
        <w:rPr>
          <w:rStyle w:val="CharSectno"/>
        </w:rPr>
        <w:t>16</w:t>
      </w:r>
      <w:r>
        <w:t>.</w:t>
      </w:r>
      <w:r>
        <w:tab/>
        <w:t>Regulation 257 replaced</w:t>
      </w:r>
    </w:p>
    <w:p>
      <w:pPr>
        <w:pStyle w:val="nzSubsection"/>
      </w:pPr>
      <w:r>
        <w:tab/>
      </w:r>
      <w:r>
        <w:tab/>
        <w:t>Delete regulation 257 and insert:</w:t>
      </w:r>
    </w:p>
    <w:p>
      <w:pPr>
        <w:pStyle w:val="BlankOpen"/>
        <w:rPr>
          <w:sz w:val="20"/>
          <w:szCs w:val="20"/>
        </w:rPr>
      </w:pPr>
    </w:p>
    <w:p>
      <w:pPr>
        <w:pStyle w:val="nzHeading510pt"/>
      </w:pPr>
      <w:r>
        <w:t>257.</w:t>
      </w:r>
      <w:r>
        <w:tab/>
        <w:t>Supply to premises requiring transformers</w:t>
      </w:r>
    </w:p>
    <w:p>
      <w:pPr>
        <w:pStyle w:val="zSubsection"/>
        <w:rPr>
          <w:sz w:val="20"/>
        </w:rPr>
      </w:pPr>
      <w:r>
        <w:rPr>
          <w:sz w:val="20"/>
        </w:rPr>
        <w:tab/>
        <w:t>(1)</w:t>
      </w:r>
      <w:r>
        <w:rPr>
          <w:sz w:val="20"/>
        </w:rPr>
        <w:tab/>
        <w:t xml:space="preserve">If a network operator considers it necessary to install transformers in relation to premises, the owner of the premises must — </w:t>
      </w:r>
    </w:p>
    <w:p>
      <w:pPr>
        <w:pStyle w:val="zIndenta"/>
        <w:rPr>
          <w:sz w:val="20"/>
        </w:rPr>
      </w:pPr>
      <w:r>
        <w:rPr>
          <w:sz w:val="20"/>
        </w:rPr>
        <w:tab/>
        <w:t>(a)</w:t>
      </w:r>
      <w:r>
        <w:rPr>
          <w:sz w:val="20"/>
        </w:rPr>
        <w:tab/>
        <w:t xml:space="preserve">at the site where the transformers are installed, provide the following — </w:t>
      </w:r>
    </w:p>
    <w:p>
      <w:pPr>
        <w:pStyle w:val="zIndenti"/>
        <w:rPr>
          <w:sz w:val="20"/>
        </w:rPr>
      </w:pPr>
      <w:r>
        <w:rPr>
          <w:sz w:val="20"/>
        </w:rPr>
        <w:tab/>
        <w:t>(i)</w:t>
      </w:r>
      <w:r>
        <w:rPr>
          <w:sz w:val="20"/>
        </w:rPr>
        <w:tab/>
        <w:t>an accessible space, to the satisfaction of the network operator, for electrical equipment;</w:t>
      </w:r>
    </w:p>
    <w:p>
      <w:pPr>
        <w:pStyle w:val="zIndenti"/>
        <w:rPr>
          <w:sz w:val="20"/>
        </w:rPr>
      </w:pPr>
      <w:r>
        <w:rPr>
          <w:sz w:val="20"/>
        </w:rPr>
        <w:tab/>
        <w:t>(ii)</w:t>
      </w:r>
      <w:r>
        <w:rPr>
          <w:sz w:val="20"/>
        </w:rPr>
        <w:tab/>
        <w:t>an enclosure, to the satisfaction of the network operator, for the protection of electrical equipment against external influences and contact with live parts;</w:t>
      </w:r>
    </w:p>
    <w:p>
      <w:pPr>
        <w:pStyle w:val="zIndenta"/>
        <w:rPr>
          <w:sz w:val="20"/>
        </w:rPr>
      </w:pPr>
      <w:r>
        <w:rPr>
          <w:sz w:val="20"/>
        </w:rPr>
        <w:tab/>
      </w:r>
      <w:r>
        <w:rPr>
          <w:sz w:val="20"/>
        </w:rPr>
        <w:tab/>
        <w:t>and</w:t>
      </w:r>
    </w:p>
    <w:p>
      <w:pPr>
        <w:pStyle w:val="zIndenta"/>
        <w:rPr>
          <w:sz w:val="20"/>
        </w:rPr>
      </w:pPr>
      <w:r>
        <w:rPr>
          <w:sz w:val="20"/>
        </w:rPr>
        <w:tab/>
        <w:t>(b)</w:t>
      </w:r>
      <w:r>
        <w:rPr>
          <w:sz w:val="20"/>
        </w:rPr>
        <w:tab/>
        <w:t>ensure that circuit breakers and fuses on the premises have a fault rating to the satisfaction of the network operator.</w:t>
      </w:r>
    </w:p>
    <w:p>
      <w:pPr>
        <w:pStyle w:val="zPenstart"/>
        <w:keepNext/>
        <w:rPr>
          <w:sz w:val="20"/>
        </w:rPr>
      </w:pPr>
      <w:r>
        <w:rPr>
          <w:sz w:val="20"/>
        </w:rPr>
        <w:tab/>
        <w:t>Penalty for this subregulation:</w:t>
      </w:r>
    </w:p>
    <w:p>
      <w:pPr>
        <w:pStyle w:val="zPenpara"/>
        <w:keepNext/>
        <w:rPr>
          <w:sz w:val="20"/>
        </w:rPr>
      </w:pPr>
      <w:r>
        <w:rPr>
          <w:sz w:val="20"/>
        </w:rPr>
        <w:tab/>
        <w:t>(a)</w:t>
      </w:r>
      <w:r>
        <w:rPr>
          <w:sz w:val="20"/>
        </w:rPr>
        <w:tab/>
        <w:t>in the case of an individual — a fine of $50 000;</w:t>
      </w:r>
    </w:p>
    <w:p>
      <w:pPr>
        <w:pStyle w:val="zPenpara"/>
        <w:rPr>
          <w:sz w:val="20"/>
        </w:rPr>
      </w:pPr>
      <w:r>
        <w:rPr>
          <w:sz w:val="20"/>
        </w:rPr>
        <w:tab/>
        <w:t>(b)</w:t>
      </w:r>
      <w:r>
        <w:rPr>
          <w:sz w:val="20"/>
        </w:rPr>
        <w:tab/>
        <w:t>in the case of a body corporate — a fine of $250 000.</w:t>
      </w:r>
    </w:p>
    <w:p>
      <w:pPr>
        <w:pStyle w:val="zSubsection"/>
        <w:rPr>
          <w:sz w:val="20"/>
        </w:rPr>
      </w:pPr>
      <w:r>
        <w:rPr>
          <w:sz w:val="20"/>
        </w:rPr>
        <w:tab/>
        <w:t>(2)</w:t>
      </w:r>
      <w:r>
        <w:rPr>
          <w:sz w:val="20"/>
        </w:rPr>
        <w:tab/>
        <w:t>The network operator may use electrical equipment referred to in subregulation (1) for the supply of electricity to consumers other than the occupier of the premises.</w:t>
      </w:r>
    </w:p>
    <w:p>
      <w:pPr>
        <w:pStyle w:val="BlankClose"/>
        <w:rPr>
          <w:sz w:val="20"/>
          <w:szCs w:val="20"/>
        </w:rPr>
      </w:pPr>
    </w:p>
    <w:p>
      <w:pPr>
        <w:pStyle w:val="nzHeading5"/>
      </w:pPr>
      <w:r>
        <w:rPr>
          <w:rStyle w:val="CharSectno"/>
        </w:rPr>
        <w:t>17</w:t>
      </w:r>
      <w:r>
        <w:t>.</w:t>
      </w:r>
      <w:r>
        <w:tab/>
        <w:t>Regulation 316A amended</w:t>
      </w:r>
    </w:p>
    <w:p>
      <w:pPr>
        <w:pStyle w:val="nzSubsection"/>
      </w:pPr>
      <w:r>
        <w:tab/>
        <w:t>(1)</w:t>
      </w:r>
      <w:r>
        <w:tab/>
        <w:t>Before regulation 316A(1) insert:</w:t>
      </w:r>
    </w:p>
    <w:p>
      <w:pPr>
        <w:pStyle w:val="BlankOpen"/>
        <w:rPr>
          <w:sz w:val="20"/>
          <w:szCs w:val="20"/>
        </w:rPr>
      </w:pPr>
    </w:p>
    <w:p>
      <w:pPr>
        <w:pStyle w:val="zSubsection"/>
        <w:rPr>
          <w:sz w:val="20"/>
        </w:rPr>
      </w:pPr>
      <w:r>
        <w:rPr>
          <w:sz w:val="20"/>
        </w:rPr>
        <w:tab/>
        <w:t>(1A)</w:t>
      </w:r>
      <w:r>
        <w:rPr>
          <w:sz w:val="20"/>
        </w:rPr>
        <w:tab/>
        <w:t>In this regulation —</w:t>
      </w:r>
    </w:p>
    <w:p>
      <w:pPr>
        <w:pStyle w:val="zDefstart"/>
        <w:rPr>
          <w:sz w:val="20"/>
        </w:rPr>
      </w:pPr>
      <w:r>
        <w:rPr>
          <w:sz w:val="20"/>
        </w:rPr>
        <w:tab/>
      </w:r>
      <w:r>
        <w:rPr>
          <w:rStyle w:val="CharDefText"/>
          <w:sz w:val="20"/>
        </w:rPr>
        <w:t>conductor</w:t>
      </w:r>
      <w:r>
        <w:rPr>
          <w:sz w:val="20"/>
        </w:rPr>
        <w:t xml:space="preserve"> includes any of the following — </w:t>
      </w:r>
    </w:p>
    <w:p>
      <w:pPr>
        <w:pStyle w:val="zDefpara"/>
        <w:rPr>
          <w:sz w:val="20"/>
        </w:rPr>
      </w:pPr>
      <w:r>
        <w:rPr>
          <w:sz w:val="20"/>
        </w:rPr>
        <w:tab/>
        <w:t>(a)</w:t>
      </w:r>
      <w:r>
        <w:rPr>
          <w:sz w:val="20"/>
        </w:rPr>
        <w:tab/>
        <w:t>an active conductor;</w:t>
      </w:r>
    </w:p>
    <w:p>
      <w:pPr>
        <w:pStyle w:val="zDefpara"/>
        <w:rPr>
          <w:sz w:val="20"/>
        </w:rPr>
      </w:pPr>
      <w:r>
        <w:rPr>
          <w:sz w:val="20"/>
        </w:rPr>
        <w:tab/>
        <w:t>(b)</w:t>
      </w:r>
      <w:r>
        <w:rPr>
          <w:sz w:val="20"/>
        </w:rPr>
        <w:tab/>
        <w:t xml:space="preserve">a neutral conductor; </w:t>
      </w:r>
    </w:p>
    <w:p>
      <w:pPr>
        <w:pStyle w:val="zDefpara"/>
        <w:rPr>
          <w:sz w:val="20"/>
        </w:rPr>
      </w:pPr>
      <w:r>
        <w:rPr>
          <w:sz w:val="20"/>
        </w:rPr>
        <w:tab/>
        <w:t>(c)</w:t>
      </w:r>
      <w:r>
        <w:rPr>
          <w:sz w:val="20"/>
        </w:rPr>
        <w:tab/>
        <w:t>a catenary supported conductor;</w:t>
      </w:r>
    </w:p>
    <w:p>
      <w:pPr>
        <w:pStyle w:val="zDefpara"/>
        <w:rPr>
          <w:sz w:val="20"/>
        </w:rPr>
      </w:pPr>
      <w:r>
        <w:rPr>
          <w:sz w:val="20"/>
        </w:rPr>
        <w:tab/>
        <w:t>(d)</w:t>
      </w:r>
      <w:r>
        <w:rPr>
          <w:sz w:val="20"/>
        </w:rPr>
        <w:tab/>
        <w:t>a neutral screened conductor;</w:t>
      </w:r>
    </w:p>
    <w:p>
      <w:pPr>
        <w:pStyle w:val="zDefpara"/>
        <w:rPr>
          <w:sz w:val="20"/>
        </w:rPr>
      </w:pPr>
      <w:r>
        <w:rPr>
          <w:sz w:val="20"/>
        </w:rPr>
        <w:tab/>
        <w:t>(e)</w:t>
      </w:r>
      <w:r>
        <w:rPr>
          <w:sz w:val="20"/>
        </w:rPr>
        <w:tab/>
        <w:t>a stranded conductor (whether bundled or not) that is supported by insulators or purpose</w:t>
      </w:r>
      <w:r>
        <w:rPr>
          <w:sz w:val="20"/>
        </w:rPr>
        <w:noBreakHyphen/>
        <w:t>designed fittings so that it remains above the ground and is directly exposed to the weather;</w:t>
      </w:r>
    </w:p>
    <w:p>
      <w:pPr>
        <w:pStyle w:val="zDefstart"/>
        <w:rPr>
          <w:sz w:val="20"/>
        </w:rPr>
      </w:pPr>
      <w:r>
        <w:rPr>
          <w:sz w:val="20"/>
        </w:rPr>
        <w:tab/>
      </w:r>
      <w:r>
        <w:rPr>
          <w:rStyle w:val="CharDefText"/>
          <w:sz w:val="20"/>
        </w:rPr>
        <w:t>overhead power lines</w:t>
      </w:r>
      <w:r>
        <w:rPr>
          <w:sz w:val="20"/>
        </w:rPr>
        <w:t xml:space="preserve"> means overhead lines for the transmission of electrical energy.</w:t>
      </w:r>
    </w:p>
    <w:p>
      <w:pPr>
        <w:pStyle w:val="zSubsection"/>
        <w:rPr>
          <w:sz w:val="20"/>
        </w:rPr>
      </w:pPr>
      <w:r>
        <w:rPr>
          <w:sz w:val="20"/>
        </w:rPr>
        <w:tab/>
        <w:t>(1B)</w:t>
      </w:r>
      <w:r>
        <w:rPr>
          <w:sz w:val="20"/>
        </w:rPr>
        <w:tab/>
        <w:t xml:space="preserve">In this regulation — </w:t>
      </w:r>
    </w:p>
    <w:p>
      <w:pPr>
        <w:pStyle w:val="zDefpara"/>
        <w:rPr>
          <w:sz w:val="20"/>
        </w:rPr>
      </w:pPr>
      <w:r>
        <w:rPr>
          <w:sz w:val="20"/>
        </w:rPr>
        <w:tab/>
        <w:t>(a)</w:t>
      </w:r>
      <w:r>
        <w:rPr>
          <w:sz w:val="20"/>
        </w:rPr>
        <w:tab/>
        <w:t>a reference to performing work includes a reference to assisting to perform work; and</w:t>
      </w:r>
    </w:p>
    <w:p>
      <w:pPr>
        <w:pStyle w:val="zDefpara"/>
        <w:rPr>
          <w:sz w:val="20"/>
        </w:rPr>
      </w:pPr>
      <w:r>
        <w:rPr>
          <w:sz w:val="20"/>
        </w:rPr>
        <w:tab/>
        <w:t>(b)</w:t>
      </w:r>
      <w:r>
        <w:rPr>
          <w:sz w:val="20"/>
        </w:rPr>
        <w:tab/>
        <w:t>performing work in the course of employment is to be regarded as being for reward; and</w:t>
      </w:r>
    </w:p>
    <w:p>
      <w:pPr>
        <w:pStyle w:val="zDefpara"/>
        <w:rPr>
          <w:sz w:val="20"/>
        </w:rPr>
      </w:pPr>
      <w:r>
        <w:rPr>
          <w:sz w:val="20"/>
        </w:rPr>
        <w:tab/>
        <w:t>(c)</w:t>
      </w:r>
      <w:r>
        <w:rPr>
          <w:sz w:val="20"/>
        </w:rPr>
        <w:tab/>
        <w:t>vegetation control work is performed within a danger zone if any part of the following comes within the danger zone at any time while the work is being performed —</w:t>
      </w:r>
    </w:p>
    <w:p>
      <w:pPr>
        <w:pStyle w:val="zDefsubpara"/>
        <w:rPr>
          <w:sz w:val="20"/>
        </w:rPr>
      </w:pPr>
      <w:r>
        <w:rPr>
          <w:sz w:val="20"/>
        </w:rPr>
        <w:tab/>
        <w:t>(i)</w:t>
      </w:r>
      <w:r>
        <w:rPr>
          <w:sz w:val="20"/>
        </w:rPr>
        <w:tab/>
        <w:t>the vegetation;</w:t>
      </w:r>
    </w:p>
    <w:p>
      <w:pPr>
        <w:pStyle w:val="zDefsubpara"/>
        <w:rPr>
          <w:sz w:val="20"/>
        </w:rPr>
      </w:pPr>
      <w:r>
        <w:rPr>
          <w:sz w:val="20"/>
        </w:rPr>
        <w:tab/>
        <w:t>(ii)</w:t>
      </w:r>
      <w:r>
        <w:rPr>
          <w:sz w:val="20"/>
        </w:rPr>
        <w:tab/>
        <w:t>the body of, or any tool, vehicle, or other equipment used by, a person performing the work.</w:t>
      </w:r>
    </w:p>
    <w:p>
      <w:pPr>
        <w:pStyle w:val="BlankClose"/>
        <w:rPr>
          <w:sz w:val="20"/>
          <w:szCs w:val="20"/>
        </w:rPr>
      </w:pPr>
    </w:p>
    <w:p>
      <w:pPr>
        <w:pStyle w:val="nzSubsection"/>
      </w:pPr>
      <w:r>
        <w:tab/>
        <w:t>(2)</w:t>
      </w:r>
      <w:r>
        <w:tab/>
        <w:t>Delete regulation 316A(5).</w:t>
      </w:r>
    </w:p>
    <w:p>
      <w:pPr>
        <w:pStyle w:val="nzHeading5"/>
      </w:pPr>
      <w:r>
        <w:rPr>
          <w:rStyle w:val="CharSectno"/>
        </w:rPr>
        <w:t>18</w:t>
      </w:r>
      <w:r>
        <w:t>.</w:t>
      </w:r>
      <w:r>
        <w:tab/>
        <w:t>Regulation 321 amended</w:t>
      </w:r>
    </w:p>
    <w:p>
      <w:pPr>
        <w:pStyle w:val="nzSubsection"/>
      </w:pPr>
      <w:r>
        <w:tab/>
      </w:r>
      <w:r>
        <w:tab/>
        <w:t xml:space="preserve">In regulation 321 delete the definition of </w:t>
      </w:r>
      <w:r>
        <w:rPr>
          <w:b/>
          <w:i/>
        </w:rPr>
        <w:t>published specification</w:t>
      </w:r>
      <w:r>
        <w:t xml:space="preserve"> and insert:</w:t>
      </w:r>
    </w:p>
    <w:p>
      <w:pPr>
        <w:pStyle w:val="BlankOpen"/>
        <w:rPr>
          <w:sz w:val="20"/>
          <w:szCs w:val="20"/>
        </w:rPr>
      </w:pPr>
    </w:p>
    <w:p>
      <w:pPr>
        <w:pStyle w:val="zDefstart"/>
        <w:rPr>
          <w:sz w:val="20"/>
        </w:rPr>
      </w:pPr>
      <w:r>
        <w:rPr>
          <w:sz w:val="20"/>
        </w:rPr>
        <w:tab/>
      </w:r>
      <w:r>
        <w:rPr>
          <w:rStyle w:val="CharDefText"/>
          <w:sz w:val="20"/>
        </w:rPr>
        <w:t>published specification</w:t>
      </w:r>
      <w:r>
        <w:rPr>
          <w:sz w:val="20"/>
        </w:rPr>
        <w:t xml:space="preserve"> means the relevant Approval and Test Specification published by Standards Australia and which is that relating to prescribed appliances which are prescribed in a notification published in the </w:t>
      </w:r>
      <w:r>
        <w:rPr>
          <w:i/>
          <w:sz w:val="20"/>
        </w:rPr>
        <w:t>Gazette</w:t>
      </w:r>
      <w:r>
        <w:rPr>
          <w:sz w:val="20"/>
        </w:rPr>
        <w:t xml:space="preserve"> by direction of the Director by reference to the following —</w:t>
      </w:r>
    </w:p>
    <w:p>
      <w:pPr>
        <w:pStyle w:val="zDefpara"/>
        <w:rPr>
          <w:sz w:val="20"/>
        </w:rPr>
      </w:pPr>
      <w:r>
        <w:rPr>
          <w:sz w:val="20"/>
        </w:rPr>
        <w:tab/>
        <w:t>(a)</w:t>
      </w:r>
      <w:r>
        <w:rPr>
          <w:sz w:val="20"/>
        </w:rPr>
        <w:tab/>
        <w:t>the classification letters, numbers, month (if any) and year of publication or title of Approval and Test Specifications published by Standards Australia;</w:t>
      </w:r>
    </w:p>
    <w:p>
      <w:pPr>
        <w:pStyle w:val="zDefpara"/>
        <w:rPr>
          <w:sz w:val="20"/>
        </w:rPr>
      </w:pPr>
      <w:r>
        <w:rPr>
          <w:sz w:val="20"/>
        </w:rPr>
        <w:tab/>
        <w:t>(b)</w:t>
      </w:r>
      <w:r>
        <w:rPr>
          <w:sz w:val="20"/>
        </w:rPr>
        <w:tab/>
        <w:t>any amendment of the Approval and Test Specifications published by Standards Australia;</w:t>
      </w:r>
    </w:p>
    <w:p>
      <w:pPr>
        <w:pStyle w:val="zDefpara"/>
        <w:rPr>
          <w:sz w:val="20"/>
        </w:rPr>
      </w:pPr>
      <w:r>
        <w:rPr>
          <w:sz w:val="20"/>
        </w:rPr>
        <w:tab/>
        <w:t>(c)</w:t>
      </w:r>
      <w:r>
        <w:rPr>
          <w:sz w:val="20"/>
        </w:rPr>
        <w:tab/>
        <w:t>any part of the Approval and Test Specifications or any amendment thereof published by Standards Australia.</w:t>
      </w:r>
    </w:p>
    <w:p>
      <w:pPr>
        <w:pStyle w:val="BlankClose"/>
        <w:rPr>
          <w:sz w:val="20"/>
          <w:szCs w:val="20"/>
        </w:rPr>
      </w:pPr>
    </w:p>
    <w:p>
      <w:pPr>
        <w:pStyle w:val="nzHeading5"/>
      </w:pPr>
      <w:r>
        <w:rPr>
          <w:rStyle w:val="CharSectno"/>
        </w:rPr>
        <w:t>19</w:t>
      </w:r>
      <w:r>
        <w:t>.</w:t>
      </w:r>
      <w:r>
        <w:tab/>
        <w:t>Schedule 1 amended</w:t>
      </w:r>
    </w:p>
    <w:p>
      <w:pPr>
        <w:pStyle w:val="nzSubsection"/>
      </w:pPr>
      <w:r>
        <w:tab/>
        <w:t>(1)</w:t>
      </w:r>
      <w:r>
        <w:tab/>
        <w:t>In Schedule 1 Table 2:</w:t>
      </w:r>
    </w:p>
    <w:p>
      <w:pPr>
        <w:pStyle w:val="nzIndenta"/>
      </w:pPr>
      <w:r>
        <w:tab/>
        <w:t>(a)</w:t>
      </w:r>
      <w:r>
        <w:tab/>
        <w:t>in the items relating to r. 13, r. 14 and r. 15A delete “at least 2 residual current devices are” and insert:</w:t>
      </w:r>
    </w:p>
    <w:p>
      <w:pPr>
        <w:pStyle w:val="BlankOpen"/>
        <w:rPr>
          <w:sz w:val="20"/>
          <w:szCs w:val="20"/>
        </w:rPr>
      </w:pPr>
    </w:p>
    <w:p>
      <w:pPr>
        <w:pStyle w:val="nzIndenta"/>
      </w:pPr>
      <w:r>
        <w:tab/>
      </w:r>
      <w:r>
        <w:tab/>
        <w:t xml:space="preserve">residual current devices are properly </w:t>
      </w:r>
    </w:p>
    <w:p>
      <w:pPr>
        <w:pStyle w:val="BlankClose"/>
        <w:rPr>
          <w:sz w:val="20"/>
          <w:szCs w:val="20"/>
        </w:rPr>
      </w:pPr>
    </w:p>
    <w:p>
      <w:pPr>
        <w:pStyle w:val="nzIndenta"/>
      </w:pPr>
      <w:r>
        <w:tab/>
        <w:t>(b)</w:t>
      </w:r>
      <w:r>
        <w:tab/>
        <w:t>in the item relating to r. 15 delete “at least one residual current device is installed before 9 August 2011” and insert:</w:t>
      </w:r>
    </w:p>
    <w:p>
      <w:pPr>
        <w:pStyle w:val="BlankOpen"/>
        <w:rPr>
          <w:sz w:val="20"/>
          <w:szCs w:val="20"/>
        </w:rPr>
      </w:pPr>
    </w:p>
    <w:p>
      <w:pPr>
        <w:pStyle w:val="nzIndenta"/>
      </w:pPr>
      <w:r>
        <w:tab/>
      </w:r>
      <w:r>
        <w:tab/>
        <w:t xml:space="preserve">residual current devices are properly installed in relation to the common property </w:t>
      </w:r>
    </w:p>
    <w:p>
      <w:pPr>
        <w:pStyle w:val="BlankClose"/>
        <w:rPr>
          <w:sz w:val="20"/>
          <w:szCs w:val="20"/>
        </w:rPr>
      </w:pPr>
    </w:p>
    <w:p>
      <w:pPr>
        <w:pStyle w:val="nzSubsection"/>
      </w:pPr>
      <w:r>
        <w:tab/>
        <w:t>(2)</w:t>
      </w:r>
      <w:r>
        <w:tab/>
        <w:t>In Schedule 1 Table 3:</w:t>
      </w:r>
    </w:p>
    <w:p>
      <w:pPr>
        <w:pStyle w:val="nzIndenta"/>
      </w:pPr>
      <w:r>
        <w:tab/>
        <w:t>(a)</w:t>
      </w:r>
      <w:r>
        <w:tab/>
        <w:t>in the item relating to r. 28(1) &amp; 65 delete “address” and insert:</w:t>
      </w:r>
    </w:p>
    <w:p>
      <w:pPr>
        <w:pStyle w:val="BlankOpen"/>
        <w:rPr>
          <w:sz w:val="20"/>
          <w:szCs w:val="20"/>
        </w:rPr>
      </w:pPr>
    </w:p>
    <w:p>
      <w:pPr>
        <w:pStyle w:val="nzIndenta"/>
      </w:pPr>
      <w:r>
        <w:tab/>
      </w:r>
      <w:r>
        <w:tab/>
        <w:t>contact details</w:t>
      </w:r>
    </w:p>
    <w:p>
      <w:pPr>
        <w:pStyle w:val="BlankClose"/>
        <w:rPr>
          <w:sz w:val="20"/>
          <w:szCs w:val="20"/>
        </w:rPr>
      </w:pPr>
    </w:p>
    <w:p>
      <w:pPr>
        <w:pStyle w:val="nzIndenta"/>
      </w:pPr>
      <w:r>
        <w:tab/>
        <w:t>(b)</w:t>
      </w:r>
      <w:r>
        <w:tab/>
        <w:t>after the item relating to r. 35 insert:</w:t>
      </w:r>
    </w:p>
    <w:p>
      <w:pPr>
        <w:pStyle w:val="BlankOpen"/>
        <w:rPr>
          <w:sz w:val="20"/>
          <w:szCs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rPr>
        <w:tc>
          <w:tcPr>
            <w:tcW w:w="1531" w:type="dxa"/>
            <w:tcBorders>
              <w:top w:val="single" w:sz="4" w:space="0" w:color="auto"/>
              <w:bottom w:val="single" w:sz="4" w:space="0" w:color="auto"/>
            </w:tcBorders>
          </w:tcPr>
          <w:p>
            <w:pPr>
              <w:pStyle w:val="yTableNAm"/>
              <w:spacing w:before="0"/>
              <w:rPr>
                <w:sz w:val="20"/>
              </w:rPr>
            </w:pPr>
            <w:r>
              <w:rPr>
                <w:sz w:val="20"/>
              </w:rPr>
              <w:t>r. 37(1)</w:t>
            </w:r>
          </w:p>
        </w:tc>
        <w:tc>
          <w:tcPr>
            <w:tcW w:w="3515" w:type="dxa"/>
            <w:tcBorders>
              <w:top w:val="single" w:sz="4" w:space="0" w:color="auto"/>
              <w:bottom w:val="single" w:sz="4" w:space="0" w:color="auto"/>
            </w:tcBorders>
          </w:tcPr>
          <w:p>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BlankClose"/>
        <w:rPr>
          <w:sz w:val="20"/>
          <w:szCs w:val="20"/>
        </w:rPr>
      </w:pPr>
    </w:p>
    <w:p>
      <w:pPr>
        <w:pStyle w:val="nzIndenta"/>
      </w:pPr>
      <w:r>
        <w:tab/>
        <w:t>(c)</w:t>
      </w:r>
      <w:r>
        <w:tab/>
        <w:t>after the item relating to r. 45(2) &amp; 65 insert:</w:t>
      </w:r>
    </w:p>
    <w:p>
      <w:pPr>
        <w:pStyle w:val="BlankOpen"/>
        <w:rPr>
          <w:sz w:val="20"/>
          <w:szCs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rPr>
        <w:tc>
          <w:tcPr>
            <w:tcW w:w="1531" w:type="dxa"/>
            <w:tcBorders>
              <w:top w:val="single" w:sz="4" w:space="0" w:color="auto"/>
              <w:bottom w:val="single" w:sz="4" w:space="0" w:color="auto"/>
            </w:tcBorders>
          </w:tcPr>
          <w:p>
            <w:pPr>
              <w:pStyle w:val="yTableNAm"/>
              <w:spacing w:before="0"/>
              <w:rPr>
                <w:sz w:val="20"/>
              </w:rPr>
            </w:pPr>
            <w:r>
              <w:rPr>
                <w:sz w:val="20"/>
              </w:rPr>
              <w:t>r. 47C</w:t>
            </w:r>
          </w:p>
        </w:tc>
        <w:tc>
          <w:tcPr>
            <w:tcW w:w="3515" w:type="dxa"/>
            <w:tcBorders>
              <w:top w:val="single" w:sz="4" w:space="0" w:color="auto"/>
              <w:bottom w:val="single" w:sz="4" w:space="0" w:color="auto"/>
            </w:tcBorders>
          </w:tcPr>
          <w:p>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bl>
    <w:p>
      <w:pPr>
        <w:pStyle w:val="BlankClose"/>
      </w:pP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93" w:name="_Toc526239699"/>
      <w:bookmarkStart w:id="94" w:name="_Toc526239940"/>
      <w:bookmarkStart w:id="95" w:name="_Toc526261410"/>
      <w:bookmarkStart w:id="96" w:name="_Toc526261540"/>
      <w:r>
        <w:rPr>
          <w:sz w:val="28"/>
        </w:rPr>
        <w:t>Defined terms</w:t>
      </w:r>
      <w:bookmarkEnd w:id="93"/>
      <w:bookmarkEnd w:id="94"/>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321</w:t>
      </w:r>
    </w:p>
    <w:p>
      <w:pPr>
        <w:pStyle w:val="DefinedTerms"/>
      </w:pPr>
      <w:r>
        <w:t>appliances of the same class</w:t>
      </w:r>
      <w:r>
        <w:tab/>
        <w:t>321</w:t>
      </w:r>
    </w:p>
    <w:p>
      <w:pPr>
        <w:pStyle w:val="DefinedTerms"/>
      </w:pPr>
      <w:r>
        <w:t>appliances of the same type</w:t>
      </w:r>
      <w:r>
        <w:tab/>
        <w:t>321</w:t>
      </w:r>
    </w:p>
    <w:p>
      <w:pPr>
        <w:pStyle w:val="DefinedTerms"/>
      </w:pPr>
      <w:r>
        <w:t>applicant</w:t>
      </w:r>
      <w:r>
        <w:tab/>
        <w:t>321</w:t>
      </w:r>
    </w:p>
    <w:p>
      <w:pPr>
        <w:pStyle w:val="DefinedTerms"/>
      </w:pPr>
      <w:r>
        <w:t>approvals marking</w:t>
      </w:r>
      <w:r>
        <w:tab/>
        <w:t>321</w:t>
      </w:r>
    </w:p>
    <w:p>
      <w:pPr>
        <w:pStyle w:val="DefinedTerms"/>
      </w:pPr>
      <w:r>
        <w:t>approved</w:t>
      </w:r>
      <w:r>
        <w:tab/>
        <w:t>321</w:t>
      </w:r>
    </w:p>
    <w:p>
      <w:pPr>
        <w:pStyle w:val="DefinedTerms"/>
      </w:pPr>
      <w:r>
        <w:t>Australian/New Zealand Wiring Rules</w:t>
      </w:r>
      <w:r>
        <w:tab/>
        <w:t>2(1)</w:t>
      </w:r>
    </w:p>
    <w:p>
      <w:pPr>
        <w:pStyle w:val="DefinedTerms"/>
      </w:pPr>
      <w:r>
        <w:t>commencement day</w:t>
      </w:r>
      <w:r>
        <w:tab/>
        <w:t>12</w:t>
      </w:r>
    </w:p>
    <w:p>
      <w:pPr>
        <w:pStyle w:val="DefinedTerms"/>
      </w:pPr>
      <w:r>
        <w:t>common property</w:t>
      </w:r>
      <w:r>
        <w:tab/>
        <w:t>12</w:t>
      </w:r>
    </w:p>
    <w:p>
      <w:pPr>
        <w:pStyle w:val="DefinedTerms"/>
      </w:pPr>
      <w:r>
        <w:t xml:space="preserve">conductors </w:t>
      </w:r>
      <w:r>
        <w:tab/>
        <w:t>316A(5)(a)</w:t>
      </w:r>
    </w:p>
    <w:p>
      <w:pPr>
        <w:pStyle w:val="DefinedTerms"/>
      </w:pPr>
      <w:r>
        <w:t>duly constituted authority in another State of the Commonwealth</w:t>
      </w:r>
      <w:r>
        <w:tab/>
        <w:t>321</w:t>
      </w:r>
    </w:p>
    <w:p>
      <w:pPr>
        <w:pStyle w:val="DefinedTerms"/>
      </w:pPr>
      <w:r>
        <w:t>inspection plan</w:t>
      </w:r>
      <w:r>
        <w:tab/>
        <w:t>242(1A)</w:t>
      </w:r>
    </w:p>
    <w:p>
      <w:pPr>
        <w:pStyle w:val="DefinedTerms"/>
      </w:pPr>
      <w:r>
        <w:t>installed</w:t>
      </w:r>
      <w:r>
        <w:tab/>
        <w:t>12</w:t>
      </w:r>
    </w:p>
    <w:p>
      <w:pPr>
        <w:pStyle w:val="DefinedTerms"/>
      </w:pPr>
      <w:r>
        <w:t>network</w:t>
      </w:r>
      <w:r>
        <w:tab/>
        <w:t>241(2)</w:t>
      </w:r>
    </w:p>
    <w:p>
      <w:pPr>
        <w:pStyle w:val="DefinedTerms"/>
      </w:pPr>
      <w:r>
        <w:t>network operator</w:t>
      </w:r>
      <w:r>
        <w:tab/>
        <w:t>241(1), 241(3)</w:t>
      </w:r>
    </w:p>
    <w:p>
      <w:pPr>
        <w:pStyle w:val="DefinedTerms"/>
      </w:pPr>
      <w:r>
        <w:t>new owner</w:t>
      </w:r>
      <w:r>
        <w:tab/>
        <w:t>12</w:t>
      </w:r>
    </w:p>
    <w:p>
      <w:pPr>
        <w:pStyle w:val="DefinedTerms"/>
      </w:pPr>
      <w:r>
        <w:t>notice of completion</w:t>
      </w:r>
      <w:r>
        <w:tab/>
        <w:t>242(1A)</w:t>
      </w:r>
    </w:p>
    <w:p>
      <w:pPr>
        <w:pStyle w:val="DefinedTerms"/>
      </w:pPr>
      <w:r>
        <w:t>notice of intended demolition</w:t>
      </w:r>
      <w:r>
        <w:tab/>
        <w:t>12</w:t>
      </w:r>
    </w:p>
    <w:p>
      <w:pPr>
        <w:pStyle w:val="DefinedTerms"/>
      </w:pPr>
      <w:r>
        <w:t>occupied by an owner</w:t>
      </w:r>
      <w:r>
        <w:tab/>
        <w:t>12</w:t>
      </w:r>
    </w:p>
    <w:p>
      <w:pPr>
        <w:pStyle w:val="DefinedTerms"/>
      </w:pPr>
      <w:r>
        <w:t>overhead power lines</w:t>
      </w:r>
      <w:r>
        <w:tab/>
        <w:t>316A(5)(a)</w:t>
      </w:r>
    </w:p>
    <w:p>
      <w:pPr>
        <w:pStyle w:val="DefinedTerms"/>
      </w:pPr>
      <w:r>
        <w:t>post</w:t>
      </w:r>
      <w:r>
        <w:noBreakHyphen/>
        <w:t>transfer period,</w:t>
      </w:r>
      <w:r>
        <w:tab/>
        <w:t>15A(1)</w:t>
      </w:r>
    </w:p>
    <w:p>
      <w:pPr>
        <w:pStyle w:val="DefinedTerms"/>
      </w:pPr>
      <w:r>
        <w:t>prior owner</w:t>
      </w:r>
      <w:r>
        <w:tab/>
        <w:t>12</w:t>
      </w:r>
    </w:p>
    <w:p>
      <w:pPr>
        <w:pStyle w:val="DefinedTerms"/>
      </w:pPr>
      <w:r>
        <w:t>published specification</w:t>
      </w:r>
      <w:r>
        <w:tab/>
        <w:t>321</w:t>
      </w:r>
    </w:p>
    <w:p>
      <w:pPr>
        <w:pStyle w:val="DefinedTerms"/>
      </w:pPr>
      <w:r>
        <w:t>residential premises</w:t>
      </w:r>
      <w:r>
        <w:tab/>
        <w:t>12</w:t>
      </w:r>
    </w:p>
    <w:p>
      <w:pPr>
        <w:pStyle w:val="DefinedTerms"/>
      </w:pPr>
      <w:r>
        <w:t>residential tenancy agreement</w:t>
      </w:r>
      <w:r>
        <w:tab/>
        <w:t>12</w:t>
      </w:r>
    </w:p>
    <w:p>
      <w:pPr>
        <w:pStyle w:val="DefinedTerms"/>
      </w:pPr>
      <w:r>
        <w:t>transferred residential premises</w:t>
      </w:r>
      <w:r>
        <w:tab/>
        <w:t>12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 w:name="Coversheet"/>
    <w:bookmarkEnd w:id="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F8E93E"/>
    <w:lvl w:ilvl="0">
      <w:start w:val="1"/>
      <w:numFmt w:val="decimal"/>
      <w:lvlText w:val="%1."/>
      <w:lvlJc w:val="left"/>
      <w:pPr>
        <w:tabs>
          <w:tab w:val="num" w:pos="1800"/>
        </w:tabs>
        <w:ind w:left="1800" w:hanging="360"/>
      </w:pPr>
    </w:lvl>
  </w:abstractNum>
  <w:abstractNum w:abstractNumId="1">
    <w:nsid w:val="FFFFFF7D"/>
    <w:multiLevelType w:val="singleLevel"/>
    <w:tmpl w:val="50484490"/>
    <w:lvl w:ilvl="0">
      <w:start w:val="1"/>
      <w:numFmt w:val="decimal"/>
      <w:lvlText w:val="%1."/>
      <w:lvlJc w:val="left"/>
      <w:pPr>
        <w:tabs>
          <w:tab w:val="num" w:pos="1440"/>
        </w:tabs>
        <w:ind w:left="1440" w:hanging="360"/>
      </w:pPr>
    </w:lvl>
  </w:abstractNum>
  <w:abstractNum w:abstractNumId="2">
    <w:nsid w:val="FFFFFF7E"/>
    <w:multiLevelType w:val="singleLevel"/>
    <w:tmpl w:val="BC60454E"/>
    <w:lvl w:ilvl="0">
      <w:start w:val="1"/>
      <w:numFmt w:val="decimal"/>
      <w:lvlText w:val="%1."/>
      <w:lvlJc w:val="left"/>
      <w:pPr>
        <w:tabs>
          <w:tab w:val="num" w:pos="1080"/>
        </w:tabs>
        <w:ind w:left="1080" w:hanging="360"/>
      </w:pPr>
    </w:lvl>
  </w:abstractNum>
  <w:abstractNum w:abstractNumId="3">
    <w:nsid w:val="FFFFFF7F"/>
    <w:multiLevelType w:val="singleLevel"/>
    <w:tmpl w:val="3ACC0448"/>
    <w:lvl w:ilvl="0">
      <w:start w:val="1"/>
      <w:numFmt w:val="decimal"/>
      <w:lvlText w:val="%1."/>
      <w:lvlJc w:val="left"/>
      <w:pPr>
        <w:tabs>
          <w:tab w:val="num" w:pos="720"/>
        </w:tabs>
        <w:ind w:left="720" w:hanging="360"/>
      </w:pPr>
    </w:lvl>
  </w:abstractNum>
  <w:abstractNum w:abstractNumId="4">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720B6CC"/>
    <w:lvl w:ilvl="0">
      <w:start w:val="1"/>
      <w:numFmt w:val="decimal"/>
      <w:lvlText w:val="%1."/>
      <w:lvlJc w:val="left"/>
      <w:pPr>
        <w:tabs>
          <w:tab w:val="num" w:pos="360"/>
        </w:tabs>
        <w:ind w:left="360" w:hanging="360"/>
      </w:pPr>
    </w:lvl>
  </w:abstractNum>
  <w:abstractNum w:abstractNumId="9">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01135734"/>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Heading510pt">
    <w:name w:val="nzHeading 5 + 10 pt"/>
    <w:basedOn w:val="zHeading5"/>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Heading510pt">
    <w:name w:val="nzHeading 5 + 10 pt"/>
    <w:basedOn w:val="zHeading5"/>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76F58-134B-4AA7-B3B1-067624877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16092</Words>
  <Characters>80143</Characters>
  <Application>Microsoft Office Word</Application>
  <DocSecurity>0</DocSecurity>
  <Lines>2862</Lines>
  <Paragraphs>1603</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94632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1947 - 07-b0-00</dc:title>
  <dc:subject/>
  <dc:creator/>
  <cp:keywords/>
  <dc:description/>
  <cp:lastModifiedBy>svcMRProcess</cp:lastModifiedBy>
  <cp:revision>4</cp:revision>
  <cp:lastPrinted>2016-10-24T03:11:00Z</cp:lastPrinted>
  <dcterms:created xsi:type="dcterms:W3CDTF">2018-10-02T09:09:00Z</dcterms:created>
  <dcterms:modified xsi:type="dcterms:W3CDTF">2018-10-02T09:09:00Z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AsAtDate">
    <vt:lpwstr>02 Oct 2018</vt:lpwstr>
  </property>
  <property fmtid="{D5CDD505-2E9C-101B-9397-08002B2CF9AE}" pid="8" name="Suffix">
    <vt:lpwstr>07-b0-00</vt:lpwstr>
  </property>
  <property fmtid="{D5CDD505-2E9C-101B-9397-08002B2CF9AE}" pid="9" name="CommencementDate">
    <vt:lpwstr>20181002</vt:lpwstr>
  </property>
</Properties>
</file>